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868" w:rsidRDefault="00990F6B" w:rsidP="002D0814">
      <w:pPr>
        <w:jc w:val="both"/>
        <w:rPr>
          <w:b/>
          <w:sz w:val="48"/>
          <w:szCs w:val="48"/>
        </w:rPr>
      </w:pPr>
      <w:r w:rsidRPr="001A2868">
        <w:rPr>
          <w:b/>
          <w:sz w:val="48"/>
          <w:szCs w:val="48"/>
        </w:rPr>
        <w:t>Des normes d’ « </w:t>
      </w:r>
      <w:r w:rsidRPr="001A2868">
        <w:rPr>
          <w:b/>
          <w:sz w:val="48"/>
          <w:szCs w:val="48"/>
          <w:lang w:val="pt-PT"/>
        </w:rPr>
        <w:t>habit</w:t>
      </w:r>
      <w:r w:rsidRPr="001A2868">
        <w:rPr>
          <w:b/>
          <w:sz w:val="48"/>
          <w:szCs w:val="48"/>
        </w:rPr>
        <w:t>er »</w:t>
      </w:r>
      <w:r w:rsidRPr="001A2868">
        <w:rPr>
          <w:b/>
          <w:bCs/>
          <w:sz w:val="48"/>
          <w:szCs w:val="48"/>
        </w:rPr>
        <w:t xml:space="preserve"> </w:t>
      </w:r>
      <w:r w:rsidRPr="001A2868">
        <w:rPr>
          <w:b/>
          <w:sz w:val="48"/>
          <w:szCs w:val="48"/>
        </w:rPr>
        <w:t>questionnées :</w:t>
      </w:r>
      <w:r w:rsidR="003221E6" w:rsidRPr="001A2868">
        <w:rPr>
          <w:b/>
          <w:sz w:val="48"/>
          <w:szCs w:val="48"/>
        </w:rPr>
        <w:t xml:space="preserve"> </w:t>
      </w:r>
    </w:p>
    <w:p w:rsidR="00990F6B" w:rsidRPr="001A2868" w:rsidRDefault="00990F6B" w:rsidP="002D0814">
      <w:pPr>
        <w:jc w:val="both"/>
        <w:rPr>
          <w:b/>
          <w:bCs/>
          <w:sz w:val="48"/>
          <w:szCs w:val="48"/>
        </w:rPr>
      </w:pPr>
      <w:r w:rsidRPr="001A2868">
        <w:rPr>
          <w:b/>
          <w:sz w:val="48"/>
          <w:szCs w:val="48"/>
        </w:rPr>
        <w:t>le Quartier de la Baraque</w:t>
      </w:r>
    </w:p>
    <w:p w:rsidR="00990F6B" w:rsidRDefault="00990F6B" w:rsidP="002D0814">
      <w:pPr>
        <w:jc w:val="both"/>
        <w:rPr>
          <w:rFonts w:eastAsia="Times New Roman"/>
          <w:sz w:val="24"/>
        </w:rPr>
      </w:pPr>
    </w:p>
    <w:p w:rsidR="0018539E" w:rsidRPr="003221E6" w:rsidRDefault="0018539E" w:rsidP="002D0814">
      <w:pPr>
        <w:jc w:val="both"/>
        <w:rPr>
          <w:rFonts w:eastAsia="Times New Roman"/>
          <w:sz w:val="24"/>
        </w:rPr>
      </w:pPr>
    </w:p>
    <w:p w:rsidR="0018539E" w:rsidRPr="0018539E" w:rsidRDefault="00990F6B" w:rsidP="0018539E">
      <w:pPr>
        <w:jc w:val="both"/>
        <w:rPr>
          <w:i/>
          <w:iCs/>
          <w:sz w:val="24"/>
        </w:rPr>
      </w:pPr>
      <w:r w:rsidRPr="003221E6">
        <w:rPr>
          <w:b/>
          <w:bCs/>
          <w:sz w:val="24"/>
        </w:rPr>
        <w:t xml:space="preserve">Anaïs Angéras  - </w:t>
      </w:r>
      <w:r w:rsidRPr="003221E6">
        <w:rPr>
          <w:i/>
          <w:iCs/>
          <w:sz w:val="24"/>
        </w:rPr>
        <w:t xml:space="preserve">Ethnologue, Chercheure </w:t>
      </w:r>
      <w:r w:rsidR="0018539E" w:rsidRPr="0018539E">
        <w:rPr>
          <w:iCs/>
          <w:sz w:val="24"/>
        </w:rPr>
        <w:t>indépendante</w:t>
      </w:r>
      <w:r w:rsidR="0018539E">
        <w:rPr>
          <w:iCs/>
          <w:sz w:val="24"/>
        </w:rPr>
        <w:t xml:space="preserve"> : </w:t>
      </w:r>
      <w:r w:rsidR="0018539E">
        <w:rPr>
          <w:sz w:val="24"/>
        </w:rPr>
        <w:t>l</w:t>
      </w:r>
      <w:bookmarkStart w:id="0" w:name="_GoBack"/>
      <w:bookmarkEnd w:id="0"/>
      <w:r w:rsidR="0018539E" w:rsidRPr="0018539E">
        <w:rPr>
          <w:sz w:val="24"/>
        </w:rPr>
        <w:t>’initiation</w:t>
      </w:r>
      <w:r w:rsidR="0018539E" w:rsidRPr="003221E6">
        <w:rPr>
          <w:sz w:val="24"/>
        </w:rPr>
        <w:t xml:space="preserve"> à l’enquête de terrain qu’a constitué le travail de recherche intitulé </w:t>
      </w:r>
      <w:r w:rsidR="0018539E" w:rsidRPr="003221E6">
        <w:rPr>
          <w:i/>
          <w:iCs/>
          <w:sz w:val="24"/>
        </w:rPr>
        <w:t>Du Nomadisme Contemporain. Avec les saisonniers agric</w:t>
      </w:r>
      <w:r w:rsidR="0018539E" w:rsidRPr="003221E6">
        <w:rPr>
          <w:i/>
          <w:iCs/>
          <w:sz w:val="24"/>
        </w:rPr>
        <w:t>o</w:t>
      </w:r>
      <w:r w:rsidR="0018539E" w:rsidRPr="003221E6">
        <w:rPr>
          <w:i/>
          <w:iCs/>
          <w:sz w:val="24"/>
        </w:rPr>
        <w:t>les en camion</w:t>
      </w:r>
      <w:r w:rsidR="0018539E" w:rsidRPr="003221E6">
        <w:rPr>
          <w:sz w:val="24"/>
        </w:rPr>
        <w:t xml:space="preserve"> (Master d’Ethnologie-Anthropologie, Université Lyon 2), conduit depuis ce che</w:t>
      </w:r>
      <w:r w:rsidR="0018539E" w:rsidRPr="003221E6">
        <w:rPr>
          <w:sz w:val="24"/>
        </w:rPr>
        <w:t>r</w:t>
      </w:r>
      <w:r w:rsidR="0018539E" w:rsidRPr="003221E6">
        <w:rPr>
          <w:sz w:val="24"/>
        </w:rPr>
        <w:t>cheure à investir l’axe thématique des mobilités internationales à travers l’étude des situations et conditions de vie des travailleurs migrants inscrits dans l’agriculture intensive mondiale. La notion d’habitat est appréhendée en tant qu’indice corollaire de la flexibilité à laquelle ils sont assujettis. La pratique de la photoethnographie est un outil méthodologique complémentaire à son approche ethnologique.</w:t>
      </w:r>
    </w:p>
    <w:p w:rsidR="002D0814" w:rsidRDefault="002D0814" w:rsidP="002D0814">
      <w:pPr>
        <w:jc w:val="both"/>
        <w:rPr>
          <w:i/>
          <w:iCs/>
          <w:sz w:val="24"/>
        </w:rPr>
      </w:pPr>
    </w:p>
    <w:p w:rsidR="002D0814" w:rsidRPr="003221E6" w:rsidRDefault="002D0814" w:rsidP="002D0814">
      <w:pPr>
        <w:jc w:val="both"/>
        <w:rPr>
          <w:rFonts w:eastAsia="Times New Roman"/>
          <w:sz w:val="24"/>
        </w:rPr>
      </w:pPr>
    </w:p>
    <w:p w:rsidR="002D0814" w:rsidRPr="0018539E" w:rsidRDefault="00990F6B" w:rsidP="002D0814">
      <w:pPr>
        <w:jc w:val="both"/>
        <w:rPr>
          <w:b/>
          <w:bCs/>
          <w:sz w:val="24"/>
          <w:u w:color="932091"/>
        </w:rPr>
      </w:pPr>
      <w:r w:rsidRPr="003221E6">
        <w:rPr>
          <w:rFonts w:eastAsia="Times New Roman"/>
          <w:b/>
          <w:bCs/>
          <w:sz w:val="24"/>
        </w:rPr>
        <w:tab/>
      </w:r>
      <w:r w:rsidRPr="003221E6">
        <w:rPr>
          <w:b/>
          <w:bCs/>
          <w:sz w:val="24"/>
          <w:u w:color="932091"/>
        </w:rPr>
        <w:t>Résumé</w:t>
      </w:r>
    </w:p>
    <w:p w:rsidR="00990F6B" w:rsidRPr="003221E6" w:rsidRDefault="00990F6B" w:rsidP="002D0814">
      <w:pPr>
        <w:jc w:val="both"/>
        <w:rPr>
          <w:rFonts w:eastAsia="Times New Roman"/>
          <w:sz w:val="24"/>
        </w:rPr>
      </w:pPr>
      <w:r w:rsidRPr="003221E6">
        <w:rPr>
          <w:rFonts w:eastAsia="Times New Roman"/>
          <w:sz w:val="24"/>
          <w:u w:color="7A1979"/>
        </w:rPr>
        <w:tab/>
      </w:r>
      <w:r w:rsidRPr="003221E6">
        <w:rPr>
          <w:sz w:val="24"/>
        </w:rPr>
        <w:t>C'est par les multiples sentiers arborés du quartier de la Baraque, abritant une diversité de facettes architecturales aussi colorées qu'improbables, que l'on distingue quelques choix de vie</w:t>
      </w:r>
      <w:r w:rsidRPr="003221E6">
        <w:rPr>
          <w:sz w:val="24"/>
          <w:u w:color="7A1979"/>
        </w:rPr>
        <w:t xml:space="preserve"> </w:t>
      </w:r>
      <w:r w:rsidRPr="003221E6">
        <w:rPr>
          <w:sz w:val="24"/>
        </w:rPr>
        <w:t>peu communs</w:t>
      </w:r>
      <w:r w:rsidRPr="003221E6">
        <w:rPr>
          <w:sz w:val="24"/>
          <w:u w:color="7A1979"/>
        </w:rPr>
        <w:t xml:space="preserve"> </w:t>
      </w:r>
      <w:r w:rsidRPr="003221E6">
        <w:rPr>
          <w:sz w:val="24"/>
        </w:rPr>
        <w:t>auxquels tiennent ses habitants. En faisant de leur mode d’habiter le support de leur idéal de vie, ce lieu atypique témoigne d'une remise en cause concrète d’une certaine « brique dans le ventre » qui prévaut en Belgique. A moins d’un kilomètre du centre de la ville minérale que const</w:t>
      </w:r>
      <w:r w:rsidRPr="003221E6">
        <w:rPr>
          <w:sz w:val="24"/>
        </w:rPr>
        <w:t>i</w:t>
      </w:r>
      <w:r w:rsidRPr="003221E6">
        <w:rPr>
          <w:sz w:val="24"/>
        </w:rPr>
        <w:t>tue Louvain-la-Neuve, dans cette province pourtant promise à un autre avenir, les habitants de ce lieu, riche d'aspects sociaux éclectiques et d'une qualité de vie revendiquée, résistent à un quotidien dont, ailleurs, ils sont censés se satisfaire… A travers la question « Adapter ses envies d’épanouissement à son quotidien ou adapter son quotidien à ses volontés d’épanouissement  ? », c’est la conception de l’habitat comme reflet de ces convictions qui est ici défendu.</w:t>
      </w:r>
    </w:p>
    <w:p w:rsidR="00990F6B" w:rsidRPr="003221E6" w:rsidRDefault="00990F6B" w:rsidP="002D0814">
      <w:pPr>
        <w:jc w:val="both"/>
        <w:rPr>
          <w:rFonts w:eastAsia="Times New Roman"/>
          <w:sz w:val="24"/>
        </w:rPr>
      </w:pPr>
    </w:p>
    <w:p w:rsidR="00990F6B" w:rsidRDefault="00990F6B" w:rsidP="002D0814">
      <w:pPr>
        <w:jc w:val="both"/>
        <w:rPr>
          <w:b/>
          <w:bCs/>
          <w:sz w:val="24"/>
          <w:u w:color="932091"/>
        </w:rPr>
      </w:pPr>
      <w:r w:rsidRPr="003221E6">
        <w:rPr>
          <w:b/>
          <w:bCs/>
          <w:sz w:val="24"/>
          <w:u w:color="932091"/>
        </w:rPr>
        <w:t>Mots-clés : Autoconstruction, Autogestion, Habitat, Alternative, Collectivité</w:t>
      </w:r>
    </w:p>
    <w:p w:rsidR="002D0814" w:rsidRDefault="002D0814" w:rsidP="002D0814">
      <w:pPr>
        <w:jc w:val="both"/>
        <w:rPr>
          <w:b/>
          <w:bCs/>
          <w:sz w:val="24"/>
          <w:u w:color="932091"/>
        </w:rPr>
      </w:pPr>
    </w:p>
    <w:p w:rsidR="002D0814" w:rsidRPr="001A2868" w:rsidRDefault="002D0814" w:rsidP="002D0814">
      <w:pPr>
        <w:jc w:val="both"/>
        <w:rPr>
          <w:rFonts w:eastAsia="Times New Roman"/>
          <w:b/>
          <w:bCs/>
          <w:sz w:val="24"/>
        </w:rPr>
      </w:pPr>
    </w:p>
    <w:p w:rsidR="00990F6B" w:rsidRDefault="00990F6B" w:rsidP="002D0814">
      <w:pPr>
        <w:jc w:val="both"/>
        <w:rPr>
          <w:sz w:val="24"/>
        </w:rPr>
      </w:pPr>
      <w:r w:rsidRPr="003221E6">
        <w:rPr>
          <w:rFonts w:eastAsia="Times New Roman"/>
          <w:sz w:val="24"/>
          <w:u w:color="FE2600"/>
        </w:rPr>
        <w:tab/>
      </w:r>
      <w:r w:rsidRPr="003221E6">
        <w:rPr>
          <w:sz w:val="24"/>
        </w:rPr>
        <w:t>L’habitat dit « léger</w:t>
      </w:r>
      <w:r w:rsidRPr="003221E6">
        <w:rPr>
          <w:rFonts w:eastAsia="Times New Roman"/>
          <w:sz w:val="24"/>
          <w:vertAlign w:val="superscript"/>
        </w:rPr>
        <w:footnoteReference w:id="2"/>
      </w:r>
      <w:r w:rsidRPr="003221E6">
        <w:rPr>
          <w:sz w:val="24"/>
        </w:rPr>
        <w:t>» et autres alternatives d’habitat se développent depuis une quinzaine d’années en Belgique comme dans d’autres pays d’Europe (Mésini, 2011). Entrevu d’abord pour son potentiel de réponse économique à la crise du logement, la dynamique que connaît la Région Wallonne recouvre des réalités multiples : yourte, roulotte, cabane en terre-paille, ou caravane (en zone résidentielle de loisirs). Elle désigne l’apparition d’« habitats aisément démontables, transpo</w:t>
      </w:r>
      <w:r w:rsidRPr="003221E6">
        <w:rPr>
          <w:sz w:val="24"/>
        </w:rPr>
        <w:t>r</w:t>
      </w:r>
      <w:r w:rsidRPr="003221E6">
        <w:rPr>
          <w:sz w:val="24"/>
        </w:rPr>
        <w:t>tables et/ou réversibles, voire évolutifs, dont le tonnage au mètre cube est bien plus faible que le logement traditionnel, d’une emprise au sol réduite et une empreinte limitée sur l’environnement</w:t>
      </w:r>
      <w:r w:rsidRPr="003221E6">
        <w:rPr>
          <w:rFonts w:eastAsia="Times New Roman"/>
          <w:sz w:val="24"/>
          <w:vertAlign w:val="superscript"/>
        </w:rPr>
        <w:footnoteReference w:id="3"/>
      </w:r>
      <w:r w:rsidRPr="003221E6">
        <w:rPr>
          <w:sz w:val="24"/>
        </w:rPr>
        <w:t>». Ces alternatives ne sont néanmoins pas reconnues par la loi (Bernard, 2012</w:t>
      </w:r>
      <w:r w:rsidRPr="003221E6">
        <w:rPr>
          <w:i/>
          <w:iCs/>
          <w:sz w:val="24"/>
        </w:rPr>
        <w:t>b</w:t>
      </w:r>
      <w:r w:rsidRPr="003221E6">
        <w:rPr>
          <w:sz w:val="24"/>
        </w:rPr>
        <w:t xml:space="preserve"> ; Louveaux, 1999), et se voient freinées par</w:t>
      </w:r>
      <w:r w:rsidRPr="003221E6">
        <w:rPr>
          <w:sz w:val="24"/>
          <w:u w:color="FE2600"/>
        </w:rPr>
        <w:t xml:space="preserve"> </w:t>
      </w:r>
      <w:r w:rsidRPr="003221E6">
        <w:rPr>
          <w:sz w:val="24"/>
        </w:rPr>
        <w:t>certains</w:t>
      </w:r>
      <w:r w:rsidRPr="003221E6">
        <w:rPr>
          <w:sz w:val="24"/>
          <w:u w:color="FE2600"/>
        </w:rPr>
        <w:t xml:space="preserve"> </w:t>
      </w:r>
      <w:r w:rsidRPr="003221E6">
        <w:rPr>
          <w:sz w:val="24"/>
        </w:rPr>
        <w:t>présupposés culturels liés à l’attachement – dit «  viscéral  »  ou  la «  brique dans le ventre  » – de la population belge à l’individualisation de l’habitat (De Moffarts d’Houchenée, 2012). Elles tentent actuellement de dépasser le clivage selon lequel certains perso</w:t>
      </w:r>
      <w:r w:rsidRPr="003221E6">
        <w:rPr>
          <w:sz w:val="24"/>
        </w:rPr>
        <w:t>n</w:t>
      </w:r>
      <w:r w:rsidRPr="003221E6">
        <w:rPr>
          <w:sz w:val="24"/>
        </w:rPr>
        <w:t>nes choisiraient l’habitat « léger » délibérément parce qu’elles apprécient le contact avec la nature, la vie en communauté,…, alors que d’autres le subiraient et dont la décision serait inspirée par la né</w:t>
      </w:r>
      <w:r w:rsidRPr="003221E6">
        <w:rPr>
          <w:sz w:val="24"/>
          <w:lang w:val="it-IT"/>
        </w:rPr>
        <w:t>cessit</w:t>
      </w:r>
      <w:r w:rsidRPr="003221E6">
        <w:rPr>
          <w:sz w:val="24"/>
        </w:rPr>
        <w:t>é (Jandrain, 2012 ; Interreg IV, 2011).</w:t>
      </w:r>
    </w:p>
    <w:p w:rsidR="002D0814" w:rsidRPr="003221E6" w:rsidRDefault="002D0814" w:rsidP="002D0814">
      <w:pPr>
        <w:jc w:val="both"/>
        <w:rPr>
          <w:rFonts w:eastAsia="Times New Roman"/>
          <w:sz w:val="24"/>
        </w:rPr>
      </w:pPr>
    </w:p>
    <w:p w:rsidR="00990F6B" w:rsidRDefault="00990F6B" w:rsidP="002D0814">
      <w:pPr>
        <w:jc w:val="both"/>
        <w:rPr>
          <w:sz w:val="24"/>
        </w:rPr>
      </w:pPr>
      <w:r w:rsidRPr="003221E6">
        <w:rPr>
          <w:rFonts w:eastAsia="Times New Roman"/>
          <w:b/>
          <w:bCs/>
          <w:sz w:val="24"/>
          <w:u w:color="FE2600"/>
        </w:rPr>
        <w:tab/>
      </w:r>
      <w:r w:rsidRPr="003221E6">
        <w:rPr>
          <w:sz w:val="24"/>
        </w:rPr>
        <w:t>L’exemple du quartier de la Baraque est fait d'interstices juridiques structurants et de princ</w:t>
      </w:r>
      <w:r w:rsidRPr="003221E6">
        <w:rPr>
          <w:sz w:val="24"/>
        </w:rPr>
        <w:t>i</w:t>
      </w:r>
      <w:r w:rsidRPr="003221E6">
        <w:rPr>
          <w:sz w:val="24"/>
        </w:rPr>
        <w:t>pes intrinsèques : autoconstruction, gestion collective, moindre économie et préservation enviro</w:t>
      </w:r>
      <w:r w:rsidRPr="003221E6">
        <w:rPr>
          <w:sz w:val="24"/>
        </w:rPr>
        <w:t>n</w:t>
      </w:r>
      <w:r w:rsidRPr="003221E6">
        <w:rPr>
          <w:sz w:val="24"/>
        </w:rPr>
        <w:t>nementale. Le nombre croissant de visiteurs que reçoit ce quartier alternatif témoigne d’un attrait grandissant pour la question de l’habitat lé</w:t>
      </w:r>
      <w:r w:rsidRPr="003221E6">
        <w:rPr>
          <w:sz w:val="24"/>
          <w:lang w:val="pt-PT"/>
        </w:rPr>
        <w:t xml:space="preserve">ger ou alternatif. Mais tandis </w:t>
      </w:r>
      <w:r w:rsidRPr="003221E6">
        <w:rPr>
          <w:sz w:val="24"/>
        </w:rPr>
        <w:t>que la diversité créative de ses habitats reflète leur combat pour le droit, essentiel et inaliénable, à un habitat choisi, il reste tributaire de conditions juridiques incertaines. Considérées comme hors de la loi, ces expériences interrogent les représentations auxquelles est assignée la notion d’habitat dit « alternatif ».</w:t>
      </w:r>
    </w:p>
    <w:p w:rsidR="002D0814" w:rsidRPr="003221E6" w:rsidRDefault="002D0814" w:rsidP="002D0814">
      <w:pPr>
        <w:jc w:val="both"/>
        <w:rPr>
          <w:rFonts w:eastAsia="Times New Roman"/>
          <w:sz w:val="24"/>
        </w:rPr>
      </w:pPr>
    </w:p>
    <w:p w:rsidR="00990F6B" w:rsidRPr="003221E6" w:rsidRDefault="00990F6B" w:rsidP="002D0814">
      <w:pPr>
        <w:jc w:val="both"/>
        <w:rPr>
          <w:rFonts w:eastAsia="Times New Roman"/>
          <w:sz w:val="24"/>
        </w:rPr>
      </w:pPr>
      <w:r w:rsidRPr="003221E6">
        <w:rPr>
          <w:rFonts w:eastAsia="Times New Roman"/>
          <w:sz w:val="24"/>
        </w:rPr>
        <w:tab/>
      </w:r>
      <w:r w:rsidRPr="003221E6">
        <w:rPr>
          <w:sz w:val="24"/>
          <w:u w:color="FE2600"/>
        </w:rPr>
        <w:t>L’objet de cet article vise à interroger la capacité d’un habitat initialement marginalisé à devenir un modèle de référence affirmant la capacité de l’habitant à être acteur de sa vie et de son « habiter ». L’analyse repose sur une observation participante en immersion continue sur deux a</w:t>
      </w:r>
      <w:r w:rsidRPr="003221E6">
        <w:rPr>
          <w:sz w:val="24"/>
          <w:u w:color="FE2600"/>
        </w:rPr>
        <w:t>n</w:t>
      </w:r>
      <w:r w:rsidRPr="003221E6">
        <w:rPr>
          <w:sz w:val="24"/>
          <w:u w:color="FE2600"/>
        </w:rPr>
        <w:t xml:space="preserve">nées. </w:t>
      </w:r>
      <w:r w:rsidRPr="003221E6">
        <w:rPr>
          <w:sz w:val="24"/>
        </w:rPr>
        <w:t xml:space="preserve">Le portrait qui est proposé ici est renforcé par la participation aux visites guidées que mène (sur demande externe) un habitant du quartier, ainsi que par des entretiens semi-directifs auprès des habitants. Les informations recueillies auprès des principales associations de défense de l’habitat léger en Région Wallonne complètent cette interprétation. </w:t>
      </w:r>
    </w:p>
    <w:p w:rsidR="00990F6B" w:rsidRDefault="00990F6B" w:rsidP="002D0814">
      <w:pPr>
        <w:jc w:val="both"/>
        <w:rPr>
          <w:rFonts w:eastAsia="Times New Roman"/>
          <w:sz w:val="24"/>
        </w:rPr>
      </w:pPr>
    </w:p>
    <w:p w:rsidR="002D0814" w:rsidRPr="003221E6" w:rsidRDefault="002D0814" w:rsidP="002D0814">
      <w:pPr>
        <w:jc w:val="both"/>
        <w:rPr>
          <w:rFonts w:eastAsia="Times New Roman"/>
          <w:sz w:val="24"/>
        </w:rPr>
      </w:pPr>
    </w:p>
    <w:p w:rsidR="00990F6B" w:rsidRDefault="00990F6B" w:rsidP="002D0814">
      <w:pPr>
        <w:jc w:val="center"/>
        <w:rPr>
          <w:sz w:val="40"/>
          <w:szCs w:val="40"/>
        </w:rPr>
      </w:pPr>
      <w:r w:rsidRPr="003221E6">
        <w:rPr>
          <w:sz w:val="40"/>
          <w:szCs w:val="40"/>
        </w:rPr>
        <w:t>Des interstices structurants</w:t>
      </w:r>
    </w:p>
    <w:p w:rsidR="002D0814" w:rsidRPr="003221E6" w:rsidRDefault="002D0814" w:rsidP="002D0814">
      <w:pPr>
        <w:jc w:val="both"/>
        <w:rPr>
          <w:rFonts w:eastAsia="Times New Roman"/>
          <w:sz w:val="24"/>
          <w:u w:color="932091"/>
        </w:rPr>
      </w:pPr>
    </w:p>
    <w:p w:rsidR="00990F6B" w:rsidRDefault="00990F6B" w:rsidP="002D0814">
      <w:pPr>
        <w:jc w:val="both"/>
        <w:rPr>
          <w:sz w:val="24"/>
        </w:rPr>
      </w:pPr>
      <w:r w:rsidRPr="003221E6">
        <w:rPr>
          <w:rFonts w:eastAsia="Times New Roman"/>
          <w:sz w:val="24"/>
          <w:u w:color="932091"/>
        </w:rPr>
        <w:tab/>
      </w:r>
      <w:r w:rsidRPr="003221E6">
        <w:rPr>
          <w:sz w:val="24"/>
        </w:rPr>
        <w:t>C’est à travers des interstices d’ordre juridique, grâce à la détermination de ses habitants, et bénéficiant du contexte d’émergence d’une ville nouvelle, que se sont dessinées peu à peu les po</w:t>
      </w:r>
      <w:r w:rsidRPr="003221E6">
        <w:rPr>
          <w:sz w:val="24"/>
        </w:rPr>
        <w:t>s</w:t>
      </w:r>
      <w:r w:rsidRPr="003221E6">
        <w:rPr>
          <w:sz w:val="24"/>
        </w:rPr>
        <w:t>sibilités d’implantation de la zone alternative du quartier de la Baraque.</w:t>
      </w:r>
      <w:r w:rsidRPr="003221E6">
        <w:rPr>
          <w:sz w:val="24"/>
        </w:rPr>
        <w:tab/>
      </w:r>
    </w:p>
    <w:p w:rsidR="002D0814" w:rsidRPr="003221E6" w:rsidRDefault="002D0814" w:rsidP="002D0814">
      <w:pPr>
        <w:jc w:val="both"/>
        <w:rPr>
          <w:rFonts w:eastAsia="Times New Roman"/>
          <w:sz w:val="24"/>
        </w:rPr>
      </w:pPr>
    </w:p>
    <w:p w:rsidR="00990F6B" w:rsidRDefault="00990F6B" w:rsidP="002D0814">
      <w:pPr>
        <w:jc w:val="both"/>
        <w:rPr>
          <w:sz w:val="24"/>
        </w:rPr>
      </w:pPr>
      <w:r w:rsidRPr="003221E6">
        <w:rPr>
          <w:rFonts w:eastAsia="Times New Roman"/>
          <w:sz w:val="24"/>
        </w:rPr>
        <w:tab/>
        <w:t>L</w:t>
      </w:r>
      <w:r w:rsidRPr="003221E6">
        <w:rPr>
          <w:sz w:val="24"/>
        </w:rPr>
        <w:t>’une des conséquences de la crise politique qui secoua la Belgique en 1968, fut la scission de l’ancienne Université catholique de Louvain, située en Région flamande, en deux entités aut</w:t>
      </w:r>
      <w:r w:rsidRPr="003221E6">
        <w:rPr>
          <w:sz w:val="24"/>
        </w:rPr>
        <w:t>o</w:t>
      </w:r>
      <w:r w:rsidRPr="003221E6">
        <w:rPr>
          <w:sz w:val="24"/>
        </w:rPr>
        <w:t>nomes. Afin de répondre à la né</w:t>
      </w:r>
      <w:r w:rsidRPr="003221E6">
        <w:rPr>
          <w:sz w:val="24"/>
          <w:lang w:val="it-IT"/>
        </w:rPr>
        <w:t>cessit</w:t>
      </w:r>
      <w:r w:rsidRPr="003221E6">
        <w:rPr>
          <w:sz w:val="24"/>
        </w:rPr>
        <w:t>é d’ériger au plus vite une université francophone, celle-ci acquiert, avec l’aide de l’Etat, plus de 900 hectares au creux d’un haut plateau limoneux, rattaché à la commune d’Ottignies. L’objectif n’est pas uniquement d’ériger un campus d’étudiants mais une ville plurielle qui attirerait aussi les unités familiales (Woitrin, 1987). Du côté du vieux hameau de la Baraque, 77 de ses habitants se voient menacés d’expropriation par le futur plan particulier d’amé</w:t>
      </w:r>
      <w:r w:rsidRPr="003221E6">
        <w:rPr>
          <w:sz w:val="24"/>
          <w:lang w:val="pt-PT"/>
        </w:rPr>
        <w:t>nagement, cens</w:t>
      </w:r>
      <w:r w:rsidRPr="003221E6">
        <w:rPr>
          <w:sz w:val="24"/>
        </w:rPr>
        <w:t>é</w:t>
      </w:r>
      <w:r w:rsidRPr="003221E6">
        <w:rPr>
          <w:b/>
          <w:bCs/>
          <w:sz w:val="24"/>
        </w:rPr>
        <w:t xml:space="preserve"> </w:t>
      </w:r>
      <w:r w:rsidRPr="003221E6">
        <w:rPr>
          <w:sz w:val="24"/>
        </w:rPr>
        <w:t>appliquer les mê</w:t>
      </w:r>
      <w:r w:rsidRPr="003221E6">
        <w:rPr>
          <w:sz w:val="24"/>
          <w:lang w:val="pt-PT"/>
        </w:rPr>
        <w:t>mes crit</w:t>
      </w:r>
      <w:r w:rsidRPr="003221E6">
        <w:rPr>
          <w:sz w:val="24"/>
        </w:rPr>
        <w:t>ères uniformes d’urbanisation à toute la ville. Mais pour quelques-uns d’entre eux, parfois enracinés depuis plusieurs générations</w:t>
      </w:r>
      <w:r w:rsidRPr="003221E6">
        <w:rPr>
          <w:rFonts w:eastAsia="Times New Roman"/>
          <w:sz w:val="24"/>
          <w:vertAlign w:val="superscript"/>
        </w:rPr>
        <w:footnoteReference w:id="4"/>
      </w:r>
      <w:r w:rsidRPr="003221E6">
        <w:rPr>
          <w:sz w:val="24"/>
          <w:lang w:val="it-IT"/>
        </w:rPr>
        <w:t xml:space="preserve">, il </w:t>
      </w:r>
      <w:r w:rsidRPr="003221E6">
        <w:rPr>
          <w:sz w:val="24"/>
        </w:rPr>
        <w:t>n’est pas question de partir (Dardenne, 2012 ; Groupe d’habitants du Quartier de la Baraque, 2009). Quelques années plus tard, une poignée d’étudiants et de membres de l’Université reprennent en location les maisons expropriées et se retrouvent rapidement solidaires de la cause de ceux qu’ils nomment les « anciens ». Parallèlement à cette époque flottante des années 1970, d’autres étudiants en architecture che</w:t>
      </w:r>
      <w:r w:rsidRPr="003221E6">
        <w:rPr>
          <w:sz w:val="24"/>
        </w:rPr>
        <w:t>r</w:t>
      </w:r>
      <w:r w:rsidRPr="003221E6">
        <w:rPr>
          <w:sz w:val="24"/>
        </w:rPr>
        <w:t>chent à éviter les logements, déjà onéreux et étriqués, que propose Louvain-la-Neuve : ils ne so</w:t>
      </w:r>
      <w:r w:rsidRPr="003221E6">
        <w:rPr>
          <w:sz w:val="24"/>
        </w:rPr>
        <w:t>u</w:t>
      </w:r>
      <w:r w:rsidRPr="003221E6">
        <w:rPr>
          <w:sz w:val="24"/>
        </w:rPr>
        <w:t>haitent pas rentrer dans la vie par les facilités é</w:t>
      </w:r>
      <w:r w:rsidRPr="003221E6">
        <w:rPr>
          <w:sz w:val="24"/>
          <w:lang w:val="pt-PT"/>
        </w:rPr>
        <w:t>touffantes d</w:t>
      </w:r>
      <w:r w:rsidRPr="003221E6">
        <w:rPr>
          <w:sz w:val="24"/>
        </w:rPr>
        <w:t>’un logement « clé sur porte ». D’abord encadrés par l’architecte Lucien Kroll</w:t>
      </w:r>
      <w:r w:rsidRPr="003221E6">
        <w:rPr>
          <w:rFonts w:eastAsia="Times New Roman"/>
          <w:sz w:val="24"/>
          <w:vertAlign w:val="superscript"/>
        </w:rPr>
        <w:footnoteReference w:id="5"/>
      </w:r>
      <w:r w:rsidRPr="003221E6">
        <w:rPr>
          <w:sz w:val="24"/>
        </w:rPr>
        <w:t>, avec qui un projet de longue haleine avait été entamé mais finalement rejeté par l’université, ils ne renoncent pas. Ils investissent le terrain avec des logements qu’ils estiment les plus simples et les plus économiques à réaliser, élaborant là les prémices d’une idéologie distanciée de la consommation : un premier groupe s’installe ainsi le 7 juillet 1975, avec des roulottes, plusieurs cabanes et un bus à double étage. Leur idéal de vie, qu’ils veulent adapté à leur appréhension du présent et de leur existence, s’appuie sur une visée collective et communauta</w:t>
      </w:r>
      <w:r w:rsidRPr="003221E6">
        <w:rPr>
          <w:sz w:val="24"/>
        </w:rPr>
        <w:t>i</w:t>
      </w:r>
      <w:r w:rsidRPr="003221E6">
        <w:rPr>
          <w:sz w:val="24"/>
        </w:rPr>
        <w:t>re. Dès l’année suivante, deux autres groupes les rejoignent et s’établissent sur deux parcelles vois</w:t>
      </w:r>
      <w:r w:rsidRPr="003221E6">
        <w:rPr>
          <w:sz w:val="24"/>
        </w:rPr>
        <w:t>i</w:t>
      </w:r>
      <w:r w:rsidRPr="003221E6">
        <w:rPr>
          <w:sz w:val="24"/>
        </w:rPr>
        <w:t>nes. Ils ont en commun cet objectif de logements novateurs, personnalisés et réalisables rapidement.</w:t>
      </w:r>
      <w:r w:rsidRPr="003221E6">
        <w:rPr>
          <w:sz w:val="24"/>
          <w:u w:color="932091"/>
        </w:rPr>
        <w:t xml:space="preserve"> </w:t>
      </w:r>
      <w:r w:rsidRPr="003221E6">
        <w:rPr>
          <w:sz w:val="24"/>
        </w:rPr>
        <w:t>Parrainés par l'unité d’architecture, les uns récupèrent des serres à raisin qu’ils aménagent, alors que les autres dressent des dômes géodésiques, étudiés précédemment au cours d’ateliers. Une troisième zone est investie à l’été 1980 par neuf autres personnes, dont les cabanes et les roulottes sont disp</w:t>
      </w:r>
      <w:r w:rsidRPr="003221E6">
        <w:rPr>
          <w:sz w:val="24"/>
        </w:rPr>
        <w:t>o</w:t>
      </w:r>
      <w:r w:rsidRPr="003221E6">
        <w:rPr>
          <w:sz w:val="24"/>
        </w:rPr>
        <w:t>sées autour d’une serre commune. Une grande maison expé</w:t>
      </w:r>
      <w:r w:rsidRPr="003221E6">
        <w:rPr>
          <w:sz w:val="24"/>
          <w:lang w:val="it-IT"/>
        </w:rPr>
        <w:t>rimentale d</w:t>
      </w:r>
      <w:r w:rsidRPr="003221E6">
        <w:rPr>
          <w:sz w:val="24"/>
        </w:rPr>
        <w:t xml:space="preserve">’argile et de verre, objet et résultat d’un mémoire pratique en architecture bio-climatique, prend forme peu à peu </w:t>
      </w:r>
      <w:r w:rsidRPr="003221E6">
        <w:rPr>
          <w:sz w:val="24"/>
          <w:lang w:val="da-DK"/>
        </w:rPr>
        <w:t>(De Moffarts d</w:t>
      </w:r>
      <w:r w:rsidRPr="003221E6">
        <w:rPr>
          <w:sz w:val="24"/>
        </w:rPr>
        <w:t>’Houchenée, 2011 ; Groupe d’habitants du Quartier de la Baraque, 2009.)</w:t>
      </w:r>
    </w:p>
    <w:p w:rsidR="002D0814" w:rsidRPr="003221E6" w:rsidRDefault="002D0814" w:rsidP="002D0814">
      <w:pPr>
        <w:jc w:val="both"/>
        <w:rPr>
          <w:rFonts w:eastAsia="Times New Roman"/>
          <w:sz w:val="24"/>
          <w:u w:color="932091"/>
        </w:rPr>
      </w:pPr>
    </w:p>
    <w:p w:rsidR="00990F6B" w:rsidRDefault="00990F6B" w:rsidP="002D0814">
      <w:pPr>
        <w:jc w:val="both"/>
        <w:rPr>
          <w:sz w:val="24"/>
        </w:rPr>
      </w:pPr>
      <w:r w:rsidRPr="003221E6">
        <w:rPr>
          <w:rFonts w:eastAsia="Times New Roman"/>
          <w:sz w:val="24"/>
          <w:u w:color="932091"/>
        </w:rPr>
        <w:tab/>
      </w:r>
      <w:r w:rsidRPr="003221E6">
        <w:rPr>
          <w:sz w:val="24"/>
        </w:rPr>
        <w:t xml:space="preserve">En matière d’urbanisme, trois forces s’affrontent : la commune, les habitants et l’université, forte de son statut de propriétaire foncier. Sensible à </w:t>
      </w:r>
      <w:r w:rsidRPr="003221E6">
        <w:rPr>
          <w:sz w:val="24"/>
          <w:lang w:val="it-IT"/>
        </w:rPr>
        <w:t>la qualit</w:t>
      </w:r>
      <w:r w:rsidRPr="003221E6">
        <w:rPr>
          <w:sz w:val="24"/>
        </w:rPr>
        <w:t>é démocratique et sociale de la ville nouvelle qu’elle promeut, intéressée par l’expérience originale que ces étudiants proposent, mais aussi soucieuse d’éviter la contrepublicité de manœuvres policières d’expulsion, l’</w:t>
      </w:r>
      <w:r w:rsidRPr="003221E6">
        <w:rPr>
          <w:sz w:val="24"/>
          <w:lang w:val="it-IT"/>
        </w:rPr>
        <w:t>U.C.L. se d</w:t>
      </w:r>
      <w:r w:rsidRPr="003221E6">
        <w:rPr>
          <w:sz w:val="24"/>
        </w:rPr>
        <w:t>éclare favorable à la présence de ces étudiants sans titres ni droits - et ce, en dépit de l’opposition de la commune, position qu’elle maintiendra durant près de dix ans : un interstice entre accord et refus dont ces étudiants profitent pour s’établir. Les « anciens », restés au hameau de la Baraque, finissent par se trouver solidaires de ces groupes de jeunes, dont ils partagent le même combat politique, des potagers, des parties de pétanque, parfois un peu de wallon, ainsi que l’espace de rencontre, bar et restaurant hebdomadaire, « Le Zoo », créé à des fins collectives. En retour,  les anciens demandent le gel volontaire du développement des zones d’habitat alternatif pour plusieurs années (Groupe d’habitants du Quartier de la Baraque, 2009). Puisque le plan d’aménagement urbain prévu sur cette zone semi-rurale ne permet pas leur présence, ces étudiants, entretenant des liens étroits avec la question urbanistique, s’engagent dans la réalisation d’un nouveau plan de quartier qui rendrait po</w:t>
      </w:r>
      <w:r w:rsidRPr="003221E6">
        <w:rPr>
          <w:sz w:val="24"/>
        </w:rPr>
        <w:t>s</w:t>
      </w:r>
      <w:r w:rsidRPr="003221E6">
        <w:rPr>
          <w:sz w:val="24"/>
        </w:rPr>
        <w:t>sible l’habitat alternatif et préserverait les maisons traditionnelles. En se concertant en de nombre</w:t>
      </w:r>
      <w:r w:rsidRPr="003221E6">
        <w:rPr>
          <w:sz w:val="24"/>
        </w:rPr>
        <w:t>u</w:t>
      </w:r>
      <w:r w:rsidRPr="003221E6">
        <w:rPr>
          <w:sz w:val="24"/>
        </w:rPr>
        <w:t>ses réunions de «  grand quartier  », la Baraque produit un comité, élit des représentants, et obtient ainsi la négociation du nouveau plan particulier d’aménagement (PPA), rédigé cette fois en conce</w:t>
      </w:r>
      <w:r w:rsidRPr="003221E6">
        <w:rPr>
          <w:sz w:val="24"/>
        </w:rPr>
        <w:t>r</w:t>
      </w:r>
      <w:r w:rsidRPr="003221E6">
        <w:rPr>
          <w:sz w:val="24"/>
        </w:rPr>
        <w:t xml:space="preserve">tation avec l’université et la commune. Il ne sera toutefois pas voté avant 1991. Amenés, par les autorités extérieures, à dénommer le projet de vie qu’ils défendent, le qualificatif de «  </w:t>
      </w:r>
      <w:r w:rsidRPr="003221E6">
        <w:rPr>
          <w:sz w:val="24"/>
          <w:lang w:val="it-IT"/>
        </w:rPr>
        <w:t>zone exp</w:t>
      </w:r>
      <w:r w:rsidRPr="003221E6">
        <w:rPr>
          <w:sz w:val="24"/>
        </w:rPr>
        <w:t>é</w:t>
      </w:r>
      <w:r w:rsidRPr="003221E6">
        <w:rPr>
          <w:sz w:val="24"/>
        </w:rPr>
        <w:t xml:space="preserve">rimentale  » </w:t>
      </w:r>
      <w:r w:rsidRPr="003221E6">
        <w:rPr>
          <w:sz w:val="24"/>
          <w:lang w:val="pt-PT"/>
        </w:rPr>
        <w:t>est adopt</w:t>
      </w:r>
      <w:r w:rsidRPr="003221E6">
        <w:rPr>
          <w:sz w:val="24"/>
        </w:rPr>
        <w:t>é par l'Université, bien que les habitants lui aient préféré l'appellation d'«  h</w:t>
      </w:r>
      <w:r w:rsidRPr="003221E6">
        <w:rPr>
          <w:sz w:val="24"/>
        </w:rPr>
        <w:t>a</w:t>
      </w:r>
      <w:r w:rsidRPr="003221E6">
        <w:rPr>
          <w:sz w:val="24"/>
        </w:rPr>
        <w:t xml:space="preserve">bitat alternatif  ». Ils sont amenés à produire une définition – </w:t>
      </w:r>
      <w:r w:rsidRPr="003221E6">
        <w:rPr>
          <w:sz w:val="24"/>
          <w:lang w:val="pt-PT"/>
        </w:rPr>
        <w:t xml:space="preserve">paradoxale </w:t>
      </w:r>
      <w:r w:rsidRPr="003221E6">
        <w:rPr>
          <w:sz w:val="24"/>
        </w:rPr>
        <w:t>– de l’expérimentation de ce projet de vie qu’ils souhaitent pourtant ne pas figer, revendiquant la liberté d’initier ce qu’il leur sera nécessaire selon leurs propres critères, et en temps voulu.</w:t>
      </w:r>
      <w:r w:rsidRPr="003221E6">
        <w:rPr>
          <w:sz w:val="24"/>
          <w:u w:color="932091"/>
        </w:rPr>
        <w:t xml:space="preserve"> </w:t>
      </w:r>
      <w:r w:rsidRPr="003221E6">
        <w:rPr>
          <w:sz w:val="24"/>
          <w:lang w:val="it-IT"/>
        </w:rPr>
        <w:t>La volont</w:t>
      </w:r>
      <w:r w:rsidRPr="003221E6">
        <w:rPr>
          <w:sz w:val="24"/>
        </w:rPr>
        <w:t>é d’un « vivre autrement »,</w:t>
      </w:r>
      <w:r w:rsidRPr="003221E6">
        <w:rPr>
          <w:sz w:val="24"/>
          <w:u w:color="932091"/>
        </w:rPr>
        <w:t xml:space="preserve"> </w:t>
      </w:r>
      <w:r w:rsidRPr="003221E6">
        <w:rPr>
          <w:sz w:val="24"/>
        </w:rPr>
        <w:t>en dépassant les référents socio-culturels dont ils sont issus, a conduit ces habitants à assumer l’entière responsabilité de gestion des zones revendiquées. Sur cet espace investi couvert par la v</w:t>
      </w:r>
      <w:r w:rsidRPr="003221E6">
        <w:rPr>
          <w:sz w:val="24"/>
        </w:rPr>
        <w:t>é</w:t>
      </w:r>
      <w:r w:rsidRPr="003221E6">
        <w:rPr>
          <w:sz w:val="24"/>
        </w:rPr>
        <w:t>gétation, les arrivants réalisent, au fur et à mesure, tout ce qu’il va leur falloir mettre en place. D’abord, une infrastructure sommaire : un ou deux points d’eau, l’électricité en surface, le gaz nat</w:t>
      </w:r>
      <w:r w:rsidRPr="003221E6">
        <w:rPr>
          <w:sz w:val="24"/>
        </w:rPr>
        <w:t>u</w:t>
      </w:r>
      <w:r w:rsidRPr="003221E6">
        <w:rPr>
          <w:sz w:val="24"/>
        </w:rPr>
        <w:t>rel pour un des groupes. Les logements individuels s’organisent, dans chaque zone, autour d’un équipement commun, les voitures restent garées à l’extérieur, les déplacements entre chaque log</w:t>
      </w:r>
      <w:r w:rsidRPr="003221E6">
        <w:rPr>
          <w:sz w:val="24"/>
        </w:rPr>
        <w:t>e</w:t>
      </w:r>
      <w:r w:rsidRPr="003221E6">
        <w:rPr>
          <w:sz w:val="24"/>
        </w:rPr>
        <w:t>ment se font à pied. Convaincus du droit à l’autodétermination et à l’appropriation de leurs cond</w:t>
      </w:r>
      <w:r w:rsidRPr="003221E6">
        <w:rPr>
          <w:sz w:val="24"/>
        </w:rPr>
        <w:t>i</w:t>
      </w:r>
      <w:r w:rsidRPr="003221E6">
        <w:rPr>
          <w:sz w:val="24"/>
        </w:rPr>
        <w:t>tions d’existence, ce principe d’autoconstruction vient compléter leur droit de présence. A ce cara</w:t>
      </w:r>
      <w:r w:rsidRPr="003221E6">
        <w:rPr>
          <w:sz w:val="24"/>
        </w:rPr>
        <w:t>c</w:t>
      </w:r>
      <w:r w:rsidRPr="003221E6">
        <w:rPr>
          <w:sz w:val="24"/>
        </w:rPr>
        <w:t xml:space="preserve">tère pragmatique du « faire par soi-même » s’ajoute la revendication d’un «  vivre ensemble » : c’est ensemble que sont prises les décisions et endossées les conséquences. </w:t>
      </w:r>
    </w:p>
    <w:p w:rsidR="002D0814" w:rsidRPr="003221E6" w:rsidRDefault="002D0814" w:rsidP="002D0814">
      <w:pPr>
        <w:jc w:val="both"/>
        <w:rPr>
          <w:sz w:val="24"/>
        </w:rPr>
      </w:pPr>
    </w:p>
    <w:p w:rsidR="003221E6" w:rsidRPr="003221E6" w:rsidRDefault="003221E6" w:rsidP="002D0814">
      <w:pPr>
        <w:jc w:val="both"/>
        <w:rPr>
          <w:rFonts w:eastAsia="Times New Roman"/>
          <w:strike/>
          <w:sz w:val="24"/>
        </w:rPr>
      </w:pPr>
    </w:p>
    <w:p w:rsidR="00990F6B" w:rsidRDefault="00990F6B" w:rsidP="002D0814">
      <w:pPr>
        <w:jc w:val="center"/>
        <w:rPr>
          <w:sz w:val="40"/>
          <w:szCs w:val="40"/>
        </w:rPr>
      </w:pPr>
      <w:r w:rsidRPr="003221E6">
        <w:rPr>
          <w:sz w:val="40"/>
          <w:szCs w:val="40"/>
        </w:rPr>
        <w:t>Des principes intrinsèques</w:t>
      </w:r>
    </w:p>
    <w:p w:rsidR="002D0814" w:rsidRPr="003221E6" w:rsidRDefault="002D0814" w:rsidP="002D0814">
      <w:pPr>
        <w:jc w:val="center"/>
        <w:rPr>
          <w:rFonts w:eastAsia="Times New Roman"/>
          <w:b/>
          <w:bCs/>
          <w:sz w:val="24"/>
          <w:u w:color="932091"/>
        </w:rPr>
      </w:pPr>
    </w:p>
    <w:p w:rsidR="00990F6B" w:rsidRDefault="00990F6B" w:rsidP="002D0814">
      <w:pPr>
        <w:jc w:val="both"/>
        <w:rPr>
          <w:sz w:val="24"/>
        </w:rPr>
      </w:pPr>
      <w:r w:rsidRPr="003221E6">
        <w:rPr>
          <w:rFonts w:eastAsia="Times New Roman"/>
          <w:b/>
          <w:bCs/>
          <w:sz w:val="24"/>
          <w:u w:color="932091"/>
        </w:rPr>
        <w:tab/>
      </w:r>
      <w:r w:rsidRPr="003221E6">
        <w:rPr>
          <w:sz w:val="24"/>
        </w:rPr>
        <w:t>La population du quartier alternatif de la Baraque s’est rapidement accrue</w:t>
      </w:r>
      <w:r w:rsidRPr="003221E6">
        <w:rPr>
          <w:rFonts w:eastAsia="Times New Roman"/>
          <w:sz w:val="24"/>
          <w:vertAlign w:val="superscript"/>
        </w:rPr>
        <w:footnoteReference w:id="6"/>
      </w:r>
      <w:r w:rsidRPr="003221E6">
        <w:rPr>
          <w:sz w:val="24"/>
        </w:rPr>
        <w:t xml:space="preserve"> depuis ses qu</w:t>
      </w:r>
      <w:r w:rsidRPr="003221E6">
        <w:rPr>
          <w:sz w:val="24"/>
        </w:rPr>
        <w:t>a</w:t>
      </w:r>
      <w:r w:rsidRPr="003221E6">
        <w:rPr>
          <w:sz w:val="24"/>
        </w:rPr>
        <w:t>rante dernières années. Ses principes d'organisation, induits par l’usage, sont aujourd’hui bien a</w:t>
      </w:r>
      <w:r w:rsidRPr="003221E6">
        <w:rPr>
          <w:sz w:val="24"/>
        </w:rPr>
        <w:t>n</w:t>
      </w:r>
      <w:r w:rsidRPr="003221E6">
        <w:rPr>
          <w:sz w:val="24"/>
        </w:rPr>
        <w:t>crés. La maîtrise des infrastructures (parkings, espaces arborés…) a peu à peu instauré, à travers diverses prises de conscience écologique, un principe d’ordre environnemental. Malgré une forte présence humaine, répartie sur un peu plus de deux hectares, la recherche d’un équilibre avec l’environnement est devenue une préoccupation. La densité d’habitat, pourtant semblable à celle des quartiers voisins, n’apparaît pas de prime abord, du fait de l’absence de clôtures et de véhicules à moteur au sein des sous-zones. Les pratiques de tri de déchets ou de collecte de compost sont co</w:t>
      </w:r>
      <w:r w:rsidRPr="003221E6">
        <w:rPr>
          <w:sz w:val="24"/>
        </w:rPr>
        <w:t>u</w:t>
      </w:r>
      <w:r w:rsidRPr="003221E6">
        <w:rPr>
          <w:sz w:val="24"/>
        </w:rPr>
        <w:t>rants, la plupart se chauffent au bois, l’usage de toilettes sèches est généralisé et un système d’épuration des eaux grises</w:t>
      </w:r>
      <w:r w:rsidRPr="003221E6">
        <w:rPr>
          <w:rFonts w:eastAsia="Times New Roman"/>
          <w:sz w:val="24"/>
          <w:vertAlign w:val="superscript"/>
        </w:rPr>
        <w:footnoteReference w:id="7"/>
      </w:r>
      <w:r w:rsidRPr="003221E6">
        <w:rPr>
          <w:sz w:val="24"/>
        </w:rPr>
        <w:t xml:space="preserve"> alimente la mare d’un potager. Les constructions sont souvent réalisées selon des techniques innovantes ou provenant du passé (bois, bois cordé, terre-paille, ballots de paille, toitures végétales, panneaux solaires thermiques, enduits de terre,…). Les matériaux privil</w:t>
      </w:r>
      <w:r w:rsidRPr="003221E6">
        <w:rPr>
          <w:sz w:val="24"/>
        </w:rPr>
        <w:t>é</w:t>
      </w:r>
      <w:r w:rsidRPr="003221E6">
        <w:rPr>
          <w:sz w:val="24"/>
        </w:rPr>
        <w:t>giés évoluent selon les préoccupations environnementales et le contexte socio-économique du m</w:t>
      </w:r>
      <w:r w:rsidRPr="003221E6">
        <w:rPr>
          <w:sz w:val="24"/>
        </w:rPr>
        <w:t>o</w:t>
      </w:r>
      <w:r w:rsidRPr="003221E6">
        <w:rPr>
          <w:sz w:val="24"/>
        </w:rPr>
        <w:t>ment, tout autant que les compétences et savoirs-faires mis en œuvre. La récupération et le recycl</w:t>
      </w:r>
      <w:r w:rsidRPr="003221E6">
        <w:rPr>
          <w:sz w:val="24"/>
        </w:rPr>
        <w:t>a</w:t>
      </w:r>
      <w:r w:rsidRPr="003221E6">
        <w:rPr>
          <w:sz w:val="24"/>
        </w:rPr>
        <w:t>ge de matériaux est également une solution aux freins budgétaires et à l’empreinte environnement</w:t>
      </w:r>
      <w:r w:rsidRPr="003221E6">
        <w:rPr>
          <w:sz w:val="24"/>
        </w:rPr>
        <w:t>a</w:t>
      </w:r>
      <w:r w:rsidRPr="003221E6">
        <w:rPr>
          <w:sz w:val="24"/>
        </w:rPr>
        <w:t>le. L’appel de ressources créatives que l’</w:t>
      </w:r>
      <w:r w:rsidRPr="003221E6">
        <w:rPr>
          <w:sz w:val="24"/>
          <w:lang w:val="it-IT"/>
        </w:rPr>
        <w:t>on discerne parmi la vari</w:t>
      </w:r>
      <w:r w:rsidRPr="003221E6">
        <w:rPr>
          <w:sz w:val="24"/>
        </w:rPr>
        <w:t>été des constructions, pensées en fonction des souhaits et des possibilités de chacun, résulte, certes, d’une réponse aux besoins, mais aussi d’accords mutuels entre ses différents membres.</w:t>
      </w:r>
    </w:p>
    <w:p w:rsidR="002D0814" w:rsidRPr="003221E6" w:rsidRDefault="002D0814" w:rsidP="002D0814">
      <w:pPr>
        <w:jc w:val="both"/>
        <w:rPr>
          <w:rFonts w:eastAsia="Times New Roman"/>
          <w:sz w:val="24"/>
        </w:rPr>
      </w:pPr>
    </w:p>
    <w:p w:rsidR="00990F6B" w:rsidRDefault="00990F6B" w:rsidP="002D0814">
      <w:pPr>
        <w:jc w:val="both"/>
        <w:rPr>
          <w:sz w:val="24"/>
        </w:rPr>
      </w:pPr>
      <w:r w:rsidRPr="003221E6">
        <w:rPr>
          <w:rFonts w:eastAsia="Times New Roman"/>
          <w:sz w:val="24"/>
        </w:rPr>
        <w:tab/>
        <w:t>Les espaces communs sont cr</w:t>
      </w:r>
      <w:r w:rsidRPr="003221E6">
        <w:rPr>
          <w:sz w:val="24"/>
        </w:rPr>
        <w:t>éés et entretenus par les habitants. Les initiatives sont lancées par les individus et sont mûries au travers de conversations informelles et de réunions o</w:t>
      </w:r>
      <w:r w:rsidRPr="003221E6">
        <w:rPr>
          <w:sz w:val="24"/>
          <w:lang w:val="it-IT"/>
        </w:rPr>
        <w:t xml:space="preserve">ù </w:t>
      </w:r>
      <w:r w:rsidRPr="003221E6">
        <w:rPr>
          <w:sz w:val="24"/>
        </w:rPr>
        <w:t>la notion de consensus structure la prise de décision. La vie quotidienne est ainsi réinscrite dans sa dimension politique. Organisés dans chaque zone d’habitat selon la fréquence qui lui sied, des volontaires sont parfois mandatés pour mener à bien tel ou tel  projet ou représenter le quartier. Lorsque les enjeux sont plus étendus, des réunions sont organisées avec l’ensemble du « Vieux Quartier » voire, les nouveaux quartiers avoisinants. C’est également lors de ces réunions qu’est présenté un nouvel a</w:t>
      </w:r>
      <w:r w:rsidRPr="003221E6">
        <w:rPr>
          <w:sz w:val="24"/>
        </w:rPr>
        <w:t>r</w:t>
      </w:r>
      <w:r w:rsidRPr="003221E6">
        <w:rPr>
          <w:sz w:val="24"/>
        </w:rPr>
        <w:t>rivant, et rappelée l’implication dans la gestion collective des lieux et équipements communs, de même que le respect des habitants et des procédures de décision. Si on demande au groupe son consentement, ce n’est néanmoins pas à lui que revient le pouvoir de décider de l’identité d’un no</w:t>
      </w:r>
      <w:r w:rsidRPr="003221E6">
        <w:rPr>
          <w:sz w:val="24"/>
        </w:rPr>
        <w:t>u</w:t>
      </w:r>
      <w:r w:rsidRPr="003221E6">
        <w:rPr>
          <w:sz w:val="24"/>
        </w:rPr>
        <w:t>vel arrivant : c’est à l’habitant en partance que revient cette décision selon des critères qui lui sont propres. Ce fonctionnement assure une dynamique de renouvellement et une diversification de la population du quartier : familles nucléaires ou monoparentales, couples ou célibataires, militants politisés ou non, artistes ou fonctionnaires, travailleurs sociaux ou professions libérales, étudiants ou salariés, chômeurs ou entrepreneurs, réfugiés politiques et demandeurs d’</w:t>
      </w:r>
      <w:r w:rsidRPr="003221E6">
        <w:rPr>
          <w:sz w:val="24"/>
          <w:lang w:val="pt-PT"/>
        </w:rPr>
        <w:t>asile,</w:t>
      </w:r>
      <w:r w:rsidRPr="003221E6">
        <w:rPr>
          <w:sz w:val="24"/>
        </w:rPr>
        <w:t>… Dans la même idée de perpétuer</w:t>
      </w:r>
      <w:r w:rsidRPr="003221E6">
        <w:rPr>
          <w:sz w:val="24"/>
          <w:u w:color="932091"/>
        </w:rPr>
        <w:t xml:space="preserve"> </w:t>
      </w:r>
      <w:r w:rsidRPr="003221E6">
        <w:rPr>
          <w:sz w:val="24"/>
        </w:rPr>
        <w:t>un</w:t>
      </w:r>
      <w:r w:rsidRPr="003221E6">
        <w:rPr>
          <w:sz w:val="24"/>
          <w:u w:color="932091"/>
        </w:rPr>
        <w:t xml:space="preserve"> </w:t>
      </w:r>
      <w:r w:rsidRPr="003221E6">
        <w:rPr>
          <w:sz w:val="24"/>
        </w:rPr>
        <w:t>«  faire ensemble  » pour «  vivre ensemble  », l’accord de tous les habitants d’une zone est nécessaire pour construire, transformer, agrandir ou placer une habitation : en pr</w:t>
      </w:r>
      <w:r w:rsidRPr="003221E6">
        <w:rPr>
          <w:sz w:val="24"/>
        </w:rPr>
        <w:t>é</w:t>
      </w:r>
      <w:r w:rsidRPr="003221E6">
        <w:rPr>
          <w:sz w:val="24"/>
        </w:rPr>
        <w:t>sentant ses plans au cours d’une réunion et en écoutant les suggestions qui en découlent, c’est fin</w:t>
      </w:r>
      <w:r w:rsidRPr="003221E6">
        <w:rPr>
          <w:sz w:val="24"/>
        </w:rPr>
        <w:t>a</w:t>
      </w:r>
      <w:r w:rsidRPr="003221E6">
        <w:rPr>
          <w:sz w:val="24"/>
        </w:rPr>
        <w:t>lement le groupe qui participe à ce nouveau projet (De Moffarts d’Houchenée, 2011 ; Groupe d’habitants du Quartier de la Baraque, 2009).</w:t>
      </w:r>
    </w:p>
    <w:p w:rsidR="002D0814" w:rsidRPr="003221E6" w:rsidRDefault="002D0814" w:rsidP="002D0814">
      <w:pPr>
        <w:jc w:val="both"/>
        <w:rPr>
          <w:rFonts w:eastAsia="Times New Roman"/>
          <w:sz w:val="24"/>
        </w:rPr>
      </w:pPr>
    </w:p>
    <w:p w:rsidR="00990F6B" w:rsidRPr="003221E6" w:rsidRDefault="00990F6B" w:rsidP="002D0814">
      <w:pPr>
        <w:jc w:val="both"/>
        <w:rPr>
          <w:rFonts w:eastAsia="Times New Roman"/>
          <w:sz w:val="24"/>
        </w:rPr>
      </w:pPr>
      <w:r w:rsidRPr="003221E6">
        <w:rPr>
          <w:rFonts w:eastAsia="Times New Roman"/>
          <w:sz w:val="24"/>
        </w:rPr>
        <w:tab/>
        <w:t>Une r</w:t>
      </w:r>
      <w:r w:rsidRPr="003221E6">
        <w:rPr>
          <w:sz w:val="24"/>
        </w:rPr>
        <w:t>ègle de non-spéculation est appliquée dans la grande majorité des cas de transmission d’un logement</w:t>
      </w:r>
      <w:r w:rsidRPr="003221E6">
        <w:rPr>
          <w:rFonts w:eastAsia="Times New Roman"/>
          <w:sz w:val="24"/>
          <w:vertAlign w:val="superscript"/>
        </w:rPr>
        <w:footnoteReference w:id="8"/>
      </w:r>
      <w:r w:rsidRPr="003221E6">
        <w:rPr>
          <w:sz w:val="24"/>
        </w:rPr>
        <w:t>. Le coût d’investissement, auquel on a soustrait son amortissement, est proposé par la personne en partance, laquelle aura pris soin de déclarer cette somme publiquement</w:t>
      </w:r>
      <w:r w:rsidRPr="003221E6">
        <w:rPr>
          <w:rFonts w:eastAsia="Times New Roman"/>
          <w:sz w:val="24"/>
          <w:vertAlign w:val="superscript"/>
        </w:rPr>
        <w:footnoteReference w:id="9"/>
      </w:r>
      <w:r w:rsidRPr="003221E6">
        <w:rPr>
          <w:sz w:val="24"/>
        </w:rPr>
        <w:t>. Ce principe économique, fondamental au quartier de la Baraque, a pour fonction de préserver le caractère vital et universel de l’habitat, et de garantir son accessibilité maximale. L’investissement matériel s’en trouve ainsi réduit. Ces logements autoconstruits, d’une emprise au sol de 29 mètres carrés en moyenne par habitant, favorisent, par ailleurs, de faibles coûts de chauffage. L’allègement des contraintes financières régulières ou mensuelles offre la possibilité de se satisfaire d’un revenu moindre et/ou d’une liberté de choix professionnel plus élargie : une forte proportion d’habitants exerçant des activités professionnelles indépendantes (photographes, fleuriste, maraîcher « bio », musiciens, …), salariées à mi-temps (travailleurs sociaux, du secteur socio-culturel, soins à la pe</w:t>
      </w:r>
      <w:r w:rsidRPr="003221E6">
        <w:rPr>
          <w:sz w:val="24"/>
        </w:rPr>
        <w:t>r</w:t>
      </w:r>
      <w:r w:rsidRPr="003221E6">
        <w:rPr>
          <w:sz w:val="24"/>
        </w:rPr>
        <w:t>sonne,…), artisanales ou culturelles (couture, création de costumes, création de bijoux, fabrication de four à pain,…) et non-salariées (membres d’associations, d’ONG, de collectifs indépendants,…) forment la population du quartier de la Baraque.</w:t>
      </w:r>
    </w:p>
    <w:p w:rsidR="00990F6B" w:rsidRDefault="00990F6B" w:rsidP="002D0814">
      <w:pPr>
        <w:jc w:val="both"/>
        <w:rPr>
          <w:rFonts w:eastAsia="Times New Roman"/>
          <w:sz w:val="24"/>
        </w:rPr>
      </w:pPr>
    </w:p>
    <w:p w:rsidR="002D0814" w:rsidRPr="003221E6" w:rsidRDefault="002D0814" w:rsidP="002D0814">
      <w:pPr>
        <w:jc w:val="both"/>
        <w:rPr>
          <w:rFonts w:eastAsia="Times New Roman"/>
          <w:sz w:val="24"/>
        </w:rPr>
      </w:pPr>
    </w:p>
    <w:p w:rsidR="00990F6B" w:rsidRDefault="00990F6B" w:rsidP="002D0814">
      <w:pPr>
        <w:jc w:val="center"/>
        <w:rPr>
          <w:sz w:val="40"/>
          <w:szCs w:val="40"/>
        </w:rPr>
      </w:pPr>
      <w:r w:rsidRPr="003221E6">
        <w:rPr>
          <w:sz w:val="40"/>
          <w:szCs w:val="40"/>
        </w:rPr>
        <w:t>Du conflit à un «  art d’</w:t>
      </w:r>
      <w:r w:rsidRPr="003221E6">
        <w:rPr>
          <w:sz w:val="40"/>
          <w:szCs w:val="40"/>
          <w:lang w:val="pt-PT"/>
        </w:rPr>
        <w:t>habiter</w:t>
      </w:r>
      <w:r w:rsidRPr="003221E6">
        <w:rPr>
          <w:sz w:val="40"/>
          <w:szCs w:val="40"/>
        </w:rPr>
        <w:t>  »</w:t>
      </w:r>
    </w:p>
    <w:p w:rsidR="002D0814" w:rsidRPr="003221E6" w:rsidRDefault="002D0814" w:rsidP="002D0814">
      <w:pPr>
        <w:jc w:val="center"/>
        <w:rPr>
          <w:rFonts w:eastAsia="Times New Roman"/>
          <w:sz w:val="24"/>
        </w:rPr>
      </w:pPr>
    </w:p>
    <w:p w:rsidR="00990F6B" w:rsidRDefault="00990F6B" w:rsidP="002D0814">
      <w:pPr>
        <w:jc w:val="both"/>
        <w:rPr>
          <w:sz w:val="24"/>
        </w:rPr>
      </w:pPr>
      <w:r w:rsidRPr="001A2868">
        <w:rPr>
          <w:rFonts w:eastAsia="Times New Roman"/>
          <w:sz w:val="24"/>
        </w:rPr>
        <w:tab/>
        <w:t>L</w:t>
      </w:r>
      <w:r w:rsidRPr="001A2868">
        <w:rPr>
          <w:sz w:val="24"/>
        </w:rPr>
        <w:t>’une des particularités du quartier alternatif de la Baraque tient à l’absence d’autre projet commun déclaré que celui de « vivre ensemble ». Au-delà des solutions de chantiers collectifs et autres solutions budgétaires de « mutualisation », cet aspect de vie quotidienne est, pourtant, reco</w:t>
      </w:r>
      <w:r w:rsidRPr="001A2868">
        <w:rPr>
          <w:sz w:val="24"/>
        </w:rPr>
        <w:t>n</w:t>
      </w:r>
      <w:r w:rsidRPr="001A2868">
        <w:rPr>
          <w:sz w:val="24"/>
        </w:rPr>
        <w:t>nu comme le plus difficile à entretenir. Dans le cadre de cet espace « ouvert », le développement d’un projet individuel nécessite la concertation et le dialogue dans le respect des différences et des besoins de chacun. Elle requiert une connaissance précise et justifiée de ses besoins matériels et moraux, et un équilibre entre capacité à s’exprimer et posture d’écoute.</w:t>
      </w:r>
    </w:p>
    <w:p w:rsidR="002D0814" w:rsidRPr="001A2868" w:rsidRDefault="002D0814" w:rsidP="002D0814">
      <w:pPr>
        <w:jc w:val="both"/>
        <w:rPr>
          <w:rFonts w:eastAsia="Times New Roman"/>
          <w:sz w:val="24"/>
        </w:rPr>
      </w:pPr>
    </w:p>
    <w:p w:rsidR="00990F6B" w:rsidRDefault="00990F6B" w:rsidP="002D0814">
      <w:pPr>
        <w:jc w:val="both"/>
        <w:rPr>
          <w:sz w:val="24"/>
        </w:rPr>
      </w:pPr>
      <w:r w:rsidRPr="003221E6">
        <w:rPr>
          <w:rFonts w:eastAsia="Times New Roman"/>
          <w:sz w:val="24"/>
        </w:rPr>
        <w:tab/>
        <w:t>En avan</w:t>
      </w:r>
      <w:r w:rsidRPr="003221E6">
        <w:rPr>
          <w:sz w:val="24"/>
        </w:rPr>
        <w:t>çant la proposition « Répondre aux besoins quand ils se présentent et pas avant », ces habitants font face à un véritable défi : le refus de règles écrites implique de parvenir, chaque fois qu’un problème se présente, à une solution adaptée, ce qui requiert une grande aptitude à abo</w:t>
      </w:r>
      <w:r w:rsidRPr="003221E6">
        <w:rPr>
          <w:sz w:val="24"/>
        </w:rPr>
        <w:t>r</w:t>
      </w:r>
      <w:r w:rsidRPr="003221E6">
        <w:rPr>
          <w:sz w:val="24"/>
        </w:rPr>
        <w:t>der les impondérables. Ainsi, la notion de conflit est-elle plutôt valorisée : en considérant les pos</w:t>
      </w:r>
      <w:r w:rsidRPr="003221E6">
        <w:rPr>
          <w:sz w:val="24"/>
        </w:rPr>
        <w:t>i</w:t>
      </w:r>
      <w:r w:rsidRPr="003221E6">
        <w:rPr>
          <w:sz w:val="24"/>
        </w:rPr>
        <w:t>tions et possibilités de chacun, elle engendre des réévaluations régulières, qu’elles soient publiques ou privées. Le cas que connaît actuellement une des zones du quartier en est un exemple : s’agissant du groupe le plus nombreux et le plus étendu, sa gestion collective réclame, de ce fait, plus d’énergie. Or, un débat concernant l’élargissement éventuel de ce groupe s’est mué en conflit inte</w:t>
      </w:r>
      <w:r w:rsidRPr="003221E6">
        <w:rPr>
          <w:sz w:val="24"/>
        </w:rPr>
        <w:t>r</w:t>
      </w:r>
      <w:r w:rsidRPr="003221E6">
        <w:rPr>
          <w:sz w:val="24"/>
        </w:rPr>
        <w:t>ne, sur lequel s’en est greffé un second à propos du prix de transmission d’une construction, part</w:t>
      </w:r>
      <w:r w:rsidRPr="003221E6">
        <w:rPr>
          <w:sz w:val="24"/>
        </w:rPr>
        <w:t>i</w:t>
      </w:r>
      <w:r w:rsidRPr="003221E6">
        <w:rPr>
          <w:sz w:val="24"/>
        </w:rPr>
        <w:t>culièrement récente, bien plus élevé que la moyenne en cours. Une part du groupe, souhaitant pr</w:t>
      </w:r>
      <w:r w:rsidRPr="003221E6">
        <w:rPr>
          <w:sz w:val="24"/>
        </w:rPr>
        <w:t>é</w:t>
      </w:r>
      <w:r w:rsidRPr="003221E6">
        <w:rPr>
          <w:sz w:val="24"/>
        </w:rPr>
        <w:t>server la valeur alternative du projet, craint que cette augmentation ne fasse perdre de vue l’une de ses revendications majeures, à savoir l’accès à un logement peu onéreux</w:t>
      </w:r>
      <w:r w:rsidRPr="003221E6">
        <w:t>.</w:t>
      </w:r>
      <w:r w:rsidRPr="003221E6">
        <w:rPr>
          <w:sz w:val="24"/>
        </w:rPr>
        <w:t xml:space="preserve"> Cette crise d’ordre ident</w:t>
      </w:r>
      <w:r w:rsidRPr="003221E6">
        <w:rPr>
          <w:sz w:val="24"/>
        </w:rPr>
        <w:t>i</w:t>
      </w:r>
      <w:r w:rsidRPr="003221E6">
        <w:rPr>
          <w:sz w:val="24"/>
        </w:rPr>
        <w:t>taire, s’avérant pesante dans le quotidien, rappelle l’importance de la décision et de la confiance placées dans la gestion collective. Aussi, pour tenter de trouver une solution qui convienne à ch</w:t>
      </w:r>
      <w:r w:rsidRPr="003221E6">
        <w:rPr>
          <w:sz w:val="24"/>
        </w:rPr>
        <w:t>a</w:t>
      </w:r>
      <w:r w:rsidRPr="003221E6">
        <w:rPr>
          <w:sz w:val="24"/>
        </w:rPr>
        <w:t>cun,</w:t>
      </w:r>
      <w:r w:rsidRPr="003221E6">
        <w:rPr>
          <w:sz w:val="24"/>
          <w:u w:color="932091"/>
        </w:rPr>
        <w:t xml:space="preserve"> </w:t>
      </w:r>
      <w:r w:rsidRPr="003221E6">
        <w:rPr>
          <w:sz w:val="24"/>
        </w:rPr>
        <w:t>sans, pour cela, laisser s’installer un raz-de-marée d’habitations à des prix rédhibitoires, une commission, chargée de la réévaluation du plafond financier des habitations, travaille à l’actualisation du coût des matériaux à indexer. Parallèlement, la réalisation d’une campagne de travaux collectifs et l’accueil de nouveaux habitants a relancé une dynamique nouvelle et détourné les énergies de ce conflit.</w:t>
      </w:r>
    </w:p>
    <w:p w:rsidR="002D0814" w:rsidRPr="003221E6" w:rsidRDefault="002D0814" w:rsidP="002D0814">
      <w:pPr>
        <w:jc w:val="both"/>
        <w:rPr>
          <w:rFonts w:eastAsia="Times New Roman"/>
          <w:sz w:val="24"/>
        </w:rPr>
      </w:pPr>
    </w:p>
    <w:p w:rsidR="00990F6B" w:rsidRDefault="00990F6B" w:rsidP="002D0814">
      <w:pPr>
        <w:jc w:val="both"/>
        <w:rPr>
          <w:sz w:val="24"/>
        </w:rPr>
      </w:pPr>
      <w:r w:rsidRPr="003221E6">
        <w:rPr>
          <w:rFonts w:eastAsia="Times New Roman"/>
          <w:sz w:val="24"/>
        </w:rPr>
        <w:tab/>
        <w:t>Si le principe d</w:t>
      </w:r>
      <w:r w:rsidRPr="003221E6">
        <w:rPr>
          <w:sz w:val="24"/>
        </w:rPr>
        <w:t>’un moindre asservissement financier pré</w:t>
      </w:r>
      <w:r w:rsidRPr="003221E6">
        <w:rPr>
          <w:sz w:val="24"/>
          <w:lang w:val="it-IT"/>
        </w:rPr>
        <w:t>domine, se pose néanmoins la qu</w:t>
      </w:r>
      <w:r w:rsidRPr="003221E6">
        <w:rPr>
          <w:sz w:val="24"/>
          <w:lang w:val="it-IT"/>
        </w:rPr>
        <w:t>e</w:t>
      </w:r>
      <w:r w:rsidRPr="003221E6">
        <w:rPr>
          <w:sz w:val="24"/>
          <w:lang w:val="it-IT"/>
        </w:rPr>
        <w:t xml:space="preserve">stion de l’investissement en temps que chacun est prêt à lui consacrer. </w:t>
      </w:r>
      <w:r w:rsidRPr="003221E6">
        <w:rPr>
          <w:sz w:val="24"/>
        </w:rPr>
        <w:t>Le respect du rythme de r</w:t>
      </w:r>
      <w:r w:rsidRPr="003221E6">
        <w:rPr>
          <w:sz w:val="24"/>
        </w:rPr>
        <w:t>é</w:t>
      </w:r>
      <w:r w:rsidRPr="003221E6">
        <w:rPr>
          <w:sz w:val="24"/>
        </w:rPr>
        <w:t>flexion ainsi que les disponibilités aux réunions, à quoi s’ajoute la complexité de chaque situation, entraînent une certaine lenteur : il s’agit, tout du moins, d’une temporalité différenciée au contexte environnant, où la recherche de consensus conduit à des décisions retardées de plusieurs semaines. La temporalité du débat général est conditionnée par le nombre d’habitants mobilisés et l’ampleur des discussions, d’abord pour entendre, comprendre, infirmer ou confirmer, puis pour se mettre d’</w:t>
      </w:r>
      <w:r w:rsidRPr="003221E6">
        <w:rPr>
          <w:sz w:val="24"/>
          <w:lang w:val="it-IT"/>
        </w:rPr>
        <w:t>accord. C</w:t>
      </w:r>
      <w:r w:rsidRPr="003221E6">
        <w:rPr>
          <w:sz w:val="24"/>
        </w:rPr>
        <w:t>’est, en tous cas, ce que résume l’explication donnée à une aspirante à un habitat au sein du quartier : « Le quartier finira par se positionner mais il est lent : il a la force tranquille de la le</w:t>
      </w:r>
      <w:r w:rsidRPr="003221E6">
        <w:rPr>
          <w:sz w:val="24"/>
        </w:rPr>
        <w:t>n</w:t>
      </w:r>
      <w:r w:rsidRPr="003221E6">
        <w:rPr>
          <w:sz w:val="24"/>
        </w:rPr>
        <w:t>teur… ».</w:t>
      </w:r>
      <w:r w:rsidRPr="003221E6">
        <w:rPr>
          <w:sz w:val="24"/>
          <w:u w:color="932091"/>
        </w:rPr>
        <w:t xml:space="preserve"> </w:t>
      </w:r>
      <w:r w:rsidRPr="003221E6">
        <w:rPr>
          <w:sz w:val="24"/>
        </w:rPr>
        <w:t>Le respect du voisinage qu’assure ce cadre non-rigide et l’évolution lente que poursuit le quartier depuis ses débuts compte parmi les ingrédients d’une cohabitation et d’une inté</w:t>
      </w:r>
      <w:r w:rsidRPr="003221E6">
        <w:rPr>
          <w:sz w:val="24"/>
          <w:lang w:val="en-US"/>
        </w:rPr>
        <w:t>gration r</w:t>
      </w:r>
      <w:r w:rsidRPr="003221E6">
        <w:rPr>
          <w:sz w:val="24"/>
        </w:rPr>
        <w:t>é</w:t>
      </w:r>
      <w:r w:rsidRPr="003221E6">
        <w:rPr>
          <w:sz w:val="24"/>
          <w:lang w:val="en-US"/>
        </w:rPr>
        <w:t>ussies</w:t>
      </w:r>
      <w:r w:rsidRPr="003221E6">
        <w:rPr>
          <w:sz w:val="24"/>
        </w:rPr>
        <w:t>. Les remises en cause régulières, idéologiques ou personnelles, parfois profondes, que su</w:t>
      </w:r>
      <w:r w:rsidRPr="003221E6">
        <w:rPr>
          <w:sz w:val="24"/>
        </w:rPr>
        <w:t>s</w:t>
      </w:r>
      <w:r w:rsidRPr="003221E6">
        <w:rPr>
          <w:sz w:val="24"/>
        </w:rPr>
        <w:t>cite la vie en collectif, ajoutées à la prise de risque matérielle que représente l’aventure de l’auto-construction et de l’occupation sans titre, constituent l’autre versant de l’expérience de vie au qua</w:t>
      </w:r>
      <w:r w:rsidRPr="003221E6">
        <w:rPr>
          <w:sz w:val="24"/>
        </w:rPr>
        <w:t>r</w:t>
      </w:r>
      <w:r w:rsidRPr="003221E6">
        <w:rPr>
          <w:sz w:val="24"/>
        </w:rPr>
        <w:t>tier de la Baraque : « à la fois magnifique et épuisant », selon un de ses habitants.</w:t>
      </w:r>
    </w:p>
    <w:p w:rsidR="002D0814" w:rsidRPr="003221E6" w:rsidRDefault="002D0814" w:rsidP="002D0814">
      <w:pPr>
        <w:jc w:val="both"/>
        <w:rPr>
          <w:rFonts w:eastAsia="Times New Roman"/>
          <w:sz w:val="24"/>
        </w:rPr>
      </w:pPr>
    </w:p>
    <w:p w:rsidR="003221E6" w:rsidRDefault="00990F6B" w:rsidP="002D0814">
      <w:pPr>
        <w:jc w:val="both"/>
        <w:rPr>
          <w:sz w:val="24"/>
        </w:rPr>
      </w:pPr>
      <w:r w:rsidRPr="003221E6">
        <w:rPr>
          <w:rFonts w:eastAsia="Times New Roman"/>
          <w:sz w:val="24"/>
        </w:rPr>
        <w:tab/>
        <w:t>Conserver cette ligne directrice de r</w:t>
      </w:r>
      <w:r w:rsidRPr="003221E6">
        <w:rPr>
          <w:sz w:val="24"/>
        </w:rPr>
        <w:t>éappropriation des conditions d’existence inclut le fait qu’on ne décide pas toujours vite, mais les réponses aux besoins d’</w:t>
      </w:r>
      <w:r w:rsidRPr="003221E6">
        <w:rPr>
          <w:sz w:val="24"/>
          <w:lang w:val="pt-PT"/>
        </w:rPr>
        <w:t>habiter</w:t>
      </w:r>
      <w:r w:rsidRPr="003221E6">
        <w:rPr>
          <w:sz w:val="24"/>
        </w:rPr>
        <w:t xml:space="preserve"> sont, quant à elles, bea</w:t>
      </w:r>
      <w:r w:rsidRPr="003221E6">
        <w:rPr>
          <w:sz w:val="24"/>
        </w:rPr>
        <w:t>u</w:t>
      </w:r>
      <w:r w:rsidRPr="003221E6">
        <w:rPr>
          <w:sz w:val="24"/>
        </w:rPr>
        <w:t>coup plus rapides et mieux adaptées. La notion d’ habitat «  organique  » – au sens d’un habitat qui évolue selon les besoins de(s) l’occupant(s), comportant des éléments annexés au corps principal du bâti, élaborés ou transformés selon ses nécessités –</w:t>
      </w:r>
      <w:r w:rsidRPr="003221E6">
        <w:rPr>
          <w:b/>
          <w:bCs/>
          <w:sz w:val="24"/>
          <w:u w:color="FE2600"/>
        </w:rPr>
        <w:t xml:space="preserve"> </w:t>
      </w:r>
      <w:r w:rsidRPr="003221E6">
        <w:rPr>
          <w:sz w:val="24"/>
        </w:rPr>
        <w:t>est souligné par les habitants comme ce qui permet de prendre en compte les histoires de vie de chacun (extensions et transformations apparai</w:t>
      </w:r>
      <w:r w:rsidRPr="003221E6">
        <w:rPr>
          <w:sz w:val="24"/>
        </w:rPr>
        <w:t>s</w:t>
      </w:r>
      <w:r w:rsidRPr="003221E6">
        <w:rPr>
          <w:sz w:val="24"/>
        </w:rPr>
        <w:t>sant, notamment à la suite de naissances ou de l’arrivée d’un partenaire). Avec ces formes de pe</w:t>
      </w:r>
      <w:r w:rsidRPr="003221E6">
        <w:rPr>
          <w:sz w:val="24"/>
        </w:rPr>
        <w:t>r</w:t>
      </w:r>
      <w:r w:rsidRPr="003221E6">
        <w:rPr>
          <w:sz w:val="24"/>
        </w:rPr>
        <w:t xml:space="preserve">sonnalisation </w:t>
      </w:r>
      <w:r w:rsidRPr="003221E6">
        <w:rPr>
          <w:sz w:val="24"/>
          <w:lang w:val="it-IT"/>
        </w:rPr>
        <w:t>qu’exprime une certaine diversit</w:t>
      </w:r>
      <w:r w:rsidRPr="003221E6">
        <w:rPr>
          <w:sz w:val="24"/>
        </w:rPr>
        <w:t>é architecturale, les coloris des bâ</w:t>
      </w:r>
      <w:r w:rsidRPr="003221E6">
        <w:rPr>
          <w:sz w:val="24"/>
          <w:lang w:val="pt-PT"/>
        </w:rPr>
        <w:t xml:space="preserve">tis, ou encore les liens de </w:t>
      </w:r>
      <w:r w:rsidRPr="003221E6">
        <w:rPr>
          <w:sz w:val="24"/>
        </w:rPr>
        <w:t>solidarité</w:t>
      </w:r>
      <w:r w:rsidRPr="003221E6">
        <w:rPr>
          <w:sz w:val="24"/>
          <w:u w:color="932091"/>
        </w:rPr>
        <w:t xml:space="preserve"> </w:t>
      </w:r>
      <w:r w:rsidRPr="003221E6">
        <w:rPr>
          <w:sz w:val="24"/>
        </w:rPr>
        <w:t>qui</w:t>
      </w:r>
      <w:r w:rsidRPr="003221E6">
        <w:rPr>
          <w:sz w:val="24"/>
          <w:u w:color="932091"/>
        </w:rPr>
        <w:t xml:space="preserve"> </w:t>
      </w:r>
      <w:r w:rsidRPr="003221E6">
        <w:rPr>
          <w:sz w:val="24"/>
        </w:rPr>
        <w:t>ponctuent la vie sociale - ré</w:t>
      </w:r>
      <w:r w:rsidRPr="003221E6">
        <w:rPr>
          <w:sz w:val="24"/>
          <w:lang w:val="it-IT"/>
        </w:rPr>
        <w:t>colte d</w:t>
      </w:r>
      <w:r w:rsidRPr="003221E6">
        <w:rPr>
          <w:sz w:val="24"/>
        </w:rPr>
        <w:t>’une cagnotte pour résoudre le souci mat</w:t>
      </w:r>
      <w:r w:rsidRPr="003221E6">
        <w:rPr>
          <w:sz w:val="24"/>
        </w:rPr>
        <w:t>é</w:t>
      </w:r>
      <w:r w:rsidRPr="003221E6">
        <w:rPr>
          <w:sz w:val="24"/>
        </w:rPr>
        <w:t>riel d'un habitant, soutien d’un convalescent, relais de visites à un « ancien », prêt d’</w:t>
      </w:r>
      <w:r w:rsidRPr="003221E6">
        <w:rPr>
          <w:sz w:val="24"/>
          <w:lang w:val="en-US"/>
        </w:rPr>
        <w:t>un logement -</w:t>
      </w:r>
      <w:r w:rsidRPr="003221E6">
        <w:rPr>
          <w:sz w:val="24"/>
        </w:rPr>
        <w:t xml:space="preserve"> c'est le droit à un habitat choisi qui est défendu  au quotidien. </w:t>
      </w:r>
    </w:p>
    <w:p w:rsidR="002D0814" w:rsidRPr="003221E6" w:rsidRDefault="002D0814" w:rsidP="002D0814">
      <w:pPr>
        <w:jc w:val="both"/>
        <w:rPr>
          <w:rFonts w:eastAsia="Times New Roman"/>
          <w:sz w:val="24"/>
        </w:rPr>
      </w:pPr>
    </w:p>
    <w:p w:rsidR="00990F6B" w:rsidRPr="003221E6" w:rsidRDefault="00990F6B" w:rsidP="002D0814">
      <w:pPr>
        <w:jc w:val="both"/>
        <w:rPr>
          <w:rFonts w:eastAsia="Times New Roman"/>
          <w:sz w:val="24"/>
        </w:rPr>
      </w:pPr>
    </w:p>
    <w:p w:rsidR="002D0814" w:rsidRDefault="00990F6B" w:rsidP="002D0814">
      <w:pPr>
        <w:jc w:val="center"/>
        <w:rPr>
          <w:sz w:val="40"/>
          <w:szCs w:val="40"/>
        </w:rPr>
      </w:pPr>
      <w:r w:rsidRPr="002D0814">
        <w:rPr>
          <w:sz w:val="40"/>
          <w:szCs w:val="40"/>
        </w:rPr>
        <w:t>Un territoire densifié</w:t>
      </w:r>
    </w:p>
    <w:p w:rsidR="002D0814" w:rsidRPr="002D0814" w:rsidRDefault="002D0814" w:rsidP="002D0814">
      <w:pPr>
        <w:jc w:val="center"/>
        <w:rPr>
          <w:sz w:val="40"/>
          <w:szCs w:val="40"/>
        </w:rPr>
      </w:pPr>
    </w:p>
    <w:p w:rsidR="00990F6B" w:rsidRDefault="00990F6B" w:rsidP="002D0814">
      <w:pPr>
        <w:jc w:val="both"/>
        <w:rPr>
          <w:sz w:val="24"/>
        </w:rPr>
      </w:pPr>
      <w:r w:rsidRPr="003221E6">
        <w:rPr>
          <w:rFonts w:eastAsia="Times New Roman"/>
          <w:sz w:val="24"/>
          <w:u w:color="FE2600"/>
        </w:rPr>
        <w:tab/>
      </w:r>
      <w:r w:rsidRPr="003221E6">
        <w:rPr>
          <w:sz w:val="24"/>
        </w:rPr>
        <w:t>Depuis une vingtaine d’années, les nombreuses demandes d’installation dans la zone alte</w:t>
      </w:r>
      <w:r w:rsidRPr="003221E6">
        <w:rPr>
          <w:sz w:val="24"/>
        </w:rPr>
        <w:t>r</w:t>
      </w:r>
      <w:r w:rsidRPr="003221E6">
        <w:rPr>
          <w:sz w:val="24"/>
        </w:rPr>
        <w:t>native de la Baraque ne peuvent plus être satisfaites : le quartier ne peut plus s’étendre, ses limites géographiques étant à présent figées par des bornes. Lorsqu’</w:t>
      </w:r>
      <w:r w:rsidRPr="003221E6">
        <w:rPr>
          <w:sz w:val="24"/>
          <w:lang w:val="it-IT"/>
        </w:rPr>
        <w:t>il arrive qu</w:t>
      </w:r>
      <w:r w:rsidRPr="003221E6">
        <w:rPr>
          <w:sz w:val="24"/>
        </w:rPr>
        <w:t>’un habitant du quartier d</w:t>
      </w:r>
      <w:r w:rsidRPr="003221E6">
        <w:rPr>
          <w:sz w:val="24"/>
        </w:rPr>
        <w:t>é</w:t>
      </w:r>
      <w:r w:rsidRPr="003221E6">
        <w:rPr>
          <w:sz w:val="24"/>
        </w:rPr>
        <w:t>cide de le quitter, c’est une dizaine de personnes qui se proposent pour le remplacer : ce qui rend d’autant plus difficile le maintien idéologique de la rè</w:t>
      </w:r>
      <w:r w:rsidRPr="003221E6">
        <w:rPr>
          <w:sz w:val="24"/>
          <w:lang w:val="it-IT"/>
        </w:rPr>
        <w:t>gle de non-sp</w:t>
      </w:r>
      <w:r w:rsidRPr="003221E6">
        <w:rPr>
          <w:sz w:val="24"/>
        </w:rPr>
        <w:t>éculation. Cette saturation rév</w:t>
      </w:r>
      <w:r w:rsidRPr="003221E6">
        <w:rPr>
          <w:sz w:val="24"/>
        </w:rPr>
        <w:t>è</w:t>
      </w:r>
      <w:r w:rsidRPr="003221E6">
        <w:rPr>
          <w:sz w:val="24"/>
        </w:rPr>
        <w:t>le, certes, un véritable attrait pour l’idéal de vie que le quartier promeut</w:t>
      </w:r>
      <w:r w:rsidRPr="003221E6">
        <w:rPr>
          <w:sz w:val="24"/>
          <w:lang w:val="pt-PT"/>
        </w:rPr>
        <w:t>, mais</w:t>
      </w:r>
      <w:r w:rsidRPr="003221E6">
        <w:rPr>
          <w:sz w:val="24"/>
        </w:rPr>
        <w:t>, également, la pre</w:t>
      </w:r>
      <w:r w:rsidRPr="003221E6">
        <w:rPr>
          <w:sz w:val="24"/>
        </w:rPr>
        <w:t>s</w:t>
      </w:r>
      <w:r w:rsidRPr="003221E6">
        <w:rPr>
          <w:sz w:val="24"/>
        </w:rPr>
        <w:t>sion immobilière croissante au sein des zones destinées à l’habitat. Le microcosme idéologique et environnemental que conserve, du mieux qu’il peut, le village de « Baraquîs</w:t>
      </w:r>
      <w:r w:rsidRPr="003221E6">
        <w:rPr>
          <w:rFonts w:eastAsia="Times New Roman"/>
          <w:sz w:val="24"/>
          <w:vertAlign w:val="superscript"/>
        </w:rPr>
        <w:footnoteReference w:id="10"/>
      </w:r>
      <w:r w:rsidRPr="003221E6">
        <w:rPr>
          <w:sz w:val="24"/>
        </w:rPr>
        <w:t xml:space="preserve"> »,</w:t>
      </w:r>
      <w:r w:rsidRPr="003221E6">
        <w:rPr>
          <w:sz w:val="24"/>
          <w:u w:color="932091"/>
        </w:rPr>
        <w:t xml:space="preserve"> </w:t>
      </w:r>
      <w:r w:rsidRPr="003221E6">
        <w:rPr>
          <w:sz w:val="24"/>
        </w:rPr>
        <w:t>détonne face au projet urbain qui se développe à moins d’un kilomètre : ce qui a pour effet d’agacer ceux pour qui construire dans la jeune province du Brabant wallon, aussi petite que prisée en vertu de sa forte p</w:t>
      </w:r>
      <w:r w:rsidRPr="003221E6">
        <w:rPr>
          <w:sz w:val="24"/>
        </w:rPr>
        <w:t>o</w:t>
      </w:r>
      <w:r w:rsidRPr="003221E6">
        <w:rPr>
          <w:sz w:val="24"/>
        </w:rPr>
        <w:t>larisation vers la capitale, relève du parcours du combattant.</w:t>
      </w:r>
    </w:p>
    <w:p w:rsidR="001A2868" w:rsidRPr="003221E6" w:rsidRDefault="001A2868" w:rsidP="002D0814">
      <w:pPr>
        <w:jc w:val="both"/>
        <w:rPr>
          <w:rFonts w:eastAsia="Times New Roman"/>
          <w:strike/>
          <w:sz w:val="24"/>
        </w:rPr>
      </w:pPr>
    </w:p>
    <w:p w:rsidR="00990F6B" w:rsidRDefault="00990F6B" w:rsidP="002D0814">
      <w:pPr>
        <w:jc w:val="both"/>
        <w:rPr>
          <w:sz w:val="24"/>
        </w:rPr>
      </w:pPr>
      <w:r w:rsidRPr="003221E6">
        <w:rPr>
          <w:rFonts w:eastAsia="Times New Roman"/>
          <w:sz w:val="24"/>
        </w:rPr>
        <w:tab/>
        <w:t>Le caract</w:t>
      </w:r>
      <w:r w:rsidRPr="003221E6">
        <w:rPr>
          <w:sz w:val="24"/>
        </w:rPr>
        <w:t>ère réglementaire exceptionnel</w:t>
      </w:r>
      <w:r w:rsidRPr="003221E6">
        <w:rPr>
          <w:rFonts w:eastAsia="Times New Roman"/>
          <w:sz w:val="24"/>
          <w:vertAlign w:val="superscript"/>
        </w:rPr>
        <w:footnoteReference w:id="11"/>
      </w:r>
      <w:r w:rsidRPr="003221E6">
        <w:rPr>
          <w:sz w:val="24"/>
        </w:rPr>
        <w:t xml:space="preserve"> attaché au quartier de la Baraque est un indice des freins à l’installation que connaissent la plupart des formes d’habitat léger en Belgique en termes d’aménagement du territoire et d'urbanisme (Bernard, 2012</w:t>
      </w:r>
      <w:r w:rsidRPr="003221E6">
        <w:rPr>
          <w:i/>
          <w:iCs/>
          <w:sz w:val="24"/>
        </w:rPr>
        <w:t>a</w:t>
      </w:r>
      <w:r w:rsidRPr="003221E6">
        <w:rPr>
          <w:sz w:val="24"/>
        </w:rPr>
        <w:t>). Après de nombreuses soirées de tr</w:t>
      </w:r>
      <w:r w:rsidRPr="003221E6">
        <w:rPr>
          <w:sz w:val="24"/>
        </w:rPr>
        <w:t>a</w:t>
      </w:r>
      <w:r w:rsidRPr="003221E6">
        <w:rPr>
          <w:sz w:val="24"/>
        </w:rPr>
        <w:t>vail et de concertation entre habitants, autorités communales et propriétaire du terrain (l’UCL)</w:t>
      </w:r>
      <w:r w:rsidRPr="003221E6">
        <w:rPr>
          <w:rFonts w:eastAsia="Times New Roman"/>
          <w:sz w:val="24"/>
          <w:vertAlign w:val="superscript"/>
        </w:rPr>
        <w:footnoteReference w:id="12"/>
      </w:r>
      <w:r w:rsidRPr="003221E6">
        <w:rPr>
          <w:sz w:val="24"/>
        </w:rPr>
        <w:t>, l’Université propose, dès l’année suivante, la négociation d’un contrat d’occupation du sol en échange de la création d’une entité juridique les représentant sous forme d’ASBL</w:t>
      </w:r>
      <w:r w:rsidRPr="003221E6">
        <w:rPr>
          <w:rFonts w:eastAsia="Times New Roman"/>
          <w:sz w:val="24"/>
          <w:vertAlign w:val="superscript"/>
        </w:rPr>
        <w:footnoteReference w:id="13"/>
      </w:r>
      <w:r w:rsidRPr="003221E6">
        <w:rPr>
          <w:sz w:val="24"/>
        </w:rPr>
        <w:t xml:space="preserve"> (Dardenne, 2012 ; Groupe d’habitants du Quartier de la Baraque, 2009). Ce dont s’inquiètent les habitants car en se structurant et en se légalisant, c’est le principe de gestion collective qui est menacé.  A</w:t>
      </w:r>
      <w:r w:rsidRPr="003221E6">
        <w:rPr>
          <w:sz w:val="24"/>
        </w:rPr>
        <w:t>u</w:t>
      </w:r>
      <w:r w:rsidRPr="003221E6">
        <w:rPr>
          <w:sz w:val="24"/>
        </w:rPr>
        <w:t>jourd’hui, la question s’avère toujours en suspens, mais les habitants se doutent, qu’à terme, il leur faudra trouver un arrangement. Car les projets immobiliers et de voiries se multiplient autour du quartier : après un centre commercial à l’ouest, un hôpital universitaire est envisagé au sud-est</w:t>
      </w:r>
      <w:r w:rsidRPr="003221E6">
        <w:rPr>
          <w:sz w:val="24"/>
          <w:u w:color="932091"/>
        </w:rPr>
        <w:t xml:space="preserve"> ta</w:t>
      </w:r>
      <w:r w:rsidRPr="003221E6">
        <w:rPr>
          <w:sz w:val="24"/>
          <w:u w:color="932091"/>
        </w:rPr>
        <w:t>n</w:t>
      </w:r>
      <w:r w:rsidRPr="003221E6">
        <w:rPr>
          <w:sz w:val="24"/>
          <w:u w:color="932091"/>
        </w:rPr>
        <w:t xml:space="preserve">dis qu’au nord est actuellement en construction </w:t>
      </w:r>
      <w:r w:rsidRPr="003221E6">
        <w:rPr>
          <w:sz w:val="24"/>
        </w:rPr>
        <w:t>un parking-relais de plus de 3.000 places</w:t>
      </w:r>
      <w:r w:rsidRPr="003221E6">
        <w:rPr>
          <w:sz w:val="24"/>
          <w:u w:color="932091"/>
        </w:rPr>
        <w:t xml:space="preserve"> </w:t>
      </w:r>
      <w:r w:rsidRPr="003221E6">
        <w:rPr>
          <w:sz w:val="24"/>
        </w:rPr>
        <w:t>à destin</w:t>
      </w:r>
      <w:r w:rsidRPr="003221E6">
        <w:rPr>
          <w:sz w:val="24"/>
        </w:rPr>
        <w:t>a</w:t>
      </w:r>
      <w:r w:rsidRPr="003221E6">
        <w:rPr>
          <w:sz w:val="24"/>
        </w:rPr>
        <w:t>tion des navetteurs vers Bruxelles, qui délaisseront là leur véhicule en sortie d’autoroute. Sur cet imposant bâtiment, deux étages sont réservés à un futur quartier résidentiel, présenté comme écol</w:t>
      </w:r>
      <w:r w:rsidRPr="003221E6">
        <w:rPr>
          <w:sz w:val="24"/>
        </w:rPr>
        <w:t>o</w:t>
      </w:r>
      <w:r w:rsidRPr="003221E6">
        <w:rPr>
          <w:sz w:val="24"/>
        </w:rPr>
        <w:t>gique, dont l’</w:t>
      </w:r>
      <w:r w:rsidRPr="003221E6">
        <w:rPr>
          <w:sz w:val="24"/>
          <w:lang w:val="it-IT"/>
        </w:rPr>
        <w:t>acc</w:t>
      </w:r>
      <w:r w:rsidRPr="003221E6">
        <w:rPr>
          <w:sz w:val="24"/>
        </w:rPr>
        <w:t>ès au logement avoisinera 4.000 euros le mètre carré…</w:t>
      </w:r>
      <w:r w:rsidRPr="003221E6">
        <w:rPr>
          <w:sz w:val="24"/>
          <w:u w:color="932091"/>
        </w:rPr>
        <w:t xml:space="preserve"> </w:t>
      </w:r>
      <w:r w:rsidRPr="003221E6">
        <w:rPr>
          <w:sz w:val="24"/>
        </w:rPr>
        <w:t>Parallèlement à la demande de la commune d’introduire des permis de bâtir pour quatre des dernières habitations alternatives construites, c’est à un véritable défi de voisinage auquel ces habitants se préparent.</w:t>
      </w:r>
    </w:p>
    <w:p w:rsidR="002D0814" w:rsidRPr="003221E6" w:rsidRDefault="002D0814" w:rsidP="002D0814">
      <w:pPr>
        <w:jc w:val="both"/>
        <w:rPr>
          <w:rFonts w:eastAsia="Times New Roman"/>
          <w:sz w:val="24"/>
        </w:rPr>
      </w:pPr>
    </w:p>
    <w:p w:rsidR="00990F6B" w:rsidRPr="003221E6" w:rsidRDefault="00990F6B" w:rsidP="002D0814">
      <w:pPr>
        <w:jc w:val="both"/>
        <w:rPr>
          <w:rFonts w:eastAsia="Times New Roman"/>
          <w:sz w:val="24"/>
        </w:rPr>
      </w:pPr>
    </w:p>
    <w:p w:rsidR="00990F6B" w:rsidRDefault="00990F6B" w:rsidP="002D0814">
      <w:pPr>
        <w:jc w:val="center"/>
        <w:rPr>
          <w:sz w:val="40"/>
          <w:szCs w:val="40"/>
        </w:rPr>
      </w:pPr>
      <w:r w:rsidRPr="003221E6">
        <w:rPr>
          <w:sz w:val="40"/>
          <w:szCs w:val="40"/>
        </w:rPr>
        <w:t>Des normes «  sociales  » du logement</w:t>
      </w:r>
    </w:p>
    <w:p w:rsidR="002D0814" w:rsidRPr="003221E6" w:rsidRDefault="002D0814" w:rsidP="002D0814">
      <w:pPr>
        <w:jc w:val="center"/>
        <w:rPr>
          <w:rFonts w:eastAsia="Times New Roman"/>
          <w:sz w:val="30"/>
          <w:szCs w:val="30"/>
          <w:u w:color="FE2600"/>
        </w:rPr>
      </w:pPr>
    </w:p>
    <w:p w:rsidR="00990F6B" w:rsidRPr="003221E6" w:rsidRDefault="00990F6B" w:rsidP="002D0814">
      <w:pPr>
        <w:jc w:val="both"/>
        <w:rPr>
          <w:rFonts w:eastAsia="Times New Roman"/>
          <w:sz w:val="24"/>
        </w:rPr>
      </w:pPr>
      <w:r w:rsidRPr="003221E6">
        <w:rPr>
          <w:rFonts w:eastAsia="Times New Roman"/>
          <w:sz w:val="30"/>
          <w:szCs w:val="30"/>
          <w:u w:color="FE2600"/>
        </w:rPr>
        <w:tab/>
      </w:r>
      <w:r w:rsidRPr="003221E6">
        <w:rPr>
          <w:sz w:val="24"/>
        </w:rPr>
        <w:t>Si la commune, séduite par l</w:t>
      </w:r>
      <w:r w:rsidRPr="003221E6">
        <w:rPr>
          <w:sz w:val="24"/>
          <w:lang w:val="pt-PT"/>
        </w:rPr>
        <w:t>es qualit</w:t>
      </w:r>
      <w:r w:rsidRPr="003221E6">
        <w:rPr>
          <w:sz w:val="24"/>
        </w:rPr>
        <w:t>és sociales du quartier alternatif de la Baraque, reco</w:t>
      </w:r>
      <w:r w:rsidRPr="003221E6">
        <w:rPr>
          <w:sz w:val="24"/>
        </w:rPr>
        <w:t>n</w:t>
      </w:r>
      <w:r w:rsidRPr="003221E6">
        <w:rPr>
          <w:sz w:val="24"/>
        </w:rPr>
        <w:t>naît son caractère pionnier et « pilote », une telle expérimentation est toutefois difficile à soutenir à plus grande échelle (Bernard, 2012</w:t>
      </w:r>
      <w:r w:rsidRPr="003221E6">
        <w:rPr>
          <w:i/>
          <w:iCs/>
          <w:sz w:val="24"/>
        </w:rPr>
        <w:t>a</w:t>
      </w:r>
      <w:r w:rsidRPr="003221E6">
        <w:rPr>
          <w:sz w:val="24"/>
        </w:rPr>
        <w:t xml:space="preserve">, Mahy, 2012). De multiples couches normatives régissent les dispositifs. Les normes relatives à </w:t>
      </w:r>
      <w:r w:rsidRPr="003221E6">
        <w:rPr>
          <w:sz w:val="24"/>
          <w:lang w:val="it-IT"/>
        </w:rPr>
        <w:t>l'am</w:t>
      </w:r>
      <w:r w:rsidRPr="003221E6">
        <w:rPr>
          <w:sz w:val="24"/>
        </w:rPr>
        <w:t>énagement du territoire d’une part, et celles concernant le logement d’autre part, contiennent des exigences de salubrité, de sécurité, et d’</w:t>
      </w:r>
      <w:r w:rsidRPr="003221E6">
        <w:rPr>
          <w:sz w:val="24"/>
          <w:lang w:val="pt-PT"/>
        </w:rPr>
        <w:t>habitabilit</w:t>
      </w:r>
      <w:r w:rsidRPr="003221E6">
        <w:rPr>
          <w:sz w:val="24"/>
        </w:rPr>
        <w:t>é, prescr</w:t>
      </w:r>
      <w:r w:rsidRPr="003221E6">
        <w:rPr>
          <w:sz w:val="24"/>
        </w:rPr>
        <w:t>i</w:t>
      </w:r>
      <w:r w:rsidRPr="003221E6">
        <w:rPr>
          <w:sz w:val="24"/>
        </w:rPr>
        <w:t>tes par deux ministères distincts. Ces normes relèvent ensuite d’une seule administration (régionale) qui, elle, veille à ce qu’elles soient appliquées par les pouvoirs communaux (Interreg IV, 2011 ; Bernard, 2014). Un logement étant défini par le Code wallon du logement comme un « bâtiment ou la partie de bâtiment structurellement destinée à l’habitation de un ou plusieurs ménages », une ro</w:t>
      </w:r>
      <w:r w:rsidRPr="003221E6">
        <w:rPr>
          <w:sz w:val="24"/>
        </w:rPr>
        <w:t>u</w:t>
      </w:r>
      <w:r w:rsidRPr="003221E6">
        <w:rPr>
          <w:sz w:val="24"/>
        </w:rPr>
        <w:t>lotte ou une caravane ne sont, de fait, pas considérés sur le plan de la réglementation comme des habitats (Bernard, 2012</w:t>
      </w:r>
      <w:r w:rsidRPr="003221E6">
        <w:rPr>
          <w:i/>
          <w:iCs/>
          <w:sz w:val="24"/>
        </w:rPr>
        <w:t>a</w:t>
      </w:r>
      <w:r w:rsidRPr="003221E6">
        <w:rPr>
          <w:sz w:val="24"/>
        </w:rPr>
        <w:t>). Néanmoins, afin d’assurer un minimum acceptable, des « critères min</w:t>
      </w:r>
      <w:r w:rsidRPr="003221E6">
        <w:rPr>
          <w:sz w:val="24"/>
        </w:rPr>
        <w:t>i</w:t>
      </w:r>
      <w:r w:rsidRPr="003221E6">
        <w:rPr>
          <w:sz w:val="24"/>
        </w:rPr>
        <w:t>maux de salubrité</w:t>
      </w:r>
      <w:r w:rsidRPr="003221E6">
        <w:rPr>
          <w:rFonts w:eastAsia="Times New Roman"/>
          <w:sz w:val="24"/>
          <w:vertAlign w:val="superscript"/>
        </w:rPr>
        <w:footnoteReference w:id="14"/>
      </w:r>
      <w:r w:rsidRPr="003221E6">
        <w:rPr>
          <w:sz w:val="24"/>
        </w:rPr>
        <w:t> » ont été introduits par l’administration (Jandrain, 2012 ; Bernard, 2012</w:t>
      </w:r>
      <w:r w:rsidRPr="003221E6">
        <w:rPr>
          <w:i/>
          <w:iCs/>
          <w:sz w:val="24"/>
        </w:rPr>
        <w:t>a</w:t>
      </w:r>
      <w:r w:rsidRPr="003221E6">
        <w:rPr>
          <w:sz w:val="24"/>
        </w:rPr>
        <w:t>). D</w:t>
      </w:r>
      <w:r w:rsidRPr="003221E6">
        <w:rPr>
          <w:sz w:val="24"/>
        </w:rPr>
        <w:t>e</w:t>
      </w:r>
      <w:r w:rsidRPr="003221E6">
        <w:rPr>
          <w:sz w:val="24"/>
        </w:rPr>
        <w:t>puis 2012, en considérant au sein de la législation « ces habitations qui ne sont pas des logements », l’article 22</w:t>
      </w:r>
      <w:r w:rsidRPr="003221E6">
        <w:rPr>
          <w:i/>
          <w:iCs/>
          <w:sz w:val="24"/>
        </w:rPr>
        <w:t>bis</w:t>
      </w:r>
      <w:r w:rsidRPr="003221E6">
        <w:rPr>
          <w:rFonts w:eastAsia="Times New Roman"/>
          <w:sz w:val="24"/>
          <w:vertAlign w:val="superscript"/>
        </w:rPr>
        <w:footnoteReference w:id="15"/>
      </w:r>
      <w:r w:rsidRPr="003221E6">
        <w:rPr>
          <w:i/>
          <w:iCs/>
          <w:sz w:val="24"/>
        </w:rPr>
        <w:t xml:space="preserve"> </w:t>
      </w:r>
      <w:r w:rsidRPr="003221E6">
        <w:rPr>
          <w:sz w:val="24"/>
        </w:rPr>
        <w:t xml:space="preserve">apporte une nuance qui peut être </w:t>
      </w:r>
      <w:r w:rsidRPr="003221E6">
        <w:rPr>
          <w:sz w:val="24"/>
          <w:lang w:val="it-IT"/>
        </w:rPr>
        <w:t>qualifi</w:t>
      </w:r>
      <w:r w:rsidRPr="003221E6">
        <w:rPr>
          <w:sz w:val="24"/>
        </w:rPr>
        <w:t>ée de « pied dans la porte » : il s’agit de leur reconnaissance implicite en tant que lieux de vie. Si un « travail de fixation de la norme procède d’une forme de consensus social’</w:t>
      </w:r>
      <w:r w:rsidRPr="003221E6">
        <w:rPr>
          <w:rFonts w:eastAsia="Times New Roman"/>
          <w:sz w:val="24"/>
          <w:vertAlign w:val="superscript"/>
        </w:rPr>
        <w:footnoteReference w:id="16"/>
      </w:r>
      <w:r w:rsidRPr="003221E6">
        <w:rPr>
          <w:sz w:val="24"/>
        </w:rPr>
        <w:t xml:space="preserve"> »,</w:t>
      </w:r>
      <w:r w:rsidRPr="003221E6">
        <w:rPr>
          <w:sz w:val="24"/>
          <w:u w:color="942092"/>
        </w:rPr>
        <w:t xml:space="preserve"> </w:t>
      </w:r>
      <w:r w:rsidRPr="003221E6">
        <w:rPr>
          <w:sz w:val="24"/>
        </w:rPr>
        <w:t>peut-on affirmer pour autant que les perspectives sont ouve</w:t>
      </w:r>
      <w:r w:rsidRPr="003221E6">
        <w:rPr>
          <w:sz w:val="24"/>
        </w:rPr>
        <w:t>r</w:t>
      </w:r>
      <w:r w:rsidRPr="003221E6">
        <w:rPr>
          <w:sz w:val="24"/>
        </w:rPr>
        <w:t xml:space="preserve">tes </w:t>
      </w:r>
      <w:r w:rsidRPr="003221E6">
        <w:rPr>
          <w:sz w:val="24"/>
          <w:lang w:val="sv-SE"/>
        </w:rPr>
        <w:t>(Jandrain,</w:t>
      </w:r>
      <w:r w:rsidRPr="003221E6">
        <w:rPr>
          <w:sz w:val="24"/>
        </w:rPr>
        <w:t xml:space="preserve"> 2012) ? « C’est précisément parce que ces formules alternatives connaissent l'e</w:t>
      </w:r>
      <w:r w:rsidRPr="003221E6">
        <w:rPr>
          <w:sz w:val="24"/>
        </w:rPr>
        <w:t>n</w:t>
      </w:r>
      <w:r w:rsidRPr="003221E6">
        <w:rPr>
          <w:sz w:val="24"/>
        </w:rPr>
        <w:t>gouement et prennent une certaine ampleur qu’elles se heurtent à une série d’obstacles juridiques : ces règles inadaptées à ces habitats ne s’inscrivent dans aucune des ‘cases’ pré</w:t>
      </w:r>
      <w:r w:rsidRPr="003221E6">
        <w:rPr>
          <w:sz w:val="24"/>
          <w:lang w:val="pt-PT"/>
        </w:rPr>
        <w:t>existantes</w:t>
      </w:r>
      <w:r w:rsidRPr="003221E6">
        <w:rPr>
          <w:rFonts w:eastAsia="Times New Roman"/>
          <w:sz w:val="24"/>
          <w:vertAlign w:val="superscript"/>
        </w:rPr>
        <w:footnoteReference w:id="17"/>
      </w:r>
      <w:r w:rsidRPr="003221E6">
        <w:rPr>
          <w:sz w:val="24"/>
          <w:lang w:val="pt-PT"/>
        </w:rPr>
        <w:t xml:space="preserve"> </w:t>
      </w:r>
      <w:r w:rsidRPr="003221E6">
        <w:rPr>
          <w:sz w:val="24"/>
        </w:rPr>
        <w:t>». Parmi les principales difficultés juridiques</w:t>
      </w:r>
      <w:r w:rsidRPr="003221E6">
        <w:rPr>
          <w:rFonts w:eastAsia="Times New Roman"/>
          <w:sz w:val="24"/>
          <w:vertAlign w:val="superscript"/>
        </w:rPr>
        <w:footnoteReference w:id="18"/>
      </w:r>
      <w:r w:rsidRPr="003221E6">
        <w:rPr>
          <w:sz w:val="24"/>
        </w:rPr>
        <w:t xml:space="preserve"> qu’éprouvent les porteurs de ces projets d’habitats alternatifs, le champ des normes dites de salubrité devient le lieu d’une interrogation plus générale sur les no</w:t>
      </w:r>
      <w:r w:rsidRPr="003221E6">
        <w:rPr>
          <w:sz w:val="24"/>
        </w:rPr>
        <w:t>r</w:t>
      </w:r>
      <w:r w:rsidRPr="003221E6">
        <w:rPr>
          <w:sz w:val="24"/>
        </w:rPr>
        <w:t>mes en matiè</w:t>
      </w:r>
      <w:r w:rsidR="002D0814">
        <w:rPr>
          <w:sz w:val="24"/>
        </w:rPr>
        <w:t>re de logement (Bernard, 2012).</w:t>
      </w:r>
    </w:p>
    <w:p w:rsidR="00990F6B" w:rsidRPr="003221E6" w:rsidRDefault="00990F6B" w:rsidP="002D0814">
      <w:pPr>
        <w:jc w:val="both"/>
        <w:rPr>
          <w:rFonts w:eastAsia="Times New Roman"/>
          <w:sz w:val="24"/>
        </w:rPr>
      </w:pPr>
    </w:p>
    <w:p w:rsidR="00990F6B" w:rsidRPr="002D0814" w:rsidRDefault="00990F6B" w:rsidP="002D0814">
      <w:pPr>
        <w:jc w:val="both"/>
        <w:rPr>
          <w:rFonts w:eastAsia="Times New Roman"/>
          <w:sz w:val="24"/>
        </w:rPr>
      </w:pPr>
      <w:r w:rsidRPr="003221E6">
        <w:rPr>
          <w:rFonts w:eastAsia="Times New Roman"/>
          <w:sz w:val="24"/>
        </w:rPr>
        <w:tab/>
      </w:r>
      <w:r w:rsidRPr="002D0814">
        <w:rPr>
          <w:rFonts w:eastAsia="Times New Roman"/>
          <w:sz w:val="24"/>
        </w:rPr>
        <w:t>Bien qu</w:t>
      </w:r>
      <w:r w:rsidRPr="002D0814">
        <w:rPr>
          <w:sz w:val="24"/>
        </w:rPr>
        <w:t>’elle ne s’ingère pas dans les modes de décision internes au quartier de la Baraque, la commune est, toutefois, juridiquement responsable (Jandrain, 2012). Suite à l’épisode malhe</w:t>
      </w:r>
      <w:r w:rsidRPr="002D0814">
        <w:rPr>
          <w:sz w:val="24"/>
        </w:rPr>
        <w:t>u</w:t>
      </w:r>
      <w:r w:rsidRPr="002D0814">
        <w:rPr>
          <w:sz w:val="24"/>
        </w:rPr>
        <w:t>reux que connut un squat proche du quartier</w:t>
      </w:r>
      <w:r w:rsidRPr="002D0814">
        <w:rPr>
          <w:rFonts w:eastAsia="Times New Roman"/>
          <w:sz w:val="24"/>
          <w:vertAlign w:val="superscript"/>
        </w:rPr>
        <w:footnoteReference w:id="19"/>
      </w:r>
      <w:r w:rsidRPr="002D0814">
        <w:rPr>
          <w:sz w:val="24"/>
        </w:rPr>
        <w:t>, les autorités poussent désormais la « zone expér</w:t>
      </w:r>
      <w:r w:rsidRPr="002D0814">
        <w:rPr>
          <w:sz w:val="24"/>
        </w:rPr>
        <w:t>i</w:t>
      </w:r>
      <w:r w:rsidRPr="002D0814">
        <w:rPr>
          <w:sz w:val="24"/>
        </w:rPr>
        <w:t>mentale</w:t>
      </w:r>
      <w:r w:rsidRPr="002D0814">
        <w:rPr>
          <w:rFonts w:eastAsia="Times New Roman"/>
          <w:sz w:val="24"/>
          <w:vertAlign w:val="superscript"/>
        </w:rPr>
        <w:footnoteReference w:id="20"/>
      </w:r>
      <w:r w:rsidRPr="002D0814">
        <w:rPr>
          <w:sz w:val="24"/>
        </w:rPr>
        <w:t>» à se régulariser. La mise en conformité avec les normes de sécurité devient centrale et fait ici figure de cheval de Troie : accès-pompiers, matériel incendie, installations en gaz et en éle</w:t>
      </w:r>
      <w:r w:rsidRPr="002D0814">
        <w:rPr>
          <w:sz w:val="24"/>
        </w:rPr>
        <w:t>c</w:t>
      </w:r>
      <w:r w:rsidRPr="002D0814">
        <w:rPr>
          <w:sz w:val="24"/>
        </w:rPr>
        <w:t>tricité, …, elle se traduit par toute une série de visites techniques avec des responsables administr</w:t>
      </w:r>
      <w:r w:rsidRPr="002D0814">
        <w:rPr>
          <w:sz w:val="24"/>
        </w:rPr>
        <w:t>a</w:t>
      </w:r>
      <w:r w:rsidRPr="002D0814">
        <w:rPr>
          <w:sz w:val="24"/>
        </w:rPr>
        <w:t xml:space="preserve">tifs. Les exigences générales de sécurité, de salubrité et d’équipement sanitaires, sur lesquelles les habitants du quartier ne cherchent pas à </w:t>
      </w:r>
      <w:r w:rsidRPr="002D0814">
        <w:rPr>
          <w:sz w:val="24"/>
          <w:lang w:val="da-DK"/>
        </w:rPr>
        <w:t xml:space="preserve">transiger </w:t>
      </w:r>
      <w:r w:rsidRPr="002D0814">
        <w:rPr>
          <w:sz w:val="24"/>
        </w:rPr>
        <w:t>lorsqu’elles sont en accord avec leurs propres cr</w:t>
      </w:r>
      <w:r w:rsidRPr="002D0814">
        <w:rPr>
          <w:sz w:val="24"/>
        </w:rPr>
        <w:t>i</w:t>
      </w:r>
      <w:r w:rsidRPr="002D0814">
        <w:rPr>
          <w:sz w:val="24"/>
        </w:rPr>
        <w:t>tères, sont, depuis, réalisées et soumises au contrôle des organismes agréés. Cependant, lorsqu’elles touchent, à coup de données statistiques censées leur conférer une valeur scientifique non négoci</w:t>
      </w:r>
      <w:r w:rsidRPr="002D0814">
        <w:rPr>
          <w:sz w:val="24"/>
        </w:rPr>
        <w:t>a</w:t>
      </w:r>
      <w:r w:rsidRPr="002D0814">
        <w:rPr>
          <w:sz w:val="24"/>
        </w:rPr>
        <w:t xml:space="preserve">ble, à la hauteur sous plafond, au taux d’éclairage naturel, à la </w:t>
      </w:r>
      <w:r w:rsidRPr="002D0814">
        <w:rPr>
          <w:sz w:val="24"/>
          <w:lang w:val="it-IT"/>
        </w:rPr>
        <w:t>superficie minimale,</w:t>
      </w:r>
      <w:r w:rsidRPr="002D0814">
        <w:rPr>
          <w:sz w:val="24"/>
        </w:rPr>
        <w:t xml:space="preserve"> à l’é</w:t>
      </w:r>
      <w:r w:rsidRPr="002D0814">
        <w:rPr>
          <w:sz w:val="24"/>
          <w:lang w:val="it-IT"/>
        </w:rPr>
        <w:t>tanch</w:t>
      </w:r>
      <w:r w:rsidRPr="002D0814">
        <w:rPr>
          <w:sz w:val="24"/>
        </w:rPr>
        <w:t xml:space="preserve">éité ou encore à la ventilation des logements, elles entrent frontalement en conflit avec la notion de « </w:t>
      </w:r>
      <w:r w:rsidRPr="002D0814">
        <w:rPr>
          <w:sz w:val="24"/>
          <w:lang w:val="it-IT"/>
        </w:rPr>
        <w:t>qual</w:t>
      </w:r>
      <w:r w:rsidRPr="002D0814">
        <w:rPr>
          <w:sz w:val="24"/>
          <w:lang w:val="it-IT"/>
        </w:rPr>
        <w:t>i</w:t>
      </w:r>
      <w:r w:rsidRPr="002D0814">
        <w:rPr>
          <w:sz w:val="24"/>
          <w:lang w:val="it-IT"/>
        </w:rPr>
        <w:t>t</w:t>
      </w:r>
      <w:r w:rsidRPr="002D0814">
        <w:rPr>
          <w:sz w:val="24"/>
        </w:rPr>
        <w:t>é de vie » matérialisée par les roulottes restaurées ainsi qu’avec les savoirs-faires mis en œuvre par leurs habitants. Les prescriptions normatives, élaborées en référence aux constructions conventio</w:t>
      </w:r>
      <w:r w:rsidRPr="002D0814">
        <w:rPr>
          <w:sz w:val="24"/>
        </w:rPr>
        <w:t>n</w:t>
      </w:r>
      <w:r w:rsidRPr="002D0814">
        <w:rPr>
          <w:sz w:val="24"/>
        </w:rPr>
        <w:t>nelles, et les conceptions revendiquées par les défenseurs de l’habitat « léger » ou « alternatif », reposant sur des ‘fondamentaux’ différents (Jandrain, 2012), ne trouvent plus de terrain d’entente pour un éventuel compromis et c’est la figure même de la norme comme standard de vie moyen qui revient ainsi au centre de la critique (Bernard, 2012). L'application uniforme des normes de log</w:t>
      </w:r>
      <w:r w:rsidRPr="002D0814">
        <w:rPr>
          <w:sz w:val="24"/>
        </w:rPr>
        <w:t>e</w:t>
      </w:r>
      <w:r w:rsidRPr="002D0814">
        <w:rPr>
          <w:sz w:val="24"/>
        </w:rPr>
        <w:t>ments à ces habitats, qui ont, pourtant, permis pour beaucoup d’accéder à un logement plus proche de leurs convenances, soulève la question des possibilités de concilier « le respect d’un corpus r</w:t>
      </w:r>
      <w:r w:rsidRPr="002D0814">
        <w:rPr>
          <w:sz w:val="24"/>
        </w:rPr>
        <w:t>é</w:t>
      </w:r>
      <w:r w:rsidRPr="002D0814">
        <w:rPr>
          <w:sz w:val="24"/>
        </w:rPr>
        <w:t>glementaire commun avec la souplesse que requiert la mise en place de ces solutions innovantes</w:t>
      </w:r>
      <w:r w:rsidRPr="002D0814">
        <w:rPr>
          <w:rFonts w:eastAsia="Times New Roman"/>
          <w:sz w:val="24"/>
          <w:vertAlign w:val="superscript"/>
        </w:rPr>
        <w:footnoteReference w:id="21"/>
      </w:r>
      <w:r w:rsidRPr="002D0814">
        <w:rPr>
          <w:sz w:val="24"/>
        </w:rPr>
        <w:t>».</w:t>
      </w:r>
      <w:r w:rsidRPr="002D0814">
        <w:rPr>
          <w:sz w:val="24"/>
          <w:u w:color="942092"/>
        </w:rPr>
        <w:t xml:space="preserve"> </w:t>
      </w:r>
      <w:r w:rsidRPr="002D0814">
        <w:rPr>
          <w:sz w:val="24"/>
        </w:rPr>
        <w:t>Pour les habitants du quartier de la Baraque, la question de la recherche de compromis avec la r</w:t>
      </w:r>
      <w:r w:rsidRPr="002D0814">
        <w:rPr>
          <w:sz w:val="24"/>
        </w:rPr>
        <w:t>é</w:t>
      </w:r>
      <w:r w:rsidRPr="002D0814">
        <w:rPr>
          <w:sz w:val="24"/>
        </w:rPr>
        <w:t xml:space="preserve">glementation soulève celle de la pérennité </w:t>
      </w:r>
      <w:r w:rsidRPr="002D0814">
        <w:rPr>
          <w:sz w:val="24"/>
          <w:lang w:val="pt-PT"/>
        </w:rPr>
        <w:t>des qualité</w:t>
      </w:r>
      <w:r w:rsidRPr="002D0814">
        <w:rPr>
          <w:sz w:val="24"/>
        </w:rPr>
        <w:t>s intrinsèques à ces modes ‘hors-normes’ d’habiter : autoconstruction, autogestion, économie de moyens et dimension collective.</w:t>
      </w:r>
    </w:p>
    <w:p w:rsidR="002D0814" w:rsidRDefault="002D0814" w:rsidP="002D0814">
      <w:pPr>
        <w:jc w:val="both"/>
        <w:rPr>
          <w:rFonts w:eastAsia="Helvetica"/>
          <w:sz w:val="40"/>
          <w:szCs w:val="40"/>
        </w:rPr>
      </w:pPr>
    </w:p>
    <w:p w:rsidR="002D0814" w:rsidRPr="003221E6" w:rsidRDefault="002D0814" w:rsidP="002D0814">
      <w:pPr>
        <w:jc w:val="both"/>
        <w:rPr>
          <w:rFonts w:eastAsia="Helvetica"/>
          <w:sz w:val="40"/>
          <w:szCs w:val="40"/>
        </w:rPr>
      </w:pPr>
    </w:p>
    <w:p w:rsidR="00990F6B" w:rsidRDefault="00990F6B" w:rsidP="002D0814">
      <w:pPr>
        <w:jc w:val="center"/>
        <w:rPr>
          <w:sz w:val="40"/>
          <w:szCs w:val="40"/>
        </w:rPr>
      </w:pPr>
      <w:r w:rsidRPr="003221E6">
        <w:rPr>
          <w:sz w:val="40"/>
          <w:szCs w:val="40"/>
        </w:rPr>
        <w:t>En conclusion</w:t>
      </w:r>
    </w:p>
    <w:p w:rsidR="002D0814" w:rsidRPr="003221E6" w:rsidRDefault="002D0814" w:rsidP="002D0814">
      <w:pPr>
        <w:jc w:val="center"/>
        <w:rPr>
          <w:rFonts w:eastAsia="Times New Roman"/>
          <w:sz w:val="24"/>
          <w:u w:color="932091"/>
        </w:rPr>
      </w:pPr>
    </w:p>
    <w:p w:rsidR="00990F6B" w:rsidRDefault="00990F6B" w:rsidP="002D0814">
      <w:pPr>
        <w:jc w:val="both"/>
        <w:rPr>
          <w:sz w:val="24"/>
        </w:rPr>
      </w:pPr>
      <w:r w:rsidRPr="003221E6">
        <w:rPr>
          <w:rFonts w:eastAsia="Times New Roman"/>
          <w:sz w:val="24"/>
          <w:u w:color="932091"/>
        </w:rPr>
        <w:tab/>
      </w:r>
      <w:r w:rsidRPr="003221E6">
        <w:rPr>
          <w:sz w:val="24"/>
        </w:rPr>
        <w:t xml:space="preserve">L’autoconstruction d’un habitat léger relevant, pour certains, d’une pratique « </w:t>
      </w:r>
      <w:r w:rsidRPr="003221E6">
        <w:rPr>
          <w:sz w:val="24"/>
          <w:lang w:val="it-IT"/>
        </w:rPr>
        <w:t xml:space="preserve">marginale, difficile </w:t>
      </w:r>
      <w:r w:rsidRPr="003221E6">
        <w:rPr>
          <w:sz w:val="24"/>
        </w:rPr>
        <w:t>et désuète</w:t>
      </w:r>
      <w:r w:rsidRPr="003221E6">
        <w:rPr>
          <w:rFonts w:eastAsia="Times New Roman"/>
          <w:sz w:val="24"/>
          <w:vertAlign w:val="superscript"/>
        </w:rPr>
        <w:footnoteReference w:id="22"/>
      </w:r>
      <w:r w:rsidRPr="003221E6">
        <w:rPr>
          <w:sz w:val="24"/>
        </w:rPr>
        <w:t> » au sein d’une société o</w:t>
      </w:r>
      <w:r w:rsidRPr="003221E6">
        <w:rPr>
          <w:sz w:val="24"/>
          <w:lang w:val="it-IT"/>
        </w:rPr>
        <w:t>ù la propri</w:t>
      </w:r>
      <w:r w:rsidRPr="003221E6">
        <w:rPr>
          <w:sz w:val="24"/>
        </w:rPr>
        <w:t>été d’un logement en briques l’emporte</w:t>
      </w:r>
      <w:r w:rsidRPr="003221E6">
        <w:rPr>
          <w:rFonts w:eastAsia="Times New Roman"/>
          <w:sz w:val="24"/>
          <w:vertAlign w:val="superscript"/>
        </w:rPr>
        <w:footnoteReference w:id="23"/>
      </w:r>
      <w:r w:rsidRPr="003221E6">
        <w:rPr>
          <w:sz w:val="24"/>
        </w:rPr>
        <w:t>, d’autres interprétations médiatiques l’ont d’emblée associée à la précarité, inséparable du préjugé de salubrité</w:t>
      </w:r>
      <w:r w:rsidRPr="003221E6">
        <w:rPr>
          <w:rFonts w:eastAsia="Times New Roman"/>
          <w:sz w:val="24"/>
          <w:vertAlign w:val="superscript"/>
        </w:rPr>
        <w:footnoteReference w:id="24"/>
      </w:r>
      <w:r w:rsidRPr="003221E6">
        <w:rPr>
          <w:sz w:val="24"/>
        </w:rPr>
        <w:t xml:space="preserve"> (Interreg IV, 2011). Ces considérations</w:t>
      </w:r>
      <w:r w:rsidRPr="003221E6">
        <w:rPr>
          <w:sz w:val="24"/>
          <w:u w:color="AB27A9"/>
        </w:rPr>
        <w:t xml:space="preserve"> </w:t>
      </w:r>
      <w:r w:rsidRPr="003221E6">
        <w:rPr>
          <w:sz w:val="24"/>
        </w:rPr>
        <w:t>spécieuses</w:t>
      </w:r>
      <w:r w:rsidRPr="003221E6">
        <w:rPr>
          <w:sz w:val="24"/>
          <w:u w:color="AB27A9"/>
        </w:rPr>
        <w:t xml:space="preserve">, </w:t>
      </w:r>
      <w:r w:rsidRPr="003221E6">
        <w:rPr>
          <w:sz w:val="24"/>
        </w:rPr>
        <w:t xml:space="preserve">entretenues par la méfiance que suscitait ce défi envers l’« </w:t>
      </w:r>
      <w:r w:rsidRPr="003221E6">
        <w:rPr>
          <w:sz w:val="24"/>
          <w:lang w:val="da-DK"/>
        </w:rPr>
        <w:t xml:space="preserve">ordre </w:t>
      </w:r>
      <w:r w:rsidRPr="003221E6">
        <w:rPr>
          <w:sz w:val="24"/>
        </w:rPr>
        <w:t>» culturel établi,</w:t>
      </w:r>
      <w:r w:rsidRPr="003221E6">
        <w:rPr>
          <w:sz w:val="24"/>
          <w:u w:color="AB27A9"/>
        </w:rPr>
        <w:t xml:space="preserve"> </w:t>
      </w:r>
      <w:r w:rsidRPr="003221E6">
        <w:rPr>
          <w:sz w:val="24"/>
        </w:rPr>
        <w:t>a conduit les habitants du quartier à vouloir s’émanciper des niches de marginalité auxquelles ils risquaient d’être relégués (Bernard, 2012</w:t>
      </w:r>
      <w:r w:rsidRPr="003221E6">
        <w:rPr>
          <w:i/>
          <w:iCs/>
          <w:sz w:val="24"/>
        </w:rPr>
        <w:t>a</w:t>
      </w:r>
      <w:r w:rsidRPr="003221E6">
        <w:rPr>
          <w:sz w:val="24"/>
        </w:rPr>
        <w:t>). En décidant de médiatiser eux-mêmes</w:t>
      </w:r>
      <w:r w:rsidRPr="003221E6">
        <w:rPr>
          <w:rFonts w:eastAsia="Times New Roman"/>
          <w:sz w:val="24"/>
          <w:vertAlign w:val="superscript"/>
        </w:rPr>
        <w:footnoteReference w:id="25"/>
      </w:r>
      <w:r w:rsidRPr="003221E6">
        <w:rPr>
          <w:sz w:val="24"/>
        </w:rPr>
        <w:t xml:space="preserve"> les réalités et les raisons de leur engagement, les habitants du quartier de la Baraque ont voulu déjouer un tel risque. Ils présentent ainsi ces dispositifs « comme des formules dominantes de l’habitat de demain</w:t>
      </w:r>
      <w:r w:rsidRPr="003221E6">
        <w:rPr>
          <w:rFonts w:eastAsia="Times New Roman"/>
          <w:sz w:val="24"/>
          <w:vertAlign w:val="superscript"/>
        </w:rPr>
        <w:footnoteReference w:id="26"/>
      </w:r>
      <w:r w:rsidRPr="003221E6">
        <w:rPr>
          <w:sz w:val="24"/>
        </w:rPr>
        <w:t> » même si la situation juridique illégale dans l</w:t>
      </w:r>
      <w:r w:rsidRPr="003221E6">
        <w:rPr>
          <w:sz w:val="24"/>
        </w:rPr>
        <w:t>a</w:t>
      </w:r>
      <w:r w:rsidRPr="003221E6">
        <w:rPr>
          <w:sz w:val="24"/>
        </w:rPr>
        <w:t>quelle ils se trouvent les a astreint, dans un premier temps, à observer</w:t>
      </w:r>
      <w:r w:rsidRPr="003221E6">
        <w:rPr>
          <w:sz w:val="24"/>
          <w:u w:color="942092"/>
        </w:rPr>
        <w:t xml:space="preserve"> </w:t>
      </w:r>
      <w:r w:rsidRPr="003221E6">
        <w:rPr>
          <w:sz w:val="24"/>
          <w:lang w:val="it-IT"/>
        </w:rPr>
        <w:t>le dicton</w:t>
      </w:r>
      <w:r w:rsidRPr="003221E6">
        <w:rPr>
          <w:sz w:val="24"/>
          <w:u w:color="942092"/>
        </w:rPr>
        <w:t xml:space="preserve"> </w:t>
      </w:r>
      <w:r w:rsidRPr="003221E6">
        <w:rPr>
          <w:sz w:val="24"/>
        </w:rPr>
        <w:t>« pour vivre he</w:t>
      </w:r>
      <w:r w:rsidRPr="003221E6">
        <w:rPr>
          <w:sz w:val="24"/>
        </w:rPr>
        <w:t>u</w:t>
      </w:r>
      <w:r w:rsidRPr="003221E6">
        <w:rPr>
          <w:sz w:val="24"/>
        </w:rPr>
        <w:t>reux, vivons cachés »</w:t>
      </w:r>
      <w:r w:rsidRPr="003221E6">
        <w:rPr>
          <w:sz w:val="24"/>
          <w:u w:color="942092"/>
        </w:rPr>
        <w:t xml:space="preserve"> </w:t>
      </w:r>
      <w:r w:rsidRPr="003221E6">
        <w:rPr>
          <w:sz w:val="24"/>
        </w:rPr>
        <w:t>(De Moffarts d’Houchenée, 2012).</w:t>
      </w:r>
    </w:p>
    <w:p w:rsidR="002D0814" w:rsidRPr="003221E6" w:rsidRDefault="002D0814" w:rsidP="002D0814">
      <w:pPr>
        <w:jc w:val="both"/>
        <w:rPr>
          <w:rFonts w:eastAsia="Times New Roman"/>
          <w:sz w:val="24"/>
        </w:rPr>
      </w:pPr>
    </w:p>
    <w:p w:rsidR="002D0814" w:rsidRDefault="00990F6B" w:rsidP="002D0814">
      <w:pPr>
        <w:jc w:val="both"/>
        <w:rPr>
          <w:sz w:val="24"/>
        </w:rPr>
      </w:pPr>
      <w:r w:rsidRPr="003221E6">
        <w:rPr>
          <w:rFonts w:eastAsia="Times New Roman"/>
          <w:sz w:val="24"/>
        </w:rPr>
        <w:tab/>
      </w:r>
      <w:r w:rsidRPr="003221E6">
        <w:rPr>
          <w:sz w:val="24"/>
        </w:rPr>
        <w:t>Le nombre croissant de visiteurs que le quartier alternatif de la Baraque reçoit (ou subit…), a dû être canalisé par l’organisation de visites guidées</w:t>
      </w:r>
      <w:r w:rsidRPr="003221E6">
        <w:rPr>
          <w:rFonts w:eastAsia="Times New Roman"/>
          <w:sz w:val="24"/>
          <w:vertAlign w:val="superscript"/>
        </w:rPr>
        <w:footnoteReference w:id="27"/>
      </w:r>
      <w:r w:rsidRPr="003221E6">
        <w:rPr>
          <w:sz w:val="24"/>
        </w:rPr>
        <w:t>. Planifiées et menées par un habitant du quartier, elles font réponse aux nombreuses sollicitations et questionnements quant à leurs choix de vie. C'est aussi une solution à l’invasion des curieux isolés, qui s’aventurent sur le seuil des maisons ou passent la tête par les fenêtres de ces logements qui leur paraissent si incongrus. Touchés par un cadre de vie associatif, par les possibilités architecturales centrées sur le développement de la pe</w:t>
      </w:r>
      <w:r w:rsidRPr="003221E6">
        <w:rPr>
          <w:sz w:val="24"/>
        </w:rPr>
        <w:t>r</w:t>
      </w:r>
      <w:r w:rsidRPr="003221E6">
        <w:rPr>
          <w:sz w:val="24"/>
        </w:rPr>
        <w:t>sonne, ou venant s’enquérir d’une gamme de possibilités d’habitats économiques à faible empreinte écologique, les réactions parfois exaltées de ces publics, aujourd’hui plus élargis, révèlent en contre-point la pesanteur des principes de propriété privée conventionnels. Si le quartier de la Bar</w:t>
      </w:r>
      <w:r w:rsidRPr="003221E6">
        <w:rPr>
          <w:sz w:val="24"/>
        </w:rPr>
        <w:t>a</w:t>
      </w:r>
      <w:r w:rsidRPr="003221E6">
        <w:rPr>
          <w:sz w:val="24"/>
        </w:rPr>
        <w:t>que bénéficie aujourd’hui d’</w:t>
      </w:r>
      <w:r w:rsidRPr="003221E6">
        <w:rPr>
          <w:sz w:val="24"/>
          <w:lang w:val="it-IT"/>
        </w:rPr>
        <w:t>appr</w:t>
      </w:r>
      <w:r w:rsidRPr="003221E6">
        <w:rPr>
          <w:sz w:val="24"/>
        </w:rPr>
        <w:t>éciations positives, l’intérêt de ces explications par l’exemple vise, pour beaucoup, à réduire les préjugés culturels. A la lutte frontale, ils préfèrent et développent ainsi une modalité de résistance plus adaptée à l’as</w:t>
      </w:r>
      <w:r w:rsidR="002D0814">
        <w:rPr>
          <w:sz w:val="24"/>
        </w:rPr>
        <w:t>ymétrie des forces en jeu.</w:t>
      </w:r>
    </w:p>
    <w:p w:rsidR="002D0814" w:rsidRDefault="002D0814" w:rsidP="002D0814">
      <w:pPr>
        <w:jc w:val="both"/>
        <w:rPr>
          <w:sz w:val="24"/>
        </w:rPr>
      </w:pPr>
    </w:p>
    <w:p w:rsidR="002D0814" w:rsidRPr="003221E6" w:rsidRDefault="002D0814" w:rsidP="002D0814">
      <w:pPr>
        <w:jc w:val="both"/>
        <w:rPr>
          <w:rFonts w:eastAsia="Times New Roman"/>
          <w:sz w:val="24"/>
        </w:rPr>
      </w:pPr>
    </w:p>
    <w:p w:rsidR="002D0814" w:rsidRPr="0018539E" w:rsidRDefault="00990F6B" w:rsidP="002D0814">
      <w:pPr>
        <w:jc w:val="both"/>
        <w:rPr>
          <w:b/>
          <w:bCs/>
          <w:sz w:val="24"/>
          <w:u w:color="932091"/>
        </w:rPr>
      </w:pPr>
      <w:r w:rsidRPr="0018539E">
        <w:rPr>
          <w:b/>
          <w:bCs/>
          <w:sz w:val="24"/>
          <w:u w:color="932091"/>
        </w:rPr>
        <w:t>Bibliographie</w:t>
      </w:r>
    </w:p>
    <w:p w:rsidR="00990F6B" w:rsidRPr="003221E6" w:rsidRDefault="00990F6B" w:rsidP="002D0814">
      <w:pPr>
        <w:jc w:val="both"/>
        <w:rPr>
          <w:rFonts w:eastAsia="Times New Roman"/>
          <w:sz w:val="24"/>
        </w:rPr>
      </w:pPr>
      <w:r w:rsidRPr="003221E6">
        <w:rPr>
          <w:sz w:val="24"/>
        </w:rPr>
        <w:t>Bernard N. (2012</w:t>
      </w:r>
      <w:r w:rsidRPr="003221E6">
        <w:rPr>
          <w:i/>
          <w:iCs/>
          <w:sz w:val="24"/>
        </w:rPr>
        <w:t>a</w:t>
      </w:r>
      <w:r w:rsidRPr="003221E6">
        <w:rPr>
          <w:sz w:val="24"/>
        </w:rPr>
        <w:t xml:space="preserve">), «  L’habitat alternatif face au droit  », dans Bernard N. (Dir),  </w:t>
      </w:r>
      <w:r w:rsidRPr="003221E6">
        <w:rPr>
          <w:i/>
          <w:iCs/>
          <w:sz w:val="24"/>
        </w:rPr>
        <w:t xml:space="preserve">La norme </w:t>
      </w:r>
      <w:r w:rsidRPr="003221E6">
        <w:rPr>
          <w:sz w:val="24"/>
        </w:rPr>
        <w:t xml:space="preserve">à </w:t>
      </w:r>
      <w:r w:rsidRPr="003221E6">
        <w:rPr>
          <w:sz w:val="24"/>
        </w:rPr>
        <w:tab/>
      </w:r>
      <w:r w:rsidRPr="003221E6">
        <w:rPr>
          <w:sz w:val="24"/>
        </w:rPr>
        <w:tab/>
      </w:r>
      <w:r w:rsidRPr="003221E6">
        <w:rPr>
          <w:i/>
          <w:iCs/>
          <w:sz w:val="24"/>
        </w:rPr>
        <w:t>l</w:t>
      </w:r>
      <w:r w:rsidRPr="003221E6">
        <w:rPr>
          <w:sz w:val="24"/>
        </w:rPr>
        <w:t>’é</w:t>
      </w:r>
      <w:r w:rsidRPr="003221E6">
        <w:rPr>
          <w:i/>
          <w:iCs/>
          <w:sz w:val="24"/>
        </w:rPr>
        <w:t>preuve de l</w:t>
      </w:r>
      <w:r w:rsidRPr="003221E6">
        <w:rPr>
          <w:sz w:val="24"/>
        </w:rPr>
        <w:t>’</w:t>
      </w:r>
      <w:r w:rsidRPr="003221E6">
        <w:rPr>
          <w:i/>
          <w:iCs/>
          <w:sz w:val="24"/>
        </w:rPr>
        <w:t>habitat alternatif. Actes du colloque organis</w:t>
      </w:r>
      <w:r w:rsidRPr="003221E6">
        <w:rPr>
          <w:sz w:val="24"/>
        </w:rPr>
        <w:t xml:space="preserve">é </w:t>
      </w:r>
      <w:r w:rsidRPr="003221E6">
        <w:rPr>
          <w:i/>
          <w:iCs/>
          <w:sz w:val="24"/>
        </w:rPr>
        <w:t xml:space="preserve">le 23 novembre 2012 par le </w:t>
      </w:r>
      <w:r w:rsidRPr="003221E6">
        <w:rPr>
          <w:i/>
          <w:iCs/>
          <w:sz w:val="24"/>
        </w:rPr>
        <w:tab/>
      </w:r>
      <w:r w:rsidRPr="003221E6">
        <w:rPr>
          <w:i/>
          <w:iCs/>
          <w:sz w:val="24"/>
        </w:rPr>
        <w:tab/>
        <w:t>conseil sup</w:t>
      </w:r>
      <w:r w:rsidRPr="003221E6">
        <w:rPr>
          <w:sz w:val="24"/>
        </w:rPr>
        <w:t>é</w:t>
      </w:r>
      <w:r w:rsidRPr="003221E6">
        <w:rPr>
          <w:i/>
          <w:iCs/>
          <w:sz w:val="24"/>
        </w:rPr>
        <w:t>rieur du logement de Wallonie</w:t>
      </w:r>
      <w:r w:rsidRPr="003221E6">
        <w:rPr>
          <w:sz w:val="24"/>
        </w:rPr>
        <w:t>, Bruxelles, La Charte, p. 63-91.</w:t>
      </w:r>
    </w:p>
    <w:p w:rsidR="00990F6B" w:rsidRPr="003221E6" w:rsidRDefault="00990F6B" w:rsidP="002D0814">
      <w:pPr>
        <w:jc w:val="both"/>
        <w:rPr>
          <w:rFonts w:eastAsia="Times New Roman"/>
          <w:sz w:val="24"/>
        </w:rPr>
      </w:pPr>
      <w:r w:rsidRPr="003221E6">
        <w:rPr>
          <w:sz w:val="24"/>
        </w:rPr>
        <w:t>Bernard N. (2012</w:t>
      </w:r>
      <w:r w:rsidRPr="003221E6">
        <w:rPr>
          <w:i/>
          <w:iCs/>
          <w:sz w:val="24"/>
        </w:rPr>
        <w:t>b</w:t>
      </w:r>
      <w:r w:rsidRPr="003221E6">
        <w:rPr>
          <w:sz w:val="24"/>
        </w:rPr>
        <w:t xml:space="preserve">), «  (In)Suffisamment souples et évolutives, les normes wallonnes de  </w:t>
      </w:r>
      <w:r w:rsidRPr="003221E6">
        <w:rPr>
          <w:sz w:val="24"/>
        </w:rPr>
        <w:tab/>
      </w:r>
      <w:r w:rsidRPr="003221E6">
        <w:rPr>
          <w:sz w:val="24"/>
        </w:rPr>
        <w:tab/>
        <w:t>salubrité ?  »,</w:t>
      </w:r>
      <w:r w:rsidRPr="003221E6">
        <w:rPr>
          <w:sz w:val="24"/>
          <w:u w:color="FE2600"/>
        </w:rPr>
        <w:t xml:space="preserve">  </w:t>
      </w:r>
      <w:r w:rsidRPr="003221E6">
        <w:rPr>
          <w:i/>
          <w:iCs/>
          <w:sz w:val="24"/>
        </w:rPr>
        <w:t>Les Echos</w:t>
      </w:r>
      <w:r w:rsidRPr="003221E6">
        <w:rPr>
          <w:sz w:val="24"/>
        </w:rPr>
        <w:t xml:space="preserve">, 2, </w:t>
      </w:r>
      <w:r w:rsidRPr="003221E6">
        <w:rPr>
          <w:i/>
          <w:iCs/>
          <w:sz w:val="24"/>
        </w:rPr>
        <w:t>Crise du logement : d</w:t>
      </w:r>
      <w:r w:rsidRPr="003221E6">
        <w:rPr>
          <w:sz w:val="24"/>
        </w:rPr>
        <w:t>’</w:t>
      </w:r>
      <w:r w:rsidRPr="003221E6">
        <w:rPr>
          <w:i/>
          <w:iCs/>
          <w:sz w:val="24"/>
        </w:rPr>
        <w:t>alternatives en perspectives</w:t>
      </w:r>
      <w:r w:rsidRPr="003221E6">
        <w:rPr>
          <w:sz w:val="24"/>
        </w:rPr>
        <w:t>, p. 3-6.</w:t>
      </w:r>
    </w:p>
    <w:p w:rsidR="00990F6B" w:rsidRPr="003221E6" w:rsidRDefault="00990F6B" w:rsidP="002D0814">
      <w:pPr>
        <w:jc w:val="both"/>
        <w:rPr>
          <w:rFonts w:eastAsia="Times New Roman"/>
          <w:sz w:val="24"/>
        </w:rPr>
      </w:pPr>
      <w:r w:rsidRPr="003221E6">
        <w:rPr>
          <w:sz w:val="24"/>
        </w:rPr>
        <w:t xml:space="preserve">Bernard N. (2014), «  Règles régionales de salubrité, logement social et droit au logement : </w:t>
      </w:r>
      <w:r w:rsidRPr="003221E6">
        <w:rPr>
          <w:sz w:val="24"/>
        </w:rPr>
        <w:tab/>
      </w:r>
      <w:r w:rsidRPr="003221E6">
        <w:rPr>
          <w:sz w:val="24"/>
        </w:rPr>
        <w:tab/>
        <w:t xml:space="preserve">développements récents », dans B. Kohl (Dir), </w:t>
      </w:r>
      <w:r w:rsidRPr="003221E6">
        <w:rPr>
          <w:i/>
          <w:iCs/>
          <w:sz w:val="24"/>
        </w:rPr>
        <w:t>Le bail</w:t>
      </w:r>
      <w:r w:rsidRPr="003221E6">
        <w:rPr>
          <w:sz w:val="24"/>
        </w:rPr>
        <w:t>, Bruxelles, Larcier, p. 267-366.</w:t>
      </w:r>
    </w:p>
    <w:p w:rsidR="00990F6B" w:rsidRPr="003221E6" w:rsidRDefault="00990F6B" w:rsidP="002D0814">
      <w:pPr>
        <w:jc w:val="both"/>
        <w:rPr>
          <w:rFonts w:eastAsia="Times New Roman"/>
          <w:sz w:val="24"/>
          <w:lang w:val="da-DK"/>
        </w:rPr>
      </w:pPr>
      <w:r w:rsidRPr="003221E6">
        <w:rPr>
          <w:sz w:val="24"/>
        </w:rPr>
        <w:t xml:space="preserve">Bernardot M., A. Lemarchand et C. Santania Bucio (Dir) (2014), </w:t>
      </w:r>
      <w:r w:rsidRPr="003221E6">
        <w:rPr>
          <w:i/>
          <w:iCs/>
          <w:sz w:val="24"/>
        </w:rPr>
        <w:t xml:space="preserve">Habitats non-ordinaires et </w:t>
      </w:r>
      <w:r w:rsidRPr="003221E6">
        <w:rPr>
          <w:i/>
          <w:iCs/>
          <w:sz w:val="24"/>
        </w:rPr>
        <w:tab/>
      </w:r>
      <w:r w:rsidRPr="003221E6">
        <w:rPr>
          <w:i/>
          <w:iCs/>
          <w:sz w:val="24"/>
        </w:rPr>
        <w:tab/>
        <w:t>espaces-temps de  la mobilit</w:t>
      </w:r>
      <w:r w:rsidRPr="003221E6">
        <w:rPr>
          <w:sz w:val="24"/>
        </w:rPr>
        <w:t>é,</w:t>
      </w:r>
      <w:r w:rsidRPr="003221E6">
        <w:rPr>
          <w:sz w:val="24"/>
          <w:u w:color="FE2600"/>
        </w:rPr>
        <w:t xml:space="preserve"> </w:t>
      </w:r>
      <w:r w:rsidRPr="003221E6">
        <w:rPr>
          <w:sz w:val="24"/>
        </w:rPr>
        <w:t>Bellecombe en Bauges, Editions du Croquant.</w:t>
      </w:r>
    </w:p>
    <w:p w:rsidR="00990F6B" w:rsidRPr="003221E6" w:rsidRDefault="00990F6B" w:rsidP="002D0814">
      <w:pPr>
        <w:jc w:val="both"/>
        <w:rPr>
          <w:rFonts w:eastAsia="Times New Roman"/>
          <w:sz w:val="24"/>
        </w:rPr>
      </w:pPr>
      <w:r w:rsidRPr="003221E6">
        <w:rPr>
          <w:sz w:val="24"/>
          <w:lang w:val="da-DK"/>
        </w:rPr>
        <w:t xml:space="preserve">Dardenne R.-P. (2012), </w:t>
      </w:r>
      <w:r w:rsidRPr="003221E6">
        <w:rPr>
          <w:sz w:val="24"/>
        </w:rPr>
        <w:t xml:space="preserve">«  La Baraque, un quartier alternatif  », </w:t>
      </w:r>
      <w:r w:rsidRPr="003221E6">
        <w:rPr>
          <w:i/>
          <w:iCs/>
          <w:sz w:val="24"/>
        </w:rPr>
        <w:t>Les Cahiers Nouveaux</w:t>
      </w:r>
      <w:r w:rsidRPr="003221E6">
        <w:rPr>
          <w:sz w:val="24"/>
        </w:rPr>
        <w:t xml:space="preserve">, 84, </w:t>
      </w:r>
      <w:r w:rsidRPr="003221E6">
        <w:rPr>
          <w:i/>
          <w:iCs/>
          <w:sz w:val="24"/>
        </w:rPr>
        <w:t xml:space="preserve">Habiter </w:t>
      </w:r>
      <w:r w:rsidRPr="003221E6">
        <w:rPr>
          <w:i/>
          <w:iCs/>
          <w:sz w:val="24"/>
        </w:rPr>
        <w:tab/>
        <w:t>autrement</w:t>
      </w:r>
      <w:r w:rsidRPr="003221E6">
        <w:rPr>
          <w:sz w:val="24"/>
        </w:rPr>
        <w:t xml:space="preserve">, </w:t>
      </w:r>
      <w:r w:rsidRPr="003221E6">
        <w:rPr>
          <w:sz w:val="24"/>
        </w:rPr>
        <w:tab/>
        <w:t>p. 4-24.</w:t>
      </w:r>
    </w:p>
    <w:p w:rsidR="00990F6B" w:rsidRPr="003221E6" w:rsidRDefault="00990F6B" w:rsidP="002D0814">
      <w:pPr>
        <w:jc w:val="both"/>
        <w:rPr>
          <w:rFonts w:eastAsia="Times New Roman"/>
          <w:sz w:val="24"/>
        </w:rPr>
      </w:pPr>
      <w:r w:rsidRPr="003221E6">
        <w:rPr>
          <w:sz w:val="24"/>
        </w:rPr>
        <w:t xml:space="preserve">Debuigne B. et P. Thys, (2008), «  Habitat groupé et communauté  », </w:t>
      </w:r>
      <w:r w:rsidRPr="003221E6">
        <w:rPr>
          <w:i/>
          <w:iCs/>
          <w:sz w:val="24"/>
        </w:rPr>
        <w:t>La Revue Nouvelle</w:t>
      </w:r>
      <w:r w:rsidRPr="003221E6">
        <w:rPr>
          <w:sz w:val="24"/>
        </w:rPr>
        <w:t>, p. 62-66.</w:t>
      </w:r>
    </w:p>
    <w:p w:rsidR="00990F6B" w:rsidRPr="003221E6" w:rsidRDefault="00990F6B" w:rsidP="002D0814">
      <w:pPr>
        <w:jc w:val="both"/>
        <w:rPr>
          <w:rFonts w:eastAsia="Times New Roman"/>
          <w:sz w:val="24"/>
        </w:rPr>
      </w:pPr>
      <w:r w:rsidRPr="003221E6">
        <w:rPr>
          <w:sz w:val="24"/>
        </w:rPr>
        <w:t>De Moffarts d’Houchenée A. (2011), «  Serres (Clos des</w:t>
      </w:r>
      <w:r w:rsidRPr="003221E6">
        <w:rPr>
          <w:i/>
          <w:iCs/>
          <w:sz w:val="24"/>
        </w:rPr>
        <w:t>)</w:t>
      </w:r>
      <w:r w:rsidRPr="003221E6">
        <w:rPr>
          <w:sz w:val="24"/>
        </w:rPr>
        <w:t xml:space="preserve">  », dans Courtois L. (Dir),  </w:t>
      </w:r>
      <w:r w:rsidRPr="003221E6">
        <w:rPr>
          <w:i/>
          <w:iCs/>
          <w:sz w:val="24"/>
        </w:rPr>
        <w:t>M</w:t>
      </w:r>
      <w:r w:rsidRPr="003221E6">
        <w:rPr>
          <w:sz w:val="24"/>
        </w:rPr>
        <w:t>é</w:t>
      </w:r>
      <w:r w:rsidRPr="003221E6">
        <w:rPr>
          <w:i/>
          <w:iCs/>
          <w:sz w:val="24"/>
        </w:rPr>
        <w:t xml:space="preserve">moires de </w:t>
      </w:r>
      <w:r w:rsidRPr="003221E6">
        <w:rPr>
          <w:i/>
          <w:iCs/>
          <w:sz w:val="24"/>
        </w:rPr>
        <w:tab/>
        <w:t xml:space="preserve">Wallonie. Les rues de Louvain-la-Neuve racontent, </w:t>
      </w:r>
      <w:r w:rsidRPr="003221E6">
        <w:rPr>
          <w:sz w:val="24"/>
        </w:rPr>
        <w:t xml:space="preserve">Louvain-la-Neuve, Publications de la </w:t>
      </w:r>
      <w:r w:rsidRPr="003221E6">
        <w:rPr>
          <w:sz w:val="24"/>
        </w:rPr>
        <w:tab/>
      </w:r>
      <w:r w:rsidRPr="003221E6">
        <w:rPr>
          <w:sz w:val="24"/>
        </w:rPr>
        <w:tab/>
        <w:t>Fondation wallonne, 6, p. 413 - 415.</w:t>
      </w:r>
    </w:p>
    <w:p w:rsidR="00990F6B" w:rsidRPr="003221E6" w:rsidRDefault="00990F6B" w:rsidP="002D0814">
      <w:pPr>
        <w:jc w:val="both"/>
        <w:rPr>
          <w:rFonts w:eastAsia="Times New Roman"/>
          <w:sz w:val="24"/>
        </w:rPr>
      </w:pPr>
      <w:r w:rsidRPr="003221E6">
        <w:rPr>
          <w:sz w:val="24"/>
        </w:rPr>
        <w:t xml:space="preserve">De Moffarts d’Houchenée A. (2012), «  Normes et autoconstruction  », dans Bernard N. (Dir),  </w:t>
      </w:r>
      <w:r w:rsidRPr="003221E6">
        <w:rPr>
          <w:i/>
          <w:iCs/>
          <w:sz w:val="24"/>
        </w:rPr>
        <w:t xml:space="preserve">La </w:t>
      </w:r>
      <w:r w:rsidRPr="003221E6">
        <w:rPr>
          <w:i/>
          <w:iCs/>
          <w:sz w:val="24"/>
        </w:rPr>
        <w:tab/>
        <w:t xml:space="preserve">norme </w:t>
      </w:r>
      <w:r w:rsidRPr="003221E6">
        <w:rPr>
          <w:sz w:val="24"/>
        </w:rPr>
        <w:t xml:space="preserve">à </w:t>
      </w:r>
      <w:r w:rsidRPr="003221E6">
        <w:rPr>
          <w:i/>
          <w:iCs/>
          <w:sz w:val="24"/>
        </w:rPr>
        <w:t>l</w:t>
      </w:r>
      <w:r w:rsidRPr="003221E6">
        <w:rPr>
          <w:sz w:val="24"/>
        </w:rPr>
        <w:t>’é</w:t>
      </w:r>
      <w:r w:rsidRPr="003221E6">
        <w:rPr>
          <w:i/>
          <w:iCs/>
          <w:sz w:val="24"/>
        </w:rPr>
        <w:t>preuve de l</w:t>
      </w:r>
      <w:r w:rsidRPr="003221E6">
        <w:rPr>
          <w:sz w:val="24"/>
        </w:rPr>
        <w:t>’</w:t>
      </w:r>
      <w:r w:rsidRPr="003221E6">
        <w:rPr>
          <w:i/>
          <w:iCs/>
          <w:sz w:val="24"/>
        </w:rPr>
        <w:t>habitat alternatif. Actes du colloque organis</w:t>
      </w:r>
      <w:r w:rsidRPr="003221E6">
        <w:rPr>
          <w:sz w:val="24"/>
        </w:rPr>
        <w:t xml:space="preserve">é </w:t>
      </w:r>
      <w:r w:rsidRPr="003221E6">
        <w:rPr>
          <w:i/>
          <w:iCs/>
          <w:sz w:val="24"/>
        </w:rPr>
        <w:t xml:space="preserve">le 23 novembre 2012 </w:t>
      </w:r>
      <w:r w:rsidRPr="003221E6">
        <w:rPr>
          <w:i/>
          <w:iCs/>
          <w:sz w:val="24"/>
        </w:rPr>
        <w:tab/>
      </w:r>
      <w:r w:rsidRPr="003221E6">
        <w:rPr>
          <w:i/>
          <w:iCs/>
          <w:sz w:val="24"/>
        </w:rPr>
        <w:tab/>
        <w:t>par le conseil sup</w:t>
      </w:r>
      <w:r w:rsidRPr="003221E6">
        <w:rPr>
          <w:sz w:val="24"/>
        </w:rPr>
        <w:t>é</w:t>
      </w:r>
      <w:r w:rsidRPr="003221E6">
        <w:rPr>
          <w:i/>
          <w:iCs/>
          <w:sz w:val="24"/>
        </w:rPr>
        <w:t>rieur du logement de Wallonie</w:t>
      </w:r>
      <w:r w:rsidRPr="003221E6">
        <w:rPr>
          <w:sz w:val="24"/>
        </w:rPr>
        <w:t>, Bruxelles, La Charte, p. 43-58.</w:t>
      </w:r>
    </w:p>
    <w:p w:rsidR="00990F6B" w:rsidRPr="003221E6" w:rsidRDefault="00990F6B" w:rsidP="002D0814">
      <w:pPr>
        <w:jc w:val="both"/>
        <w:rPr>
          <w:rFonts w:eastAsia="Times New Roman"/>
          <w:sz w:val="24"/>
        </w:rPr>
      </w:pPr>
      <w:r w:rsidRPr="003221E6">
        <w:rPr>
          <w:sz w:val="24"/>
        </w:rPr>
        <w:t xml:space="preserve">De Mol M. (2012), « Formes alternatives de logement. Au delà des murs, l’habitat  », </w:t>
      </w:r>
      <w:r w:rsidRPr="003221E6">
        <w:rPr>
          <w:i/>
          <w:iCs/>
          <w:sz w:val="24"/>
        </w:rPr>
        <w:t>Les Echos</w:t>
      </w:r>
      <w:r w:rsidRPr="003221E6">
        <w:rPr>
          <w:sz w:val="24"/>
        </w:rPr>
        <w:t xml:space="preserve">, 2, </w:t>
      </w:r>
      <w:r w:rsidRPr="003221E6">
        <w:rPr>
          <w:sz w:val="24"/>
        </w:rPr>
        <w:tab/>
      </w:r>
      <w:r w:rsidRPr="003221E6">
        <w:rPr>
          <w:i/>
          <w:iCs/>
          <w:sz w:val="24"/>
        </w:rPr>
        <w:t>Crise du logement : d</w:t>
      </w:r>
      <w:r w:rsidRPr="003221E6">
        <w:rPr>
          <w:sz w:val="24"/>
        </w:rPr>
        <w:t>’</w:t>
      </w:r>
      <w:r w:rsidRPr="003221E6">
        <w:rPr>
          <w:i/>
          <w:iCs/>
          <w:sz w:val="24"/>
        </w:rPr>
        <w:t>alternatives en perspectives</w:t>
      </w:r>
      <w:r w:rsidRPr="003221E6">
        <w:rPr>
          <w:sz w:val="24"/>
        </w:rPr>
        <w:t>, p.7-9.</w:t>
      </w:r>
    </w:p>
    <w:p w:rsidR="00990F6B" w:rsidRPr="003221E6" w:rsidRDefault="00990F6B" w:rsidP="002D0814">
      <w:pPr>
        <w:jc w:val="both"/>
        <w:rPr>
          <w:rFonts w:eastAsia="Times New Roman"/>
          <w:sz w:val="24"/>
        </w:rPr>
      </w:pPr>
      <w:r w:rsidRPr="003221E6">
        <w:rPr>
          <w:sz w:val="24"/>
        </w:rPr>
        <w:t xml:space="preserve">Groupe d’habitants du Quartier de la Baraque (2009),  </w:t>
      </w:r>
      <w:r w:rsidRPr="003221E6">
        <w:rPr>
          <w:i/>
          <w:iCs/>
          <w:sz w:val="24"/>
        </w:rPr>
        <w:t xml:space="preserve">La Baraque : un quartier alternatif vu par </w:t>
      </w:r>
      <w:r w:rsidRPr="003221E6">
        <w:rPr>
          <w:i/>
          <w:iCs/>
          <w:sz w:val="24"/>
        </w:rPr>
        <w:tab/>
        <w:t>ses habitants</w:t>
      </w:r>
      <w:r w:rsidRPr="003221E6">
        <w:rPr>
          <w:sz w:val="24"/>
        </w:rPr>
        <w:t>, Louvain-la-Neuve, inédit, en vente chez l’auteur.</w:t>
      </w:r>
    </w:p>
    <w:p w:rsidR="00990F6B" w:rsidRPr="003221E6" w:rsidRDefault="00990F6B" w:rsidP="002D0814">
      <w:pPr>
        <w:jc w:val="both"/>
        <w:rPr>
          <w:rFonts w:eastAsia="Times New Roman"/>
          <w:sz w:val="24"/>
          <w:lang w:val="sv-SE"/>
        </w:rPr>
      </w:pPr>
      <w:r w:rsidRPr="003221E6">
        <w:rPr>
          <w:sz w:val="24"/>
        </w:rPr>
        <w:t xml:space="preserve">Interreg IV (2011), </w:t>
      </w:r>
      <w:r w:rsidRPr="003221E6">
        <w:rPr>
          <w:i/>
          <w:iCs/>
          <w:sz w:val="24"/>
        </w:rPr>
        <w:t>Insalubrit</w:t>
      </w:r>
      <w:r w:rsidRPr="003221E6">
        <w:rPr>
          <w:sz w:val="24"/>
        </w:rPr>
        <w:t xml:space="preserve">é </w:t>
      </w:r>
      <w:r w:rsidRPr="003221E6">
        <w:rPr>
          <w:i/>
          <w:iCs/>
          <w:sz w:val="24"/>
        </w:rPr>
        <w:t xml:space="preserve">et habitat alternatif : quel accompagnement social ? Actes du </w:t>
      </w:r>
      <w:r w:rsidRPr="003221E6">
        <w:rPr>
          <w:i/>
          <w:iCs/>
          <w:sz w:val="24"/>
        </w:rPr>
        <w:tab/>
      </w:r>
      <w:r w:rsidRPr="003221E6">
        <w:rPr>
          <w:i/>
          <w:iCs/>
          <w:sz w:val="24"/>
        </w:rPr>
        <w:tab/>
        <w:t>colloque organis</w:t>
      </w:r>
      <w:r w:rsidRPr="003221E6">
        <w:rPr>
          <w:sz w:val="24"/>
        </w:rPr>
        <w:t xml:space="preserve">é à </w:t>
      </w:r>
      <w:r w:rsidRPr="003221E6">
        <w:rPr>
          <w:i/>
          <w:iCs/>
          <w:sz w:val="24"/>
        </w:rPr>
        <w:t>Mons  le 24 novembre 2011</w:t>
      </w:r>
      <w:r w:rsidRPr="003221E6">
        <w:rPr>
          <w:sz w:val="24"/>
        </w:rPr>
        <w:t xml:space="preserve">, </w:t>
      </w:r>
      <w:hyperlink r:id="rId7" w:history="1">
        <w:r w:rsidRPr="003221E6">
          <w:rPr>
            <w:rStyle w:val="Hyperlink1"/>
          </w:rPr>
          <w:t>http://www.accompagnement-social.eu</w:t>
        </w:r>
      </w:hyperlink>
    </w:p>
    <w:p w:rsidR="00990F6B" w:rsidRPr="003221E6" w:rsidRDefault="00990F6B" w:rsidP="002D0814">
      <w:pPr>
        <w:jc w:val="both"/>
        <w:rPr>
          <w:rFonts w:eastAsia="Times New Roman"/>
          <w:sz w:val="24"/>
        </w:rPr>
      </w:pPr>
      <w:r w:rsidRPr="003221E6">
        <w:rPr>
          <w:sz w:val="24"/>
          <w:lang w:val="sv-SE"/>
        </w:rPr>
        <w:t xml:space="preserve">Jandrain L. (2012), </w:t>
      </w:r>
      <w:r w:rsidRPr="003221E6">
        <w:rPr>
          <w:sz w:val="24"/>
        </w:rPr>
        <w:t xml:space="preserve">«  Habitat alternatif et critères minimaux de salubrité  », dans Bernard N. </w:t>
      </w:r>
      <w:r w:rsidRPr="003221E6">
        <w:rPr>
          <w:sz w:val="24"/>
        </w:rPr>
        <w:tab/>
      </w:r>
      <w:r w:rsidRPr="003221E6">
        <w:rPr>
          <w:sz w:val="24"/>
        </w:rPr>
        <w:tab/>
        <w:t>(Dir), </w:t>
      </w:r>
      <w:r w:rsidRPr="003221E6">
        <w:rPr>
          <w:i/>
          <w:iCs/>
          <w:sz w:val="24"/>
        </w:rPr>
        <w:t xml:space="preserve">La norme </w:t>
      </w:r>
      <w:r w:rsidRPr="003221E6">
        <w:rPr>
          <w:sz w:val="24"/>
        </w:rPr>
        <w:t xml:space="preserve">à </w:t>
      </w:r>
      <w:r w:rsidRPr="003221E6">
        <w:rPr>
          <w:i/>
          <w:iCs/>
          <w:sz w:val="24"/>
        </w:rPr>
        <w:t>l</w:t>
      </w:r>
      <w:r w:rsidRPr="003221E6">
        <w:rPr>
          <w:sz w:val="24"/>
        </w:rPr>
        <w:t>’é</w:t>
      </w:r>
      <w:r w:rsidRPr="003221E6">
        <w:rPr>
          <w:i/>
          <w:iCs/>
          <w:sz w:val="24"/>
        </w:rPr>
        <w:t>preuve de l</w:t>
      </w:r>
      <w:r w:rsidRPr="003221E6">
        <w:rPr>
          <w:sz w:val="24"/>
        </w:rPr>
        <w:t>’</w:t>
      </w:r>
      <w:r w:rsidRPr="003221E6">
        <w:rPr>
          <w:i/>
          <w:iCs/>
          <w:sz w:val="24"/>
        </w:rPr>
        <w:t>habitat alternatif. Actes du colloque organis</w:t>
      </w:r>
      <w:r w:rsidRPr="003221E6">
        <w:rPr>
          <w:sz w:val="24"/>
        </w:rPr>
        <w:t xml:space="preserve">é </w:t>
      </w:r>
      <w:r w:rsidRPr="003221E6">
        <w:rPr>
          <w:i/>
          <w:iCs/>
          <w:sz w:val="24"/>
        </w:rPr>
        <w:t>le 23 nove</w:t>
      </w:r>
      <w:r w:rsidRPr="003221E6">
        <w:rPr>
          <w:i/>
          <w:iCs/>
          <w:sz w:val="24"/>
        </w:rPr>
        <w:t>m</w:t>
      </w:r>
      <w:r w:rsidRPr="003221E6">
        <w:rPr>
          <w:i/>
          <w:iCs/>
          <w:sz w:val="24"/>
        </w:rPr>
        <w:t xml:space="preserve">bre </w:t>
      </w:r>
      <w:r w:rsidRPr="003221E6">
        <w:rPr>
          <w:i/>
          <w:iCs/>
          <w:sz w:val="24"/>
        </w:rPr>
        <w:tab/>
        <w:t>2012 par le conseil sup</w:t>
      </w:r>
      <w:r w:rsidRPr="003221E6">
        <w:rPr>
          <w:sz w:val="24"/>
        </w:rPr>
        <w:t>é</w:t>
      </w:r>
      <w:r w:rsidRPr="003221E6">
        <w:rPr>
          <w:i/>
          <w:iCs/>
          <w:sz w:val="24"/>
        </w:rPr>
        <w:t>rieur du logement de Wallonie</w:t>
      </w:r>
      <w:r w:rsidRPr="003221E6">
        <w:rPr>
          <w:sz w:val="24"/>
        </w:rPr>
        <w:t>, Bruxelles, La Charte, p. 253-256.</w:t>
      </w:r>
    </w:p>
    <w:p w:rsidR="00990F6B" w:rsidRPr="003221E6" w:rsidRDefault="00990F6B" w:rsidP="002D0814">
      <w:pPr>
        <w:jc w:val="both"/>
        <w:rPr>
          <w:rFonts w:eastAsia="Times New Roman"/>
          <w:sz w:val="24"/>
        </w:rPr>
      </w:pPr>
      <w:r w:rsidRPr="003221E6">
        <w:rPr>
          <w:sz w:val="24"/>
        </w:rPr>
        <w:t xml:space="preserve">Louveaux B. (1999), </w:t>
      </w:r>
      <w:r w:rsidRPr="003221E6">
        <w:rPr>
          <w:i/>
          <w:iCs/>
          <w:sz w:val="24"/>
        </w:rPr>
        <w:t>Le droit de l</w:t>
      </w:r>
      <w:r w:rsidRPr="003221E6">
        <w:rPr>
          <w:sz w:val="24"/>
        </w:rPr>
        <w:t>’</w:t>
      </w:r>
      <w:r w:rsidRPr="003221E6">
        <w:rPr>
          <w:i/>
          <w:iCs/>
          <w:sz w:val="24"/>
        </w:rPr>
        <w:t>urbanisme, en Belgique et dans ses trois r</w:t>
      </w:r>
      <w:r w:rsidRPr="003221E6">
        <w:rPr>
          <w:sz w:val="24"/>
        </w:rPr>
        <w:t>é</w:t>
      </w:r>
      <w:r w:rsidRPr="003221E6">
        <w:rPr>
          <w:i/>
          <w:iCs/>
          <w:sz w:val="24"/>
        </w:rPr>
        <w:t xml:space="preserve">gions (Wallonie, </w:t>
      </w:r>
      <w:r w:rsidRPr="003221E6">
        <w:rPr>
          <w:i/>
          <w:iCs/>
          <w:sz w:val="24"/>
        </w:rPr>
        <w:tab/>
      </w:r>
      <w:r w:rsidRPr="003221E6">
        <w:rPr>
          <w:i/>
          <w:iCs/>
          <w:sz w:val="24"/>
        </w:rPr>
        <w:tab/>
        <w:t>Flandres, Bruxelles)</w:t>
      </w:r>
      <w:r w:rsidRPr="003221E6">
        <w:rPr>
          <w:sz w:val="24"/>
        </w:rPr>
        <w:t>, Bruxelles, De Boeck Université.</w:t>
      </w:r>
    </w:p>
    <w:p w:rsidR="00990F6B" w:rsidRPr="003221E6" w:rsidRDefault="00990F6B" w:rsidP="002D0814">
      <w:pPr>
        <w:jc w:val="both"/>
        <w:rPr>
          <w:rFonts w:eastAsia="Times New Roman"/>
          <w:sz w:val="24"/>
        </w:rPr>
      </w:pPr>
      <w:r w:rsidRPr="003221E6">
        <w:rPr>
          <w:sz w:val="24"/>
        </w:rPr>
        <w:t xml:space="preserve">Mahy C. (2012), «  L’habitat permanent, avant tout une question de logement et d’aménagement </w:t>
      </w:r>
      <w:r w:rsidRPr="003221E6">
        <w:rPr>
          <w:sz w:val="24"/>
        </w:rPr>
        <w:tab/>
      </w:r>
      <w:r w:rsidRPr="003221E6">
        <w:rPr>
          <w:sz w:val="24"/>
        </w:rPr>
        <w:tab/>
        <w:t xml:space="preserve">des territoires  », </w:t>
      </w:r>
      <w:r w:rsidRPr="003221E6">
        <w:rPr>
          <w:i/>
          <w:iCs/>
          <w:sz w:val="24"/>
        </w:rPr>
        <w:t>Les cahiers nouveaux</w:t>
      </w:r>
      <w:r w:rsidRPr="003221E6">
        <w:rPr>
          <w:sz w:val="24"/>
        </w:rPr>
        <w:t xml:space="preserve">, 84, </w:t>
      </w:r>
      <w:r w:rsidRPr="003221E6">
        <w:rPr>
          <w:i/>
          <w:iCs/>
          <w:sz w:val="24"/>
        </w:rPr>
        <w:t>Habiter autrement</w:t>
      </w:r>
      <w:r w:rsidRPr="003221E6">
        <w:rPr>
          <w:sz w:val="24"/>
        </w:rPr>
        <w:t>, p. 33-39.</w:t>
      </w:r>
    </w:p>
    <w:p w:rsidR="00990F6B" w:rsidRPr="003221E6" w:rsidRDefault="00990F6B" w:rsidP="002D0814">
      <w:pPr>
        <w:jc w:val="both"/>
        <w:rPr>
          <w:rFonts w:eastAsia="Times New Roman"/>
          <w:sz w:val="24"/>
        </w:rPr>
      </w:pPr>
      <w:r w:rsidRPr="003221E6">
        <w:rPr>
          <w:sz w:val="24"/>
        </w:rPr>
        <w:t xml:space="preserve">Mésini B. (2011),  « Quelle reconnaissance de l’habitat léger, mobile et éphémère  ?  », dans </w:t>
      </w:r>
      <w:r w:rsidRPr="003221E6">
        <w:rPr>
          <w:sz w:val="24"/>
        </w:rPr>
        <w:tab/>
      </w:r>
      <w:r w:rsidRPr="003221E6">
        <w:rPr>
          <w:sz w:val="24"/>
        </w:rPr>
        <w:tab/>
        <w:t xml:space="preserve">Jeanjean A. et Sénépart I. (Dir), </w:t>
      </w:r>
      <w:r w:rsidRPr="003221E6">
        <w:rPr>
          <w:i/>
          <w:iCs/>
          <w:sz w:val="24"/>
        </w:rPr>
        <w:t>Techniques &amp; culture</w:t>
      </w:r>
      <w:r w:rsidRPr="003221E6">
        <w:rPr>
          <w:sz w:val="24"/>
        </w:rPr>
        <w:t xml:space="preserve">, 56, </w:t>
      </w:r>
      <w:r w:rsidRPr="003221E6">
        <w:rPr>
          <w:i/>
          <w:iCs/>
          <w:sz w:val="24"/>
        </w:rPr>
        <w:t>Habiter le temporaire</w:t>
      </w:r>
      <w:r w:rsidRPr="003221E6">
        <w:rPr>
          <w:sz w:val="24"/>
        </w:rPr>
        <w:t>, p.148-165.</w:t>
      </w:r>
    </w:p>
    <w:p w:rsidR="00990F6B" w:rsidRPr="003221E6" w:rsidRDefault="00990F6B" w:rsidP="002D0814">
      <w:pPr>
        <w:jc w:val="both"/>
        <w:rPr>
          <w:rFonts w:eastAsia="Times New Roman"/>
          <w:sz w:val="24"/>
        </w:rPr>
      </w:pPr>
      <w:r w:rsidRPr="003221E6">
        <w:rPr>
          <w:sz w:val="24"/>
        </w:rPr>
        <w:t>Quality Report Belgian SLIC 2013, Enquête EU-SILC, Eurostat (données mises à jour le 12/03/13)</w:t>
      </w:r>
    </w:p>
    <w:p w:rsidR="00990F6B" w:rsidRPr="003221E6" w:rsidRDefault="00990F6B" w:rsidP="002D0814">
      <w:pPr>
        <w:jc w:val="both"/>
        <w:rPr>
          <w:rFonts w:eastAsia="Times New Roman"/>
          <w:sz w:val="24"/>
        </w:rPr>
      </w:pPr>
      <w:r w:rsidRPr="003221E6">
        <w:rPr>
          <w:sz w:val="24"/>
        </w:rPr>
        <w:t>RBDL, Mémorandum de</w:t>
      </w:r>
      <w:r w:rsidRPr="003221E6">
        <w:rPr>
          <w:i/>
          <w:iCs/>
          <w:sz w:val="24"/>
        </w:rPr>
        <w:t xml:space="preserve"> l</w:t>
      </w:r>
      <w:r w:rsidRPr="003221E6">
        <w:rPr>
          <w:sz w:val="24"/>
        </w:rPr>
        <w:t>’</w:t>
      </w:r>
      <w:r w:rsidRPr="003221E6">
        <w:rPr>
          <w:i/>
          <w:iCs/>
          <w:sz w:val="24"/>
        </w:rPr>
        <w:t>habitat l</w:t>
      </w:r>
      <w:r w:rsidRPr="003221E6">
        <w:rPr>
          <w:sz w:val="24"/>
        </w:rPr>
        <w:t>é</w:t>
      </w:r>
      <w:r w:rsidRPr="003221E6">
        <w:rPr>
          <w:i/>
          <w:iCs/>
          <w:sz w:val="24"/>
        </w:rPr>
        <w:t>ger</w:t>
      </w:r>
      <w:r w:rsidRPr="003221E6">
        <w:rPr>
          <w:sz w:val="24"/>
        </w:rPr>
        <w:t>, (consulté le 15 mai 2015),</w:t>
      </w:r>
    </w:p>
    <w:p w:rsidR="00990F6B" w:rsidRPr="003221E6" w:rsidRDefault="00394923" w:rsidP="002D0814">
      <w:pPr>
        <w:jc w:val="both"/>
        <w:rPr>
          <w:rFonts w:eastAsia="Times New Roman"/>
          <w:sz w:val="24"/>
        </w:rPr>
      </w:pPr>
      <w:hyperlink r:id="rId8" w:history="1">
        <w:r w:rsidR="00990F6B" w:rsidRPr="003221E6">
          <w:rPr>
            <w:rStyle w:val="Hyperlink2"/>
          </w:rPr>
          <w:t>http://www.rbdl.be/images/stories/pdf/2014_PDF/Memorandum_Banner.pdf</w:t>
        </w:r>
      </w:hyperlink>
      <w:r w:rsidR="00990F6B" w:rsidRPr="003221E6">
        <w:rPr>
          <w:rFonts w:eastAsia="Times New Roman"/>
          <w:sz w:val="24"/>
        </w:rPr>
        <w:tab/>
      </w:r>
      <w:r w:rsidR="00990F6B" w:rsidRPr="003221E6">
        <w:rPr>
          <w:rFonts w:eastAsia="Times New Roman"/>
          <w:sz w:val="24"/>
        </w:rPr>
        <w:tab/>
      </w:r>
      <w:r w:rsidR="00990F6B" w:rsidRPr="003221E6">
        <w:rPr>
          <w:rFonts w:eastAsia="Times New Roman"/>
          <w:sz w:val="24"/>
        </w:rPr>
        <w:tab/>
      </w:r>
    </w:p>
    <w:p w:rsidR="00990F6B" w:rsidRPr="003221E6" w:rsidRDefault="00990F6B" w:rsidP="002D0814">
      <w:pPr>
        <w:jc w:val="both"/>
      </w:pPr>
      <w:r w:rsidRPr="003221E6">
        <w:rPr>
          <w:sz w:val="24"/>
        </w:rPr>
        <w:t xml:space="preserve">Woitrin M. (1987), </w:t>
      </w:r>
      <w:r w:rsidRPr="003221E6">
        <w:rPr>
          <w:i/>
          <w:iCs/>
          <w:sz w:val="24"/>
        </w:rPr>
        <w:t>Louvain-la-Neuve et Louvain-en-Woluwe. Le grand dessein</w:t>
      </w:r>
      <w:r w:rsidRPr="003221E6">
        <w:rPr>
          <w:sz w:val="24"/>
        </w:rPr>
        <w:t xml:space="preserve">, Gembloux, </w:t>
      </w:r>
      <w:r w:rsidRPr="003221E6">
        <w:rPr>
          <w:sz w:val="24"/>
        </w:rPr>
        <w:tab/>
      </w:r>
      <w:r w:rsidRPr="003221E6">
        <w:rPr>
          <w:sz w:val="24"/>
        </w:rPr>
        <w:tab/>
        <w:t>Duculot.</w:t>
      </w:r>
    </w:p>
    <w:sectPr w:rsidR="00990F6B" w:rsidRPr="003221E6" w:rsidSect="001A2868">
      <w:headerReference w:type="default" r:id="rId9"/>
      <w:footerReference w:type="default" r:id="rId10"/>
      <w:pgSz w:w="11900" w:h="16840"/>
      <w:pgMar w:top="1134" w:right="1134" w:bottom="1134" w:left="1134" w:header="709" w:footer="851"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868" w:rsidRDefault="001A2868">
      <w:r>
        <w:separator/>
      </w:r>
    </w:p>
  </w:endnote>
  <w:endnote w:type="continuationSeparator" w:id="0">
    <w:p w:rsidR="001A2868" w:rsidRDefault="001A28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Helvetica">
    <w:panose1 w:val="000000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Lucida Grande">
    <w:panose1 w:val="02040603060201020203"/>
    <w:charset w:val="00"/>
    <w:family w:val="auto"/>
    <w:pitch w:val="variable"/>
    <w:sig w:usb0="E1000AEF" w:usb1="5000A1FF" w:usb2="00000000" w:usb3="00000000" w:csb0="000001BF"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68" w:rsidRDefault="001A2868">
    <w:pPr>
      <w:pStyle w:val="En-tte"/>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868" w:rsidRDefault="001A2868">
      <w:r>
        <w:separator/>
      </w:r>
    </w:p>
  </w:footnote>
  <w:footnote w:type="continuationSeparator" w:id="0">
    <w:p w:rsidR="001A2868" w:rsidRDefault="001A2868">
      <w:r>
        <w:continuationSeparator/>
      </w:r>
    </w:p>
  </w:footnote>
  <w:footnote w:type="continuationNotice" w:id="1">
    <w:p w:rsidR="001A2868" w:rsidRDefault="001A2868"/>
  </w:footnote>
  <w:footnote w:id="2">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Ou habitat </w:t>
      </w:r>
      <w:r>
        <w:rPr>
          <w:rFonts w:hAnsi="Times New Roman"/>
          <w:sz w:val="20"/>
          <w:szCs w:val="20"/>
        </w:rPr>
        <w:t>« </w:t>
      </w:r>
      <w:r>
        <w:rPr>
          <w:rFonts w:ascii="Times New Roman"/>
          <w:sz w:val="20"/>
          <w:szCs w:val="20"/>
        </w:rPr>
        <w:t>plume</w:t>
      </w:r>
      <w:r>
        <w:rPr>
          <w:rFonts w:hAnsi="Times New Roman"/>
          <w:sz w:val="20"/>
          <w:szCs w:val="20"/>
        </w:rPr>
        <w:t> »</w:t>
      </w:r>
    </w:p>
  </w:footnote>
  <w:footnote w:id="3">
    <w:p w:rsidR="001A2868" w:rsidRDefault="001A2868">
      <w:pPr>
        <w:pStyle w:val="Notedebasdepage"/>
        <w:jc w:val="both"/>
        <w:rPr>
          <w:rFonts w:ascii="Times New Roman" w:eastAsia="Times New Roman" w:hAnsi="Times New Roman" w:cs="Times New Roman"/>
          <w:sz w:val="20"/>
          <w:szCs w:val="20"/>
        </w:rPr>
      </w:pPr>
      <w:r>
        <w:rPr>
          <w:rFonts w:ascii="Times New Roman" w:eastAsia="Times New Roman" w:hAnsi="Times New Roman" w:cs="Times New Roman"/>
          <w:sz w:val="24"/>
          <w:szCs w:val="24"/>
          <w:vertAlign w:val="superscript"/>
        </w:rPr>
        <w:footnoteRef/>
      </w:r>
      <w:r>
        <w:rPr>
          <w:rFonts w:ascii="Times New Roman"/>
          <w:sz w:val="20"/>
          <w:szCs w:val="20"/>
        </w:rPr>
        <w:t xml:space="preserve"> RBDL (2013), M</w:t>
      </w:r>
      <w:r>
        <w:rPr>
          <w:rFonts w:hAnsi="Times New Roman"/>
          <w:sz w:val="20"/>
          <w:szCs w:val="20"/>
        </w:rPr>
        <w:t>é</w:t>
      </w:r>
      <w:r>
        <w:rPr>
          <w:rFonts w:ascii="Times New Roman"/>
          <w:sz w:val="20"/>
          <w:szCs w:val="20"/>
        </w:rPr>
        <w:t>morandum de</w:t>
      </w:r>
      <w:r>
        <w:rPr>
          <w:rFonts w:ascii="Times New Roman"/>
          <w:i/>
          <w:iCs/>
          <w:sz w:val="20"/>
          <w:szCs w:val="20"/>
        </w:rPr>
        <w:t xml:space="preserve"> l</w:t>
      </w:r>
      <w:r>
        <w:rPr>
          <w:rFonts w:hAnsi="Times New Roman"/>
          <w:sz w:val="20"/>
          <w:szCs w:val="20"/>
        </w:rPr>
        <w:t>’</w:t>
      </w:r>
      <w:r>
        <w:rPr>
          <w:rFonts w:ascii="Times New Roman"/>
          <w:i/>
          <w:iCs/>
          <w:sz w:val="20"/>
          <w:szCs w:val="20"/>
        </w:rPr>
        <w:t>habitat l</w:t>
      </w:r>
      <w:r>
        <w:rPr>
          <w:rFonts w:hAnsi="Times New Roman"/>
          <w:sz w:val="20"/>
          <w:szCs w:val="20"/>
        </w:rPr>
        <w:t>é</w:t>
      </w:r>
      <w:r>
        <w:rPr>
          <w:rFonts w:ascii="Times New Roman"/>
          <w:i/>
          <w:iCs/>
          <w:sz w:val="20"/>
          <w:szCs w:val="20"/>
        </w:rPr>
        <w:t>ger</w:t>
      </w:r>
      <w:r>
        <w:rPr>
          <w:rFonts w:ascii="Times New Roman"/>
          <w:sz w:val="20"/>
          <w:szCs w:val="20"/>
        </w:rPr>
        <w:t>,</w:t>
      </w:r>
    </w:p>
    <w:p w:rsidR="001A2868" w:rsidRDefault="00394923">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hyperlink r:id="rId1" w:history="1">
        <w:r w:rsidR="001A2868">
          <w:rPr>
            <w:rStyle w:val="Hyperlink0"/>
            <w:rFonts w:ascii="Times New Roman"/>
          </w:rPr>
          <w:t>http://www.rbdl.be/images/stories/pdf/2014_PDF/Memorandum_Banner.pdf</w:t>
        </w:r>
      </w:hyperlink>
      <w:r w:rsidR="001A2868">
        <w:rPr>
          <w:rFonts w:ascii="Times New Roman"/>
          <w:sz w:val="20"/>
          <w:szCs w:val="20"/>
        </w:rPr>
        <w:t xml:space="preserve">  (consult</w:t>
      </w:r>
      <w:r w:rsidR="001A2868">
        <w:rPr>
          <w:rFonts w:hAnsi="Times New Roman"/>
          <w:sz w:val="20"/>
          <w:szCs w:val="20"/>
        </w:rPr>
        <w:t>é</w:t>
      </w:r>
      <w:r w:rsidR="001A2868">
        <w:rPr>
          <w:rFonts w:hAnsi="Times New Roman"/>
          <w:sz w:val="20"/>
          <w:szCs w:val="20"/>
        </w:rPr>
        <w:t xml:space="preserve"> </w:t>
      </w:r>
      <w:r w:rsidR="001A2868">
        <w:rPr>
          <w:rFonts w:ascii="Times New Roman"/>
          <w:sz w:val="20"/>
          <w:szCs w:val="20"/>
          <w:lang w:val="pt-PT"/>
        </w:rPr>
        <w:t>le 15 mai</w:t>
      </w:r>
      <w:r w:rsidR="001A2868">
        <w:rPr>
          <w:rFonts w:ascii="Times New Roman"/>
          <w:sz w:val="20"/>
          <w:szCs w:val="20"/>
        </w:rPr>
        <w:t xml:space="preserve"> 2015).</w:t>
      </w:r>
    </w:p>
  </w:footnote>
  <w:footnote w:id="4">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La Baraque s</w:t>
      </w:r>
      <w:r>
        <w:rPr>
          <w:rFonts w:hAnsi="Times New Roman"/>
          <w:sz w:val="20"/>
          <w:szCs w:val="20"/>
        </w:rPr>
        <w:t>’</w:t>
      </w:r>
      <w:r>
        <w:rPr>
          <w:rFonts w:ascii="Times New Roman"/>
          <w:sz w:val="20"/>
          <w:szCs w:val="20"/>
        </w:rPr>
        <w:t>av</w:t>
      </w:r>
      <w:r>
        <w:rPr>
          <w:rFonts w:hAnsi="Times New Roman"/>
          <w:sz w:val="20"/>
          <w:szCs w:val="20"/>
        </w:rPr>
        <w:t>è</w:t>
      </w:r>
      <w:r>
        <w:rPr>
          <w:rFonts w:ascii="Times New Roman"/>
          <w:sz w:val="20"/>
          <w:szCs w:val="20"/>
        </w:rPr>
        <w:t xml:space="preserve">re </w:t>
      </w:r>
      <w:r>
        <w:rPr>
          <w:rFonts w:hAnsi="Times New Roman"/>
          <w:sz w:val="20"/>
          <w:szCs w:val="20"/>
        </w:rPr>
        <w:t>ê</w:t>
      </w:r>
      <w:r>
        <w:rPr>
          <w:rFonts w:ascii="Times New Roman"/>
          <w:sz w:val="20"/>
          <w:szCs w:val="20"/>
        </w:rPr>
        <w:t>tre le plus ancien quartier de Louvain-la-Neuve : en 1864, on d</w:t>
      </w:r>
      <w:r>
        <w:rPr>
          <w:rFonts w:hAnsi="Times New Roman"/>
          <w:sz w:val="20"/>
          <w:szCs w:val="20"/>
        </w:rPr>
        <w:t>é</w:t>
      </w:r>
      <w:r>
        <w:rPr>
          <w:rFonts w:ascii="Times New Roman"/>
          <w:sz w:val="20"/>
          <w:szCs w:val="20"/>
        </w:rPr>
        <w:t>nombre dix-huit maisons, dont un ch</w:t>
      </w:r>
      <w:r>
        <w:rPr>
          <w:rFonts w:hAnsi="Times New Roman"/>
          <w:sz w:val="20"/>
          <w:szCs w:val="20"/>
        </w:rPr>
        <w:t>â</w:t>
      </w:r>
      <w:r>
        <w:rPr>
          <w:rFonts w:ascii="Times New Roman"/>
          <w:sz w:val="20"/>
          <w:szCs w:val="20"/>
        </w:rPr>
        <w:t>teau et une ferme. En 1952, il comprend 22 maisons et 77 habitants, ainsi que trois caf</w:t>
      </w:r>
      <w:r>
        <w:rPr>
          <w:rFonts w:hAnsi="Times New Roman"/>
          <w:sz w:val="20"/>
          <w:szCs w:val="20"/>
        </w:rPr>
        <w:t>é</w:t>
      </w:r>
      <w:r>
        <w:rPr>
          <w:rFonts w:ascii="Times New Roman"/>
          <w:sz w:val="20"/>
          <w:szCs w:val="20"/>
        </w:rPr>
        <w:t>s et une f</w:t>
      </w:r>
      <w:r>
        <w:rPr>
          <w:rFonts w:hAnsi="Times New Roman"/>
          <w:sz w:val="20"/>
          <w:szCs w:val="20"/>
        </w:rPr>
        <w:t>ê</w:t>
      </w:r>
      <w:r>
        <w:rPr>
          <w:rFonts w:ascii="Times New Roman"/>
          <w:sz w:val="20"/>
          <w:szCs w:val="20"/>
        </w:rPr>
        <w:t>te annuelle.</w:t>
      </w:r>
    </w:p>
  </w:footnote>
  <w:footnote w:id="5">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Architecte belge, auteur d'une partie importante du campus de Woluwe-Saint-Lambert (Universit</w:t>
      </w:r>
      <w:r>
        <w:rPr>
          <w:rFonts w:hAnsi="Times New Roman"/>
          <w:sz w:val="20"/>
          <w:szCs w:val="20"/>
        </w:rPr>
        <w:t>é</w:t>
      </w:r>
      <w:r>
        <w:rPr>
          <w:rFonts w:hAnsi="Times New Roman"/>
          <w:sz w:val="20"/>
          <w:szCs w:val="20"/>
        </w:rPr>
        <w:t xml:space="preserve"> </w:t>
      </w:r>
      <w:r>
        <w:rPr>
          <w:rFonts w:ascii="Times New Roman"/>
          <w:sz w:val="20"/>
          <w:szCs w:val="20"/>
        </w:rPr>
        <w:t>catholique de Louvain). Le b</w:t>
      </w:r>
      <w:r>
        <w:rPr>
          <w:rFonts w:hAnsi="Times New Roman"/>
          <w:sz w:val="20"/>
          <w:szCs w:val="20"/>
        </w:rPr>
        <w:t>â</w:t>
      </w:r>
      <w:r>
        <w:rPr>
          <w:rFonts w:ascii="Times New Roman"/>
          <w:sz w:val="20"/>
          <w:szCs w:val="20"/>
        </w:rPr>
        <w:t>timent principal du site est la Maison M</w:t>
      </w:r>
      <w:r>
        <w:rPr>
          <w:rFonts w:hAnsi="Times New Roman"/>
          <w:sz w:val="20"/>
          <w:szCs w:val="20"/>
        </w:rPr>
        <w:t>é</w:t>
      </w:r>
      <w:r>
        <w:rPr>
          <w:rFonts w:ascii="Times New Roman"/>
          <w:sz w:val="20"/>
          <w:szCs w:val="20"/>
        </w:rPr>
        <w:t>dicale, surnomm</w:t>
      </w:r>
      <w:r>
        <w:rPr>
          <w:rFonts w:hAnsi="Times New Roman"/>
          <w:sz w:val="20"/>
          <w:szCs w:val="20"/>
        </w:rPr>
        <w:t>é</w:t>
      </w:r>
      <w:r>
        <w:rPr>
          <w:rFonts w:hAnsi="Times New Roman"/>
          <w:sz w:val="20"/>
          <w:szCs w:val="20"/>
        </w:rPr>
        <w:t xml:space="preserve"> </w:t>
      </w:r>
      <w:r>
        <w:rPr>
          <w:rFonts w:ascii="Times New Roman"/>
          <w:sz w:val="20"/>
          <w:szCs w:val="20"/>
        </w:rPr>
        <w:t>"la m</w:t>
      </w:r>
      <w:r>
        <w:rPr>
          <w:rFonts w:hAnsi="Times New Roman"/>
          <w:sz w:val="20"/>
          <w:szCs w:val="20"/>
        </w:rPr>
        <w:t>é</w:t>
      </w:r>
      <w:r>
        <w:rPr>
          <w:rFonts w:ascii="Times New Roman"/>
          <w:sz w:val="20"/>
          <w:szCs w:val="20"/>
        </w:rPr>
        <w:t>m</w:t>
      </w:r>
      <w:r>
        <w:rPr>
          <w:rFonts w:hAnsi="Times New Roman"/>
          <w:sz w:val="20"/>
          <w:szCs w:val="20"/>
        </w:rPr>
        <w:t>é</w:t>
      </w:r>
      <w:r>
        <w:rPr>
          <w:rFonts w:ascii="Times New Roman"/>
          <w:sz w:val="20"/>
          <w:szCs w:val="20"/>
        </w:rPr>
        <w:t>", qui rappelle un bidonville en raison de multiples mat</w:t>
      </w:r>
      <w:r>
        <w:rPr>
          <w:rFonts w:hAnsi="Times New Roman"/>
          <w:sz w:val="20"/>
          <w:szCs w:val="20"/>
        </w:rPr>
        <w:t>é</w:t>
      </w:r>
      <w:r>
        <w:rPr>
          <w:rFonts w:ascii="Times New Roman"/>
          <w:sz w:val="20"/>
          <w:szCs w:val="20"/>
        </w:rPr>
        <w:t>riaux, d'absence de sym</w:t>
      </w:r>
      <w:r>
        <w:rPr>
          <w:rFonts w:hAnsi="Times New Roman"/>
          <w:sz w:val="20"/>
          <w:szCs w:val="20"/>
        </w:rPr>
        <w:t>é</w:t>
      </w:r>
      <w:r>
        <w:rPr>
          <w:rFonts w:ascii="Times New Roman"/>
          <w:sz w:val="20"/>
          <w:szCs w:val="20"/>
        </w:rPr>
        <w:t>trie, d</w:t>
      </w:r>
      <w:r>
        <w:rPr>
          <w:rFonts w:hAnsi="Times New Roman"/>
          <w:sz w:val="20"/>
          <w:szCs w:val="20"/>
        </w:rPr>
        <w:t>’</w:t>
      </w:r>
      <w:r>
        <w:rPr>
          <w:rFonts w:ascii="Times New Roman"/>
          <w:sz w:val="20"/>
          <w:szCs w:val="20"/>
        </w:rPr>
        <w:t>un aspect chaotique et de couleurs diff</w:t>
      </w:r>
      <w:r>
        <w:rPr>
          <w:rFonts w:hAnsi="Times New Roman"/>
          <w:sz w:val="20"/>
          <w:szCs w:val="20"/>
        </w:rPr>
        <w:t>é</w:t>
      </w:r>
      <w:r>
        <w:rPr>
          <w:rFonts w:ascii="Times New Roman"/>
          <w:sz w:val="20"/>
          <w:szCs w:val="20"/>
          <w:lang w:val="pt-PT"/>
        </w:rPr>
        <w:t>rentes.</w:t>
      </w:r>
    </w:p>
  </w:footnote>
  <w:footnote w:id="6">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Ils sont au nombre de 47 dans les ann</w:t>
      </w:r>
      <w:r>
        <w:rPr>
          <w:rFonts w:hAnsi="Times New Roman"/>
          <w:sz w:val="20"/>
          <w:szCs w:val="20"/>
        </w:rPr>
        <w:t>é</w:t>
      </w:r>
      <w:r>
        <w:rPr>
          <w:rFonts w:ascii="Times New Roman"/>
          <w:sz w:val="20"/>
          <w:szCs w:val="20"/>
        </w:rPr>
        <w:t>es 1990 (dont 15 enfants, r</w:t>
      </w:r>
      <w:r>
        <w:rPr>
          <w:rFonts w:hAnsi="Times New Roman"/>
          <w:sz w:val="20"/>
          <w:szCs w:val="20"/>
        </w:rPr>
        <w:t>é</w:t>
      </w:r>
      <w:r>
        <w:rPr>
          <w:rFonts w:ascii="Times New Roman"/>
          <w:sz w:val="20"/>
          <w:szCs w:val="20"/>
        </w:rPr>
        <w:t>partis sur 41 logements) et s</w:t>
      </w:r>
      <w:r>
        <w:rPr>
          <w:rFonts w:hAnsi="Times New Roman"/>
          <w:sz w:val="20"/>
          <w:szCs w:val="20"/>
        </w:rPr>
        <w:t>’</w:t>
      </w:r>
      <w:r>
        <w:rPr>
          <w:rFonts w:ascii="Times New Roman"/>
          <w:sz w:val="20"/>
          <w:szCs w:val="20"/>
        </w:rPr>
        <w:t>organisent dor</w:t>
      </w:r>
      <w:r>
        <w:rPr>
          <w:rFonts w:hAnsi="Times New Roman"/>
          <w:sz w:val="20"/>
          <w:szCs w:val="20"/>
        </w:rPr>
        <w:t>é</w:t>
      </w:r>
      <w:r>
        <w:rPr>
          <w:rFonts w:ascii="Times New Roman"/>
          <w:sz w:val="20"/>
          <w:szCs w:val="20"/>
        </w:rPr>
        <w:t>navant en trois sous-quartiers : les Bulles, le Jardin et le Talus. En 2006, ils sont 99 (dont 36 enfants, sur 53 logements) et 134 habitants en 2015 (dont 48 enfants, sur 66 logements).</w:t>
      </w:r>
    </w:p>
  </w:footnote>
  <w:footnote w:id="7">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Bassin de d</w:t>
      </w:r>
      <w:r>
        <w:rPr>
          <w:rFonts w:hAnsi="Times New Roman"/>
          <w:sz w:val="20"/>
          <w:szCs w:val="20"/>
        </w:rPr>
        <w:t>é</w:t>
      </w:r>
      <w:r>
        <w:rPr>
          <w:rFonts w:ascii="Times New Roman"/>
          <w:sz w:val="20"/>
          <w:szCs w:val="20"/>
        </w:rPr>
        <w:t>cantation v</w:t>
      </w:r>
      <w:r>
        <w:rPr>
          <w:rFonts w:hAnsi="Times New Roman"/>
          <w:sz w:val="20"/>
          <w:szCs w:val="20"/>
        </w:rPr>
        <w:t>é</w:t>
      </w:r>
      <w:r>
        <w:rPr>
          <w:rFonts w:ascii="Times New Roman"/>
          <w:sz w:val="20"/>
          <w:szCs w:val="20"/>
        </w:rPr>
        <w:t>g</w:t>
      </w:r>
      <w:r>
        <w:rPr>
          <w:rFonts w:hAnsi="Times New Roman"/>
          <w:sz w:val="20"/>
          <w:szCs w:val="20"/>
        </w:rPr>
        <w:t>é</w:t>
      </w:r>
      <w:r>
        <w:rPr>
          <w:rFonts w:ascii="Times New Roman"/>
          <w:sz w:val="20"/>
          <w:szCs w:val="20"/>
        </w:rPr>
        <w:t>tal et min</w:t>
      </w:r>
      <w:r>
        <w:rPr>
          <w:rFonts w:hAnsi="Times New Roman"/>
          <w:sz w:val="20"/>
          <w:szCs w:val="20"/>
        </w:rPr>
        <w:t>é</w:t>
      </w:r>
      <w:r>
        <w:rPr>
          <w:rFonts w:ascii="Times New Roman"/>
          <w:sz w:val="20"/>
          <w:szCs w:val="20"/>
        </w:rPr>
        <w:t>ral, fond</w:t>
      </w:r>
      <w:r>
        <w:rPr>
          <w:rFonts w:hAnsi="Times New Roman"/>
          <w:sz w:val="20"/>
          <w:szCs w:val="20"/>
        </w:rPr>
        <w:t>é</w:t>
      </w:r>
      <w:r>
        <w:rPr>
          <w:rFonts w:hAnsi="Times New Roman"/>
          <w:sz w:val="20"/>
          <w:szCs w:val="20"/>
        </w:rPr>
        <w:t xml:space="preserve"> </w:t>
      </w:r>
      <w:r>
        <w:rPr>
          <w:rFonts w:ascii="Times New Roman"/>
          <w:sz w:val="20"/>
          <w:szCs w:val="20"/>
        </w:rPr>
        <w:t>sur les recherches du professeur Orsz</w:t>
      </w:r>
      <w:r>
        <w:rPr>
          <w:rFonts w:hAnsi="Times New Roman"/>
          <w:sz w:val="20"/>
          <w:szCs w:val="20"/>
        </w:rPr>
        <w:t>á</w:t>
      </w:r>
      <w:r>
        <w:rPr>
          <w:rFonts w:ascii="Times New Roman"/>
          <w:sz w:val="20"/>
          <w:szCs w:val="20"/>
        </w:rPr>
        <w:t>ch.</w:t>
      </w:r>
    </w:p>
  </w:footnote>
  <w:footnote w:id="8">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Il s</w:t>
      </w:r>
      <w:r>
        <w:rPr>
          <w:rFonts w:hAnsi="Times New Roman"/>
          <w:sz w:val="20"/>
          <w:szCs w:val="20"/>
        </w:rPr>
        <w:t>’</w:t>
      </w:r>
      <w:r>
        <w:rPr>
          <w:rFonts w:ascii="Times New Roman"/>
          <w:sz w:val="20"/>
          <w:szCs w:val="20"/>
        </w:rPr>
        <w:t>agit de ne pas s</w:t>
      </w:r>
      <w:r>
        <w:rPr>
          <w:rFonts w:hAnsi="Times New Roman"/>
          <w:sz w:val="20"/>
          <w:szCs w:val="20"/>
        </w:rPr>
        <w:t>’</w:t>
      </w:r>
      <w:r>
        <w:rPr>
          <w:rFonts w:ascii="Times New Roman"/>
          <w:sz w:val="20"/>
          <w:szCs w:val="20"/>
        </w:rPr>
        <w:t>octroyer de b</w:t>
      </w:r>
      <w:r>
        <w:rPr>
          <w:rFonts w:hAnsi="Times New Roman"/>
          <w:sz w:val="20"/>
          <w:szCs w:val="20"/>
        </w:rPr>
        <w:t>é</w:t>
      </w:r>
      <w:r>
        <w:rPr>
          <w:rFonts w:ascii="Times New Roman"/>
          <w:sz w:val="20"/>
          <w:szCs w:val="20"/>
        </w:rPr>
        <w:t>n</w:t>
      </w:r>
      <w:r>
        <w:rPr>
          <w:rFonts w:hAnsi="Times New Roman"/>
          <w:sz w:val="20"/>
          <w:szCs w:val="20"/>
        </w:rPr>
        <w:t>é</w:t>
      </w:r>
      <w:r>
        <w:rPr>
          <w:rFonts w:ascii="Times New Roman"/>
          <w:sz w:val="20"/>
          <w:szCs w:val="20"/>
        </w:rPr>
        <w:t>fice, mais seulement de recouvrir la somme d</w:t>
      </w:r>
      <w:r>
        <w:rPr>
          <w:rFonts w:hAnsi="Times New Roman"/>
          <w:sz w:val="20"/>
          <w:szCs w:val="20"/>
        </w:rPr>
        <w:t>’</w:t>
      </w:r>
      <w:r>
        <w:rPr>
          <w:rFonts w:ascii="Times New Roman"/>
          <w:sz w:val="20"/>
          <w:szCs w:val="20"/>
        </w:rPr>
        <w:t>argent qu</w:t>
      </w:r>
      <w:r>
        <w:rPr>
          <w:rFonts w:hAnsi="Times New Roman"/>
          <w:sz w:val="20"/>
          <w:szCs w:val="20"/>
        </w:rPr>
        <w:t>’</w:t>
      </w:r>
      <w:r>
        <w:rPr>
          <w:rFonts w:ascii="Times New Roman"/>
          <w:sz w:val="20"/>
          <w:szCs w:val="20"/>
        </w:rPr>
        <w:t>aura investi son pr</w:t>
      </w:r>
      <w:r>
        <w:rPr>
          <w:rFonts w:hAnsi="Times New Roman"/>
          <w:sz w:val="20"/>
          <w:szCs w:val="20"/>
        </w:rPr>
        <w:t>é</w:t>
      </w:r>
      <w:r>
        <w:rPr>
          <w:rFonts w:ascii="Times New Roman"/>
          <w:sz w:val="20"/>
          <w:szCs w:val="20"/>
        </w:rPr>
        <w:t>d</w:t>
      </w:r>
      <w:r>
        <w:rPr>
          <w:rFonts w:hAnsi="Times New Roman"/>
          <w:sz w:val="20"/>
          <w:szCs w:val="20"/>
        </w:rPr>
        <w:t>é</w:t>
      </w:r>
      <w:r>
        <w:rPr>
          <w:rFonts w:ascii="Times New Roman"/>
          <w:sz w:val="20"/>
          <w:szCs w:val="20"/>
        </w:rPr>
        <w:t>cesseur pour ce logement.</w:t>
      </w:r>
    </w:p>
  </w:footnote>
  <w:footnote w:id="9">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Si le groupe l</w:t>
      </w:r>
      <w:r>
        <w:rPr>
          <w:rFonts w:hAnsi="Times New Roman"/>
          <w:sz w:val="20"/>
          <w:szCs w:val="20"/>
        </w:rPr>
        <w:t>’</w:t>
      </w:r>
      <w:r>
        <w:rPr>
          <w:rFonts w:ascii="Times New Roman"/>
          <w:sz w:val="20"/>
          <w:szCs w:val="20"/>
        </w:rPr>
        <w:t>estime n</w:t>
      </w:r>
      <w:r>
        <w:rPr>
          <w:rFonts w:hAnsi="Times New Roman"/>
          <w:sz w:val="20"/>
          <w:szCs w:val="20"/>
        </w:rPr>
        <w:t>é</w:t>
      </w:r>
      <w:r>
        <w:rPr>
          <w:rFonts w:ascii="Times New Roman"/>
          <w:sz w:val="20"/>
          <w:szCs w:val="20"/>
        </w:rPr>
        <w:t>cessaire, il demande alors justification du prix propos</w:t>
      </w:r>
      <w:r>
        <w:rPr>
          <w:rFonts w:hAnsi="Times New Roman"/>
          <w:sz w:val="20"/>
          <w:szCs w:val="20"/>
        </w:rPr>
        <w:t>é</w:t>
      </w:r>
      <w:r>
        <w:rPr>
          <w:rFonts w:ascii="Times New Roman"/>
          <w:sz w:val="20"/>
          <w:szCs w:val="20"/>
        </w:rPr>
        <w:t>.</w:t>
      </w:r>
    </w:p>
  </w:footnote>
  <w:footnote w:id="10">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Les habitants du quartier de La Baraque se d</w:t>
      </w:r>
      <w:r>
        <w:rPr>
          <w:rFonts w:hAnsi="Arial Unicode MS"/>
          <w:sz w:val="20"/>
          <w:szCs w:val="20"/>
        </w:rPr>
        <w:t>é</w:t>
      </w:r>
      <w:r>
        <w:rPr>
          <w:rFonts w:ascii="Times New Roman"/>
          <w:sz w:val="20"/>
          <w:szCs w:val="20"/>
        </w:rPr>
        <w:t>nomment eux-m</w:t>
      </w:r>
      <w:r>
        <w:rPr>
          <w:rFonts w:hAnsi="Arial Unicode MS"/>
          <w:sz w:val="20"/>
          <w:szCs w:val="20"/>
        </w:rPr>
        <w:t>ê</w:t>
      </w:r>
      <w:r>
        <w:rPr>
          <w:rFonts w:ascii="Times New Roman"/>
          <w:sz w:val="20"/>
          <w:szCs w:val="20"/>
        </w:rPr>
        <w:t xml:space="preserve">mes </w:t>
      </w:r>
      <w:r>
        <w:rPr>
          <w:sz w:val="20"/>
          <w:szCs w:val="20"/>
        </w:rPr>
        <w:t>« </w:t>
      </w:r>
      <w:r>
        <w:rPr>
          <w:rFonts w:ascii="Times New Roman"/>
          <w:sz w:val="20"/>
          <w:szCs w:val="20"/>
        </w:rPr>
        <w:t>Baraqu</w:t>
      </w:r>
      <w:r>
        <w:rPr>
          <w:sz w:val="20"/>
          <w:szCs w:val="20"/>
        </w:rPr>
        <w:t>î</w:t>
      </w:r>
      <w:r>
        <w:rPr>
          <w:rFonts w:ascii="Times New Roman"/>
          <w:sz w:val="20"/>
          <w:szCs w:val="20"/>
        </w:rPr>
        <w:t>s</w:t>
      </w:r>
      <w:r>
        <w:rPr>
          <w:sz w:val="20"/>
          <w:szCs w:val="20"/>
        </w:rPr>
        <w:t> »</w:t>
      </w:r>
      <w:r>
        <w:rPr>
          <w:rFonts w:ascii="Times New Roman"/>
          <w:sz w:val="20"/>
          <w:szCs w:val="20"/>
        </w:rPr>
        <w:t>, non sans une note de d</w:t>
      </w:r>
      <w:r>
        <w:rPr>
          <w:rFonts w:hAnsi="Arial Unicode MS"/>
          <w:sz w:val="20"/>
          <w:szCs w:val="20"/>
        </w:rPr>
        <w:t>é</w:t>
      </w:r>
      <w:r>
        <w:rPr>
          <w:rFonts w:ascii="Times New Roman"/>
          <w:sz w:val="20"/>
          <w:szCs w:val="20"/>
        </w:rPr>
        <w:t>rision et pour moquer l'</w:t>
      </w:r>
      <w:r>
        <w:rPr>
          <w:rFonts w:hAnsi="Arial Unicode MS"/>
          <w:sz w:val="20"/>
          <w:szCs w:val="20"/>
        </w:rPr>
        <w:t>é</w:t>
      </w:r>
      <w:r>
        <w:rPr>
          <w:rFonts w:ascii="Times New Roman"/>
          <w:sz w:val="20"/>
          <w:szCs w:val="20"/>
        </w:rPr>
        <w:t>troitesse d'esprit de ceux qui d</w:t>
      </w:r>
      <w:r>
        <w:rPr>
          <w:rFonts w:hAnsi="Arial Unicode MS"/>
          <w:sz w:val="20"/>
          <w:szCs w:val="20"/>
        </w:rPr>
        <w:t>é</w:t>
      </w:r>
      <w:r>
        <w:rPr>
          <w:rFonts w:ascii="Times New Roman"/>
          <w:sz w:val="20"/>
          <w:szCs w:val="20"/>
        </w:rPr>
        <w:t>signent g</w:t>
      </w:r>
      <w:r>
        <w:rPr>
          <w:rFonts w:hAnsi="Arial Unicode MS"/>
          <w:sz w:val="20"/>
          <w:szCs w:val="20"/>
        </w:rPr>
        <w:t>é</w:t>
      </w:r>
      <w:r>
        <w:rPr>
          <w:rFonts w:ascii="Times New Roman"/>
          <w:sz w:val="20"/>
          <w:szCs w:val="20"/>
        </w:rPr>
        <w:t>n</w:t>
      </w:r>
      <w:r>
        <w:rPr>
          <w:rFonts w:hAnsi="Arial Unicode MS"/>
          <w:sz w:val="20"/>
          <w:szCs w:val="20"/>
        </w:rPr>
        <w:t>é</w:t>
      </w:r>
      <w:r>
        <w:rPr>
          <w:rFonts w:ascii="Times New Roman"/>
          <w:sz w:val="20"/>
          <w:szCs w:val="20"/>
        </w:rPr>
        <w:t>ralement en Belgique, par ce vocable, une population de d</w:t>
      </w:r>
      <w:r>
        <w:rPr>
          <w:rFonts w:hAnsi="Arial Unicode MS"/>
          <w:sz w:val="20"/>
          <w:szCs w:val="20"/>
        </w:rPr>
        <w:t>é</w:t>
      </w:r>
      <w:r>
        <w:rPr>
          <w:rFonts w:ascii="Times New Roman"/>
          <w:sz w:val="20"/>
          <w:szCs w:val="20"/>
        </w:rPr>
        <w:t>munis aussi bien en termes de savoir que de richesse.</w:t>
      </w:r>
    </w:p>
  </w:footnote>
  <w:footnote w:id="11">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La commune d</w:t>
      </w:r>
      <w:r>
        <w:rPr>
          <w:rFonts w:hAnsi="Times New Roman"/>
          <w:sz w:val="20"/>
          <w:szCs w:val="20"/>
        </w:rPr>
        <w:t>’</w:t>
      </w:r>
      <w:r>
        <w:rPr>
          <w:rFonts w:ascii="Times New Roman"/>
          <w:sz w:val="20"/>
          <w:szCs w:val="20"/>
        </w:rPr>
        <w:t>Ottignies b</w:t>
      </w:r>
      <w:r>
        <w:rPr>
          <w:rFonts w:hAnsi="Times New Roman"/>
          <w:sz w:val="20"/>
          <w:szCs w:val="20"/>
        </w:rPr>
        <w:t>é</w:t>
      </w:r>
      <w:r>
        <w:rPr>
          <w:rFonts w:ascii="Times New Roman"/>
          <w:sz w:val="20"/>
          <w:szCs w:val="20"/>
        </w:rPr>
        <w:t>n</w:t>
      </w:r>
      <w:r>
        <w:rPr>
          <w:rFonts w:hAnsi="Times New Roman"/>
          <w:sz w:val="20"/>
          <w:szCs w:val="20"/>
        </w:rPr>
        <w:t>é</w:t>
      </w:r>
      <w:r>
        <w:rPr>
          <w:rFonts w:ascii="Times New Roman"/>
          <w:sz w:val="20"/>
          <w:szCs w:val="20"/>
        </w:rPr>
        <w:t>ficie d</w:t>
      </w:r>
      <w:r>
        <w:rPr>
          <w:rFonts w:hAnsi="Times New Roman"/>
          <w:sz w:val="20"/>
          <w:szCs w:val="20"/>
        </w:rPr>
        <w:t>’</w:t>
      </w:r>
      <w:r>
        <w:rPr>
          <w:rFonts w:ascii="Times New Roman"/>
          <w:sz w:val="20"/>
          <w:szCs w:val="20"/>
        </w:rPr>
        <w:t>une d</w:t>
      </w:r>
      <w:r>
        <w:rPr>
          <w:rFonts w:hAnsi="Times New Roman"/>
          <w:sz w:val="20"/>
          <w:szCs w:val="20"/>
        </w:rPr>
        <w:t>é</w:t>
      </w:r>
      <w:r>
        <w:rPr>
          <w:rFonts w:ascii="Times New Roman"/>
          <w:sz w:val="20"/>
          <w:szCs w:val="20"/>
        </w:rPr>
        <w:t>rogation permettant la gestion autonome de l</w:t>
      </w:r>
      <w:r>
        <w:rPr>
          <w:rFonts w:hAnsi="Times New Roman"/>
          <w:sz w:val="20"/>
          <w:szCs w:val="20"/>
        </w:rPr>
        <w:t>’</w:t>
      </w:r>
      <w:r>
        <w:rPr>
          <w:rFonts w:ascii="Times New Roman"/>
          <w:sz w:val="20"/>
          <w:szCs w:val="20"/>
        </w:rPr>
        <w:t>am</w:t>
      </w:r>
      <w:r>
        <w:rPr>
          <w:rFonts w:hAnsi="Times New Roman"/>
          <w:sz w:val="20"/>
          <w:szCs w:val="20"/>
        </w:rPr>
        <w:t>é</w:t>
      </w:r>
      <w:r>
        <w:rPr>
          <w:rFonts w:ascii="Times New Roman"/>
          <w:sz w:val="20"/>
          <w:szCs w:val="20"/>
        </w:rPr>
        <w:t>nagement de son territoire, qu</w:t>
      </w:r>
      <w:r>
        <w:rPr>
          <w:rFonts w:hAnsi="Times New Roman"/>
          <w:sz w:val="20"/>
          <w:szCs w:val="20"/>
        </w:rPr>
        <w:t>’</w:t>
      </w:r>
      <w:r>
        <w:rPr>
          <w:rFonts w:ascii="Times New Roman"/>
          <w:sz w:val="20"/>
          <w:szCs w:val="20"/>
        </w:rPr>
        <w:t xml:space="preserve">on nomme </w:t>
      </w:r>
      <w:r>
        <w:rPr>
          <w:rFonts w:hAnsi="Times New Roman"/>
          <w:sz w:val="20"/>
          <w:szCs w:val="20"/>
        </w:rPr>
        <w:t>« </w:t>
      </w:r>
      <w:r>
        <w:rPr>
          <w:rFonts w:hAnsi="Times New Roman"/>
          <w:sz w:val="20"/>
          <w:szCs w:val="20"/>
        </w:rPr>
        <w:t xml:space="preserve"> </w:t>
      </w:r>
      <w:r>
        <w:rPr>
          <w:rFonts w:ascii="Times New Roman"/>
          <w:sz w:val="20"/>
          <w:szCs w:val="20"/>
        </w:rPr>
        <w:t>commune en d</w:t>
      </w:r>
      <w:r>
        <w:rPr>
          <w:rFonts w:hAnsi="Times New Roman"/>
          <w:sz w:val="20"/>
          <w:szCs w:val="20"/>
        </w:rPr>
        <w:t>é</w:t>
      </w:r>
      <w:r>
        <w:rPr>
          <w:rFonts w:ascii="Times New Roman"/>
          <w:sz w:val="20"/>
          <w:szCs w:val="20"/>
        </w:rPr>
        <w:t>centralisation</w:t>
      </w:r>
      <w:r>
        <w:rPr>
          <w:rFonts w:hAnsi="Times New Roman"/>
          <w:sz w:val="20"/>
          <w:szCs w:val="20"/>
        </w:rPr>
        <w:t> </w:t>
      </w:r>
      <w:r>
        <w:rPr>
          <w:rFonts w:hAns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 la commune d</w:t>
      </w:r>
      <w:r>
        <w:rPr>
          <w:rFonts w:hAnsi="Times New Roman"/>
          <w:sz w:val="20"/>
          <w:szCs w:val="20"/>
        </w:rPr>
        <w:t>’</w:t>
      </w:r>
      <w:r>
        <w:rPr>
          <w:rFonts w:ascii="Times New Roman"/>
          <w:sz w:val="20"/>
          <w:szCs w:val="20"/>
        </w:rPr>
        <w:t xml:space="preserve">Ottignies peut </w:t>
      </w:r>
      <w:r>
        <w:rPr>
          <w:rFonts w:hAnsi="Times New Roman"/>
          <w:sz w:val="20"/>
          <w:szCs w:val="20"/>
        </w:rPr>
        <w:t>é</w:t>
      </w:r>
      <w:r>
        <w:rPr>
          <w:rFonts w:ascii="Times New Roman"/>
          <w:sz w:val="20"/>
          <w:szCs w:val="20"/>
        </w:rPr>
        <w:t>crire son sch</w:t>
      </w:r>
      <w:r>
        <w:rPr>
          <w:rFonts w:hAnsi="Times New Roman"/>
          <w:sz w:val="20"/>
          <w:szCs w:val="20"/>
        </w:rPr>
        <w:t>é</w:t>
      </w:r>
      <w:r>
        <w:rPr>
          <w:rFonts w:ascii="Times New Roman"/>
          <w:sz w:val="20"/>
          <w:szCs w:val="20"/>
        </w:rPr>
        <w:t>ma de structure elle-m</w:t>
      </w:r>
      <w:r>
        <w:rPr>
          <w:rFonts w:hAnsi="Times New Roman"/>
          <w:sz w:val="20"/>
          <w:szCs w:val="20"/>
        </w:rPr>
        <w:t>ê</w:t>
      </w:r>
      <w:r>
        <w:rPr>
          <w:rFonts w:ascii="Times New Roman"/>
          <w:sz w:val="20"/>
          <w:szCs w:val="20"/>
        </w:rPr>
        <w:t>me.</w:t>
      </w:r>
    </w:p>
  </w:footnote>
  <w:footnote w:id="12">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Ce qui permit, en 1991, le vote du plan d</w:t>
      </w:r>
      <w:r>
        <w:rPr>
          <w:rFonts w:hAnsi="Times New Roman"/>
          <w:sz w:val="20"/>
          <w:szCs w:val="20"/>
        </w:rPr>
        <w:t>’</w:t>
      </w:r>
      <w:r>
        <w:rPr>
          <w:rFonts w:ascii="Times New Roman"/>
          <w:sz w:val="20"/>
          <w:szCs w:val="20"/>
        </w:rPr>
        <w:t>am</w:t>
      </w:r>
      <w:r>
        <w:rPr>
          <w:rFonts w:hAnsi="Times New Roman"/>
          <w:sz w:val="20"/>
          <w:szCs w:val="20"/>
        </w:rPr>
        <w:t>é</w:t>
      </w:r>
      <w:r>
        <w:rPr>
          <w:rFonts w:ascii="Times New Roman"/>
          <w:sz w:val="20"/>
          <w:szCs w:val="20"/>
        </w:rPr>
        <w:t>nagement du quartier pr</w:t>
      </w:r>
      <w:r>
        <w:rPr>
          <w:rFonts w:hAnsi="Times New Roman"/>
          <w:sz w:val="20"/>
          <w:szCs w:val="20"/>
        </w:rPr>
        <w:t>é</w:t>
      </w:r>
      <w:r>
        <w:rPr>
          <w:rFonts w:ascii="Times New Roman"/>
          <w:sz w:val="20"/>
          <w:szCs w:val="20"/>
        </w:rPr>
        <w:t>servant habitat traditionnel et habitat alternatif. Cette reconnaissance urbanistique permet enfin aux habitants de se domicilier, et, au quartier, de se stabiliser.</w:t>
      </w:r>
    </w:p>
  </w:footnote>
  <w:footnote w:id="13">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Association sans but lucratif</w:t>
      </w:r>
    </w:p>
  </w:footnote>
  <w:footnote w:id="14">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Arr</w:t>
      </w:r>
      <w:r>
        <w:rPr>
          <w:rFonts w:hAnsi="Times New Roman"/>
          <w:sz w:val="20"/>
          <w:szCs w:val="20"/>
        </w:rPr>
        <w:t>ê</w:t>
      </w:r>
      <w:r>
        <w:rPr>
          <w:rFonts w:ascii="Times New Roman"/>
          <w:sz w:val="20"/>
          <w:szCs w:val="20"/>
        </w:rPr>
        <w:t>t</w:t>
      </w:r>
      <w:r>
        <w:rPr>
          <w:rFonts w:hAnsi="Times New Roman"/>
          <w:sz w:val="20"/>
          <w:szCs w:val="20"/>
        </w:rPr>
        <w:t>é</w:t>
      </w:r>
      <w:r>
        <w:rPr>
          <w:rFonts w:hAnsi="Times New Roman"/>
          <w:sz w:val="20"/>
          <w:szCs w:val="20"/>
        </w:rPr>
        <w:t xml:space="preserve"> </w:t>
      </w:r>
      <w:r>
        <w:rPr>
          <w:rFonts w:ascii="Times New Roman"/>
          <w:sz w:val="20"/>
          <w:szCs w:val="20"/>
        </w:rPr>
        <w:t>du gouvernement wallon du 30 ao</w:t>
      </w:r>
      <w:r>
        <w:rPr>
          <w:rFonts w:hAnsi="Times New Roman"/>
          <w:sz w:val="20"/>
          <w:szCs w:val="20"/>
        </w:rPr>
        <w:t>û</w:t>
      </w:r>
      <w:r>
        <w:rPr>
          <w:rFonts w:ascii="Times New Roman"/>
          <w:sz w:val="20"/>
          <w:szCs w:val="20"/>
        </w:rPr>
        <w:t>t 2007 d</w:t>
      </w:r>
      <w:r>
        <w:rPr>
          <w:rFonts w:hAnsi="Times New Roman"/>
          <w:sz w:val="20"/>
          <w:szCs w:val="20"/>
        </w:rPr>
        <w:t>é</w:t>
      </w:r>
      <w:r>
        <w:rPr>
          <w:rFonts w:ascii="Times New Roman"/>
          <w:sz w:val="20"/>
          <w:szCs w:val="20"/>
        </w:rPr>
        <w:t>terminant les crit</w:t>
      </w:r>
      <w:r>
        <w:rPr>
          <w:rFonts w:hAnsi="Times New Roman"/>
          <w:sz w:val="20"/>
          <w:szCs w:val="20"/>
        </w:rPr>
        <w:t>è</w:t>
      </w:r>
      <w:r>
        <w:rPr>
          <w:rFonts w:ascii="Times New Roman"/>
          <w:sz w:val="20"/>
          <w:szCs w:val="20"/>
        </w:rPr>
        <w:t>res minimaux de salubrit</w:t>
      </w:r>
      <w:r>
        <w:rPr>
          <w:rFonts w:hAnsi="Times New Roman"/>
          <w:sz w:val="20"/>
          <w:szCs w:val="20"/>
        </w:rPr>
        <w:t>é</w:t>
      </w:r>
      <w:r>
        <w:rPr>
          <w:rFonts w:ascii="Times New Roman"/>
          <w:sz w:val="20"/>
          <w:szCs w:val="20"/>
        </w:rPr>
        <w:t>, les crit</w:t>
      </w:r>
      <w:r>
        <w:rPr>
          <w:rFonts w:hAnsi="Times New Roman"/>
          <w:sz w:val="20"/>
          <w:szCs w:val="20"/>
        </w:rPr>
        <w:t>è</w:t>
      </w:r>
      <w:r>
        <w:rPr>
          <w:rFonts w:ascii="Times New Roman"/>
          <w:sz w:val="20"/>
          <w:szCs w:val="20"/>
        </w:rPr>
        <w:t>res de surpeuplement et portant les d</w:t>
      </w:r>
      <w:r>
        <w:rPr>
          <w:rFonts w:hAnsi="Times New Roman"/>
          <w:sz w:val="20"/>
          <w:szCs w:val="20"/>
        </w:rPr>
        <w:t>é</w:t>
      </w:r>
      <w:r>
        <w:rPr>
          <w:rFonts w:ascii="Times New Roman"/>
          <w:sz w:val="20"/>
          <w:szCs w:val="20"/>
        </w:rPr>
        <w:t>finitions vis</w:t>
      </w:r>
      <w:r>
        <w:rPr>
          <w:rFonts w:hAnsi="Times New Roman"/>
          <w:sz w:val="20"/>
          <w:szCs w:val="20"/>
        </w:rPr>
        <w:t>é</w:t>
      </w:r>
      <w:r>
        <w:rPr>
          <w:rFonts w:ascii="Times New Roman"/>
          <w:sz w:val="20"/>
          <w:szCs w:val="20"/>
        </w:rPr>
        <w:t xml:space="preserve">es </w:t>
      </w:r>
      <w:r>
        <w:rPr>
          <w:rFonts w:hAnsi="Times New Roman"/>
          <w:sz w:val="20"/>
          <w:szCs w:val="20"/>
        </w:rPr>
        <w:t>à</w:t>
      </w:r>
      <w:r>
        <w:rPr>
          <w:rFonts w:hAnsi="Times New Roman"/>
          <w:sz w:val="20"/>
          <w:szCs w:val="20"/>
        </w:rPr>
        <w:t xml:space="preserve"> </w:t>
      </w:r>
      <w:r>
        <w:rPr>
          <w:rFonts w:ascii="Times New Roman"/>
          <w:sz w:val="20"/>
          <w:szCs w:val="20"/>
        </w:rPr>
        <w:t>l</w:t>
      </w:r>
      <w:r>
        <w:rPr>
          <w:rFonts w:hAnsi="Times New Roman"/>
          <w:sz w:val="20"/>
          <w:szCs w:val="20"/>
        </w:rPr>
        <w:t>’</w:t>
      </w:r>
      <w:r>
        <w:rPr>
          <w:rFonts w:ascii="Times New Roman"/>
          <w:sz w:val="20"/>
          <w:szCs w:val="20"/>
        </w:rPr>
        <w:t>article 1er, 19</w:t>
      </w:r>
      <w:r>
        <w:rPr>
          <w:rFonts w:hAnsi="Times New Roman"/>
          <w:sz w:val="20"/>
          <w:szCs w:val="20"/>
        </w:rPr>
        <w:t>°</w:t>
      </w:r>
      <w:r>
        <w:rPr>
          <w:rFonts w:hAnsi="Times New Roman"/>
          <w:sz w:val="20"/>
          <w:szCs w:val="20"/>
        </w:rPr>
        <w:t xml:space="preserve"> </w:t>
      </w:r>
      <w:r>
        <w:rPr>
          <w:rFonts w:hAnsi="Times New Roman"/>
          <w:sz w:val="20"/>
          <w:szCs w:val="20"/>
        </w:rPr>
        <w:t>à</w:t>
      </w:r>
      <w:r>
        <w:rPr>
          <w:rFonts w:hAnsi="Times New Roman"/>
          <w:sz w:val="20"/>
          <w:szCs w:val="20"/>
        </w:rPr>
        <w:t xml:space="preserve"> </w:t>
      </w:r>
      <w:r>
        <w:rPr>
          <w:rFonts w:ascii="Times New Roman"/>
          <w:sz w:val="20"/>
          <w:szCs w:val="20"/>
        </w:rPr>
        <w:t>22</w:t>
      </w:r>
      <w:r>
        <w:rPr>
          <w:rFonts w:ascii="Times New Roman"/>
          <w:i/>
          <w:iCs/>
          <w:sz w:val="20"/>
          <w:szCs w:val="20"/>
        </w:rPr>
        <w:t xml:space="preserve">bis, </w:t>
      </w:r>
      <w:r>
        <w:rPr>
          <w:rFonts w:ascii="Times New Roman"/>
          <w:sz w:val="20"/>
          <w:szCs w:val="20"/>
        </w:rPr>
        <w:t>du Code wallon du logement</w:t>
      </w:r>
    </w:p>
  </w:footnote>
  <w:footnote w:id="15">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C</w:t>
      </w:r>
      <w:r>
        <w:rPr>
          <w:rFonts w:ascii="Times New Roman"/>
          <w:i/>
          <w:iCs/>
          <w:sz w:val="20"/>
          <w:szCs w:val="20"/>
        </w:rPr>
        <w:t>f</w:t>
      </w:r>
      <w:r>
        <w:rPr>
          <w:rFonts w:ascii="Times New Roman"/>
          <w:sz w:val="20"/>
          <w:szCs w:val="20"/>
        </w:rPr>
        <w:t xml:space="preserve"> article 22</w:t>
      </w:r>
      <w:r>
        <w:rPr>
          <w:rFonts w:ascii="Times New Roman"/>
          <w:i/>
          <w:iCs/>
          <w:sz w:val="20"/>
          <w:szCs w:val="20"/>
        </w:rPr>
        <w:t>bis</w:t>
      </w:r>
      <w:r>
        <w:rPr>
          <w:rFonts w:ascii="Times New Roman"/>
          <w:sz w:val="20"/>
          <w:szCs w:val="20"/>
        </w:rPr>
        <w:t xml:space="preserve"> du Code du logement du 1 juillet 2012</w:t>
      </w:r>
    </w:p>
  </w:footnote>
  <w:footnote w:id="16">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lang w:val="sv-SE"/>
        </w:rPr>
        <w:t xml:space="preserve">Jandrain L. (2012), </w:t>
      </w:r>
      <w:r>
        <w:rPr>
          <w:rFonts w:hAnsi="Times New Roman"/>
          <w:sz w:val="20"/>
          <w:szCs w:val="20"/>
        </w:rPr>
        <w:t>« </w:t>
      </w:r>
      <w:r>
        <w:rPr>
          <w:rFonts w:hAnsi="Times New Roman"/>
          <w:sz w:val="20"/>
          <w:szCs w:val="20"/>
        </w:rPr>
        <w:t xml:space="preserve"> </w:t>
      </w:r>
      <w:r>
        <w:rPr>
          <w:rFonts w:ascii="Times New Roman"/>
          <w:sz w:val="20"/>
          <w:szCs w:val="20"/>
        </w:rPr>
        <w:t>Habitat alternatif et crit</w:t>
      </w:r>
      <w:r>
        <w:rPr>
          <w:rFonts w:hAnsi="Times New Roman"/>
          <w:sz w:val="20"/>
          <w:szCs w:val="20"/>
        </w:rPr>
        <w:t>è</w:t>
      </w:r>
      <w:r>
        <w:rPr>
          <w:rFonts w:ascii="Times New Roman"/>
          <w:sz w:val="20"/>
          <w:szCs w:val="20"/>
        </w:rPr>
        <w:t>res minimaux de salubrit</w:t>
      </w:r>
      <w:r>
        <w:rPr>
          <w:rFonts w:hAnsi="Times New Roman"/>
          <w:sz w:val="20"/>
          <w:szCs w:val="20"/>
        </w:rPr>
        <w:t>é </w:t>
      </w:r>
      <w:r>
        <w:rPr>
          <w:rFonts w:hAnsi="Times New Roman"/>
          <w:sz w:val="20"/>
          <w:szCs w:val="20"/>
        </w:rPr>
        <w:t xml:space="preserve"> </w:t>
      </w:r>
      <w:r>
        <w:rPr>
          <w:rFonts w:hAnsi="Times New Roman"/>
          <w:sz w:val="20"/>
          <w:szCs w:val="20"/>
        </w:rPr>
        <w:t>»</w:t>
      </w:r>
      <w:r>
        <w:rPr>
          <w:rFonts w:ascii="Times New Roman"/>
          <w:sz w:val="20"/>
          <w:szCs w:val="20"/>
        </w:rPr>
        <w:t>, dans Bernard N. (Dir),</w:t>
      </w:r>
      <w:r>
        <w:rPr>
          <w:rFonts w:hAnsi="Times New Roman"/>
          <w:sz w:val="20"/>
          <w:szCs w:val="20"/>
        </w:rPr>
        <w:t> </w:t>
      </w:r>
      <w:r>
        <w:rPr>
          <w:rFonts w:hAnsi="Times New Roman"/>
          <w:sz w:val="20"/>
          <w:szCs w:val="20"/>
        </w:rPr>
        <w:t xml:space="preserve"> </w:t>
      </w:r>
      <w:r>
        <w:rPr>
          <w:rFonts w:ascii="Times New Roman"/>
          <w:sz w:val="20"/>
          <w:szCs w:val="20"/>
        </w:rPr>
        <w:t xml:space="preserve">La norme </w:t>
      </w:r>
      <w:r>
        <w:rPr>
          <w:rFonts w:hAnsi="Times New Roman"/>
          <w:sz w:val="20"/>
          <w:szCs w:val="20"/>
        </w:rPr>
        <w:t>à</w:t>
      </w:r>
      <w:r>
        <w:rPr>
          <w:rFonts w:hAnsi="Times New Roman"/>
          <w:sz w:val="20"/>
          <w:szCs w:val="20"/>
        </w:rPr>
        <w:t xml:space="preserve"> </w:t>
      </w:r>
      <w:r>
        <w:rPr>
          <w:rFonts w:ascii="Times New Roman"/>
          <w:sz w:val="20"/>
          <w:szCs w:val="20"/>
        </w:rPr>
        <w:t>l</w:t>
      </w:r>
      <w:r>
        <w:rPr>
          <w:rFonts w:hAnsi="Times New Roman"/>
          <w:sz w:val="20"/>
          <w:szCs w:val="20"/>
        </w:rPr>
        <w:t>’é</w:t>
      </w:r>
      <w:r>
        <w:rPr>
          <w:rFonts w:ascii="Times New Roman"/>
          <w:sz w:val="20"/>
          <w:szCs w:val="20"/>
        </w:rPr>
        <w:t>preuve de l</w:t>
      </w:r>
      <w:r>
        <w:rPr>
          <w:rFonts w:hAnsi="Times New Roman"/>
          <w:sz w:val="20"/>
          <w:szCs w:val="20"/>
        </w:rPr>
        <w:t>’</w:t>
      </w:r>
      <w:r>
        <w:rPr>
          <w:rFonts w:ascii="Times New Roman"/>
          <w:sz w:val="20"/>
          <w:szCs w:val="20"/>
        </w:rPr>
        <w:t>habitat alternatif. Actes du colloque organis</w:t>
      </w:r>
      <w:r>
        <w:rPr>
          <w:rFonts w:hAnsi="Times New Roman"/>
          <w:sz w:val="20"/>
          <w:szCs w:val="20"/>
        </w:rPr>
        <w:t>é</w:t>
      </w:r>
      <w:r>
        <w:rPr>
          <w:rFonts w:hAnsi="Times New Roman"/>
          <w:sz w:val="20"/>
          <w:szCs w:val="20"/>
        </w:rPr>
        <w:t xml:space="preserve"> </w:t>
      </w:r>
      <w:r>
        <w:rPr>
          <w:rFonts w:ascii="Times New Roman"/>
          <w:sz w:val="20"/>
          <w:szCs w:val="20"/>
        </w:rPr>
        <w:t>le 23 novembre 2012 par le conseil sup</w:t>
      </w:r>
      <w:r>
        <w:rPr>
          <w:rFonts w:hAnsi="Times New Roman"/>
          <w:sz w:val="20"/>
          <w:szCs w:val="20"/>
        </w:rPr>
        <w:t>é</w:t>
      </w:r>
      <w:r>
        <w:rPr>
          <w:rFonts w:ascii="Times New Roman"/>
          <w:sz w:val="20"/>
          <w:szCs w:val="20"/>
        </w:rPr>
        <w:t>rieur du logement de Wallonie, Bruxelles, La Charte, p. 255.</w:t>
      </w:r>
    </w:p>
  </w:footnote>
  <w:footnote w:id="17">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rPr>
        <w:t xml:space="preserve"> </w:t>
      </w:r>
      <w:r>
        <w:rPr>
          <w:rFonts w:ascii="Times New Roman"/>
          <w:sz w:val="20"/>
          <w:szCs w:val="20"/>
        </w:rPr>
        <w:t xml:space="preserve">Bernard N. (2012a), </w:t>
      </w:r>
      <w:r>
        <w:rPr>
          <w:rFonts w:hAnsi="Times New Roman"/>
          <w:sz w:val="20"/>
          <w:szCs w:val="20"/>
        </w:rPr>
        <w:t>« </w:t>
      </w:r>
      <w:r>
        <w:rPr>
          <w:rFonts w:hAnsi="Times New Roman"/>
          <w:sz w:val="20"/>
          <w:szCs w:val="20"/>
        </w:rPr>
        <w:t xml:space="preserve"> </w:t>
      </w:r>
      <w:r>
        <w:rPr>
          <w:rFonts w:ascii="Times New Roman"/>
          <w:sz w:val="20"/>
          <w:szCs w:val="20"/>
        </w:rPr>
        <w:t>L</w:t>
      </w:r>
      <w:r>
        <w:rPr>
          <w:rFonts w:hAnsi="Times New Roman"/>
          <w:sz w:val="20"/>
          <w:szCs w:val="20"/>
        </w:rPr>
        <w:t>’</w:t>
      </w:r>
      <w:r>
        <w:rPr>
          <w:rFonts w:ascii="Times New Roman"/>
          <w:sz w:val="20"/>
          <w:szCs w:val="20"/>
        </w:rPr>
        <w:t>habitat alternatif face au droit</w:t>
      </w:r>
      <w:r>
        <w:rPr>
          <w:rFonts w:hAnsi="Times New Roman"/>
          <w:sz w:val="20"/>
          <w:szCs w:val="20"/>
        </w:rPr>
        <w:t> </w:t>
      </w:r>
      <w:r>
        <w:rPr>
          <w:rFonts w:hAnsi="Times New Roman"/>
          <w:sz w:val="20"/>
          <w:szCs w:val="20"/>
        </w:rPr>
        <w:t xml:space="preserve"> </w:t>
      </w:r>
      <w:r>
        <w:rPr>
          <w:rFonts w:hAnsi="Times New Roman"/>
          <w:sz w:val="20"/>
          <w:szCs w:val="20"/>
        </w:rPr>
        <w:t>»</w:t>
      </w:r>
      <w:r>
        <w:rPr>
          <w:rFonts w:ascii="Times New Roman"/>
          <w:sz w:val="20"/>
          <w:szCs w:val="20"/>
        </w:rPr>
        <w:t>, dans Bernard N. (Dir),</w:t>
      </w:r>
      <w:r>
        <w:rPr>
          <w:rFonts w:hAnsi="Times New Roman"/>
          <w:sz w:val="20"/>
          <w:szCs w:val="20"/>
        </w:rPr>
        <w:t> </w:t>
      </w:r>
      <w:r>
        <w:rPr>
          <w:rFonts w:hAnsi="Times New Roman"/>
          <w:sz w:val="20"/>
          <w:szCs w:val="20"/>
        </w:rPr>
        <w:t xml:space="preserve"> </w:t>
      </w:r>
      <w:r>
        <w:rPr>
          <w:rFonts w:ascii="Times New Roman"/>
          <w:sz w:val="20"/>
          <w:szCs w:val="20"/>
          <w:lang w:val="en-US"/>
        </w:rPr>
        <w:t xml:space="preserve">La norme </w:t>
      </w:r>
      <w:r>
        <w:rPr>
          <w:rFonts w:hAnsi="Times New Roman"/>
          <w:sz w:val="20"/>
          <w:szCs w:val="20"/>
        </w:rPr>
        <w:t>à</w:t>
      </w:r>
      <w:r>
        <w:rPr>
          <w:rFonts w:hAnsi="Times New Roman"/>
          <w:sz w:val="20"/>
          <w:szCs w:val="20"/>
        </w:rPr>
        <w:t xml:space="preserve"> </w:t>
      </w:r>
      <w:r>
        <w:rPr>
          <w:rFonts w:ascii="Times New Roman"/>
          <w:sz w:val="20"/>
          <w:szCs w:val="20"/>
        </w:rPr>
        <w:t>l</w:t>
      </w:r>
      <w:r>
        <w:rPr>
          <w:rFonts w:hAnsi="Times New Roman"/>
          <w:sz w:val="20"/>
          <w:szCs w:val="20"/>
        </w:rPr>
        <w:t>’é</w:t>
      </w:r>
      <w:r>
        <w:rPr>
          <w:rFonts w:ascii="Times New Roman"/>
          <w:sz w:val="20"/>
          <w:szCs w:val="20"/>
        </w:rPr>
        <w:t>preuve de l</w:t>
      </w:r>
      <w:r>
        <w:rPr>
          <w:rFonts w:hAnsi="Times New Roman"/>
          <w:sz w:val="20"/>
          <w:szCs w:val="20"/>
        </w:rPr>
        <w:t>’</w:t>
      </w:r>
      <w:r>
        <w:rPr>
          <w:rFonts w:ascii="Times New Roman"/>
          <w:sz w:val="20"/>
          <w:szCs w:val="20"/>
        </w:rPr>
        <w:t>habitat alternatif. Actes du colloque organis</w:t>
      </w:r>
      <w:r>
        <w:rPr>
          <w:rFonts w:hAnsi="Times New Roman"/>
          <w:sz w:val="20"/>
          <w:szCs w:val="20"/>
        </w:rPr>
        <w:t>é</w:t>
      </w:r>
      <w:r>
        <w:rPr>
          <w:rFonts w:hAnsi="Times New Roman"/>
          <w:sz w:val="20"/>
          <w:szCs w:val="20"/>
        </w:rPr>
        <w:t xml:space="preserve"> </w:t>
      </w:r>
      <w:r>
        <w:rPr>
          <w:rFonts w:ascii="Times New Roman"/>
          <w:sz w:val="20"/>
          <w:szCs w:val="20"/>
        </w:rPr>
        <w:t>le 23 novembre 2012 par le conseil sup</w:t>
      </w:r>
      <w:r>
        <w:rPr>
          <w:rFonts w:hAnsi="Times New Roman"/>
          <w:sz w:val="20"/>
          <w:szCs w:val="20"/>
        </w:rPr>
        <w:t>é</w:t>
      </w:r>
      <w:r>
        <w:rPr>
          <w:rFonts w:ascii="Times New Roman"/>
          <w:sz w:val="20"/>
          <w:szCs w:val="20"/>
        </w:rPr>
        <w:t>rieur du logement de Wallonie, Bruxelles, La Charte, p. 63.</w:t>
      </w:r>
    </w:p>
  </w:footnote>
  <w:footnote w:id="18">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On peut citer, </w:t>
      </w:r>
      <w:r>
        <w:rPr>
          <w:rFonts w:hAnsi="Times New Roman"/>
          <w:sz w:val="20"/>
          <w:szCs w:val="20"/>
        </w:rPr>
        <w:t>à</w:t>
      </w:r>
      <w:r>
        <w:rPr>
          <w:rFonts w:hAnsi="Times New Roman"/>
          <w:sz w:val="20"/>
          <w:szCs w:val="20"/>
        </w:rPr>
        <w:t xml:space="preserve"> </w:t>
      </w:r>
      <w:r>
        <w:rPr>
          <w:rFonts w:ascii="Times New Roman"/>
          <w:sz w:val="20"/>
          <w:szCs w:val="20"/>
        </w:rPr>
        <w:t>titre informatif, les prescriptions urbanistiques, les normes d</w:t>
      </w:r>
      <w:r>
        <w:rPr>
          <w:rFonts w:hAnsi="Times New Roman"/>
          <w:sz w:val="20"/>
          <w:szCs w:val="20"/>
        </w:rPr>
        <w:t>’</w:t>
      </w:r>
      <w:r>
        <w:rPr>
          <w:rFonts w:ascii="Times New Roman"/>
          <w:sz w:val="20"/>
          <w:szCs w:val="20"/>
        </w:rPr>
        <w:t>autoconstruction, la domiciliation, les taux cohabitant et les r</w:t>
      </w:r>
      <w:r>
        <w:rPr>
          <w:rFonts w:hAnsi="Times New Roman"/>
          <w:sz w:val="20"/>
          <w:szCs w:val="20"/>
        </w:rPr>
        <w:t>è</w:t>
      </w:r>
      <w:r>
        <w:rPr>
          <w:rFonts w:ascii="Times New Roman"/>
          <w:sz w:val="20"/>
          <w:szCs w:val="20"/>
        </w:rPr>
        <w:t>gles anti-discrimination.</w:t>
      </w:r>
    </w:p>
  </w:footnote>
  <w:footnote w:id="19">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En 2005, un incendie qui eut lieu dans le squat du </w:t>
      </w:r>
      <w:r>
        <w:rPr>
          <w:rFonts w:hAnsi="Times New Roman"/>
          <w:sz w:val="20"/>
          <w:szCs w:val="20"/>
        </w:rPr>
        <w:t>« </w:t>
      </w:r>
      <w:r>
        <w:rPr>
          <w:rFonts w:hAnsi="Times New Roman"/>
          <w:sz w:val="20"/>
          <w:szCs w:val="20"/>
        </w:rPr>
        <w:t xml:space="preserve"> </w:t>
      </w:r>
      <w:r>
        <w:rPr>
          <w:rFonts w:ascii="Times New Roman"/>
          <w:sz w:val="20"/>
          <w:szCs w:val="20"/>
        </w:rPr>
        <w:t>111</w:t>
      </w:r>
      <w:r>
        <w:rPr>
          <w:rFonts w:hAnsi="Times New Roman"/>
          <w:sz w:val="20"/>
          <w:szCs w:val="20"/>
        </w:rPr>
        <w:t> </w:t>
      </w:r>
      <w:r>
        <w:rPr>
          <w:rFonts w:hAnsi="Times New Roman"/>
          <w:sz w:val="20"/>
          <w:szCs w:val="20"/>
        </w:rPr>
        <w:t xml:space="preserve"> </w:t>
      </w:r>
      <w:r>
        <w:rPr>
          <w:rFonts w:hAnsi="Times New Roman"/>
          <w:sz w:val="20"/>
          <w:szCs w:val="20"/>
        </w:rPr>
        <w:t>»</w:t>
      </w:r>
      <w:r>
        <w:rPr>
          <w:rFonts w:ascii="Times New Roman"/>
          <w:sz w:val="20"/>
          <w:szCs w:val="20"/>
        </w:rPr>
        <w:t>, cr</w:t>
      </w:r>
      <w:r>
        <w:rPr>
          <w:rFonts w:hAnsi="Times New Roman"/>
          <w:sz w:val="20"/>
          <w:szCs w:val="20"/>
          <w:lang w:val="en-US"/>
        </w:rPr>
        <w:t>éé</w:t>
      </w:r>
      <w:r>
        <w:rPr>
          <w:rFonts w:hAnsi="Times New Roman"/>
          <w:sz w:val="20"/>
          <w:szCs w:val="20"/>
          <w:lang w:val="en-US"/>
        </w:rPr>
        <w:t xml:space="preserve"> </w:t>
      </w:r>
      <w:r>
        <w:rPr>
          <w:rFonts w:ascii="Times New Roman"/>
          <w:sz w:val="20"/>
          <w:szCs w:val="20"/>
        </w:rPr>
        <w:t>3 ans plus t</w:t>
      </w:r>
      <w:r>
        <w:rPr>
          <w:rFonts w:hAnsi="Times New Roman"/>
          <w:sz w:val="20"/>
          <w:szCs w:val="20"/>
        </w:rPr>
        <w:t>ô</w:t>
      </w:r>
      <w:r>
        <w:rPr>
          <w:rFonts w:ascii="Times New Roman"/>
          <w:sz w:val="20"/>
          <w:szCs w:val="20"/>
        </w:rPr>
        <w:t>t face au quartier, causa le d</w:t>
      </w:r>
      <w:r>
        <w:rPr>
          <w:rFonts w:hAnsi="Times New Roman"/>
          <w:sz w:val="20"/>
          <w:szCs w:val="20"/>
        </w:rPr>
        <w:t>é</w:t>
      </w:r>
      <w:r>
        <w:rPr>
          <w:rFonts w:ascii="Times New Roman"/>
          <w:sz w:val="20"/>
          <w:szCs w:val="20"/>
        </w:rPr>
        <w:t>c</w:t>
      </w:r>
      <w:r>
        <w:rPr>
          <w:rFonts w:hAnsi="Times New Roman"/>
          <w:sz w:val="20"/>
          <w:szCs w:val="20"/>
        </w:rPr>
        <w:t>è</w:t>
      </w:r>
      <w:r>
        <w:rPr>
          <w:rFonts w:ascii="Times New Roman"/>
          <w:sz w:val="20"/>
          <w:szCs w:val="20"/>
        </w:rPr>
        <w:t>s de deux enfants.</w:t>
      </w:r>
    </w:p>
  </w:footnote>
  <w:footnote w:id="20">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Terme que privil</w:t>
      </w:r>
      <w:r>
        <w:rPr>
          <w:rFonts w:hAnsi="Times New Roman"/>
          <w:sz w:val="20"/>
          <w:szCs w:val="20"/>
        </w:rPr>
        <w:t>é</w:t>
      </w:r>
      <w:r>
        <w:rPr>
          <w:rFonts w:ascii="Times New Roman"/>
          <w:sz w:val="20"/>
          <w:szCs w:val="20"/>
        </w:rPr>
        <w:t>gie l</w:t>
      </w:r>
      <w:r>
        <w:rPr>
          <w:rFonts w:hAnsi="Times New Roman"/>
          <w:sz w:val="20"/>
          <w:szCs w:val="20"/>
        </w:rPr>
        <w:t>’</w:t>
      </w:r>
      <w:r>
        <w:rPr>
          <w:rFonts w:ascii="Times New Roman"/>
          <w:sz w:val="20"/>
          <w:szCs w:val="20"/>
        </w:rPr>
        <w:t xml:space="preserve">UCL pour </w:t>
      </w:r>
      <w:r>
        <w:rPr>
          <w:rFonts w:hAnsi="Times New Roman"/>
          <w:sz w:val="20"/>
          <w:szCs w:val="20"/>
        </w:rPr>
        <w:t>é</w:t>
      </w:r>
      <w:r>
        <w:rPr>
          <w:rFonts w:ascii="Times New Roman"/>
          <w:sz w:val="20"/>
          <w:szCs w:val="20"/>
        </w:rPr>
        <w:t>voquer la zone alternative</w:t>
      </w:r>
      <w:r>
        <w:rPr>
          <w:rFonts w:ascii="Times New Roman"/>
          <w:color w:val="FE2600"/>
          <w:sz w:val="20"/>
          <w:szCs w:val="20"/>
          <w:u w:color="FE2600"/>
        </w:rPr>
        <w:t xml:space="preserve"> </w:t>
      </w:r>
      <w:r>
        <w:rPr>
          <w:rFonts w:ascii="Times New Roman"/>
          <w:sz w:val="20"/>
          <w:szCs w:val="20"/>
        </w:rPr>
        <w:t>du quartier de la Baraque</w:t>
      </w:r>
    </w:p>
  </w:footnote>
  <w:footnote w:id="21">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Bernard N. (2012a), </w:t>
      </w:r>
      <w:r>
        <w:rPr>
          <w:rFonts w:hAnsi="Times New Roman"/>
          <w:sz w:val="20"/>
          <w:szCs w:val="20"/>
        </w:rPr>
        <w:t>« </w:t>
      </w:r>
      <w:r>
        <w:rPr>
          <w:rFonts w:hAnsi="Times New Roman"/>
          <w:sz w:val="20"/>
          <w:szCs w:val="20"/>
        </w:rPr>
        <w:t xml:space="preserve"> </w:t>
      </w:r>
      <w:r>
        <w:rPr>
          <w:rFonts w:ascii="Times New Roman"/>
          <w:sz w:val="20"/>
          <w:szCs w:val="20"/>
        </w:rPr>
        <w:t>L</w:t>
      </w:r>
      <w:r>
        <w:rPr>
          <w:rFonts w:hAnsi="Times New Roman"/>
          <w:sz w:val="20"/>
          <w:szCs w:val="20"/>
        </w:rPr>
        <w:t>’</w:t>
      </w:r>
      <w:r>
        <w:rPr>
          <w:rFonts w:ascii="Times New Roman"/>
          <w:sz w:val="20"/>
          <w:szCs w:val="20"/>
        </w:rPr>
        <w:t>habitat alternatif face au droit</w:t>
      </w:r>
      <w:r>
        <w:rPr>
          <w:rFonts w:hAnsi="Times New Roman"/>
          <w:sz w:val="20"/>
          <w:szCs w:val="20"/>
        </w:rPr>
        <w:t> </w:t>
      </w:r>
      <w:r>
        <w:rPr>
          <w:rFonts w:hAnsi="Times New Roman"/>
          <w:sz w:val="20"/>
          <w:szCs w:val="20"/>
        </w:rPr>
        <w:t xml:space="preserve"> </w:t>
      </w:r>
      <w:r>
        <w:rPr>
          <w:rFonts w:hAnsi="Times New Roman"/>
          <w:sz w:val="20"/>
          <w:szCs w:val="20"/>
        </w:rPr>
        <w:t>»</w:t>
      </w:r>
      <w:r>
        <w:rPr>
          <w:rFonts w:ascii="Times New Roman"/>
          <w:sz w:val="20"/>
          <w:szCs w:val="20"/>
        </w:rPr>
        <w:t>, dans Bernard N. (Dir),</w:t>
      </w:r>
      <w:r>
        <w:rPr>
          <w:rFonts w:hAnsi="Times New Roman"/>
          <w:sz w:val="20"/>
          <w:szCs w:val="20"/>
        </w:rPr>
        <w:t> </w:t>
      </w:r>
      <w:r>
        <w:rPr>
          <w:rFonts w:hAnsi="Times New Roman"/>
          <w:sz w:val="20"/>
          <w:szCs w:val="20"/>
        </w:rPr>
        <w:t xml:space="preserve"> </w:t>
      </w:r>
      <w:r>
        <w:rPr>
          <w:rFonts w:ascii="Times New Roman"/>
          <w:sz w:val="20"/>
          <w:szCs w:val="20"/>
          <w:lang w:val="en-US"/>
        </w:rPr>
        <w:t xml:space="preserve">La norme </w:t>
      </w:r>
      <w:r>
        <w:rPr>
          <w:rFonts w:hAnsi="Times New Roman"/>
          <w:sz w:val="20"/>
          <w:szCs w:val="20"/>
        </w:rPr>
        <w:t>à</w:t>
      </w:r>
      <w:r>
        <w:rPr>
          <w:rFonts w:hAnsi="Times New Roman"/>
          <w:sz w:val="20"/>
          <w:szCs w:val="20"/>
        </w:rPr>
        <w:t xml:space="preserve"> </w:t>
      </w:r>
      <w:r>
        <w:rPr>
          <w:rFonts w:ascii="Times New Roman"/>
          <w:sz w:val="20"/>
          <w:szCs w:val="20"/>
        </w:rPr>
        <w:t>l</w:t>
      </w:r>
      <w:r>
        <w:rPr>
          <w:rFonts w:hAnsi="Times New Roman"/>
          <w:sz w:val="20"/>
          <w:szCs w:val="20"/>
        </w:rPr>
        <w:t>’é</w:t>
      </w:r>
      <w:r>
        <w:rPr>
          <w:rFonts w:ascii="Times New Roman"/>
          <w:sz w:val="20"/>
          <w:szCs w:val="20"/>
        </w:rPr>
        <w:t>preuve de l</w:t>
      </w:r>
      <w:r>
        <w:rPr>
          <w:rFonts w:hAnsi="Times New Roman"/>
          <w:sz w:val="20"/>
          <w:szCs w:val="20"/>
        </w:rPr>
        <w:t>’</w:t>
      </w:r>
      <w:r>
        <w:rPr>
          <w:rFonts w:ascii="Times New Roman"/>
          <w:sz w:val="20"/>
          <w:szCs w:val="20"/>
        </w:rPr>
        <w:t>habitat alternatif. Actes du colloque organis</w:t>
      </w:r>
      <w:r>
        <w:rPr>
          <w:rFonts w:hAnsi="Times New Roman"/>
          <w:sz w:val="20"/>
          <w:szCs w:val="20"/>
        </w:rPr>
        <w:t>é</w:t>
      </w:r>
      <w:r>
        <w:rPr>
          <w:rFonts w:hAnsi="Times New Roman"/>
          <w:sz w:val="20"/>
          <w:szCs w:val="20"/>
        </w:rPr>
        <w:t xml:space="preserve"> </w:t>
      </w:r>
      <w:r>
        <w:rPr>
          <w:rFonts w:ascii="Times New Roman"/>
          <w:sz w:val="20"/>
          <w:szCs w:val="20"/>
        </w:rPr>
        <w:t>le 23 novembre 2012 par le conseil sup</w:t>
      </w:r>
      <w:r>
        <w:rPr>
          <w:rFonts w:hAnsi="Times New Roman"/>
          <w:sz w:val="20"/>
          <w:szCs w:val="20"/>
        </w:rPr>
        <w:t>é</w:t>
      </w:r>
      <w:r>
        <w:rPr>
          <w:rFonts w:ascii="Times New Roman"/>
          <w:sz w:val="20"/>
          <w:szCs w:val="20"/>
        </w:rPr>
        <w:t>rieur du logement de Wallonie, Bruxelles, La Charte, p. 65.</w:t>
      </w:r>
    </w:p>
  </w:footnote>
  <w:footnote w:id="22">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De Moffarts d'Houchen</w:t>
      </w:r>
      <w:r>
        <w:rPr>
          <w:rFonts w:hAnsi="Times New Roman"/>
          <w:sz w:val="20"/>
          <w:szCs w:val="20"/>
        </w:rPr>
        <w:t>é</w:t>
      </w:r>
      <w:r>
        <w:rPr>
          <w:rFonts w:ascii="Times New Roman"/>
          <w:sz w:val="20"/>
          <w:szCs w:val="20"/>
        </w:rPr>
        <w:t xml:space="preserve">e A. (2012), </w:t>
      </w:r>
      <w:r>
        <w:rPr>
          <w:rFonts w:hAnsi="Times New Roman"/>
          <w:sz w:val="20"/>
          <w:szCs w:val="20"/>
        </w:rPr>
        <w:t>« </w:t>
      </w:r>
      <w:r>
        <w:rPr>
          <w:rFonts w:hAnsi="Times New Roman"/>
          <w:sz w:val="20"/>
          <w:szCs w:val="20"/>
        </w:rPr>
        <w:t xml:space="preserve"> </w:t>
      </w:r>
      <w:r>
        <w:rPr>
          <w:rFonts w:ascii="Times New Roman"/>
          <w:sz w:val="20"/>
          <w:szCs w:val="20"/>
        </w:rPr>
        <w:t>Normes et autoconstruction</w:t>
      </w:r>
      <w:r>
        <w:rPr>
          <w:rFonts w:hAnsi="Times New Roman"/>
          <w:sz w:val="20"/>
          <w:szCs w:val="20"/>
        </w:rPr>
        <w:t> </w:t>
      </w:r>
      <w:r>
        <w:rPr>
          <w:rFonts w:hAnsi="Times New Roman"/>
          <w:sz w:val="20"/>
          <w:szCs w:val="20"/>
        </w:rPr>
        <w:t xml:space="preserve"> </w:t>
      </w:r>
      <w:r>
        <w:rPr>
          <w:rFonts w:hAnsi="Times New Roman"/>
          <w:sz w:val="20"/>
          <w:szCs w:val="20"/>
        </w:rPr>
        <w:t>»</w:t>
      </w:r>
      <w:r>
        <w:rPr>
          <w:rFonts w:ascii="Times New Roman"/>
          <w:sz w:val="20"/>
          <w:szCs w:val="20"/>
        </w:rPr>
        <w:t>, dans Bernard N. (Dir),</w:t>
      </w:r>
      <w:r>
        <w:rPr>
          <w:rFonts w:hAnsi="Times New Roman"/>
          <w:sz w:val="20"/>
          <w:szCs w:val="20"/>
        </w:rPr>
        <w:t> </w:t>
      </w:r>
      <w:r>
        <w:rPr>
          <w:rFonts w:hAnsi="Times New Roman"/>
          <w:sz w:val="20"/>
          <w:szCs w:val="20"/>
        </w:rPr>
        <w:t xml:space="preserve"> </w:t>
      </w:r>
      <w:r>
        <w:rPr>
          <w:rFonts w:ascii="Times New Roman"/>
          <w:sz w:val="20"/>
          <w:szCs w:val="20"/>
        </w:rPr>
        <w:t xml:space="preserve">La norme </w:t>
      </w:r>
      <w:r>
        <w:rPr>
          <w:rFonts w:hAnsi="Times New Roman"/>
          <w:sz w:val="20"/>
          <w:szCs w:val="20"/>
        </w:rPr>
        <w:t>à</w:t>
      </w:r>
      <w:r>
        <w:rPr>
          <w:rFonts w:hAnsi="Times New Roman"/>
          <w:sz w:val="20"/>
          <w:szCs w:val="20"/>
        </w:rPr>
        <w:t xml:space="preserve"> </w:t>
      </w:r>
      <w:r>
        <w:rPr>
          <w:rFonts w:ascii="Times New Roman"/>
          <w:sz w:val="20"/>
          <w:szCs w:val="20"/>
        </w:rPr>
        <w:t>l</w:t>
      </w:r>
      <w:r>
        <w:rPr>
          <w:rFonts w:hAnsi="Times New Roman"/>
          <w:sz w:val="20"/>
          <w:szCs w:val="20"/>
        </w:rPr>
        <w:t>’é</w:t>
      </w:r>
      <w:r>
        <w:rPr>
          <w:rFonts w:ascii="Times New Roman"/>
          <w:sz w:val="20"/>
          <w:szCs w:val="20"/>
        </w:rPr>
        <w:t>preuve de l</w:t>
      </w:r>
      <w:r>
        <w:rPr>
          <w:rFonts w:hAnsi="Times New Roman"/>
          <w:sz w:val="20"/>
          <w:szCs w:val="20"/>
        </w:rPr>
        <w:t>’</w:t>
      </w:r>
      <w:r>
        <w:rPr>
          <w:rFonts w:ascii="Times New Roman"/>
          <w:sz w:val="20"/>
          <w:szCs w:val="20"/>
        </w:rPr>
        <w:t>habitat alternatif. Actes du colloque organis</w:t>
      </w:r>
      <w:r>
        <w:rPr>
          <w:rFonts w:hAnsi="Times New Roman"/>
          <w:sz w:val="20"/>
          <w:szCs w:val="20"/>
        </w:rPr>
        <w:t>é</w:t>
      </w:r>
      <w:r>
        <w:rPr>
          <w:rFonts w:hAnsi="Times New Roman"/>
          <w:sz w:val="20"/>
          <w:szCs w:val="20"/>
        </w:rPr>
        <w:t xml:space="preserve"> </w:t>
      </w:r>
      <w:r>
        <w:rPr>
          <w:rFonts w:ascii="Times New Roman"/>
          <w:sz w:val="20"/>
          <w:szCs w:val="20"/>
        </w:rPr>
        <w:t>le 23 novembre 2012 par le conseil sup</w:t>
      </w:r>
      <w:r>
        <w:rPr>
          <w:rFonts w:hAnsi="Times New Roman"/>
          <w:sz w:val="20"/>
          <w:szCs w:val="20"/>
        </w:rPr>
        <w:t>é</w:t>
      </w:r>
      <w:r>
        <w:rPr>
          <w:rFonts w:ascii="Times New Roman"/>
          <w:sz w:val="20"/>
          <w:szCs w:val="20"/>
        </w:rPr>
        <w:t>rieur du logement de Wallonie, Bruxelles, La Charte, p. 43.</w:t>
      </w:r>
    </w:p>
  </w:footnote>
  <w:footnote w:id="23">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Enqu</w:t>
      </w:r>
      <w:r>
        <w:rPr>
          <w:rFonts w:hAnsi="Times New Roman"/>
          <w:sz w:val="20"/>
          <w:szCs w:val="20"/>
        </w:rPr>
        <w:t>ê</w:t>
      </w:r>
      <w:r>
        <w:rPr>
          <w:rFonts w:ascii="Times New Roman"/>
          <w:sz w:val="20"/>
          <w:szCs w:val="20"/>
        </w:rPr>
        <w:t>te EU-SILC, men</w:t>
      </w:r>
      <w:r>
        <w:rPr>
          <w:rFonts w:hAnsi="Times New Roman"/>
          <w:sz w:val="20"/>
          <w:szCs w:val="20"/>
        </w:rPr>
        <w:t>é</w:t>
      </w:r>
      <w:r>
        <w:rPr>
          <w:rFonts w:ascii="Times New Roman"/>
          <w:sz w:val="20"/>
          <w:szCs w:val="20"/>
        </w:rPr>
        <w:t>e par Eurostat (donn</w:t>
      </w:r>
      <w:r>
        <w:rPr>
          <w:rFonts w:hAnsi="Times New Roman"/>
          <w:sz w:val="20"/>
          <w:szCs w:val="20"/>
        </w:rPr>
        <w:t>é</w:t>
      </w:r>
      <w:r>
        <w:rPr>
          <w:rFonts w:ascii="Times New Roman"/>
          <w:sz w:val="20"/>
          <w:szCs w:val="20"/>
        </w:rPr>
        <w:t xml:space="preserve">es mises </w:t>
      </w:r>
      <w:r>
        <w:rPr>
          <w:rFonts w:hAnsi="Times New Roman"/>
          <w:sz w:val="20"/>
          <w:szCs w:val="20"/>
        </w:rPr>
        <w:t>à</w:t>
      </w:r>
      <w:r>
        <w:rPr>
          <w:rFonts w:hAnsi="Times New Roman"/>
          <w:sz w:val="20"/>
          <w:szCs w:val="20"/>
        </w:rPr>
        <w:t xml:space="preserve"> </w:t>
      </w:r>
      <w:r>
        <w:rPr>
          <w:rFonts w:ascii="Times New Roman"/>
          <w:sz w:val="20"/>
          <w:szCs w:val="20"/>
        </w:rPr>
        <w:t>jour le 12/03/13)</w:t>
      </w:r>
    </w:p>
  </w:footnote>
  <w:footnote w:id="24">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On retrouve une s</w:t>
      </w:r>
      <w:r>
        <w:rPr>
          <w:rFonts w:hAnsi="Times New Roman"/>
          <w:sz w:val="20"/>
          <w:szCs w:val="20"/>
        </w:rPr>
        <w:t>é</w:t>
      </w:r>
      <w:r>
        <w:rPr>
          <w:rFonts w:ascii="Times New Roman"/>
          <w:sz w:val="20"/>
          <w:szCs w:val="20"/>
        </w:rPr>
        <w:t>rie de termes, fr</w:t>
      </w:r>
      <w:r>
        <w:rPr>
          <w:rFonts w:hAnsi="Times New Roman"/>
          <w:sz w:val="20"/>
          <w:szCs w:val="20"/>
        </w:rPr>
        <w:t>é</w:t>
      </w:r>
      <w:r>
        <w:rPr>
          <w:rFonts w:ascii="Times New Roman"/>
          <w:sz w:val="20"/>
          <w:szCs w:val="20"/>
        </w:rPr>
        <w:t>quemment utilis</w:t>
      </w:r>
      <w:r>
        <w:rPr>
          <w:rFonts w:hAnsi="Times New Roman"/>
          <w:sz w:val="20"/>
          <w:szCs w:val="20"/>
        </w:rPr>
        <w:t>é</w:t>
      </w:r>
      <w:r>
        <w:rPr>
          <w:rFonts w:ascii="Times New Roman"/>
          <w:sz w:val="20"/>
          <w:szCs w:val="20"/>
        </w:rPr>
        <w:t>s, m</w:t>
      </w:r>
      <w:r>
        <w:rPr>
          <w:rFonts w:hAnsi="Times New Roman"/>
          <w:sz w:val="20"/>
          <w:szCs w:val="20"/>
        </w:rPr>
        <w:t>ê</w:t>
      </w:r>
      <w:r>
        <w:rPr>
          <w:rFonts w:ascii="Times New Roman"/>
          <w:sz w:val="20"/>
          <w:szCs w:val="20"/>
        </w:rPr>
        <w:t xml:space="preserve">lant </w:t>
      </w:r>
      <w:r>
        <w:rPr>
          <w:rFonts w:hAnsi="Times New Roman"/>
          <w:sz w:val="20"/>
          <w:szCs w:val="20"/>
        </w:rPr>
        <w:t>«</w:t>
      </w:r>
      <w:r>
        <w:rPr>
          <w:rFonts w:hAnsi="Times New Roman"/>
          <w:sz w:val="20"/>
          <w:szCs w:val="20"/>
        </w:rPr>
        <w:t xml:space="preserve"> </w:t>
      </w:r>
      <w:r>
        <w:rPr>
          <w:rFonts w:ascii="Times New Roman"/>
          <w:sz w:val="20"/>
          <w:szCs w:val="20"/>
        </w:rPr>
        <w:t>sant</w:t>
      </w:r>
      <w:r>
        <w:rPr>
          <w:rFonts w:hAnsi="Times New Roman"/>
          <w:sz w:val="20"/>
          <w:szCs w:val="20"/>
        </w:rPr>
        <w:t>é</w:t>
      </w:r>
      <w:r>
        <w:rPr>
          <w:rFonts w:hAnsi="Times New Roman"/>
          <w:sz w:val="20"/>
          <w:szCs w:val="20"/>
        </w:rPr>
        <w:t xml:space="preserve"> </w:t>
      </w:r>
      <w:r>
        <w:rPr>
          <w:rFonts w:hAnsi="Times New Roman"/>
          <w:sz w:val="20"/>
          <w:szCs w:val="20"/>
        </w:rPr>
        <w:t>»</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hygi</w:t>
      </w:r>
      <w:r>
        <w:rPr>
          <w:rFonts w:hAnsi="Times New Roman"/>
          <w:sz w:val="20"/>
          <w:szCs w:val="20"/>
        </w:rPr>
        <w:t>è</w:t>
      </w:r>
      <w:r>
        <w:rPr>
          <w:rFonts w:ascii="Times New Roman"/>
          <w:sz w:val="20"/>
          <w:szCs w:val="20"/>
        </w:rPr>
        <w:t xml:space="preserve">ne </w:t>
      </w:r>
      <w:r>
        <w:rPr>
          <w:rFonts w:hAnsi="Times New Roman"/>
          <w:sz w:val="20"/>
          <w:szCs w:val="20"/>
        </w:rPr>
        <w:t>»</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 xml:space="preserve">froid </w:t>
      </w:r>
      <w:r>
        <w:rPr>
          <w:rFonts w:hAnsi="Times New Roman"/>
          <w:sz w:val="20"/>
          <w:szCs w:val="20"/>
        </w:rPr>
        <w:t>»</w:t>
      </w:r>
      <w:r>
        <w:rPr>
          <w:rFonts w:ascii="Times New Roman"/>
          <w:sz w:val="20"/>
          <w:szCs w:val="20"/>
        </w:rPr>
        <w:t xml:space="preserve">, </w:t>
      </w:r>
      <w:r>
        <w:rPr>
          <w:rFonts w:hAnsi="Times New Roman"/>
          <w:sz w:val="20"/>
          <w:szCs w:val="20"/>
        </w:rPr>
        <w:t>« </w:t>
      </w:r>
      <w:r>
        <w:rPr>
          <w:rFonts w:ascii="Times New Roman"/>
          <w:sz w:val="20"/>
          <w:szCs w:val="20"/>
        </w:rPr>
        <w:t>humidit</w:t>
      </w:r>
      <w:r>
        <w:rPr>
          <w:rFonts w:hAnsi="Times New Roman"/>
          <w:sz w:val="20"/>
          <w:szCs w:val="20"/>
        </w:rPr>
        <w:t>é</w:t>
      </w:r>
      <w:r>
        <w:rPr>
          <w:rFonts w:hAnsi="Times New Roman"/>
          <w:sz w:val="20"/>
          <w:szCs w:val="20"/>
        </w:rPr>
        <w:t xml:space="preserve"> </w:t>
      </w:r>
      <w:r>
        <w:rPr>
          <w:rFonts w:hAnsi="Times New Roman"/>
          <w:sz w:val="20"/>
          <w:szCs w:val="20"/>
        </w:rPr>
        <w:t>»</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lang w:val="sv-SE"/>
        </w:rPr>
        <w:t>salet</w:t>
      </w:r>
      <w:r>
        <w:rPr>
          <w:rFonts w:hAnsi="Times New Roman"/>
          <w:sz w:val="20"/>
          <w:szCs w:val="20"/>
        </w:rPr>
        <w:t>é »</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lang w:val="da-DK"/>
        </w:rPr>
        <w:t xml:space="preserve">danger </w:t>
      </w:r>
      <w:r>
        <w:rPr>
          <w:rFonts w:hAnsi="Times New Roman"/>
          <w:sz w:val="20"/>
          <w:szCs w:val="20"/>
        </w:rPr>
        <w:t>»</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ins</w:t>
      </w:r>
      <w:r>
        <w:rPr>
          <w:rFonts w:hAnsi="Times New Roman"/>
          <w:sz w:val="20"/>
          <w:szCs w:val="20"/>
        </w:rPr>
        <w:t>é</w:t>
      </w:r>
      <w:r>
        <w:rPr>
          <w:rFonts w:ascii="Times New Roman"/>
          <w:sz w:val="20"/>
          <w:szCs w:val="20"/>
        </w:rPr>
        <w:t>curit</w:t>
      </w:r>
      <w:r>
        <w:rPr>
          <w:rFonts w:hAnsi="Times New Roman"/>
          <w:sz w:val="20"/>
          <w:szCs w:val="20"/>
        </w:rPr>
        <w:t>é</w:t>
      </w:r>
      <w:r>
        <w:rPr>
          <w:rFonts w:hAnsi="Times New Roman"/>
          <w:sz w:val="20"/>
          <w:szCs w:val="20"/>
        </w:rPr>
        <w:t xml:space="preserve"> </w:t>
      </w:r>
      <w:r>
        <w:rPr>
          <w:rFonts w:hAnsi="Times New Roman"/>
          <w:sz w:val="20"/>
          <w:szCs w:val="20"/>
        </w:rPr>
        <w:t>»</w:t>
      </w:r>
      <w:r>
        <w:rPr>
          <w:rFonts w:ascii="Times New Roman"/>
          <w:sz w:val="20"/>
          <w:szCs w:val="20"/>
        </w:rPr>
        <w:t xml:space="preserve">, ou </w:t>
      </w:r>
      <w:r>
        <w:rPr>
          <w:rFonts w:hAnsi="Times New Roman"/>
          <w:sz w:val="20"/>
          <w:szCs w:val="20"/>
        </w:rPr>
        <w:t>« </w:t>
      </w:r>
      <w:r>
        <w:rPr>
          <w:rFonts w:ascii="Times New Roman"/>
          <w:sz w:val="20"/>
          <w:szCs w:val="20"/>
        </w:rPr>
        <w:t xml:space="preserve">mal </w:t>
      </w:r>
      <w:r>
        <w:rPr>
          <w:rFonts w:hAnsi="Times New Roman"/>
          <w:sz w:val="20"/>
          <w:szCs w:val="20"/>
        </w:rPr>
        <w:t>ê</w:t>
      </w:r>
      <w:r>
        <w:rPr>
          <w:rFonts w:ascii="Times New Roman"/>
          <w:sz w:val="20"/>
          <w:szCs w:val="20"/>
        </w:rPr>
        <w:t xml:space="preserve">tre </w:t>
      </w:r>
      <w:r>
        <w:rPr>
          <w:rFonts w:hAnsi="Times New Roman"/>
          <w:sz w:val="20"/>
          <w:szCs w:val="20"/>
        </w:rPr>
        <w:t>»</w:t>
      </w:r>
      <w:r>
        <w:rPr>
          <w:rFonts w:hAnsi="Times New Roman"/>
          <w:sz w:val="20"/>
          <w:szCs w:val="20"/>
        </w:rPr>
        <w:t xml:space="preserve"> </w:t>
      </w:r>
      <w:r>
        <w:rPr>
          <w:rFonts w:ascii="Times New Roman"/>
          <w:sz w:val="20"/>
          <w:szCs w:val="20"/>
        </w:rPr>
        <w:t>(Interreg IV, 2011).</w:t>
      </w:r>
    </w:p>
  </w:footnote>
  <w:footnote w:id="25">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En plus des visites guid</w:t>
      </w:r>
      <w:r>
        <w:rPr>
          <w:rFonts w:hAnsi="Times New Roman"/>
          <w:sz w:val="20"/>
          <w:szCs w:val="20"/>
        </w:rPr>
        <w:t>é</w:t>
      </w:r>
      <w:r>
        <w:rPr>
          <w:rFonts w:ascii="Times New Roman"/>
          <w:sz w:val="20"/>
          <w:szCs w:val="20"/>
        </w:rPr>
        <w:t>es, quelques habitants ont accord</w:t>
      </w:r>
      <w:r>
        <w:rPr>
          <w:rFonts w:hAnsi="Times New Roman"/>
          <w:sz w:val="20"/>
          <w:szCs w:val="20"/>
        </w:rPr>
        <w:t>é</w:t>
      </w:r>
      <w:r>
        <w:rPr>
          <w:rFonts w:hAnsi="Times New Roman"/>
          <w:sz w:val="20"/>
          <w:szCs w:val="20"/>
        </w:rPr>
        <w:t xml:space="preserve"> </w:t>
      </w:r>
      <w:r>
        <w:rPr>
          <w:rFonts w:ascii="Times New Roman"/>
          <w:sz w:val="20"/>
          <w:szCs w:val="20"/>
        </w:rPr>
        <w:t>leurs comp</w:t>
      </w:r>
      <w:r>
        <w:rPr>
          <w:rFonts w:hAnsi="Times New Roman"/>
          <w:sz w:val="20"/>
          <w:szCs w:val="20"/>
        </w:rPr>
        <w:t>é</w:t>
      </w:r>
      <w:r>
        <w:rPr>
          <w:rFonts w:ascii="Times New Roman"/>
          <w:sz w:val="20"/>
          <w:szCs w:val="20"/>
        </w:rPr>
        <w:t xml:space="preserve">tences pour faire </w:t>
      </w:r>
      <w:r>
        <w:rPr>
          <w:rFonts w:hAnsi="Times New Roman"/>
          <w:sz w:val="20"/>
          <w:szCs w:val="20"/>
        </w:rPr>
        <w:t>é</w:t>
      </w:r>
      <w:r>
        <w:rPr>
          <w:rFonts w:ascii="Times New Roman"/>
          <w:sz w:val="20"/>
          <w:szCs w:val="20"/>
        </w:rPr>
        <w:t>tat des r</w:t>
      </w:r>
      <w:r>
        <w:rPr>
          <w:rFonts w:hAnsi="Times New Roman"/>
          <w:sz w:val="20"/>
          <w:szCs w:val="20"/>
        </w:rPr>
        <w:t>é</w:t>
      </w:r>
      <w:r>
        <w:rPr>
          <w:rFonts w:ascii="Times New Roman"/>
          <w:sz w:val="20"/>
          <w:szCs w:val="20"/>
        </w:rPr>
        <w:t>alit</w:t>
      </w:r>
      <w:r>
        <w:rPr>
          <w:rFonts w:hAnsi="Times New Roman"/>
          <w:sz w:val="20"/>
          <w:szCs w:val="20"/>
        </w:rPr>
        <w:t>é</w:t>
      </w:r>
      <w:r>
        <w:rPr>
          <w:rFonts w:ascii="Times New Roman"/>
          <w:sz w:val="20"/>
          <w:szCs w:val="20"/>
        </w:rPr>
        <w:t>s appartenant au quartier de la Baraque</w:t>
      </w:r>
      <w:r>
        <w:rPr>
          <w:rFonts w:hAnsi="Times New Roman"/>
          <w:sz w:val="20"/>
          <w:szCs w:val="20"/>
        </w:rPr>
        <w:t> </w:t>
      </w:r>
      <w:r>
        <w:rPr>
          <w:rFonts w:hAnsi="Times New Roman"/>
          <w:sz w:val="20"/>
          <w:szCs w:val="20"/>
        </w:rPr>
        <w:t xml:space="preserve"> </w:t>
      </w:r>
      <w:r>
        <w:rPr>
          <w:rFonts w:ascii="Times New Roman"/>
          <w:sz w:val="20"/>
          <w:szCs w:val="20"/>
        </w:rPr>
        <w:t>: expos</w:t>
      </w:r>
      <w:r>
        <w:rPr>
          <w:rFonts w:hAnsi="Times New Roman"/>
          <w:sz w:val="20"/>
          <w:szCs w:val="20"/>
        </w:rPr>
        <w:t>é</w:t>
      </w:r>
      <w:r>
        <w:rPr>
          <w:rFonts w:ascii="Times New Roman"/>
          <w:sz w:val="20"/>
          <w:szCs w:val="20"/>
        </w:rPr>
        <w:t>s, publications, manifeste, groupement europ</w:t>
      </w:r>
      <w:r>
        <w:rPr>
          <w:rFonts w:hAnsi="Times New Roman"/>
          <w:sz w:val="20"/>
          <w:szCs w:val="20"/>
        </w:rPr>
        <w:t>é</w:t>
      </w:r>
      <w:r>
        <w:rPr>
          <w:rFonts w:ascii="Times New Roman"/>
          <w:sz w:val="20"/>
          <w:szCs w:val="20"/>
        </w:rPr>
        <w:t>en de l</w:t>
      </w:r>
      <w:r>
        <w:rPr>
          <w:rFonts w:hAnsi="Times New Roman"/>
          <w:sz w:val="20"/>
          <w:szCs w:val="20"/>
        </w:rPr>
        <w:t>’</w:t>
      </w:r>
      <w:r>
        <w:rPr>
          <w:rFonts w:ascii="Times New Roman"/>
          <w:sz w:val="20"/>
          <w:szCs w:val="20"/>
        </w:rPr>
        <w:t>habitat alternatif...</w:t>
      </w:r>
    </w:p>
  </w:footnote>
  <w:footnote w:id="26">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lang w:val="nl-NL"/>
        </w:rPr>
        <w:t xml:space="preserve"> Bernard N. (2012</w:t>
      </w:r>
      <w:r>
        <w:rPr>
          <w:rFonts w:ascii="Times New Roman"/>
          <w:i/>
          <w:iCs/>
          <w:sz w:val="20"/>
          <w:szCs w:val="20"/>
          <w:lang w:val="nl-NL"/>
        </w:rPr>
        <w:t>b</w:t>
      </w:r>
      <w:r>
        <w:rPr>
          <w:rFonts w:ascii="Times New Roman"/>
          <w:sz w:val="20"/>
          <w:szCs w:val="20"/>
          <w:lang w:val="nl-NL"/>
        </w:rPr>
        <w:t>), Op.Cit, p. 6.</w:t>
      </w:r>
    </w:p>
  </w:footnote>
  <w:footnote w:id="27">
    <w:p w:rsidR="001A2868" w:rsidRDefault="001A2868">
      <w:pPr>
        <w:pStyle w:val="Notedebasdepage"/>
        <w:jc w:val="both"/>
      </w:pPr>
      <w:r>
        <w:rPr>
          <w:rFonts w:ascii="Times New Roman" w:eastAsia="Times New Roman" w:hAnsi="Times New Roman" w:cs="Times New Roman"/>
          <w:sz w:val="24"/>
          <w:szCs w:val="24"/>
          <w:vertAlign w:val="superscript"/>
        </w:rPr>
        <w:footnoteRef/>
      </w:r>
      <w:r>
        <w:rPr>
          <w:rFonts w:ascii="Times New Roman"/>
          <w:sz w:val="20"/>
          <w:szCs w:val="20"/>
        </w:rPr>
        <w:t xml:space="preserve"> On estime </w:t>
      </w:r>
      <w:r>
        <w:rPr>
          <w:rFonts w:hAnsi="Times New Roman"/>
          <w:sz w:val="20"/>
          <w:szCs w:val="20"/>
        </w:rPr>
        <w:t>à</w:t>
      </w:r>
      <w:r>
        <w:rPr>
          <w:rFonts w:hAnsi="Times New Roman"/>
          <w:sz w:val="20"/>
          <w:szCs w:val="20"/>
        </w:rPr>
        <w:t xml:space="preserve"> </w:t>
      </w:r>
      <w:r>
        <w:rPr>
          <w:rFonts w:ascii="Times New Roman"/>
          <w:sz w:val="20"/>
          <w:szCs w:val="20"/>
        </w:rPr>
        <w:t>environ 200 personnes par an le seul nombre de participants aux visites guid</w:t>
      </w:r>
      <w:r>
        <w:rPr>
          <w:rFonts w:hAnsi="Times New Roman"/>
          <w:sz w:val="20"/>
          <w:szCs w:val="20"/>
        </w:rPr>
        <w:t>é</w:t>
      </w:r>
      <w:r>
        <w:rPr>
          <w:rFonts w:ascii="Times New Roman"/>
          <w:sz w:val="20"/>
          <w:szCs w:val="20"/>
        </w:rPr>
        <w:t xml:space="preserve">es que propose et organise le quartier, sans compter les visites non </w:t>
      </w:r>
      <w:r>
        <w:rPr>
          <w:rFonts w:hAnsi="Times New Roman"/>
          <w:sz w:val="20"/>
          <w:szCs w:val="20"/>
        </w:rPr>
        <w:t>« </w:t>
      </w:r>
      <w:r>
        <w:rPr>
          <w:rFonts w:hAnsi="Times New Roman"/>
          <w:sz w:val="20"/>
          <w:szCs w:val="20"/>
        </w:rPr>
        <w:t xml:space="preserve"> </w:t>
      </w:r>
      <w:r>
        <w:rPr>
          <w:rFonts w:ascii="Times New Roman"/>
          <w:sz w:val="20"/>
          <w:szCs w:val="20"/>
        </w:rPr>
        <w:t>averties</w:t>
      </w:r>
      <w:r>
        <w:rPr>
          <w:rFonts w:hAnsi="Times New Roman"/>
          <w:sz w:val="20"/>
          <w:szCs w:val="20"/>
        </w:rPr>
        <w:t> </w:t>
      </w:r>
      <w:r>
        <w:rPr>
          <w:rFonts w:hAns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et les s</w:t>
      </w:r>
      <w:r>
        <w:rPr>
          <w:rFonts w:hAnsi="Times New Roman"/>
          <w:sz w:val="20"/>
          <w:szCs w:val="20"/>
        </w:rPr>
        <w:t>é</w:t>
      </w:r>
      <w:r>
        <w:rPr>
          <w:rFonts w:ascii="Times New Roman"/>
          <w:sz w:val="20"/>
          <w:szCs w:val="20"/>
        </w:rPr>
        <w:t>jours temporaires.</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68" w:rsidRDefault="001A2868">
    <w:pPr>
      <w:pStyle w:val="En-tt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B5A03"/>
    <w:multiLevelType w:val="multilevel"/>
    <w:tmpl w:val="67824324"/>
    <w:lvl w:ilvl="0">
      <w:start w:val="1"/>
      <w:numFmt w:val="decimal"/>
      <w:lvlText w:val="%1"/>
      <w:lvlJc w:val="left"/>
      <w:pPr>
        <w:ind w:left="792" w:hanging="432"/>
      </w:pPr>
      <w:rPr>
        <w:rFonts w:hint="default"/>
      </w:r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
    <w:nsid w:val="149F430A"/>
    <w:multiLevelType w:val="multilevel"/>
    <w:tmpl w:val="329AB306"/>
    <w:lvl w:ilvl="0">
      <w:start w:val="1"/>
      <w:numFmt w:val="decimal"/>
      <w:pStyle w:val="Titre12"/>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1EEB4C4B"/>
    <w:multiLevelType w:val="hybridMultilevel"/>
    <w:tmpl w:val="31B673EA"/>
    <w:lvl w:ilvl="0" w:tplc="2998333E">
      <w:start w:val="1"/>
      <w:numFmt w:val="upperLetter"/>
      <w:pStyle w:val="TitreGros"/>
      <w:lvlText w:val="%1."/>
      <w:lvlJc w:val="left"/>
      <w:pPr>
        <w:tabs>
          <w:tab w:val="num" w:pos="357"/>
        </w:tabs>
        <w:ind w:left="567" w:hanging="21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E00513B"/>
    <w:multiLevelType w:val="hybridMultilevel"/>
    <w:tmpl w:val="93F45F94"/>
    <w:lvl w:ilvl="0" w:tplc="3496CD62">
      <w:start w:val="1"/>
      <w:numFmt w:val="bullet"/>
      <w:pStyle w:val="Sansinterlign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4356BA4"/>
    <w:multiLevelType w:val="hybridMultilevel"/>
    <w:tmpl w:val="681A4026"/>
    <w:lvl w:ilvl="0" w:tplc="95D2FCB6">
      <w:start w:val="1"/>
      <w:numFmt w:val="decimal"/>
      <w:pStyle w:val="Ordredujour"/>
      <w:lvlText w:val="%1."/>
      <w:lvlJc w:val="right"/>
      <w:pPr>
        <w:ind w:left="1068" w:hanging="360"/>
      </w:pPr>
      <w:rPr>
        <w:rFonts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2"/>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701"/>
  <w:defaultTabStop w:val="720"/>
  <w:autoHyphenation/>
  <w:hyphenationZone w:val="425"/>
  <w:characterSpacingControl w:val="doNotCompress"/>
  <w:footnotePr>
    <w:footnote w:id="-1"/>
    <w:footnote w:id="0"/>
    <w:footnote w:id="1"/>
  </w:footnotePr>
  <w:endnotePr>
    <w:endnote w:id="-1"/>
    <w:endnote w:id="0"/>
  </w:endnotePr>
  <w:compat/>
  <w:rsids>
    <w:rsidRoot w:val="00A736F4"/>
    <w:rsid w:val="0018539E"/>
    <w:rsid w:val="001A2868"/>
    <w:rsid w:val="002D0814"/>
    <w:rsid w:val="003221E6"/>
    <w:rsid w:val="00394923"/>
    <w:rsid w:val="0041516D"/>
    <w:rsid w:val="00990F6B"/>
    <w:rsid w:val="00A736F4"/>
  </w:rsids>
  <m:mathPr>
    <m:mathFont m:val="Impact"/>
    <m:brkBin m:val="before"/>
    <m:brkBinSub m:val="--"/>
    <m:smallFrac/>
    <m:dispDef/>
    <m:lMargin m:val="0"/>
    <m:rMargin m:val="0"/>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A2868"/>
    <w:rPr>
      <w:rFonts w:ascii="Times New Roman" w:hAnsi="Times New Roman"/>
      <w:sz w:val="22"/>
      <w:szCs w:val="24"/>
    </w:rPr>
  </w:style>
  <w:style w:type="paragraph" w:styleId="Titre1">
    <w:name w:val="heading 1"/>
    <w:basedOn w:val="Normal"/>
    <w:next w:val="Normal"/>
    <w:link w:val="Titre1Car"/>
    <w:uiPriority w:val="9"/>
    <w:qFormat/>
    <w:rsid w:val="001A2868"/>
    <w:pPr>
      <w:keepNext/>
      <w:numPr>
        <w:numId w:val="1"/>
      </w:numPr>
      <w:tabs>
        <w:tab w:val="clear" w:pos="357"/>
      </w:tabs>
      <w:spacing w:before="240" w:after="60"/>
      <w:ind w:left="792" w:hanging="432"/>
      <w:outlineLvl w:val="0"/>
    </w:pPr>
    <w:rPr>
      <w:rFonts w:ascii="Times" w:eastAsia="ＭＳ 明朝" w:hAnsi="Times"/>
      <w:b/>
      <w:bCs/>
      <w:kern w:val="32"/>
      <w:szCs w:val="32"/>
      <w:u w:val="single"/>
      <w:lang w:val="fr-BE" w:eastAsia="en-US"/>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styleId="Lienhypertexte">
    <w:name w:val="Hyperlink"/>
    <w:rsid w:val="00A736F4"/>
    <w:rPr>
      <w:u w:val="single"/>
    </w:rPr>
  </w:style>
  <w:style w:type="table" w:customStyle="1" w:styleId="TableNormal">
    <w:name w:val="Table Normal"/>
    <w:rsid w:val="00A736F4"/>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styleId="En-tte">
    <w:name w:val="header"/>
    <w:rsid w:val="00A736F4"/>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styleId="Titre">
    <w:name w:val="Title"/>
    <w:rsid w:val="00A736F4"/>
    <w:pPr>
      <w:keepNext/>
      <w:pBdr>
        <w:top w:val="nil"/>
        <w:left w:val="nil"/>
        <w:bottom w:val="nil"/>
        <w:right w:val="nil"/>
        <w:between w:val="nil"/>
        <w:bar w:val="nil"/>
      </w:pBdr>
    </w:pPr>
    <w:rPr>
      <w:rFonts w:ascii="Helvetica" w:hAnsi="Arial Unicode MS" w:cs="Arial Unicode MS"/>
      <w:b/>
      <w:bCs/>
      <w:color w:val="000000"/>
      <w:sz w:val="60"/>
      <w:szCs w:val="60"/>
      <w:u w:color="000000"/>
      <w:bdr w:val="nil"/>
    </w:rPr>
  </w:style>
  <w:style w:type="paragraph" w:customStyle="1" w:styleId="PardfautA">
    <w:name w:val="Par défaut A"/>
    <w:rsid w:val="00A736F4"/>
    <w:pPr>
      <w:pBdr>
        <w:top w:val="nil"/>
        <w:left w:val="nil"/>
        <w:bottom w:val="nil"/>
        <w:right w:val="nil"/>
        <w:between w:val="nil"/>
        <w:bar w:val="nil"/>
      </w:pBdr>
      <w:suppressAutoHyphens/>
    </w:pPr>
    <w:rPr>
      <w:rFonts w:ascii="Arial Unicode MS" w:hAnsi="Arial Unicode MS" w:cs="Arial Unicode MS"/>
      <w:color w:val="000000"/>
      <w:sz w:val="22"/>
      <w:szCs w:val="22"/>
      <w:u w:color="000000"/>
      <w:bdr w:val="nil"/>
    </w:rPr>
  </w:style>
  <w:style w:type="paragraph" w:styleId="Notedebasdepage">
    <w:name w:val="footnote text"/>
    <w:rsid w:val="00A736F4"/>
    <w:pPr>
      <w:pBdr>
        <w:top w:val="nil"/>
        <w:left w:val="nil"/>
        <w:bottom w:val="nil"/>
        <w:right w:val="nil"/>
        <w:between w:val="nil"/>
        <w:bar w:val="nil"/>
      </w:pBdr>
      <w:suppressAutoHyphens/>
    </w:pPr>
    <w:rPr>
      <w:rFonts w:ascii="Helvetica" w:eastAsia="Helvetica" w:hAnsi="Helvetica" w:cs="Helvetica"/>
      <w:color w:val="000000"/>
      <w:sz w:val="22"/>
      <w:szCs w:val="22"/>
      <w:u w:color="000000"/>
      <w:bdr w:val="nil"/>
    </w:rPr>
  </w:style>
  <w:style w:type="character" w:customStyle="1" w:styleId="Aucun">
    <w:name w:val="Aucun"/>
    <w:rsid w:val="00A736F4"/>
  </w:style>
  <w:style w:type="character" w:customStyle="1" w:styleId="Hyperlink0">
    <w:name w:val="Hyperlink.0"/>
    <w:basedOn w:val="Aucun"/>
    <w:rsid w:val="00A736F4"/>
    <w:rPr>
      <w:sz w:val="20"/>
      <w:szCs w:val="20"/>
      <w:u w:val="single" w:color="011892"/>
      <w:lang w:val="fr-FR"/>
    </w:rPr>
  </w:style>
  <w:style w:type="paragraph" w:styleId="Sous-titre">
    <w:name w:val="Subtitle"/>
    <w:rsid w:val="00A736F4"/>
    <w:pPr>
      <w:keepNext/>
      <w:pBdr>
        <w:top w:val="nil"/>
        <w:left w:val="nil"/>
        <w:bottom w:val="nil"/>
        <w:right w:val="nil"/>
        <w:between w:val="nil"/>
        <w:bar w:val="nil"/>
      </w:pBdr>
      <w:suppressAutoHyphens/>
    </w:pPr>
    <w:rPr>
      <w:rFonts w:ascii="Helvetica" w:hAnsi="Arial Unicode MS" w:cs="Arial Unicode MS"/>
      <w:color w:val="000000"/>
      <w:sz w:val="40"/>
      <w:szCs w:val="40"/>
      <w:u w:color="000000"/>
      <w:bdr w:val="nil"/>
    </w:rPr>
  </w:style>
  <w:style w:type="character" w:customStyle="1" w:styleId="Hyperlink1">
    <w:name w:val="Hyperlink.1"/>
    <w:basedOn w:val="Aucun"/>
    <w:rsid w:val="00A736F4"/>
    <w:rPr>
      <w:sz w:val="24"/>
      <w:szCs w:val="24"/>
      <w:u w:val="single"/>
      <w:lang w:val="fr-FR"/>
    </w:rPr>
  </w:style>
  <w:style w:type="character" w:customStyle="1" w:styleId="Hyperlink2">
    <w:name w:val="Hyperlink.2"/>
    <w:basedOn w:val="Aucun"/>
    <w:rsid w:val="00A736F4"/>
    <w:rPr>
      <w:sz w:val="24"/>
      <w:szCs w:val="24"/>
      <w:u w:val="single" w:color="011892"/>
      <w:lang w:val="fr-FR"/>
    </w:rPr>
  </w:style>
  <w:style w:type="paragraph" w:styleId="Textedebulles">
    <w:name w:val="Balloon Text"/>
    <w:basedOn w:val="Normal"/>
    <w:link w:val="TextedebullesCar"/>
    <w:uiPriority w:val="99"/>
    <w:semiHidden/>
    <w:unhideWhenUsed/>
    <w:rsid w:val="007F5A23"/>
    <w:rPr>
      <w:rFonts w:ascii="Lucida Grande" w:hAnsi="Lucida Grande"/>
      <w:sz w:val="18"/>
      <w:szCs w:val="18"/>
    </w:rPr>
  </w:style>
  <w:style w:type="character" w:customStyle="1" w:styleId="TextedebullesCar">
    <w:name w:val="Texte de bulles Car"/>
    <w:basedOn w:val="Policepardfaut"/>
    <w:link w:val="Textedebulles"/>
    <w:uiPriority w:val="99"/>
    <w:semiHidden/>
    <w:rsid w:val="007F5A23"/>
    <w:rPr>
      <w:rFonts w:ascii="Lucida Grande" w:hAnsi="Lucida Grande"/>
      <w:sz w:val="18"/>
      <w:szCs w:val="18"/>
      <w:lang w:val="en-US" w:eastAsia="en-US"/>
    </w:rPr>
  </w:style>
  <w:style w:type="paragraph" w:customStyle="1" w:styleId="TitreGros">
    <w:name w:val="Titre Gros"/>
    <w:basedOn w:val="Normal"/>
    <w:qFormat/>
    <w:rsid w:val="001A2868"/>
    <w:pPr>
      <w:numPr>
        <w:numId w:val="6"/>
      </w:numPr>
      <w:jc w:val="both"/>
    </w:pPr>
    <w:rPr>
      <w:rFonts w:eastAsia="ＭＳ 明朝"/>
      <w:b/>
      <w:sz w:val="28"/>
      <w:szCs w:val="22"/>
      <w:u w:val="single"/>
    </w:rPr>
  </w:style>
  <w:style w:type="paragraph" w:customStyle="1" w:styleId="Titre12">
    <w:name w:val="Titre 1.2"/>
    <w:basedOn w:val="Normal"/>
    <w:next w:val="Normal"/>
    <w:qFormat/>
    <w:rsid w:val="001A2868"/>
    <w:pPr>
      <w:numPr>
        <w:numId w:val="7"/>
      </w:numPr>
    </w:pPr>
    <w:rPr>
      <w:b/>
      <w:sz w:val="24"/>
      <w:u w:val="single"/>
    </w:rPr>
  </w:style>
  <w:style w:type="paragraph" w:customStyle="1" w:styleId="Ordredujour">
    <w:name w:val="Ordre du jour"/>
    <w:basedOn w:val="Sansinterligne1"/>
    <w:next w:val="Normal"/>
    <w:qFormat/>
    <w:rsid w:val="001A2868"/>
    <w:pPr>
      <w:numPr>
        <w:numId w:val="8"/>
      </w:numPr>
    </w:pPr>
    <w:rPr>
      <w:i/>
      <w:iCs/>
    </w:rPr>
  </w:style>
  <w:style w:type="paragraph" w:customStyle="1" w:styleId="Sansinterligne1">
    <w:name w:val="Sans interligne1"/>
    <w:aliases w:val="Puces"/>
    <w:uiPriority w:val="1"/>
    <w:qFormat/>
    <w:rsid w:val="001A2868"/>
    <w:rPr>
      <w:rFonts w:ascii="Times" w:eastAsia="Calibri" w:hAnsi="Times"/>
      <w:sz w:val="22"/>
      <w:szCs w:val="22"/>
      <w:lang w:val="fr-BE" w:eastAsia="en-US"/>
    </w:rPr>
  </w:style>
  <w:style w:type="paragraph" w:customStyle="1" w:styleId="Puces2">
    <w:name w:val="Puces 2"/>
    <w:basedOn w:val="Sansinterligne"/>
    <w:next w:val="Normal"/>
    <w:qFormat/>
    <w:rsid w:val="001A2868"/>
    <w:pPr>
      <w:numPr>
        <w:numId w:val="0"/>
      </w:numPr>
    </w:pPr>
  </w:style>
  <w:style w:type="paragraph" w:styleId="Sansinterligne">
    <w:name w:val="No Spacing"/>
    <w:uiPriority w:val="1"/>
    <w:qFormat/>
    <w:rsid w:val="001A2868"/>
    <w:pPr>
      <w:numPr>
        <w:numId w:val="5"/>
      </w:numPr>
    </w:pPr>
    <w:rPr>
      <w:rFonts w:ascii="Times" w:eastAsia="Calibri" w:hAnsi="Times"/>
      <w:sz w:val="22"/>
      <w:szCs w:val="22"/>
      <w:lang w:val="fr-BE" w:eastAsia="en-US"/>
    </w:rPr>
  </w:style>
  <w:style w:type="character" w:customStyle="1" w:styleId="Titre1Car">
    <w:name w:val="Titre 1 Car"/>
    <w:link w:val="Titre1"/>
    <w:uiPriority w:val="9"/>
    <w:rsid w:val="001A2868"/>
    <w:rPr>
      <w:rFonts w:ascii="Times" w:eastAsia="ＭＳ 明朝" w:hAnsi="Times"/>
      <w:b/>
      <w:bCs/>
      <w:kern w:val="32"/>
      <w:sz w:val="22"/>
      <w:szCs w:val="32"/>
      <w:u w:val="single"/>
      <w:lang w:val="fr-BE" w:eastAsia="en-US"/>
    </w:rPr>
  </w:style>
  <w:style w:type="paragraph" w:styleId="Paragraphedeliste">
    <w:name w:val="List Paragraph"/>
    <w:basedOn w:val="Normal"/>
    <w:uiPriority w:val="34"/>
    <w:qFormat/>
    <w:rsid w:val="001A2868"/>
    <w:pPr>
      <w:ind w:left="720"/>
      <w:contextualSpacing/>
    </w:p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accompagnement-social.eu/" TargetMode="External"/><Relationship Id="rId8" Type="http://schemas.openxmlformats.org/officeDocument/2006/relationships/hyperlink" Target="http://www.rbdl.be/images/stories/pdf/2014_pdf/memorandum_banner.pdf"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rbdl.be/images/stories/pdf/2014_PDF/Memorandum_Banner.pdf"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4888</Words>
  <Characters>27867</Characters>
  <Application>Microsoft Macintosh Word</Application>
  <DocSecurity>0</DocSecurity>
  <Lines>232</Lines>
  <Paragraphs>55</Paragraphs>
  <ScaleCrop>false</ScaleCrop>
  <HeadingPairs>
    <vt:vector size="2" baseType="variant">
      <vt:variant>
        <vt:lpstr>Title</vt:lpstr>
      </vt:variant>
      <vt:variant>
        <vt:i4>1</vt:i4>
      </vt:variant>
    </vt:vector>
  </HeadingPairs>
  <TitlesOfParts>
    <vt:vector size="1" baseType="lpstr">
      <vt:lpstr/>
    </vt:vector>
  </TitlesOfParts>
  <Company>CCBW</Company>
  <LinksUpToDate>false</LinksUpToDate>
  <CharactersWithSpaces>34222</CharactersWithSpaces>
  <SharedDoc>false</SharedDoc>
  <HLinks>
    <vt:vector size="18" baseType="variant">
      <vt:variant>
        <vt:i4>8126508</vt:i4>
      </vt:variant>
      <vt:variant>
        <vt:i4>3</vt:i4>
      </vt:variant>
      <vt:variant>
        <vt:i4>0</vt:i4>
      </vt:variant>
      <vt:variant>
        <vt:i4>5</vt:i4>
      </vt:variant>
      <vt:variant>
        <vt:lpwstr>http://www.rbdl.be/images/stories/pdf/2014_pdf/memorandum_banner.pdf</vt:lpwstr>
      </vt:variant>
      <vt:variant>
        <vt:lpwstr/>
      </vt:variant>
      <vt:variant>
        <vt:i4>4522005</vt:i4>
      </vt:variant>
      <vt:variant>
        <vt:i4>0</vt:i4>
      </vt:variant>
      <vt:variant>
        <vt:i4>0</vt:i4>
      </vt:variant>
      <vt:variant>
        <vt:i4>5</vt:i4>
      </vt:variant>
      <vt:variant>
        <vt:lpwstr>http://www.accompagnement-social.eu/</vt:lpwstr>
      </vt:variant>
      <vt:variant>
        <vt:lpwstr/>
      </vt:variant>
      <vt:variant>
        <vt:i4>8126508</vt:i4>
      </vt:variant>
      <vt:variant>
        <vt:i4>0</vt:i4>
      </vt:variant>
      <vt:variant>
        <vt:i4>0</vt:i4>
      </vt:variant>
      <vt:variant>
        <vt:i4>5</vt:i4>
      </vt:variant>
      <vt:variant>
        <vt:lpwstr>http://www.rbdl.be/images/stories/pdf/2014_PDF/Memorandum_Banner.pdf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Smurf</dc:creator>
  <cp:keywords/>
  <cp:lastModifiedBy>Smurf</cp:lastModifiedBy>
  <cp:revision>2</cp:revision>
  <dcterms:created xsi:type="dcterms:W3CDTF">2015-09-23T19:19:00Z</dcterms:created>
  <dcterms:modified xsi:type="dcterms:W3CDTF">2015-09-23T19:19:00Z</dcterms:modified>
</cp:coreProperties>
</file>