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0E9C2599" w14:textId="668A124E" w:rsidR="006A7CD4" w:rsidRDefault="00467E78" w:rsidP="00A82F31">
      <w:pPr>
        <w:pStyle w:val="Title"/>
        <w:rPr>
          <w:rFonts w:cs="Arial"/>
          <w:caps/>
        </w:rPr>
      </w:pPr>
      <w:bookmarkStart w:id="0" w:name="_GoBack"/>
      <w:r>
        <w:rPr>
          <w:rFonts w:cs="Arial"/>
          <w:caps/>
        </w:rPr>
        <w:t xml:space="preserve">Optical Detection of BActeriaL Lysate On </w:t>
      </w:r>
      <w:r w:rsidR="00336ECE">
        <w:rPr>
          <w:rFonts w:cs="Arial"/>
          <w:caps/>
        </w:rPr>
        <w:t xml:space="preserve">A </w:t>
      </w:r>
      <w:r>
        <w:rPr>
          <w:rFonts w:cs="Arial"/>
          <w:caps/>
        </w:rPr>
        <w:t xml:space="preserve">Porous Silicon </w:t>
      </w:r>
      <w:r w:rsidR="00453049">
        <w:rPr>
          <w:rFonts w:cs="Arial"/>
          <w:caps/>
        </w:rPr>
        <w:t>MeMbrane</w:t>
      </w:r>
    </w:p>
    <w:bookmarkEnd w:id="0"/>
    <w:p w14:paraId="175B179B" w14:textId="77777777" w:rsidR="006E0F37" w:rsidRDefault="006E0F37" w:rsidP="005B3679">
      <w:pPr>
        <w:pStyle w:val="Title"/>
        <w:ind w:left="360"/>
        <w:jc w:val="both"/>
        <w:rPr>
          <w:rFonts w:cs="Arial"/>
          <w:sz w:val="20"/>
        </w:rPr>
      </w:pPr>
    </w:p>
    <w:p w14:paraId="1CA5518E" w14:textId="77777777" w:rsidR="006E0F37" w:rsidRPr="004A4C09" w:rsidRDefault="004A4C09">
      <w:pPr>
        <w:pStyle w:val="Title"/>
        <w:numPr>
          <w:ilvl w:val="0"/>
          <w:numId w:val="4"/>
        </w:numPr>
        <w:rPr>
          <w:rFonts w:cs="Arial"/>
          <w:b w:val="0"/>
          <w:sz w:val="20"/>
          <w:vertAlign w:val="superscript"/>
          <w:lang w:val="fr-BE"/>
        </w:rPr>
      </w:pPr>
      <w:r w:rsidRPr="004A4C09">
        <w:rPr>
          <w:rFonts w:cs="Arial"/>
          <w:b w:val="0"/>
          <w:sz w:val="20"/>
          <w:lang w:val="fr-BE"/>
        </w:rPr>
        <w:t>Roselien Vercauteren</w:t>
      </w:r>
      <w:r w:rsidR="006E0F37" w:rsidRPr="004A4C09">
        <w:rPr>
          <w:rFonts w:cs="Arial"/>
          <w:b w:val="0"/>
          <w:sz w:val="20"/>
          <w:vertAlign w:val="superscript"/>
          <w:lang w:val="fr-BE"/>
        </w:rPr>
        <w:t>1</w:t>
      </w:r>
      <w:r w:rsidR="00C827AB" w:rsidRPr="004A4C09">
        <w:rPr>
          <w:rFonts w:cs="Arial"/>
          <w:b w:val="0"/>
          <w:sz w:val="20"/>
          <w:vertAlign w:val="superscript"/>
          <w:lang w:val="fr-BE"/>
        </w:rPr>
        <w:t>*</w:t>
      </w:r>
      <w:r w:rsidR="006E0F37" w:rsidRPr="004A4C09">
        <w:rPr>
          <w:rFonts w:cs="Arial"/>
          <w:b w:val="0"/>
          <w:sz w:val="20"/>
          <w:lang w:val="fr-BE"/>
        </w:rPr>
        <w:t xml:space="preserve">, </w:t>
      </w:r>
      <w:r w:rsidRPr="004A4C09">
        <w:rPr>
          <w:rFonts w:cs="Arial"/>
          <w:b w:val="0"/>
          <w:sz w:val="20"/>
          <w:lang w:val="fr-BE"/>
        </w:rPr>
        <w:t>Audrey Leprince</w:t>
      </w:r>
      <w:r w:rsidR="00567636" w:rsidRPr="004A4C09">
        <w:rPr>
          <w:rFonts w:cs="Arial"/>
          <w:b w:val="0"/>
          <w:sz w:val="20"/>
          <w:vertAlign w:val="superscript"/>
          <w:lang w:val="fr-BE"/>
        </w:rPr>
        <w:t>2</w:t>
      </w:r>
      <w:r w:rsidR="00567636" w:rsidRPr="004A4C09">
        <w:rPr>
          <w:rFonts w:cs="Arial"/>
          <w:b w:val="0"/>
          <w:sz w:val="20"/>
          <w:lang w:val="fr-BE"/>
        </w:rPr>
        <w:t xml:space="preserve">, </w:t>
      </w:r>
      <w:r>
        <w:rPr>
          <w:rFonts w:cs="Arial"/>
          <w:b w:val="0"/>
          <w:sz w:val="20"/>
          <w:lang w:val="fr-BE"/>
        </w:rPr>
        <w:t>Jacques Mahillon</w:t>
      </w:r>
      <w:r w:rsidR="00467E78">
        <w:rPr>
          <w:rFonts w:cs="Arial"/>
          <w:b w:val="0"/>
          <w:sz w:val="20"/>
          <w:vertAlign w:val="superscript"/>
          <w:lang w:val="fr-BE"/>
        </w:rPr>
        <w:t>2</w:t>
      </w:r>
      <w:r w:rsidR="006E0F37" w:rsidRPr="004A4C09">
        <w:rPr>
          <w:rFonts w:cs="Arial"/>
          <w:b w:val="0"/>
          <w:sz w:val="20"/>
          <w:lang w:val="fr-BE"/>
        </w:rPr>
        <w:t xml:space="preserve">, </w:t>
      </w:r>
      <w:r>
        <w:rPr>
          <w:rFonts w:cs="Arial"/>
          <w:b w:val="0"/>
          <w:sz w:val="20"/>
          <w:lang w:val="fr-BE"/>
        </w:rPr>
        <w:t>Laurent A. Francis</w:t>
      </w:r>
      <w:r w:rsidR="00467E78">
        <w:rPr>
          <w:rFonts w:cs="Arial"/>
          <w:b w:val="0"/>
          <w:sz w:val="20"/>
          <w:vertAlign w:val="superscript"/>
          <w:lang w:val="fr-BE"/>
        </w:rPr>
        <w:t>1</w:t>
      </w:r>
    </w:p>
    <w:p w14:paraId="0D366990" w14:textId="77777777" w:rsidR="006E0F37" w:rsidRDefault="006E0F37">
      <w:pPr>
        <w:pStyle w:val="Title"/>
        <w:numPr>
          <w:ilvl w:val="0"/>
          <w:numId w:val="4"/>
        </w:numPr>
        <w:rPr>
          <w:rFonts w:cs="Arial"/>
          <w:b w:val="0"/>
          <w:sz w:val="20"/>
        </w:rPr>
      </w:pPr>
      <w:r>
        <w:rPr>
          <w:rFonts w:cs="Arial"/>
          <w:b w:val="0"/>
          <w:sz w:val="20"/>
          <w:vertAlign w:val="superscript"/>
        </w:rPr>
        <w:t>1</w:t>
      </w:r>
      <w:r w:rsidR="004A4C09" w:rsidRPr="004A4C09">
        <w:rPr>
          <w:rFonts w:cs="Arial"/>
          <w:b w:val="0"/>
          <w:sz w:val="20"/>
        </w:rPr>
        <w:t xml:space="preserve">Institute of Information and Communication Technologies, Electronics and Applied Mathematics, </w:t>
      </w:r>
      <w:proofErr w:type="spellStart"/>
      <w:r w:rsidR="004A4C09" w:rsidRPr="004A4C09">
        <w:rPr>
          <w:rFonts w:cs="Arial"/>
          <w:b w:val="0"/>
          <w:sz w:val="20"/>
        </w:rPr>
        <w:t>UCLouvain</w:t>
      </w:r>
      <w:proofErr w:type="spellEnd"/>
      <w:r w:rsidR="004A4C09" w:rsidRPr="004A4C09">
        <w:rPr>
          <w:rFonts w:cs="Arial"/>
          <w:b w:val="0"/>
          <w:sz w:val="20"/>
        </w:rPr>
        <w:t>, 1348 Louvain-la-</w:t>
      </w:r>
      <w:proofErr w:type="spellStart"/>
      <w:r w:rsidR="004A4C09" w:rsidRPr="004A4C09">
        <w:rPr>
          <w:rFonts w:cs="Arial"/>
          <w:b w:val="0"/>
          <w:sz w:val="20"/>
        </w:rPr>
        <w:t>Neuve</w:t>
      </w:r>
      <w:proofErr w:type="spellEnd"/>
      <w:r w:rsidR="004A4C09" w:rsidRPr="004A4C09">
        <w:rPr>
          <w:rFonts w:cs="Arial"/>
          <w:b w:val="0"/>
          <w:sz w:val="20"/>
        </w:rPr>
        <w:t>, Belgium</w:t>
      </w:r>
    </w:p>
    <w:p w14:paraId="7B7C7CE5" w14:textId="77777777" w:rsidR="00567636" w:rsidRPr="00567636" w:rsidRDefault="00567636" w:rsidP="00567636">
      <w:pPr>
        <w:pStyle w:val="Title"/>
        <w:numPr>
          <w:ilvl w:val="0"/>
          <w:numId w:val="4"/>
        </w:numPr>
        <w:rPr>
          <w:rFonts w:cs="Arial"/>
          <w:b w:val="0"/>
          <w:sz w:val="20"/>
        </w:rPr>
      </w:pPr>
      <w:r w:rsidRPr="00567636">
        <w:rPr>
          <w:rFonts w:cs="Arial"/>
          <w:b w:val="0"/>
          <w:sz w:val="20"/>
          <w:vertAlign w:val="superscript"/>
        </w:rPr>
        <w:t>2</w:t>
      </w:r>
      <w:r w:rsidR="004A4C09">
        <w:rPr>
          <w:rFonts w:cs="Arial"/>
          <w:b w:val="0"/>
          <w:sz w:val="20"/>
        </w:rPr>
        <w:t xml:space="preserve"> </w:t>
      </w:r>
      <w:r w:rsidR="004A4C09" w:rsidRPr="004A4C09">
        <w:rPr>
          <w:rFonts w:cs="Arial"/>
          <w:b w:val="0"/>
          <w:sz w:val="20"/>
        </w:rPr>
        <w:t xml:space="preserve">Laboratory of Food and Environmental Microbiology, Earth and Life Institute, </w:t>
      </w:r>
      <w:proofErr w:type="spellStart"/>
      <w:r w:rsidR="004A4C09" w:rsidRPr="004A4C09">
        <w:rPr>
          <w:rFonts w:cs="Arial"/>
          <w:b w:val="0"/>
          <w:sz w:val="20"/>
        </w:rPr>
        <w:t>UCLouvain</w:t>
      </w:r>
      <w:proofErr w:type="spellEnd"/>
      <w:r w:rsidR="004A4C09" w:rsidRPr="004A4C09">
        <w:rPr>
          <w:rFonts w:cs="Arial"/>
          <w:b w:val="0"/>
          <w:sz w:val="20"/>
        </w:rPr>
        <w:t>, 1348 Louvain-la-</w:t>
      </w:r>
      <w:proofErr w:type="spellStart"/>
      <w:r w:rsidR="004A4C09" w:rsidRPr="004A4C09">
        <w:rPr>
          <w:rFonts w:cs="Arial"/>
          <w:b w:val="0"/>
          <w:sz w:val="20"/>
        </w:rPr>
        <w:t>Neuve</w:t>
      </w:r>
      <w:proofErr w:type="spellEnd"/>
      <w:r w:rsidR="004A4C09" w:rsidRPr="004A4C09">
        <w:rPr>
          <w:rFonts w:cs="Arial"/>
          <w:b w:val="0"/>
          <w:sz w:val="20"/>
        </w:rPr>
        <w:t>, Belgium</w:t>
      </w:r>
    </w:p>
    <w:p w14:paraId="71D0573F" w14:textId="77777777" w:rsidR="00315876" w:rsidRDefault="00315876" w:rsidP="00315876">
      <w:pPr>
        <w:pStyle w:val="BodyText"/>
      </w:pPr>
    </w:p>
    <w:p w14:paraId="60B0080B" w14:textId="77777777" w:rsidR="00567636" w:rsidRPr="00567636" w:rsidRDefault="00567636" w:rsidP="00315876">
      <w:pPr>
        <w:pStyle w:val="BodyText"/>
        <w:sectPr w:rsidR="00567636" w:rsidRPr="00567636" w:rsidSect="0071468E">
          <w:footerReference w:type="default" r:id="rId10"/>
          <w:pgSz w:w="12240" w:h="15840"/>
          <w:pgMar w:top="1418" w:right="1418" w:bottom="1418" w:left="1418" w:header="709" w:footer="567" w:gutter="0"/>
          <w:cols w:space="708"/>
          <w:docGrid w:linePitch="360"/>
        </w:sectPr>
      </w:pPr>
    </w:p>
    <w:p w14:paraId="5C316716" w14:textId="77777777" w:rsidR="001D0AF3" w:rsidRDefault="00995770">
      <w:pPr>
        <w:rPr>
          <w:rFonts w:ascii="Arial" w:hAnsi="Arial" w:cs="Arial"/>
        </w:rPr>
      </w:pPr>
      <w:r>
        <w:rPr>
          <w:rFonts w:ascii="Arial" w:hAnsi="Arial" w:cs="Arial"/>
        </w:rPr>
        <w:t xml:space="preserve">Keyword(s): </w:t>
      </w:r>
      <w:r w:rsidR="006A7CD4">
        <w:rPr>
          <w:rFonts w:ascii="Arial" w:hAnsi="Arial" w:cs="Arial"/>
        </w:rPr>
        <w:t>bioelectronics and photonics</w:t>
      </w:r>
    </w:p>
    <w:p w14:paraId="6E4C8FB4" w14:textId="77777777" w:rsidR="006E0F37" w:rsidRDefault="006E0F37">
      <w:pPr>
        <w:rPr>
          <w:rFonts w:ascii="Arial" w:hAnsi="Arial" w:cs="Arial"/>
          <w:sz w:val="16"/>
        </w:rPr>
      </w:pPr>
    </w:p>
    <w:p w14:paraId="0A31EEFF" w14:textId="77777777" w:rsidR="006E0F37" w:rsidRDefault="00411B2F">
      <w:pPr>
        <w:pStyle w:val="Heading4"/>
        <w:numPr>
          <w:ilvl w:val="0"/>
          <w:numId w:val="2"/>
        </w:numPr>
        <w:rPr>
          <w:rFonts w:cs="Arial"/>
        </w:rPr>
      </w:pPr>
      <w:r>
        <w:rPr>
          <w:rFonts w:cs="Arial"/>
        </w:rPr>
        <w:t>INTRODUCTION</w:t>
      </w:r>
    </w:p>
    <w:p w14:paraId="38AA50D4" w14:textId="3622D1FB" w:rsidR="006E0F37" w:rsidRDefault="00BB60FC">
      <w:pPr>
        <w:rPr>
          <w:rFonts w:ascii="Arial" w:hAnsi="Arial" w:cs="Arial"/>
        </w:rPr>
      </w:pPr>
      <w:r>
        <w:rPr>
          <w:rFonts w:ascii="Arial" w:hAnsi="Arial" w:cs="Arial"/>
        </w:rPr>
        <w:t>Antibiotic microbial</w:t>
      </w:r>
      <w:r w:rsidR="008A20F3">
        <w:rPr>
          <w:rFonts w:ascii="Arial" w:hAnsi="Arial" w:cs="Arial"/>
        </w:rPr>
        <w:t xml:space="preserve"> resistance is, according to the World Health </w:t>
      </w:r>
      <w:r w:rsidR="00B82900">
        <w:rPr>
          <w:rFonts w:ascii="Arial" w:hAnsi="Arial" w:cs="Arial"/>
        </w:rPr>
        <w:t>Organization</w:t>
      </w:r>
      <w:r w:rsidR="008A20F3">
        <w:rPr>
          <w:rFonts w:ascii="Arial" w:hAnsi="Arial" w:cs="Arial"/>
        </w:rPr>
        <w:t>, one of the top 10 threats to global health. One way to prevent</w:t>
      </w:r>
      <w:r w:rsidR="004F2F53">
        <w:rPr>
          <w:rFonts w:ascii="Arial" w:hAnsi="Arial" w:cs="Arial"/>
        </w:rPr>
        <w:t xml:space="preserve"> and control</w:t>
      </w:r>
      <w:r w:rsidR="00352E46">
        <w:rPr>
          <w:rFonts w:ascii="Arial" w:hAnsi="Arial" w:cs="Arial"/>
        </w:rPr>
        <w:t xml:space="preserve"> </w:t>
      </w:r>
      <w:r w:rsidR="008A20F3">
        <w:rPr>
          <w:rFonts w:ascii="Arial" w:hAnsi="Arial" w:cs="Arial"/>
        </w:rPr>
        <w:t xml:space="preserve">antibiotic resistance is the development of </w:t>
      </w:r>
      <w:r w:rsidR="00B82900">
        <w:rPr>
          <w:rFonts w:ascii="Arial" w:hAnsi="Arial" w:cs="Arial"/>
        </w:rPr>
        <w:t>novel</w:t>
      </w:r>
      <w:r w:rsidR="008A20F3">
        <w:rPr>
          <w:rFonts w:ascii="Arial" w:hAnsi="Arial" w:cs="Arial"/>
        </w:rPr>
        <w:t xml:space="preserve"> diagnostic tools</w:t>
      </w:r>
      <w:r w:rsidR="00B82900">
        <w:rPr>
          <w:rFonts w:ascii="Arial" w:hAnsi="Arial" w:cs="Arial"/>
        </w:rPr>
        <w:t xml:space="preserve">. In this work, we present a biosensor for </w:t>
      </w:r>
      <w:r w:rsidR="00336ECE">
        <w:rPr>
          <w:rFonts w:ascii="Arial" w:hAnsi="Arial" w:cs="Arial"/>
        </w:rPr>
        <w:t xml:space="preserve">the </w:t>
      </w:r>
      <w:r w:rsidR="004F2F53">
        <w:rPr>
          <w:rFonts w:ascii="Arial" w:hAnsi="Arial" w:cs="Arial"/>
        </w:rPr>
        <w:t xml:space="preserve">rapid </w:t>
      </w:r>
      <w:r w:rsidR="00336ECE">
        <w:rPr>
          <w:rFonts w:ascii="Arial" w:hAnsi="Arial" w:cs="Arial"/>
        </w:rPr>
        <w:t>optical detection of bacteria after their selective lysis</w:t>
      </w:r>
      <w:r w:rsidR="00B82900">
        <w:rPr>
          <w:rFonts w:ascii="Arial" w:hAnsi="Arial" w:cs="Arial"/>
        </w:rPr>
        <w:t>, based</w:t>
      </w:r>
      <w:r w:rsidR="00336ECE">
        <w:rPr>
          <w:rFonts w:ascii="Arial" w:hAnsi="Arial" w:cs="Arial"/>
        </w:rPr>
        <w:t xml:space="preserve"> on open-ended </w:t>
      </w:r>
      <w:r w:rsidR="00547FEE">
        <w:rPr>
          <w:rFonts w:ascii="Arial" w:hAnsi="Arial" w:cs="Arial"/>
        </w:rPr>
        <w:t>P</w:t>
      </w:r>
      <w:r w:rsidR="00336ECE">
        <w:rPr>
          <w:rFonts w:ascii="Arial" w:hAnsi="Arial" w:cs="Arial"/>
        </w:rPr>
        <w:t xml:space="preserve">orous </w:t>
      </w:r>
      <w:r w:rsidR="00547FEE">
        <w:rPr>
          <w:rFonts w:ascii="Arial" w:hAnsi="Arial" w:cs="Arial"/>
        </w:rPr>
        <w:t>S</w:t>
      </w:r>
      <w:r w:rsidR="00336ECE">
        <w:rPr>
          <w:rFonts w:ascii="Arial" w:hAnsi="Arial" w:cs="Arial"/>
        </w:rPr>
        <w:t>ilicon</w:t>
      </w:r>
      <w:r w:rsidR="00547FEE">
        <w:rPr>
          <w:rFonts w:ascii="Arial" w:hAnsi="Arial" w:cs="Arial"/>
        </w:rPr>
        <w:t xml:space="preserve"> (PSi)</w:t>
      </w:r>
      <w:r w:rsidR="00336ECE">
        <w:rPr>
          <w:rFonts w:ascii="Arial" w:hAnsi="Arial" w:cs="Arial"/>
        </w:rPr>
        <w:t xml:space="preserve"> membranes. P</w:t>
      </w:r>
      <w:r w:rsidR="00547FEE">
        <w:rPr>
          <w:rFonts w:ascii="Arial" w:hAnsi="Arial" w:cs="Arial"/>
        </w:rPr>
        <w:t xml:space="preserve">Si </w:t>
      </w:r>
      <w:r w:rsidR="00B82900">
        <w:rPr>
          <w:rFonts w:ascii="Arial" w:hAnsi="Arial" w:cs="Arial"/>
        </w:rPr>
        <w:t>is</w:t>
      </w:r>
      <w:r w:rsidR="00336ECE">
        <w:rPr>
          <w:rFonts w:ascii="Arial" w:hAnsi="Arial" w:cs="Arial"/>
        </w:rPr>
        <w:t xml:space="preserve"> widely used </w:t>
      </w:r>
      <w:r w:rsidR="00AE4935">
        <w:rPr>
          <w:rFonts w:ascii="Arial" w:hAnsi="Arial" w:cs="Arial"/>
        </w:rPr>
        <w:t>for</w:t>
      </w:r>
      <w:r w:rsidR="00336ECE">
        <w:rPr>
          <w:rFonts w:ascii="Arial" w:hAnsi="Arial" w:cs="Arial"/>
        </w:rPr>
        <w:t xml:space="preserve"> </w:t>
      </w:r>
      <w:r w:rsidR="004F2F53">
        <w:rPr>
          <w:rFonts w:ascii="Arial" w:hAnsi="Arial" w:cs="Arial"/>
        </w:rPr>
        <w:t>bio</w:t>
      </w:r>
      <w:r w:rsidR="00336ECE">
        <w:rPr>
          <w:rFonts w:ascii="Arial" w:hAnsi="Arial" w:cs="Arial"/>
        </w:rPr>
        <w:t>sensing applications</w:t>
      </w:r>
      <w:r w:rsidR="00B82900">
        <w:rPr>
          <w:rFonts w:ascii="Arial" w:hAnsi="Arial" w:cs="Arial"/>
        </w:rPr>
        <w:t xml:space="preserve">, thanks to its large surface area and unique optical properties </w:t>
      </w:r>
      <w:r w:rsidR="001D43AE">
        <w:rPr>
          <w:rFonts w:ascii="Arial" w:hAnsi="Arial" w:cs="Arial"/>
        </w:rPr>
        <w:fldChar w:fldCharType="begin"/>
      </w:r>
      <w:r w:rsidR="006403B6">
        <w:rPr>
          <w:rFonts w:ascii="Arial" w:hAnsi="Arial" w:cs="Arial"/>
        </w:rPr>
        <w:instrText xml:space="preserve"> ADDIN ZOTERO_ITEM CSL_CITATION {"citationID":"jCh2iroi","properties":{"formattedCitation":"[1]","plainCitation":"[1]","noteIndex":0},"citationItems":[{"id":97,"uris":["http://zotero.org/users/local/2hKaWDwJ/items/RPJ9CSFU"],"uri":["http://zotero.org/users/local/2hKaWDwJ/items/RPJ9CSFU"],"itemData":{"id":97,"type":"article-journal","container-title":"Analytical Chemistry","DOI":"10.1021/acs.analchem.8b05028","ISSN":"0003-2700, 1520-6882","issue":"1","language":"en","page":"441-467","source":"Crossref","title":"Porous Silicon-Based Photonic Biosensors: Current Status and Emerging Applications","title-short":"Porous Silicon-Based Photonic Biosensors","volume":"91","author":[{"family":"Arshavsky-Graham","given":"Sofia"},{"family":"Massad-Ivanir","given":"Naama"},{"family":"Segal","given":"Ester"},{"family":"Weiss","given":"Sharon"}],"issued":{"date-parts":[["2019",1,2]]}}}],"schema":"https://github.com/citation-style-language/schema/raw/master/csl-citation.json"} </w:instrText>
      </w:r>
      <w:r w:rsidR="001D43AE">
        <w:rPr>
          <w:rFonts w:ascii="Arial" w:hAnsi="Arial" w:cs="Arial"/>
        </w:rPr>
        <w:fldChar w:fldCharType="separate"/>
      </w:r>
      <w:r w:rsidR="006403B6" w:rsidRPr="006403B6">
        <w:rPr>
          <w:rFonts w:ascii="Arial" w:hAnsi="Arial" w:cs="Arial"/>
        </w:rPr>
        <w:t>[1]</w:t>
      </w:r>
      <w:r w:rsidR="001D43AE">
        <w:rPr>
          <w:rFonts w:ascii="Arial" w:hAnsi="Arial" w:cs="Arial"/>
        </w:rPr>
        <w:fldChar w:fldCharType="end"/>
      </w:r>
      <w:r w:rsidR="00336ECE">
        <w:rPr>
          <w:rFonts w:ascii="Arial" w:hAnsi="Arial" w:cs="Arial"/>
        </w:rPr>
        <w:t>.</w:t>
      </w:r>
      <w:r w:rsidR="00636288">
        <w:rPr>
          <w:rFonts w:ascii="Arial" w:hAnsi="Arial" w:cs="Arial"/>
        </w:rPr>
        <w:t xml:space="preserve"> </w:t>
      </w:r>
    </w:p>
    <w:p w14:paraId="78EBA496" w14:textId="39BDF7AC" w:rsidR="002B06C5" w:rsidRDefault="008604D8">
      <w:pPr>
        <w:rPr>
          <w:rFonts w:ascii="Arial" w:hAnsi="Arial" w:cs="Arial"/>
        </w:rPr>
      </w:pPr>
      <w:r>
        <w:rPr>
          <w:rFonts w:ascii="Arial" w:hAnsi="Arial" w:cs="Arial"/>
        </w:rPr>
        <w:t xml:space="preserve">In this study, </w:t>
      </w:r>
      <w:r w:rsidRPr="00547FEE">
        <w:rPr>
          <w:rFonts w:ascii="Arial" w:hAnsi="Arial" w:cs="Arial"/>
          <w:i/>
        </w:rPr>
        <w:t>Bacillus cereus</w:t>
      </w:r>
      <w:r>
        <w:rPr>
          <w:rFonts w:ascii="Arial" w:hAnsi="Arial" w:cs="Arial"/>
        </w:rPr>
        <w:t xml:space="preserve"> </w:t>
      </w:r>
      <w:r w:rsidR="002B06C5">
        <w:rPr>
          <w:rFonts w:ascii="Arial" w:hAnsi="Arial" w:cs="Arial"/>
        </w:rPr>
        <w:t xml:space="preserve">was selectively lysed by </w:t>
      </w:r>
      <w:r>
        <w:rPr>
          <w:rFonts w:ascii="Arial" w:hAnsi="Arial" w:cs="Arial"/>
        </w:rPr>
        <w:t xml:space="preserve">PlyB221, a recently characterized endolysin </w:t>
      </w:r>
      <w:r w:rsidR="006403B6">
        <w:rPr>
          <w:rFonts w:ascii="Arial" w:hAnsi="Arial" w:cs="Arial"/>
        </w:rPr>
        <w:t>en</w:t>
      </w:r>
      <w:r>
        <w:rPr>
          <w:rFonts w:ascii="Arial" w:hAnsi="Arial" w:cs="Arial"/>
        </w:rPr>
        <w:t xml:space="preserve">coded by the Deep-Blue </w:t>
      </w:r>
      <w:r w:rsidR="00774593">
        <w:rPr>
          <w:rFonts w:ascii="Arial" w:hAnsi="Arial" w:cs="Arial"/>
        </w:rPr>
        <w:t>bacterio</w:t>
      </w:r>
      <w:r>
        <w:rPr>
          <w:rFonts w:ascii="Arial" w:hAnsi="Arial" w:cs="Arial"/>
        </w:rPr>
        <w:t xml:space="preserve">phage targeting </w:t>
      </w:r>
      <w:r w:rsidRPr="00547FEE">
        <w:rPr>
          <w:rFonts w:ascii="Arial" w:hAnsi="Arial" w:cs="Arial"/>
          <w:i/>
        </w:rPr>
        <w:t>B. cereus</w:t>
      </w:r>
      <w:r w:rsidR="00AE4935">
        <w:rPr>
          <w:rFonts w:ascii="Arial" w:hAnsi="Arial" w:cs="Arial"/>
          <w:i/>
        </w:rPr>
        <w:t xml:space="preserve"> </w:t>
      </w:r>
      <w:r w:rsidR="00AE4935">
        <w:rPr>
          <w:rFonts w:ascii="Arial" w:hAnsi="Arial" w:cs="Arial"/>
          <w:i/>
        </w:rPr>
        <w:fldChar w:fldCharType="begin"/>
      </w:r>
      <w:r w:rsidR="006403B6">
        <w:rPr>
          <w:rFonts w:ascii="Arial" w:hAnsi="Arial" w:cs="Arial"/>
          <w:i/>
        </w:rPr>
        <w:instrText xml:space="preserve"> ADDIN ZOTERO_ITEM CSL_CITATION {"citationID":"VEl6Apd4","properties":{"formattedCitation":"[2]","plainCitation":"[2]","noteIndex":0},"citationItems":[{"id":1993,"uris":["http://zotero.org/users/local/2hKaWDwJ/items/84F75G5P"],"uri":["http://zotero.org/users/local/2hKaWDwJ/items/84F75G5P"],"itemData":{"id":1993,"type":"article-journal","abstract":"Endolysins are phage-encoded enzymes implicated in the breaching of the bacterial cell wall at the end of the viral cycle. This study focuses on the endolysins of Deep-Blue (PlyB221) and Deep-Purple (PlyP32), two phages preying on the Bacillus cereus group. Both enzymes exhibit a typical modular organization with an enzymatically active domain (EAD) located in the N-terminal and a cell wall binding domain (CBD) in the C-terminal part of the protein. In silico analysis indicated that the EAD domains of PlyB221 and PlyP32 are endowed with peptidase and muramidase activities, respectively, whereas in both proteins SH3 domains are involved in the CBD. To evaluate their antimicrobial properties and binding specificity, both endolysins were expressed and purified. PlyB221 and PlyP32 efficiently recognized and lysed all the tested strains from the B. cereus group. Biochemical characterization showed that PlyB221 activity was stable under a wide range of pHs (5&amp;ndash;9), NaCl concentrations (up to 200 mM), and temperature treatments (up to 50 &amp;deg;C). Although PlyP32 activity was less stable than that of PlyB221, the endolysin displayed high activity at pH 6&amp;ndash;7, NaCl concentration up to 100 mM and the temperature treatment up to 45 &amp;deg;C. Overall, PlyB221 and PlyP32 display suitable characteristics for the development of biocontrol and detection tools.","container-title":"Viruses","DOI":"10.3390/v12091052","issue":"9","language":"en","note":"number: 9\npublisher: Multidisciplinary Digital Publishing Institute","page":"1052","source":"www.mdpi.com","title":"Characterization of PlyB221 and PlyP32, Two Novel Endolysins Encoded by Phages Preying on the Bacillus cereus Group","volume":"12","author":[{"family":"Leprince","given":"Audrey"},{"family":"Nuytten","given":"Manon"},{"family":"Gillis","given":"Annika"},{"family":"Mahillon","given":"Jacques"}],"issued":{"date-parts":[["2020",9]]}}}],"schema":"https://github.com/citation-style-language/schema/raw/master/csl-citation.json"} </w:instrText>
      </w:r>
      <w:r w:rsidR="00AE4935">
        <w:rPr>
          <w:rFonts w:ascii="Arial" w:hAnsi="Arial" w:cs="Arial"/>
          <w:i/>
        </w:rPr>
        <w:fldChar w:fldCharType="separate"/>
      </w:r>
      <w:r w:rsidR="006403B6" w:rsidRPr="006403B6">
        <w:rPr>
          <w:rFonts w:ascii="Arial" w:hAnsi="Arial" w:cs="Arial"/>
        </w:rPr>
        <w:t>[2]</w:t>
      </w:r>
      <w:r w:rsidR="00AE4935">
        <w:rPr>
          <w:rFonts w:ascii="Arial" w:hAnsi="Arial" w:cs="Arial"/>
          <w:i/>
        </w:rPr>
        <w:fldChar w:fldCharType="end"/>
      </w:r>
      <w:r w:rsidR="00547FEE">
        <w:rPr>
          <w:rFonts w:ascii="Arial" w:hAnsi="Arial" w:cs="Arial"/>
        </w:rPr>
        <w:t>. T</w:t>
      </w:r>
      <w:r w:rsidR="002B06C5">
        <w:rPr>
          <w:rFonts w:ascii="Arial" w:hAnsi="Arial" w:cs="Arial"/>
        </w:rPr>
        <w:t>he</w:t>
      </w:r>
      <w:r w:rsidR="00547FEE">
        <w:rPr>
          <w:rFonts w:ascii="Arial" w:hAnsi="Arial" w:cs="Arial"/>
        </w:rPr>
        <w:t xml:space="preserve"> bacterial lysate </w:t>
      </w:r>
      <w:r w:rsidR="002B06C5">
        <w:rPr>
          <w:rFonts w:ascii="Arial" w:hAnsi="Arial" w:cs="Arial"/>
        </w:rPr>
        <w:t xml:space="preserve">was then pushed </w:t>
      </w:r>
      <w:r w:rsidR="001D43AE">
        <w:rPr>
          <w:rFonts w:ascii="Arial" w:hAnsi="Arial" w:cs="Arial"/>
        </w:rPr>
        <w:t>through</w:t>
      </w:r>
      <w:r w:rsidR="00547FEE">
        <w:rPr>
          <w:rFonts w:ascii="Arial" w:hAnsi="Arial" w:cs="Arial"/>
        </w:rPr>
        <w:t xml:space="preserve"> </w:t>
      </w:r>
      <w:r w:rsidR="001D43AE">
        <w:rPr>
          <w:rFonts w:ascii="Arial" w:hAnsi="Arial" w:cs="Arial"/>
        </w:rPr>
        <w:t>a</w:t>
      </w:r>
      <w:r w:rsidR="00547FEE">
        <w:rPr>
          <w:rFonts w:ascii="Arial" w:hAnsi="Arial" w:cs="Arial"/>
        </w:rPr>
        <w:t xml:space="preserve"> PSi membrane</w:t>
      </w:r>
      <w:r w:rsidR="002B06C5">
        <w:rPr>
          <w:rFonts w:ascii="Arial" w:hAnsi="Arial" w:cs="Arial"/>
        </w:rPr>
        <w:t>, which generate</w:t>
      </w:r>
      <w:r w:rsidR="001D43AE">
        <w:rPr>
          <w:rFonts w:ascii="Arial" w:hAnsi="Arial" w:cs="Arial"/>
        </w:rPr>
        <w:t>d</w:t>
      </w:r>
      <w:r w:rsidR="002B06C5">
        <w:rPr>
          <w:rFonts w:ascii="Arial" w:hAnsi="Arial" w:cs="Arial"/>
        </w:rPr>
        <w:t xml:space="preserve"> changes in its optical properties</w:t>
      </w:r>
      <w:r w:rsidR="00547FEE">
        <w:rPr>
          <w:rFonts w:ascii="Arial" w:hAnsi="Arial" w:cs="Arial"/>
        </w:rPr>
        <w:t xml:space="preserve">. </w:t>
      </w:r>
      <w:r>
        <w:rPr>
          <w:rFonts w:ascii="Arial" w:hAnsi="Arial" w:cs="Arial"/>
        </w:rPr>
        <w:t xml:space="preserve">A method called Reflective Interferometric Fourier Transform Spectroscopy (RIFTS) was used </w:t>
      </w:r>
      <w:r w:rsidR="00547FEE">
        <w:rPr>
          <w:rFonts w:ascii="Arial" w:hAnsi="Arial" w:cs="Arial"/>
        </w:rPr>
        <w:t>to quantify th</w:t>
      </w:r>
      <w:r w:rsidR="002B06C5">
        <w:rPr>
          <w:rFonts w:ascii="Arial" w:hAnsi="Arial" w:cs="Arial"/>
        </w:rPr>
        <w:t>ese changes, by measuring</w:t>
      </w:r>
      <w:r>
        <w:rPr>
          <w:rFonts w:ascii="Arial" w:hAnsi="Arial" w:cs="Arial"/>
        </w:rPr>
        <w:t xml:space="preserve"> the effective optical thickness (EOT)</w:t>
      </w:r>
      <w:r w:rsidR="00547FEE">
        <w:rPr>
          <w:rFonts w:ascii="Arial" w:hAnsi="Arial" w:cs="Arial"/>
        </w:rPr>
        <w:t xml:space="preserve"> of </w:t>
      </w:r>
      <w:r w:rsidR="000C451A">
        <w:rPr>
          <w:rFonts w:ascii="Arial" w:hAnsi="Arial" w:cs="Arial"/>
        </w:rPr>
        <w:t>the</w:t>
      </w:r>
      <w:r w:rsidR="00547FEE">
        <w:rPr>
          <w:rFonts w:ascii="Arial" w:hAnsi="Arial" w:cs="Arial"/>
        </w:rPr>
        <w:t xml:space="preserve"> PSi </w:t>
      </w:r>
      <w:r w:rsidR="000C451A">
        <w:rPr>
          <w:rFonts w:ascii="Arial" w:hAnsi="Arial" w:cs="Arial"/>
        </w:rPr>
        <w:t>membrane</w:t>
      </w:r>
      <w:r w:rsidR="00B82900">
        <w:rPr>
          <w:rFonts w:ascii="Arial" w:hAnsi="Arial" w:cs="Arial"/>
        </w:rPr>
        <w:t xml:space="preserve"> overtime</w:t>
      </w:r>
      <w:r w:rsidR="002B06C5">
        <w:rPr>
          <w:rFonts w:ascii="Arial" w:hAnsi="Arial" w:cs="Arial"/>
        </w:rPr>
        <w:t>. This EOT</w:t>
      </w:r>
      <w:r w:rsidR="00547FEE">
        <w:rPr>
          <w:rFonts w:ascii="Arial" w:hAnsi="Arial" w:cs="Arial"/>
        </w:rPr>
        <w:t xml:space="preserve"> equal</w:t>
      </w:r>
      <w:r w:rsidR="002B06C5">
        <w:rPr>
          <w:rFonts w:ascii="Arial" w:hAnsi="Arial" w:cs="Arial"/>
        </w:rPr>
        <w:t>s</w:t>
      </w:r>
      <w:r w:rsidR="00547FEE">
        <w:rPr>
          <w:rFonts w:ascii="Arial" w:hAnsi="Arial" w:cs="Arial"/>
        </w:rPr>
        <w:t xml:space="preserve"> </w:t>
      </w:r>
      <w:r w:rsidRPr="008604D8">
        <w:rPr>
          <w:rFonts w:ascii="Arial" w:hAnsi="Arial" w:cs="Arial"/>
          <w:i/>
        </w:rPr>
        <w:t>2nL</w:t>
      </w:r>
      <w:r>
        <w:rPr>
          <w:rFonts w:ascii="Arial" w:hAnsi="Arial" w:cs="Arial"/>
        </w:rPr>
        <w:t xml:space="preserve">, with </w:t>
      </w:r>
      <w:r w:rsidRPr="008604D8">
        <w:rPr>
          <w:rFonts w:ascii="Arial" w:hAnsi="Arial" w:cs="Arial"/>
          <w:i/>
        </w:rPr>
        <w:t>n</w:t>
      </w:r>
      <w:r>
        <w:rPr>
          <w:rFonts w:ascii="Arial" w:hAnsi="Arial" w:cs="Arial"/>
        </w:rPr>
        <w:t xml:space="preserve"> the refractive index of the porous </w:t>
      </w:r>
      <w:r w:rsidR="00547FEE">
        <w:rPr>
          <w:rFonts w:ascii="Arial" w:hAnsi="Arial" w:cs="Arial"/>
        </w:rPr>
        <w:t>matrix</w:t>
      </w:r>
      <w:r>
        <w:rPr>
          <w:rFonts w:ascii="Arial" w:hAnsi="Arial" w:cs="Arial"/>
        </w:rPr>
        <w:t xml:space="preserve">, and </w:t>
      </w:r>
      <w:r w:rsidRPr="008604D8">
        <w:rPr>
          <w:rFonts w:ascii="Arial" w:hAnsi="Arial" w:cs="Arial"/>
          <w:i/>
        </w:rPr>
        <w:t>L</w:t>
      </w:r>
      <w:r>
        <w:rPr>
          <w:rFonts w:ascii="Arial" w:hAnsi="Arial" w:cs="Arial"/>
        </w:rPr>
        <w:t xml:space="preserve"> </w:t>
      </w:r>
      <w:r w:rsidR="001D43AE">
        <w:rPr>
          <w:rFonts w:ascii="Arial" w:hAnsi="Arial" w:cs="Arial"/>
        </w:rPr>
        <w:t>is thickness</w:t>
      </w:r>
      <w:r>
        <w:rPr>
          <w:rFonts w:ascii="Arial" w:hAnsi="Arial" w:cs="Arial"/>
        </w:rPr>
        <w:t>.</w:t>
      </w:r>
      <w:r w:rsidR="00547FEE">
        <w:rPr>
          <w:rFonts w:ascii="Arial" w:hAnsi="Arial" w:cs="Arial"/>
        </w:rPr>
        <w:t xml:space="preserve"> </w:t>
      </w:r>
      <w:r w:rsidR="002B06C5">
        <w:rPr>
          <w:rFonts w:ascii="Arial" w:hAnsi="Arial" w:cs="Arial"/>
        </w:rPr>
        <w:t>With this detection protocol, we were able to selectively detect 10</w:t>
      </w:r>
      <w:r w:rsidR="002B06C5" w:rsidRPr="002B06C5">
        <w:rPr>
          <w:rFonts w:ascii="Arial" w:hAnsi="Arial" w:cs="Arial"/>
          <w:vertAlign w:val="superscript"/>
        </w:rPr>
        <w:t>5</w:t>
      </w:r>
      <w:r w:rsidR="002B06C5">
        <w:rPr>
          <w:rFonts w:ascii="Arial" w:hAnsi="Arial" w:cs="Arial"/>
        </w:rPr>
        <w:t xml:space="preserve"> colony forming units per mL (CFU/mL) of </w:t>
      </w:r>
      <w:r w:rsidR="002B06C5" w:rsidRPr="002B06C5">
        <w:rPr>
          <w:rFonts w:ascii="Arial" w:hAnsi="Arial" w:cs="Arial"/>
          <w:i/>
        </w:rPr>
        <w:t>B.</w:t>
      </w:r>
      <w:r w:rsidR="002B06C5">
        <w:rPr>
          <w:rFonts w:ascii="Arial" w:hAnsi="Arial" w:cs="Arial"/>
          <w:i/>
        </w:rPr>
        <w:t xml:space="preserve"> </w:t>
      </w:r>
      <w:r w:rsidR="002B06C5" w:rsidRPr="002B06C5">
        <w:rPr>
          <w:rFonts w:ascii="Arial" w:hAnsi="Arial" w:cs="Arial"/>
          <w:i/>
        </w:rPr>
        <w:t>cereus</w:t>
      </w:r>
      <w:r w:rsidR="002B06C5">
        <w:rPr>
          <w:rFonts w:ascii="Arial" w:hAnsi="Arial" w:cs="Arial"/>
        </w:rPr>
        <w:t xml:space="preserve"> </w:t>
      </w:r>
      <w:r w:rsidR="00AE4935">
        <w:rPr>
          <w:rFonts w:ascii="Arial" w:hAnsi="Arial" w:cs="Arial"/>
        </w:rPr>
        <w:t xml:space="preserve">lysate </w:t>
      </w:r>
      <w:r w:rsidR="002B06C5">
        <w:rPr>
          <w:rFonts w:ascii="Arial" w:hAnsi="Arial" w:cs="Arial"/>
        </w:rPr>
        <w:t>in 1h.</w:t>
      </w:r>
    </w:p>
    <w:p w14:paraId="03160AF4" w14:textId="77777777" w:rsidR="008604D8" w:rsidRDefault="008604D8">
      <w:pPr>
        <w:rPr>
          <w:rFonts w:ascii="Arial" w:hAnsi="Arial" w:cs="Arial"/>
        </w:rPr>
      </w:pPr>
    </w:p>
    <w:p w14:paraId="7FAEDAE0" w14:textId="77777777" w:rsidR="00892519" w:rsidRDefault="00892519" w:rsidP="00892519">
      <w:pPr>
        <w:pStyle w:val="Heading4"/>
        <w:numPr>
          <w:ilvl w:val="0"/>
          <w:numId w:val="2"/>
        </w:numPr>
        <w:rPr>
          <w:rFonts w:cs="Arial"/>
        </w:rPr>
      </w:pPr>
      <w:r>
        <w:rPr>
          <w:rFonts w:cs="Arial"/>
        </w:rPr>
        <w:t>MATERIALS AND METHODS</w:t>
      </w:r>
    </w:p>
    <w:p w14:paraId="720FB1F8" w14:textId="18DFC18D" w:rsidR="00336ECE" w:rsidRDefault="00613470">
      <w:pPr>
        <w:rPr>
          <w:rFonts w:ascii="Arial" w:hAnsi="Arial" w:cs="Arial"/>
        </w:rPr>
      </w:pPr>
      <w:r>
        <w:rPr>
          <w:rFonts w:ascii="Arial" w:hAnsi="Arial" w:cs="Arial"/>
        </w:rPr>
        <w:t xml:space="preserve">The </w:t>
      </w:r>
      <w:r w:rsidR="00F3300E">
        <w:rPr>
          <w:rFonts w:ascii="Arial" w:hAnsi="Arial" w:cs="Arial"/>
        </w:rPr>
        <w:t xml:space="preserve">PSi </w:t>
      </w:r>
      <w:r>
        <w:rPr>
          <w:rFonts w:ascii="Arial" w:hAnsi="Arial" w:cs="Arial"/>
        </w:rPr>
        <w:t xml:space="preserve">biosensors were  fabricated using </w:t>
      </w:r>
      <w:r w:rsidR="00467E78">
        <w:rPr>
          <w:rFonts w:ascii="Arial" w:hAnsi="Arial" w:cs="Arial"/>
        </w:rPr>
        <w:t xml:space="preserve">electrochemical etching and </w:t>
      </w:r>
      <w:r>
        <w:rPr>
          <w:rFonts w:ascii="Arial" w:hAnsi="Arial" w:cs="Arial"/>
        </w:rPr>
        <w:t>standard microfabrication techniques.</w:t>
      </w:r>
      <w:r w:rsidR="002B06C5">
        <w:rPr>
          <w:rFonts w:ascii="Arial" w:hAnsi="Arial" w:cs="Arial"/>
        </w:rPr>
        <w:t xml:space="preserve"> </w:t>
      </w:r>
      <w:r w:rsidR="00467E78">
        <w:rPr>
          <w:rFonts w:ascii="Arial" w:hAnsi="Arial" w:cs="Arial"/>
        </w:rPr>
        <w:t>Bacteria</w:t>
      </w:r>
      <w:r w:rsidR="00336ECE">
        <w:rPr>
          <w:rFonts w:ascii="Arial" w:hAnsi="Arial" w:cs="Arial"/>
        </w:rPr>
        <w:t>l</w:t>
      </w:r>
      <w:r w:rsidR="00467E78">
        <w:rPr>
          <w:rFonts w:ascii="Arial" w:hAnsi="Arial" w:cs="Arial"/>
        </w:rPr>
        <w:t xml:space="preserve"> </w:t>
      </w:r>
      <w:r w:rsidR="00F3300E">
        <w:rPr>
          <w:rFonts w:ascii="Arial" w:hAnsi="Arial" w:cs="Arial"/>
        </w:rPr>
        <w:t>suspension</w:t>
      </w:r>
      <w:r w:rsidR="006403B6">
        <w:rPr>
          <w:rFonts w:ascii="Arial" w:hAnsi="Arial" w:cs="Arial"/>
        </w:rPr>
        <w:t>s</w:t>
      </w:r>
      <w:r w:rsidR="00B82900">
        <w:rPr>
          <w:rFonts w:ascii="Arial" w:hAnsi="Arial" w:cs="Arial"/>
        </w:rPr>
        <w:t>, lysates</w:t>
      </w:r>
      <w:r w:rsidR="00F3300E">
        <w:rPr>
          <w:rFonts w:ascii="Arial" w:hAnsi="Arial" w:cs="Arial"/>
        </w:rPr>
        <w:t xml:space="preserve"> </w:t>
      </w:r>
      <w:r w:rsidR="00467E78">
        <w:rPr>
          <w:rFonts w:ascii="Arial" w:hAnsi="Arial" w:cs="Arial"/>
        </w:rPr>
        <w:t>and endolysins</w:t>
      </w:r>
      <w:r w:rsidR="00336ECE">
        <w:rPr>
          <w:rFonts w:ascii="Arial" w:hAnsi="Arial" w:cs="Arial"/>
        </w:rPr>
        <w:t xml:space="preserve"> s</w:t>
      </w:r>
      <w:r w:rsidR="00F3300E">
        <w:rPr>
          <w:rFonts w:ascii="Arial" w:hAnsi="Arial" w:cs="Arial"/>
        </w:rPr>
        <w:t>olution</w:t>
      </w:r>
      <w:r w:rsidR="006403B6">
        <w:rPr>
          <w:rFonts w:ascii="Arial" w:hAnsi="Arial" w:cs="Arial"/>
        </w:rPr>
        <w:t>s</w:t>
      </w:r>
      <w:r w:rsidR="00467E78">
        <w:rPr>
          <w:rFonts w:ascii="Arial" w:hAnsi="Arial" w:cs="Arial"/>
        </w:rPr>
        <w:t xml:space="preserve"> were prepared as described in</w:t>
      </w:r>
      <w:r>
        <w:rPr>
          <w:rFonts w:ascii="Arial" w:hAnsi="Arial" w:cs="Arial"/>
        </w:rPr>
        <w:t xml:space="preserve"> </w:t>
      </w:r>
      <w:r w:rsidR="00467E78">
        <w:rPr>
          <w:rFonts w:ascii="Arial" w:hAnsi="Arial" w:cs="Arial"/>
        </w:rPr>
        <w:fldChar w:fldCharType="begin"/>
      </w:r>
      <w:r w:rsidR="006403B6">
        <w:rPr>
          <w:rFonts w:ascii="Arial" w:hAnsi="Arial" w:cs="Arial"/>
        </w:rPr>
        <w:instrText xml:space="preserve"> ADDIN ZOTERO_ITEM CSL_CITATION {"citationID":"qs02kCVr","properties":{"formattedCitation":"[2]","plainCitation":"[2]","noteIndex":0},"citationItems":[{"id":1993,"uris":["http://zotero.org/users/local/2hKaWDwJ/items/84F75G5P"],"uri":["http://zotero.org/users/local/2hKaWDwJ/items/84F75G5P"],"itemData":{"id":1993,"type":"article-journal","abstract":"Endolysins are phage-encoded enzymes implicated in the breaching of the bacterial cell wall at the end of the viral cycle. This study focuses on the endolysins of Deep-Blue (PlyB221) and Deep-Purple (PlyP32), two phages preying on the Bacillus cereus group. Both enzymes exhibit a typical modular organization with an enzymatically active domain (EAD) located in the N-terminal and a cell wall binding domain (CBD) in the C-terminal part of the protein. In silico analysis indicated that the EAD domains of PlyB221 and PlyP32 are endowed with peptidase and muramidase activities, respectively, whereas in both proteins SH3 domains are involved in the CBD. To evaluate their antimicrobial properties and binding specificity, both endolysins were expressed and purified. PlyB221 and PlyP32 efficiently recognized and lysed all the tested strains from the B. cereus group. Biochemical characterization showed that PlyB221 activity was stable under a wide range of pHs (5&amp;ndash;9), NaCl concentrations (up to 200 mM), and temperature treatments (up to 50 &amp;deg;C). Although PlyP32 activity was less stable than that of PlyB221, the endolysin displayed high activity at pH 6&amp;ndash;7, NaCl concentration up to 100 mM and the temperature treatment up to 45 &amp;deg;C. Overall, PlyB221 and PlyP32 display suitable characteristics for the development of biocontrol and detection tools.","container-title":"Viruses","DOI":"10.3390/v12091052","issue":"9","language":"en","note":"number: 9\npublisher: Multidisciplinary Digital Publishing Institute","page":"1052","source":"www.mdpi.com","title":"Characterization of PlyB221 and PlyP32, Two Novel Endolysins Encoded by Phages Preying on the Bacillus cereus Group","volume":"12","author":[{"family":"Leprince","given":"Audrey"},{"family":"Nuytten","given":"Manon"},{"family":"Gillis","given":"Annika"},{"family":"Mahillon","given":"Jacques"}],"issued":{"date-parts":[["2020",9]]}}}],"schema":"https://github.com/citation-style-language/schema/raw/master/csl-citation.json"} </w:instrText>
      </w:r>
      <w:r w:rsidR="00467E78">
        <w:rPr>
          <w:rFonts w:ascii="Arial" w:hAnsi="Arial" w:cs="Arial"/>
        </w:rPr>
        <w:fldChar w:fldCharType="separate"/>
      </w:r>
      <w:r w:rsidR="006403B6" w:rsidRPr="006403B6">
        <w:rPr>
          <w:rFonts w:ascii="Arial" w:hAnsi="Arial" w:cs="Arial"/>
        </w:rPr>
        <w:t>[2]</w:t>
      </w:r>
      <w:r w:rsidR="00467E78">
        <w:rPr>
          <w:rFonts w:ascii="Arial" w:hAnsi="Arial" w:cs="Arial"/>
        </w:rPr>
        <w:fldChar w:fldCharType="end"/>
      </w:r>
      <w:r w:rsidR="00467E78">
        <w:rPr>
          <w:rFonts w:ascii="Arial" w:hAnsi="Arial" w:cs="Arial"/>
        </w:rPr>
        <w:t>.</w:t>
      </w:r>
      <w:r w:rsidR="002B06C5">
        <w:rPr>
          <w:rFonts w:ascii="Arial" w:hAnsi="Arial" w:cs="Arial"/>
        </w:rPr>
        <w:t xml:space="preserve"> </w:t>
      </w:r>
      <w:r w:rsidR="001D43AE">
        <w:rPr>
          <w:rFonts w:ascii="Arial" w:hAnsi="Arial" w:cs="Arial"/>
        </w:rPr>
        <w:t>The</w:t>
      </w:r>
      <w:r w:rsidR="00636288">
        <w:rPr>
          <w:rFonts w:ascii="Arial" w:hAnsi="Arial" w:cs="Arial"/>
        </w:rPr>
        <w:t xml:space="preserve"> </w:t>
      </w:r>
      <w:r w:rsidR="001D43AE">
        <w:rPr>
          <w:rFonts w:ascii="Arial" w:hAnsi="Arial" w:cs="Arial"/>
        </w:rPr>
        <w:t>optical</w:t>
      </w:r>
      <w:r w:rsidR="002B06C5">
        <w:rPr>
          <w:rFonts w:ascii="Arial" w:hAnsi="Arial" w:cs="Arial"/>
        </w:rPr>
        <w:t xml:space="preserve"> measurements were performed using a</w:t>
      </w:r>
      <w:r w:rsidR="00AE4935">
        <w:rPr>
          <w:rFonts w:ascii="Arial" w:hAnsi="Arial" w:cs="Arial"/>
        </w:rPr>
        <w:t xml:space="preserve"> </w:t>
      </w:r>
      <w:r w:rsidR="002B06C5">
        <w:rPr>
          <w:rFonts w:ascii="Arial" w:hAnsi="Arial" w:cs="Arial"/>
        </w:rPr>
        <w:t xml:space="preserve">fiber-coupled </w:t>
      </w:r>
      <w:r w:rsidR="00636288">
        <w:rPr>
          <w:rFonts w:ascii="Arial" w:hAnsi="Arial" w:cs="Arial"/>
        </w:rPr>
        <w:t xml:space="preserve">halogen light source and </w:t>
      </w:r>
      <w:r w:rsidR="00AE4935">
        <w:rPr>
          <w:rFonts w:ascii="Arial" w:hAnsi="Arial" w:cs="Arial"/>
        </w:rPr>
        <w:t>a</w:t>
      </w:r>
      <w:r w:rsidR="00636288" w:rsidRPr="00636288">
        <w:rPr>
          <w:rFonts w:ascii="Arial" w:hAnsi="Arial" w:cs="Arial"/>
        </w:rPr>
        <w:t xml:space="preserve"> spectrometer</w:t>
      </w:r>
      <w:r w:rsidR="00B82900">
        <w:rPr>
          <w:rFonts w:ascii="Arial" w:hAnsi="Arial" w:cs="Arial"/>
        </w:rPr>
        <w:t xml:space="preserve">. </w:t>
      </w:r>
      <w:r w:rsidR="002B06C5">
        <w:rPr>
          <w:rFonts w:ascii="Arial" w:hAnsi="Arial" w:cs="Arial"/>
        </w:rPr>
        <w:t>RIFTS was used to calculated the relative EOT</w:t>
      </w:r>
      <w:r w:rsidR="00AE4935">
        <w:rPr>
          <w:rFonts w:ascii="Arial" w:hAnsi="Arial" w:cs="Arial"/>
        </w:rPr>
        <w:t xml:space="preserve"> shift</w:t>
      </w:r>
      <w:r w:rsidR="002B06C5">
        <w:rPr>
          <w:rFonts w:ascii="Arial" w:hAnsi="Arial" w:cs="Arial"/>
        </w:rPr>
        <w:t>.</w:t>
      </w:r>
    </w:p>
    <w:p w14:paraId="5F2B6BE8" w14:textId="7E47FE6A" w:rsidR="00467E78" w:rsidRDefault="001D43AE">
      <w:pPr>
        <w:rPr>
          <w:rFonts w:ascii="Arial" w:hAnsi="Arial" w:cs="Arial"/>
        </w:rPr>
      </w:pPr>
      <w:r>
        <w:rPr>
          <w:rFonts w:ascii="Arial" w:hAnsi="Arial" w:cs="Arial"/>
        </w:rPr>
        <w:t>The</w:t>
      </w:r>
      <w:r w:rsidR="008604D8">
        <w:rPr>
          <w:rFonts w:ascii="Arial" w:hAnsi="Arial" w:cs="Arial"/>
        </w:rPr>
        <w:t xml:space="preserve"> performance of the biosensor</w:t>
      </w:r>
      <w:r>
        <w:rPr>
          <w:rFonts w:ascii="Arial" w:hAnsi="Arial" w:cs="Arial"/>
        </w:rPr>
        <w:t xml:space="preserve"> was established with four different tests</w:t>
      </w:r>
      <w:r w:rsidR="008604D8">
        <w:rPr>
          <w:rFonts w:ascii="Arial" w:hAnsi="Arial" w:cs="Arial"/>
        </w:rPr>
        <w:t>: on</w:t>
      </w:r>
      <w:r>
        <w:rPr>
          <w:rFonts w:ascii="Arial" w:hAnsi="Arial" w:cs="Arial"/>
        </w:rPr>
        <w:t>e</w:t>
      </w:r>
      <w:r w:rsidR="008604D8">
        <w:rPr>
          <w:rFonts w:ascii="Arial" w:hAnsi="Arial" w:cs="Arial"/>
        </w:rPr>
        <w:t xml:space="preserve"> detection using 10</w:t>
      </w:r>
      <w:r w:rsidR="008604D8" w:rsidRPr="008604D8">
        <w:rPr>
          <w:rFonts w:ascii="Arial" w:hAnsi="Arial" w:cs="Arial"/>
          <w:vertAlign w:val="superscript"/>
        </w:rPr>
        <w:t>5</w:t>
      </w:r>
      <w:r w:rsidR="008604D8">
        <w:rPr>
          <w:rFonts w:ascii="Arial" w:hAnsi="Arial" w:cs="Arial"/>
        </w:rPr>
        <w:t xml:space="preserve"> CFU/mL of </w:t>
      </w:r>
      <w:r w:rsidR="008604D8" w:rsidRPr="008604D8">
        <w:rPr>
          <w:rFonts w:ascii="Arial" w:hAnsi="Arial" w:cs="Arial"/>
          <w:i/>
        </w:rPr>
        <w:t>B. cereus</w:t>
      </w:r>
      <w:r w:rsidR="008604D8">
        <w:rPr>
          <w:rFonts w:ascii="Arial" w:hAnsi="Arial" w:cs="Arial"/>
        </w:rPr>
        <w:t xml:space="preserve"> lysate</w:t>
      </w:r>
      <w:r w:rsidR="002B06C5">
        <w:rPr>
          <w:rFonts w:ascii="Arial" w:hAnsi="Arial" w:cs="Arial"/>
        </w:rPr>
        <w:t>;</w:t>
      </w:r>
      <w:r w:rsidR="008604D8">
        <w:rPr>
          <w:rFonts w:ascii="Arial" w:hAnsi="Arial" w:cs="Arial"/>
        </w:rPr>
        <w:t xml:space="preserve"> </w:t>
      </w:r>
      <w:r w:rsidR="002B06C5">
        <w:rPr>
          <w:rFonts w:ascii="Arial" w:hAnsi="Arial" w:cs="Arial"/>
        </w:rPr>
        <w:t xml:space="preserve">two </w:t>
      </w:r>
      <w:r w:rsidR="008604D8">
        <w:rPr>
          <w:rFonts w:ascii="Arial" w:hAnsi="Arial" w:cs="Arial"/>
        </w:rPr>
        <w:t>negative controls with Phosphate Saline Buffer (PBS) and PlyB221 in order to establish a signal baseline</w:t>
      </w:r>
      <w:r w:rsidR="006403B6">
        <w:rPr>
          <w:rFonts w:ascii="Arial" w:hAnsi="Arial" w:cs="Arial"/>
        </w:rPr>
        <w:t>. A</w:t>
      </w:r>
      <w:r w:rsidR="008604D8">
        <w:rPr>
          <w:rFonts w:ascii="Arial" w:hAnsi="Arial" w:cs="Arial"/>
        </w:rPr>
        <w:t xml:space="preserve"> third negative control us</w:t>
      </w:r>
      <w:r w:rsidR="002B06C5">
        <w:rPr>
          <w:rFonts w:ascii="Arial" w:hAnsi="Arial" w:cs="Arial"/>
        </w:rPr>
        <w:t>ing</w:t>
      </w:r>
      <w:r w:rsidR="008604D8">
        <w:rPr>
          <w:rFonts w:ascii="Arial" w:hAnsi="Arial" w:cs="Arial"/>
        </w:rPr>
        <w:t xml:space="preserve"> a </w:t>
      </w:r>
      <w:r w:rsidR="008604D8" w:rsidRPr="008604D8">
        <w:rPr>
          <w:rFonts w:ascii="Arial" w:hAnsi="Arial" w:cs="Arial"/>
          <w:i/>
        </w:rPr>
        <w:t xml:space="preserve">S. </w:t>
      </w:r>
      <w:r w:rsidR="006403B6">
        <w:rPr>
          <w:rFonts w:ascii="Arial" w:hAnsi="Arial" w:cs="Arial"/>
          <w:i/>
        </w:rPr>
        <w:t>e</w:t>
      </w:r>
      <w:r w:rsidR="008604D8" w:rsidRPr="008604D8">
        <w:rPr>
          <w:rFonts w:ascii="Arial" w:hAnsi="Arial" w:cs="Arial"/>
          <w:i/>
        </w:rPr>
        <w:t>pidermidis</w:t>
      </w:r>
      <w:r w:rsidR="008604D8">
        <w:rPr>
          <w:rFonts w:ascii="Arial" w:hAnsi="Arial" w:cs="Arial"/>
        </w:rPr>
        <w:t xml:space="preserve"> (10</w:t>
      </w:r>
      <w:r w:rsidR="008604D8" w:rsidRPr="008604D8">
        <w:rPr>
          <w:rFonts w:ascii="Arial" w:hAnsi="Arial" w:cs="Arial"/>
          <w:vertAlign w:val="superscript"/>
        </w:rPr>
        <w:t>6</w:t>
      </w:r>
      <w:r w:rsidR="008604D8">
        <w:rPr>
          <w:rFonts w:ascii="Arial" w:hAnsi="Arial" w:cs="Arial"/>
        </w:rPr>
        <w:t xml:space="preserve"> CFU/mL) suspension </w:t>
      </w:r>
      <w:r w:rsidR="006403B6">
        <w:rPr>
          <w:rFonts w:ascii="Arial" w:hAnsi="Arial" w:cs="Arial"/>
        </w:rPr>
        <w:t>was used</w:t>
      </w:r>
      <w:r w:rsidR="008604D8">
        <w:rPr>
          <w:rFonts w:ascii="Arial" w:hAnsi="Arial" w:cs="Arial"/>
        </w:rPr>
        <w:t xml:space="preserve"> to demonstrate the selectivity of the detection.</w:t>
      </w:r>
    </w:p>
    <w:p w14:paraId="1FD78404" w14:textId="77777777" w:rsidR="003F0567" w:rsidRDefault="003F0567">
      <w:pPr>
        <w:rPr>
          <w:rFonts w:ascii="Arial" w:hAnsi="Arial" w:cs="Arial"/>
        </w:rPr>
      </w:pPr>
    </w:p>
    <w:p w14:paraId="29F0540A" w14:textId="77777777" w:rsidR="003F0567" w:rsidRDefault="003F0567" w:rsidP="003F0567">
      <w:pPr>
        <w:numPr>
          <w:ilvl w:val="0"/>
          <w:numId w:val="2"/>
        </w:numPr>
        <w:rPr>
          <w:rFonts w:ascii="Arial" w:hAnsi="Arial" w:cs="Arial"/>
          <w:b/>
        </w:rPr>
      </w:pPr>
      <w:r w:rsidRPr="003F0567">
        <w:rPr>
          <w:rFonts w:ascii="Arial" w:hAnsi="Arial" w:cs="Arial"/>
          <w:b/>
        </w:rPr>
        <w:t>RESULTS AND DISCUSSION</w:t>
      </w:r>
    </w:p>
    <w:p w14:paraId="03D4BB29" w14:textId="5DEB766C" w:rsidR="002B06C5" w:rsidRPr="002B06C5" w:rsidRDefault="002B06C5" w:rsidP="002B06C5">
      <w:pPr>
        <w:rPr>
          <w:rFonts w:ascii="Arial" w:hAnsi="Arial" w:cs="Arial"/>
        </w:rPr>
      </w:pPr>
      <w:r>
        <w:rPr>
          <w:rFonts w:ascii="Arial" w:hAnsi="Arial" w:cs="Arial"/>
        </w:rPr>
        <w:t>Results are presented in Fig</w:t>
      </w:r>
      <w:r w:rsidR="006403B6">
        <w:rPr>
          <w:rFonts w:ascii="Arial" w:hAnsi="Arial" w:cs="Arial"/>
        </w:rPr>
        <w:t>.</w:t>
      </w:r>
      <w:r>
        <w:rPr>
          <w:rFonts w:ascii="Arial" w:hAnsi="Arial" w:cs="Arial"/>
        </w:rPr>
        <w:t xml:space="preserve"> 1. The detection of </w:t>
      </w:r>
      <w:r w:rsidRPr="001D43AE">
        <w:rPr>
          <w:rFonts w:ascii="Arial" w:hAnsi="Arial" w:cs="Arial"/>
          <w:i/>
        </w:rPr>
        <w:t>B. cereus</w:t>
      </w:r>
      <w:r>
        <w:rPr>
          <w:rFonts w:ascii="Arial" w:hAnsi="Arial" w:cs="Arial"/>
        </w:rPr>
        <w:t xml:space="preserve"> induced a significant shift in the relative EOT of 0.84</w:t>
      </w:r>
      <w:r w:rsidR="006403B6">
        <w:rPr>
          <w:rFonts w:ascii="Arial" w:hAnsi="Arial" w:cs="Arial"/>
        </w:rPr>
        <w:t xml:space="preserve"> </w:t>
      </w:r>
      <w:r>
        <w:rPr>
          <w:rFonts w:ascii="Arial" w:hAnsi="Arial" w:cs="Arial"/>
        </w:rPr>
        <w:t>±</w:t>
      </w:r>
      <w:r w:rsidR="006403B6">
        <w:rPr>
          <w:rFonts w:ascii="Arial" w:hAnsi="Arial" w:cs="Arial"/>
        </w:rPr>
        <w:t xml:space="preserve"> </w:t>
      </w:r>
      <w:r>
        <w:rPr>
          <w:rFonts w:ascii="Arial" w:hAnsi="Arial" w:cs="Arial"/>
        </w:rPr>
        <w:t>0.21</w:t>
      </w:r>
      <w:r w:rsidR="001D43AE">
        <w:rPr>
          <w:rFonts w:ascii="Arial" w:hAnsi="Arial" w:cs="Arial"/>
        </w:rPr>
        <w:t xml:space="preserve"> %. The negative control with PlyB221 induced a slight EOT increase, which could be linked to the binding of the proteins to the pore walls. The shift with </w:t>
      </w:r>
      <w:r w:rsidR="001D43AE" w:rsidRPr="006403B6">
        <w:rPr>
          <w:rFonts w:ascii="Arial" w:hAnsi="Arial" w:cs="Arial"/>
          <w:i/>
        </w:rPr>
        <w:t xml:space="preserve">S. </w:t>
      </w:r>
      <w:r w:rsidR="006403B6" w:rsidRPr="006403B6">
        <w:rPr>
          <w:rFonts w:ascii="Arial" w:hAnsi="Arial" w:cs="Arial"/>
          <w:i/>
        </w:rPr>
        <w:t>e</w:t>
      </w:r>
      <w:r w:rsidR="001D43AE" w:rsidRPr="006403B6">
        <w:rPr>
          <w:rFonts w:ascii="Arial" w:hAnsi="Arial" w:cs="Arial"/>
          <w:i/>
        </w:rPr>
        <w:t>pidermidis</w:t>
      </w:r>
      <w:r w:rsidR="001D43AE">
        <w:rPr>
          <w:rFonts w:ascii="Arial" w:hAnsi="Arial" w:cs="Arial"/>
        </w:rPr>
        <w:t xml:space="preserve"> was similar to the one with PlyB221, which seemed to confirm our hypothesis that intact bacteria accumulate on top of the PSi membrane, as they are too b</w:t>
      </w:r>
      <w:r w:rsidR="006403B6">
        <w:rPr>
          <w:rFonts w:ascii="Arial" w:hAnsi="Arial" w:cs="Arial"/>
        </w:rPr>
        <w:t>ulky</w:t>
      </w:r>
      <w:r w:rsidR="001D43AE">
        <w:rPr>
          <w:rFonts w:ascii="Arial" w:hAnsi="Arial" w:cs="Arial"/>
        </w:rPr>
        <w:t xml:space="preserve"> to enter it. </w:t>
      </w:r>
    </w:p>
    <w:p w14:paraId="131CB7DD" w14:textId="77777777" w:rsidR="00467E78" w:rsidRDefault="00467E78" w:rsidP="00D74AAF">
      <w:pPr>
        <w:keepNext/>
        <w:jc w:val="center"/>
      </w:pPr>
      <w:r>
        <w:rPr>
          <w:rFonts w:ascii="Arial" w:hAnsi="Arial" w:cs="Arial"/>
          <w:noProof/>
        </w:rPr>
        <w:drawing>
          <wp:inline distT="0" distB="0" distL="0" distR="0" wp14:anchorId="4CB68D61" wp14:editId="0E65C140">
            <wp:extent cx="2468505" cy="1666936"/>
            <wp:effectExtent l="0" t="0" r="825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1">
                      <a:extLst>
                        <a:ext uri="{28A0092B-C50C-407E-A947-70E740481C1C}">
                          <a14:useLocalDpi xmlns:a14="http://schemas.microsoft.com/office/drawing/2010/main" val="0"/>
                        </a:ext>
                      </a:extLst>
                    </a:blip>
                    <a:srcRect l="2841" t="2956" r="2544" b="3725"/>
                    <a:stretch/>
                  </pic:blipFill>
                  <pic:spPr bwMode="auto">
                    <a:xfrm>
                      <a:off x="0" y="0"/>
                      <a:ext cx="2531091" cy="1709199"/>
                    </a:xfrm>
                    <a:prstGeom prst="rect">
                      <a:avLst/>
                    </a:prstGeom>
                    <a:noFill/>
                    <a:ln>
                      <a:noFill/>
                    </a:ln>
                    <a:extLst>
                      <a:ext uri="{53640926-AAD7-44D8-BBD7-CCE9431645EC}">
                        <a14:shadowObscured xmlns:a14="http://schemas.microsoft.com/office/drawing/2010/main"/>
                      </a:ext>
                    </a:extLst>
                  </pic:spPr>
                </pic:pic>
              </a:graphicData>
            </a:graphic>
          </wp:inline>
        </w:drawing>
      </w:r>
    </w:p>
    <w:p w14:paraId="4FC653F4" w14:textId="6273CFA0" w:rsidR="003F0567" w:rsidRPr="00336ECE" w:rsidRDefault="00467E78" w:rsidP="00467E78">
      <w:pPr>
        <w:pStyle w:val="Caption"/>
        <w:rPr>
          <w:rFonts w:ascii="Arial" w:hAnsi="Arial" w:cs="Arial"/>
          <w:i w:val="0"/>
          <w:color w:val="000000" w:themeColor="text1"/>
        </w:rPr>
      </w:pPr>
      <w:r w:rsidRPr="00336ECE">
        <w:rPr>
          <w:rFonts w:ascii="Arial" w:hAnsi="Arial" w:cs="Arial"/>
          <w:i w:val="0"/>
          <w:color w:val="000000" w:themeColor="text1"/>
        </w:rPr>
        <w:t xml:space="preserve">Figure </w:t>
      </w:r>
      <w:r w:rsidRPr="00336ECE">
        <w:rPr>
          <w:rFonts w:ascii="Arial" w:hAnsi="Arial" w:cs="Arial"/>
          <w:i w:val="0"/>
          <w:color w:val="000000" w:themeColor="text1"/>
        </w:rPr>
        <w:fldChar w:fldCharType="begin"/>
      </w:r>
      <w:r w:rsidRPr="00336ECE">
        <w:rPr>
          <w:rFonts w:ascii="Arial" w:hAnsi="Arial" w:cs="Arial"/>
          <w:i w:val="0"/>
          <w:color w:val="000000" w:themeColor="text1"/>
        </w:rPr>
        <w:instrText xml:space="preserve"> SEQ Figure \* ARABIC </w:instrText>
      </w:r>
      <w:r w:rsidRPr="00336ECE">
        <w:rPr>
          <w:rFonts w:ascii="Arial" w:hAnsi="Arial" w:cs="Arial"/>
          <w:i w:val="0"/>
          <w:color w:val="000000" w:themeColor="text1"/>
        </w:rPr>
        <w:fldChar w:fldCharType="separate"/>
      </w:r>
      <w:r w:rsidRPr="00336ECE">
        <w:rPr>
          <w:rFonts w:ascii="Arial" w:hAnsi="Arial" w:cs="Arial"/>
          <w:i w:val="0"/>
          <w:noProof/>
          <w:color w:val="000000" w:themeColor="text1"/>
        </w:rPr>
        <w:t>1</w:t>
      </w:r>
      <w:r w:rsidRPr="00336ECE">
        <w:rPr>
          <w:rFonts w:ascii="Arial" w:hAnsi="Arial" w:cs="Arial"/>
          <w:i w:val="0"/>
          <w:color w:val="000000" w:themeColor="text1"/>
        </w:rPr>
        <w:fldChar w:fldCharType="end"/>
      </w:r>
      <w:r w:rsidRPr="00336ECE">
        <w:rPr>
          <w:rFonts w:ascii="Arial" w:hAnsi="Arial" w:cs="Arial"/>
          <w:i w:val="0"/>
          <w:color w:val="000000" w:themeColor="text1"/>
        </w:rPr>
        <w:t xml:space="preserve"> - Relative EOT shift measured on PSi membranes after 1 h in PBS, in PlyB221, in 10</w:t>
      </w:r>
      <w:r w:rsidRPr="00336ECE">
        <w:rPr>
          <w:rFonts w:ascii="Arial" w:hAnsi="Arial" w:cs="Arial"/>
          <w:i w:val="0"/>
          <w:color w:val="000000" w:themeColor="text1"/>
          <w:vertAlign w:val="superscript"/>
        </w:rPr>
        <w:t>5</w:t>
      </w:r>
      <w:r w:rsidRPr="00336ECE">
        <w:rPr>
          <w:rFonts w:ascii="Arial" w:hAnsi="Arial" w:cs="Arial"/>
          <w:i w:val="0"/>
          <w:color w:val="000000" w:themeColor="text1"/>
        </w:rPr>
        <w:t xml:space="preserve"> CFU/m</w:t>
      </w:r>
      <w:r w:rsidR="00336ECE" w:rsidRPr="00336ECE">
        <w:rPr>
          <w:rFonts w:ascii="Arial" w:hAnsi="Arial" w:cs="Arial"/>
          <w:i w:val="0"/>
          <w:color w:val="000000" w:themeColor="text1"/>
        </w:rPr>
        <w:t>l</w:t>
      </w:r>
      <w:r w:rsidRPr="00336ECE">
        <w:rPr>
          <w:rFonts w:ascii="Arial" w:hAnsi="Arial" w:cs="Arial"/>
          <w:i w:val="0"/>
          <w:color w:val="000000" w:themeColor="text1"/>
        </w:rPr>
        <w:t xml:space="preserve"> of </w:t>
      </w:r>
      <w:r w:rsidRPr="00336ECE">
        <w:rPr>
          <w:rFonts w:ascii="Arial" w:hAnsi="Arial" w:cs="Arial"/>
          <w:color w:val="000000" w:themeColor="text1"/>
        </w:rPr>
        <w:t>B. cereus</w:t>
      </w:r>
      <w:r w:rsidRPr="00336ECE">
        <w:rPr>
          <w:rFonts w:ascii="Arial" w:hAnsi="Arial" w:cs="Arial"/>
          <w:i w:val="0"/>
          <w:color w:val="000000" w:themeColor="text1"/>
        </w:rPr>
        <w:t xml:space="preserve"> lysate and in a 10</w:t>
      </w:r>
      <w:r w:rsidRPr="00336ECE">
        <w:rPr>
          <w:rFonts w:ascii="Arial" w:hAnsi="Arial" w:cs="Arial"/>
          <w:i w:val="0"/>
          <w:color w:val="000000" w:themeColor="text1"/>
          <w:vertAlign w:val="superscript"/>
        </w:rPr>
        <w:t>6</w:t>
      </w:r>
      <w:r w:rsidRPr="00336ECE">
        <w:rPr>
          <w:rFonts w:ascii="Arial" w:hAnsi="Arial" w:cs="Arial"/>
          <w:i w:val="0"/>
          <w:color w:val="000000" w:themeColor="text1"/>
        </w:rPr>
        <w:t xml:space="preserve"> CFU/ml </w:t>
      </w:r>
      <w:r w:rsidRPr="00336ECE">
        <w:rPr>
          <w:rFonts w:ascii="Arial" w:hAnsi="Arial" w:cs="Arial"/>
          <w:color w:val="000000" w:themeColor="text1"/>
        </w:rPr>
        <w:t xml:space="preserve">S. </w:t>
      </w:r>
      <w:r w:rsidR="006403B6">
        <w:rPr>
          <w:rFonts w:ascii="Arial" w:hAnsi="Arial" w:cs="Arial"/>
          <w:color w:val="000000" w:themeColor="text1"/>
        </w:rPr>
        <w:t>e</w:t>
      </w:r>
      <w:r w:rsidRPr="00336ECE">
        <w:rPr>
          <w:rFonts w:ascii="Arial" w:hAnsi="Arial" w:cs="Arial"/>
          <w:color w:val="000000" w:themeColor="text1"/>
        </w:rPr>
        <w:t>pidermidis</w:t>
      </w:r>
      <w:r w:rsidRPr="00336ECE">
        <w:rPr>
          <w:rFonts w:ascii="Arial" w:hAnsi="Arial" w:cs="Arial"/>
          <w:i w:val="0"/>
          <w:color w:val="000000" w:themeColor="text1"/>
        </w:rPr>
        <w:t xml:space="preserve"> suspension (n</w:t>
      </w:r>
      <w:r w:rsidR="00336ECE" w:rsidRPr="00336ECE">
        <w:rPr>
          <w:rFonts w:ascii="Arial" w:hAnsi="Arial" w:cs="Arial"/>
          <w:i w:val="0"/>
          <w:color w:val="000000" w:themeColor="text1"/>
        </w:rPr>
        <w:t xml:space="preserve"> ≥3</w:t>
      </w:r>
      <w:r w:rsidRPr="00336ECE">
        <w:rPr>
          <w:rFonts w:ascii="Arial" w:hAnsi="Arial" w:cs="Arial"/>
          <w:i w:val="0"/>
          <w:color w:val="000000" w:themeColor="text1"/>
        </w:rPr>
        <w:t>).</w:t>
      </w:r>
    </w:p>
    <w:p w14:paraId="068F9A1A" w14:textId="77777777" w:rsidR="001E3845" w:rsidRDefault="006E0F37">
      <w:pPr>
        <w:pStyle w:val="Heading5"/>
        <w:numPr>
          <w:ilvl w:val="0"/>
          <w:numId w:val="0"/>
        </w:numPr>
        <w:rPr>
          <w:rFonts w:cs="Arial"/>
        </w:rPr>
      </w:pPr>
      <w:r>
        <w:rPr>
          <w:rFonts w:cs="Arial"/>
        </w:rPr>
        <w:t>References</w:t>
      </w:r>
      <w:r w:rsidR="00794C13">
        <w:rPr>
          <w:rFonts w:cs="Arial"/>
        </w:rPr>
        <w:t xml:space="preserve"> </w:t>
      </w:r>
    </w:p>
    <w:p w14:paraId="3F9005EF" w14:textId="688338B0" w:rsidR="006403B6" w:rsidRPr="006403B6" w:rsidRDefault="00467E78" w:rsidP="006403B6">
      <w:pPr>
        <w:pStyle w:val="Bibliography"/>
        <w:rPr>
          <w:rFonts w:ascii="Arial" w:hAnsi="Arial" w:cs="Arial"/>
        </w:rPr>
      </w:pPr>
      <w:r>
        <w:fldChar w:fldCharType="begin"/>
      </w:r>
      <w:r w:rsidR="006403B6">
        <w:rPr>
          <w:lang w:val="en-GB"/>
        </w:rPr>
        <w:instrText xml:space="preserve"> ADDIN ZOTERO_BIBL {"uncited":[],"omitted":[],"custom":[]} CSL_BIBLIOGRAPHY </w:instrText>
      </w:r>
      <w:r>
        <w:fldChar w:fldCharType="separate"/>
      </w:r>
      <w:r w:rsidR="006403B6" w:rsidRPr="006403B6">
        <w:rPr>
          <w:rFonts w:ascii="Arial" w:hAnsi="Arial" w:cs="Arial"/>
        </w:rPr>
        <w:t>[1]</w:t>
      </w:r>
      <w:r w:rsidR="006403B6" w:rsidRPr="006403B6">
        <w:rPr>
          <w:rFonts w:ascii="Arial" w:hAnsi="Arial" w:cs="Arial"/>
        </w:rPr>
        <w:tab/>
        <w:t>Arshavsky-Graham,</w:t>
      </w:r>
      <w:r w:rsidR="006403B6">
        <w:rPr>
          <w:rFonts w:ascii="Arial" w:hAnsi="Arial" w:cs="Arial"/>
        </w:rPr>
        <w:t xml:space="preserve"> </w:t>
      </w:r>
      <w:r w:rsidR="006403B6" w:rsidRPr="006403B6">
        <w:rPr>
          <w:rFonts w:ascii="Arial" w:hAnsi="Arial" w:cs="Arial"/>
        </w:rPr>
        <w:t>Massad-Ivanir, Segal, Weiss, Anal</w:t>
      </w:r>
      <w:r w:rsidR="006403B6">
        <w:rPr>
          <w:rFonts w:ascii="Arial" w:hAnsi="Arial" w:cs="Arial"/>
        </w:rPr>
        <w:t>.</w:t>
      </w:r>
      <w:r w:rsidR="006403B6" w:rsidRPr="006403B6">
        <w:rPr>
          <w:rFonts w:ascii="Arial" w:hAnsi="Arial" w:cs="Arial"/>
        </w:rPr>
        <w:t>Chem</w:t>
      </w:r>
      <w:r w:rsidR="006403B6">
        <w:rPr>
          <w:rFonts w:ascii="Arial" w:hAnsi="Arial" w:cs="Arial"/>
        </w:rPr>
        <w:t>.</w:t>
      </w:r>
      <w:r w:rsidR="006403B6" w:rsidRPr="006403B6">
        <w:rPr>
          <w:rFonts w:ascii="Arial" w:hAnsi="Arial" w:cs="Arial"/>
        </w:rPr>
        <w:t xml:space="preserve"> 91 (2019) 441–467.</w:t>
      </w:r>
    </w:p>
    <w:p w14:paraId="765C26DF" w14:textId="34BD7C08" w:rsidR="006E0F37" w:rsidRPr="004F73FA" w:rsidRDefault="006403B6" w:rsidP="006403B6">
      <w:pPr>
        <w:pStyle w:val="Bibliography"/>
        <w:rPr>
          <w:rFonts w:ascii="Arial" w:hAnsi="Arial" w:cs="Arial"/>
          <w:lang w:val="fr-BE"/>
        </w:rPr>
      </w:pPr>
      <w:r w:rsidRPr="006403B6">
        <w:rPr>
          <w:rFonts w:ascii="Arial" w:hAnsi="Arial" w:cs="Arial"/>
          <w:lang w:val="fr-BE"/>
        </w:rPr>
        <w:t>[2]</w:t>
      </w:r>
      <w:r w:rsidRPr="006403B6">
        <w:rPr>
          <w:rFonts w:ascii="Arial" w:hAnsi="Arial" w:cs="Arial"/>
          <w:lang w:val="fr-BE"/>
        </w:rPr>
        <w:tab/>
        <w:t>Leprince, Nuytten, Gillis, Mahillon, Viruses 12 (2020) 1052.</w:t>
      </w:r>
      <w:r w:rsidR="00467E78">
        <w:rPr>
          <w:rFonts w:ascii="Arial" w:hAnsi="Arial" w:cs="Arial"/>
        </w:rPr>
        <w:fldChar w:fldCharType="end"/>
      </w:r>
    </w:p>
    <w:sectPr w:rsidR="006E0F37" w:rsidRPr="004F73FA" w:rsidSect="007F4E24">
      <w:footerReference w:type="even" r:id="rId12"/>
      <w:footerReference w:type="default" r:id="rId13"/>
      <w:footerReference w:type="first" r:id="rId14"/>
      <w:type w:val="continuous"/>
      <w:pgSz w:w="12240" w:h="15840"/>
      <w:pgMar w:top="1418" w:right="1418" w:bottom="1418" w:left="1418"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E81BA6" w14:textId="77777777" w:rsidR="005A0CC5" w:rsidRDefault="005A0CC5">
      <w:pPr>
        <w:spacing w:after="0"/>
      </w:pPr>
      <w:r>
        <w:separator/>
      </w:r>
    </w:p>
  </w:endnote>
  <w:endnote w:type="continuationSeparator" w:id="0">
    <w:p w14:paraId="5FA5F591" w14:textId="77777777" w:rsidR="005A0CC5" w:rsidRDefault="005A0CC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BC5398" w14:textId="77777777" w:rsidR="001E3845" w:rsidRPr="001E3845" w:rsidRDefault="00A82F31" w:rsidP="001E3845">
    <w:pPr>
      <w:pStyle w:val="Footer"/>
    </w:pPr>
    <w:r>
      <w:rPr>
        <w:noProof/>
        <w:lang w:eastAsia="en-US"/>
      </w:rPr>
      <mc:AlternateContent>
        <mc:Choice Requires="wps">
          <w:drawing>
            <wp:anchor distT="0" distB="0" distL="114300" distR="114300" simplePos="0" relativeHeight="251657216" behindDoc="1" locked="0" layoutInCell="1" allowOverlap="1" wp14:anchorId="46499DF9" wp14:editId="113E3D0A">
              <wp:simplePos x="0" y="0"/>
              <wp:positionH relativeFrom="column">
                <wp:posOffset>13970</wp:posOffset>
              </wp:positionH>
              <wp:positionV relativeFrom="paragraph">
                <wp:posOffset>81915</wp:posOffset>
              </wp:positionV>
              <wp:extent cx="5988050" cy="0"/>
              <wp:effectExtent l="0" t="0" r="31750" b="1905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88050" cy="0"/>
                      </a:xfrm>
                      <a:prstGeom prst="line">
                        <a:avLst/>
                      </a:prstGeom>
                      <a:noFill/>
                      <a:ln w="93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0B06BD3" id="Line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pt,6.45pt" to="472.6pt,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" strokeweight=".26mm">
              <v:stroke joinstyle="miter"/>
            </v:line>
          </w:pict>
        </mc:Fallback>
      </mc:AlternateContent>
    </w:r>
  </w:p>
  <w:tbl>
    <w:tblPr>
      <w:tblStyle w:val="TableGrid"/>
      <w:tblW w:w="95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56"/>
      <w:gridCol w:w="4756"/>
    </w:tblGrid>
    <w:tr w:rsidR="0049459A" w14:paraId="50744579" w14:textId="77777777" w:rsidTr="00A70FF1">
      <w:trPr>
        <w:trHeight w:val="100"/>
      </w:trPr>
      <w:tc>
        <w:tcPr>
          <w:tcW w:w="4756" w:type="dxa"/>
          <w:vAlign w:val="center"/>
        </w:tcPr>
        <w:p w14:paraId="2BDFC4CD" w14:textId="77777777" w:rsidR="0049459A" w:rsidRDefault="0049459A" w:rsidP="00F113B8">
          <w:pPr>
            <w:pStyle w:val="Footer"/>
            <w:tabs>
              <w:tab w:val="clear" w:pos="8640"/>
              <w:tab w:val="right" w:pos="9923"/>
            </w:tabs>
            <w:jc w:val="left"/>
            <w:rPr>
              <w:lang w:val="en-GB"/>
            </w:rPr>
          </w:pPr>
          <w:r>
            <w:rPr>
              <w:lang w:val="en-GB"/>
            </w:rPr>
            <w:t>1</w:t>
          </w:r>
          <w:r w:rsidR="00F113B8">
            <w:rPr>
              <w:lang w:val="en-GB"/>
            </w:rPr>
            <w:t>9</w:t>
          </w:r>
          <w:r w:rsidRPr="0049459A">
            <w:rPr>
              <w:vertAlign w:val="superscript"/>
              <w:lang w:val="en-GB"/>
            </w:rPr>
            <w:t>th</w:t>
          </w:r>
          <w:r>
            <w:rPr>
              <w:lang w:val="en-GB"/>
            </w:rPr>
            <w:t xml:space="preserve"> National Day on Biomedical Engineering</w:t>
          </w:r>
        </w:p>
      </w:tc>
      <w:tc>
        <w:tcPr>
          <w:tcW w:w="4756" w:type="dxa"/>
          <w:vAlign w:val="center"/>
        </w:tcPr>
        <w:p w14:paraId="428DAEB6" w14:textId="77777777" w:rsidR="0049459A" w:rsidRDefault="0049459A" w:rsidP="00F113B8">
          <w:pPr>
            <w:pStyle w:val="Footer"/>
            <w:tabs>
              <w:tab w:val="clear" w:pos="8640"/>
              <w:tab w:val="right" w:pos="9923"/>
            </w:tabs>
            <w:jc w:val="right"/>
            <w:rPr>
              <w:lang w:val="en-GB"/>
            </w:rPr>
          </w:pPr>
          <w:r>
            <w:rPr>
              <w:lang w:val="en-GB"/>
            </w:rPr>
            <w:t>Brussels, 2</w:t>
          </w:r>
          <w:r w:rsidR="00F113B8">
            <w:rPr>
              <w:lang w:val="en-GB"/>
            </w:rPr>
            <w:t>7</w:t>
          </w:r>
          <w:r w:rsidRPr="0049459A">
            <w:rPr>
              <w:vertAlign w:val="superscript"/>
              <w:lang w:val="en-GB"/>
            </w:rPr>
            <w:t>th</w:t>
          </w:r>
          <w:r w:rsidR="00F113B8">
            <w:rPr>
              <w:lang w:val="en-GB"/>
            </w:rPr>
            <w:t xml:space="preserve"> November 2020</w:t>
          </w:r>
        </w:p>
      </w:tc>
    </w:tr>
  </w:tbl>
  <w:p w14:paraId="179A0621" w14:textId="77777777" w:rsidR="001D0AF3" w:rsidRPr="001D0AF3" w:rsidRDefault="001D0AF3" w:rsidP="00BB60DE">
    <w:pPr>
      <w:pStyle w:val="Footer"/>
      <w:tabs>
        <w:tab w:val="clear" w:pos="8640"/>
        <w:tab w:val="right" w:pos="9923"/>
      </w:tabs>
      <w:jc w:val="left"/>
      <w:rPr>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F464C7" w14:textId="77777777" w:rsidR="006E0F37" w:rsidRDefault="006E0F37"/>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D3F568" w14:textId="77777777" w:rsidR="006E0F37" w:rsidRDefault="006E0F37"/>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093A6D" w14:textId="77777777" w:rsidR="006E0F37" w:rsidRDefault="006E0F3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8AF13B" w14:textId="77777777" w:rsidR="005A0CC5" w:rsidRDefault="005A0CC5">
      <w:pPr>
        <w:spacing w:after="0"/>
      </w:pPr>
      <w:r>
        <w:separator/>
      </w:r>
    </w:p>
  </w:footnote>
  <w:footnote w:type="continuationSeparator" w:id="0">
    <w:p w14:paraId="05F843FA" w14:textId="77777777" w:rsidR="005A0CC5" w:rsidRDefault="005A0CC5">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decimal"/>
      <w:lvlText w:val="%1."/>
      <w:lvlJc w:val="left"/>
      <w:pPr>
        <w:tabs>
          <w:tab w:val="num" w:pos="360"/>
        </w:tabs>
        <w:ind w:left="360" w:hanging="360"/>
      </w:pPr>
    </w:lvl>
    <w:lvl w:ilvl="1">
      <w:start w:val="1"/>
      <w:numFmt w:val="decimal"/>
      <w:pStyle w:val="Heading2"/>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 w15:restartNumberingAfterBreak="0">
    <w:nsid w:val="00000002"/>
    <w:multiLevelType w:val="multilevel"/>
    <w:tmpl w:val="EBAE06A0"/>
    <w:name w:val="WW8Num2"/>
    <w:lvl w:ilvl="0">
      <w:start w:val="1"/>
      <w:numFmt w:val="decimal"/>
      <w:pStyle w:val="Heading5"/>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720"/>
        </w:tabs>
        <w:ind w:left="720" w:hanging="72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 w15:restartNumberingAfterBreak="0">
    <w:nsid w:val="00000003"/>
    <w:multiLevelType w:val="singleLevel"/>
    <w:tmpl w:val="00000003"/>
    <w:name w:val="WW8Num6"/>
    <w:lvl w:ilvl="0">
      <w:start w:val="1"/>
      <w:numFmt w:val="decimal"/>
      <w:lvlText w:val="[%1]"/>
      <w:lvlJc w:val="left"/>
      <w:pPr>
        <w:tabs>
          <w:tab w:val="num" w:pos="360"/>
        </w:tabs>
        <w:ind w:left="360" w:hanging="360"/>
      </w:pPr>
    </w:lvl>
  </w:abstractNum>
  <w:abstractNum w:abstractNumId="3" w15:restartNumberingAfterBreak="0">
    <w:nsid w:val="00000004"/>
    <w:multiLevelType w:val="singleLevel"/>
    <w:tmpl w:val="00000004"/>
    <w:name w:val="WW8Num8"/>
    <w:lvl w:ilvl="0">
      <w:start w:val="1"/>
      <w:numFmt w:val="none"/>
      <w:lvlText w:val="[*]"/>
      <w:lvlJc w:val="left"/>
      <w:pPr>
        <w:tabs>
          <w:tab w:val="num" w:pos="360"/>
        </w:tabs>
        <w:ind w:left="360" w:hanging="360"/>
      </w:pPr>
      <w:rPr>
        <w:b w:val="0"/>
        <w:i w:val="0"/>
        <w:caps/>
        <w:vanish/>
        <w:u w:val="none"/>
        <w14:shadow w14:blurRad="0" w14:dist="0" w14:dir="0" w14:sx="0" w14:sy="0" w14:kx="0" w14:ky="0" w14:algn="none">
          <w14:srgbClr w14:val="000000"/>
        </w14:shadow>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219"/>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432"/>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5876"/>
    <w:rsid w:val="000953DA"/>
    <w:rsid w:val="000A08B6"/>
    <w:rsid w:val="000A3FF6"/>
    <w:rsid w:val="000A700B"/>
    <w:rsid w:val="000B5931"/>
    <w:rsid w:val="000C451A"/>
    <w:rsid w:val="00113E1A"/>
    <w:rsid w:val="00123A07"/>
    <w:rsid w:val="001378FB"/>
    <w:rsid w:val="00156C28"/>
    <w:rsid w:val="001D0AF3"/>
    <w:rsid w:val="001D43AE"/>
    <w:rsid w:val="001E3845"/>
    <w:rsid w:val="00226274"/>
    <w:rsid w:val="00240E4B"/>
    <w:rsid w:val="00275BE9"/>
    <w:rsid w:val="002B06C5"/>
    <w:rsid w:val="002B275F"/>
    <w:rsid w:val="002B5652"/>
    <w:rsid w:val="0031142A"/>
    <w:rsid w:val="00315876"/>
    <w:rsid w:val="00336ECE"/>
    <w:rsid w:val="00352E46"/>
    <w:rsid w:val="003F0567"/>
    <w:rsid w:val="00411B2F"/>
    <w:rsid w:val="00453049"/>
    <w:rsid w:val="0046065C"/>
    <w:rsid w:val="00467E78"/>
    <w:rsid w:val="0049459A"/>
    <w:rsid w:val="004A4C09"/>
    <w:rsid w:val="004B3F03"/>
    <w:rsid w:val="004E5BEB"/>
    <w:rsid w:val="004F284E"/>
    <w:rsid w:val="004F2F53"/>
    <w:rsid w:val="004F50F4"/>
    <w:rsid w:val="004F73FA"/>
    <w:rsid w:val="00530062"/>
    <w:rsid w:val="00532384"/>
    <w:rsid w:val="00547A7F"/>
    <w:rsid w:val="00547FEE"/>
    <w:rsid w:val="00567636"/>
    <w:rsid w:val="005768F3"/>
    <w:rsid w:val="00584690"/>
    <w:rsid w:val="005A0CC5"/>
    <w:rsid w:val="005B3679"/>
    <w:rsid w:val="005E3772"/>
    <w:rsid w:val="00613470"/>
    <w:rsid w:val="00636288"/>
    <w:rsid w:val="006403B6"/>
    <w:rsid w:val="006807A8"/>
    <w:rsid w:val="006A7CD4"/>
    <w:rsid w:val="006E0F37"/>
    <w:rsid w:val="006F3A53"/>
    <w:rsid w:val="0071468E"/>
    <w:rsid w:val="00722D6F"/>
    <w:rsid w:val="00726569"/>
    <w:rsid w:val="00733B16"/>
    <w:rsid w:val="00774593"/>
    <w:rsid w:val="00794C13"/>
    <w:rsid w:val="007B009E"/>
    <w:rsid w:val="007D61D9"/>
    <w:rsid w:val="007F4E24"/>
    <w:rsid w:val="0080258A"/>
    <w:rsid w:val="00825A61"/>
    <w:rsid w:val="0083723B"/>
    <w:rsid w:val="00854FC6"/>
    <w:rsid w:val="008604D8"/>
    <w:rsid w:val="00872699"/>
    <w:rsid w:val="00892519"/>
    <w:rsid w:val="008A20F3"/>
    <w:rsid w:val="008B3CCB"/>
    <w:rsid w:val="008E7964"/>
    <w:rsid w:val="009233E5"/>
    <w:rsid w:val="00946067"/>
    <w:rsid w:val="00977E8F"/>
    <w:rsid w:val="00995770"/>
    <w:rsid w:val="009A5C2F"/>
    <w:rsid w:val="009B2CA6"/>
    <w:rsid w:val="009C79C0"/>
    <w:rsid w:val="009D36CD"/>
    <w:rsid w:val="00A456C2"/>
    <w:rsid w:val="00A70FF1"/>
    <w:rsid w:val="00A82F31"/>
    <w:rsid w:val="00A903CC"/>
    <w:rsid w:val="00AB2280"/>
    <w:rsid w:val="00AE4935"/>
    <w:rsid w:val="00B10706"/>
    <w:rsid w:val="00B365C4"/>
    <w:rsid w:val="00B46453"/>
    <w:rsid w:val="00B767EA"/>
    <w:rsid w:val="00B82900"/>
    <w:rsid w:val="00BA2CF7"/>
    <w:rsid w:val="00BB60DE"/>
    <w:rsid w:val="00BB60FC"/>
    <w:rsid w:val="00BD426B"/>
    <w:rsid w:val="00C827AB"/>
    <w:rsid w:val="00C90151"/>
    <w:rsid w:val="00CF6AD8"/>
    <w:rsid w:val="00D627D9"/>
    <w:rsid w:val="00D74AAF"/>
    <w:rsid w:val="00D808C5"/>
    <w:rsid w:val="00DA4C7E"/>
    <w:rsid w:val="00E00A0F"/>
    <w:rsid w:val="00E47580"/>
    <w:rsid w:val="00E509AB"/>
    <w:rsid w:val="00E6055A"/>
    <w:rsid w:val="00E738E0"/>
    <w:rsid w:val="00E812F5"/>
    <w:rsid w:val="00F113B8"/>
    <w:rsid w:val="00F24342"/>
    <w:rsid w:val="00F3300E"/>
    <w:rsid w:val="00F56C78"/>
    <w:rsid w:val="00F837D1"/>
    <w:rsid w:val="00FA7A71"/>
    <w:rsid w:val="00FA7DA2"/>
    <w:rsid w:val="00FF3BA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6F333C33"/>
  <w15:chartTrackingRefBased/>
  <w15:docId w15:val="{880F3CD8-B769-47F6-A484-E46CA9A05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F4E24"/>
    <w:pPr>
      <w:suppressAutoHyphens/>
      <w:spacing w:after="80"/>
      <w:jc w:val="both"/>
    </w:pPr>
    <w:rPr>
      <w:lang w:eastAsia="ar-SA"/>
    </w:rPr>
  </w:style>
  <w:style w:type="paragraph" w:styleId="Heading1">
    <w:name w:val="heading 1"/>
    <w:basedOn w:val="Normal"/>
    <w:next w:val="Normal"/>
    <w:qFormat/>
    <w:pPr>
      <w:keepNext/>
      <w:spacing w:before="40" w:after="0"/>
      <w:jc w:val="left"/>
      <w:outlineLvl w:val="0"/>
    </w:pPr>
    <w:rPr>
      <w:b/>
      <w:sz w:val="24"/>
    </w:rPr>
  </w:style>
  <w:style w:type="paragraph" w:styleId="Heading2">
    <w:name w:val="heading 2"/>
    <w:basedOn w:val="Heading1"/>
    <w:next w:val="Normal"/>
    <w:qFormat/>
    <w:pPr>
      <w:numPr>
        <w:ilvl w:val="1"/>
        <w:numId w:val="1"/>
      </w:numPr>
      <w:outlineLvl w:val="1"/>
    </w:pPr>
  </w:style>
  <w:style w:type="paragraph" w:styleId="Heading3">
    <w:name w:val="heading 3"/>
    <w:basedOn w:val="Normal"/>
    <w:next w:val="Normal"/>
    <w:qFormat/>
    <w:pPr>
      <w:keepNext/>
      <w:jc w:val="center"/>
      <w:outlineLvl w:val="2"/>
    </w:pPr>
    <w:rPr>
      <w:rFonts w:ascii="Arial" w:hAnsi="Arial"/>
      <w:b/>
      <w:sz w:val="24"/>
    </w:rPr>
  </w:style>
  <w:style w:type="paragraph" w:styleId="Heading4">
    <w:name w:val="heading 4"/>
    <w:basedOn w:val="Normal"/>
    <w:next w:val="Normal"/>
    <w:qFormat/>
    <w:pPr>
      <w:keepNext/>
      <w:outlineLvl w:val="3"/>
    </w:pPr>
    <w:rPr>
      <w:rFonts w:ascii="Arial" w:hAnsi="Arial"/>
      <w:b/>
    </w:rPr>
  </w:style>
  <w:style w:type="paragraph" w:styleId="Heading5">
    <w:name w:val="heading 5"/>
    <w:basedOn w:val="Normal"/>
    <w:next w:val="Normal"/>
    <w:qFormat/>
    <w:pPr>
      <w:keepNext/>
      <w:numPr>
        <w:numId w:val="2"/>
      </w:numPr>
      <w:outlineLvl w:val="4"/>
    </w:pPr>
    <w:rPr>
      <w:rFonts w:ascii="Arial" w:hAnsi="Arial"/>
      <w:b/>
    </w:rPr>
  </w:style>
  <w:style w:type="paragraph" w:styleId="Heading6">
    <w:name w:val="heading 6"/>
    <w:basedOn w:val="Normal"/>
    <w:next w:val="Normal"/>
    <w:qFormat/>
    <w:pPr>
      <w:keepNext/>
      <w:outlineLvl w:val="5"/>
    </w:pPr>
    <w:rPr>
      <w:rFonts w:ascii="Arial" w:hAnsi="Arial"/>
      <w:sz w:val="24"/>
    </w:rPr>
  </w:style>
  <w:style w:type="paragraph" w:styleId="Heading7">
    <w:name w:val="heading 7"/>
    <w:basedOn w:val="Normal"/>
    <w:next w:val="Normal"/>
    <w:qFormat/>
    <w:pPr>
      <w:keepNext/>
      <w:outlineLvl w:val="6"/>
    </w:pPr>
    <w:rPr>
      <w:rFonts w:ascii="Arial" w:hAnsi="Arial"/>
      <w:b/>
      <w:sz w:val="24"/>
    </w:rPr>
  </w:style>
  <w:style w:type="paragraph" w:styleId="Heading8">
    <w:name w:val="heading 8"/>
    <w:basedOn w:val="Normal"/>
    <w:next w:val="Normal"/>
    <w:qFormat/>
    <w:pPr>
      <w:keepNext/>
      <w:jc w:val="center"/>
      <w:outlineLvl w:val="7"/>
    </w:pPr>
    <w:rPr>
      <w:b/>
      <w:sz w:val="22"/>
    </w:rPr>
  </w:style>
  <w:style w:type="paragraph" w:styleId="Heading9">
    <w:name w:val="heading 9"/>
    <w:basedOn w:val="Normal"/>
    <w:next w:val="Normal"/>
    <w:qFormat/>
    <w:pPr>
      <w:keepNext/>
      <w:jc w:val="center"/>
      <w:outlineLvl w:val="8"/>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3z0">
    <w:name w:val="WW8Num3z0"/>
    <w:rPr>
      <w:b w:val="0"/>
      <w:i w:val="0"/>
      <w:caps/>
      <w:vanish/>
      <w:color w:val="auto"/>
      <w:u w:val="none"/>
      <w14:shadow w14:blurRad="0" w14:dist="0" w14:dir="0" w14:sx="0" w14:sy="0" w14:kx="0" w14:ky="0" w14:algn="none">
        <w14:srgbClr w14:val="000000"/>
      </w14:shadow>
    </w:rPr>
  </w:style>
  <w:style w:type="character" w:customStyle="1" w:styleId="WW8Num8z0">
    <w:name w:val="WW8Num8z0"/>
    <w:rPr>
      <w:b w:val="0"/>
      <w:i w:val="0"/>
      <w:caps/>
      <w:vanish/>
      <w:color w:val="auto"/>
      <w:u w:val="none"/>
      <w14:shadow w14:blurRad="0" w14:dist="0" w14:dir="0" w14:sx="0" w14:sy="0" w14:kx="0" w14:ky="0" w14:algn="none">
        <w14:srgbClr w14:val="000000"/>
      </w14:shadow>
    </w:rPr>
  </w:style>
  <w:style w:type="character" w:customStyle="1" w:styleId="Standaardalinea-lettertype1">
    <w:name w:val="Standaardalinea-lettertype1"/>
  </w:style>
  <w:style w:type="character" w:styleId="Hyperlink">
    <w:name w:val="Hyperlink"/>
    <w:rPr>
      <w:color w:val="0000FF"/>
      <w:u w:val="single"/>
    </w:rPr>
  </w:style>
  <w:style w:type="paragraph" w:customStyle="1" w:styleId="Titre">
    <w:name w:val="Titre"/>
    <w:basedOn w:val="Normal"/>
    <w:next w:val="BodyText"/>
    <w:pPr>
      <w:keepNext/>
      <w:spacing w:before="240" w:after="120"/>
    </w:pPr>
    <w:rPr>
      <w:rFonts w:ascii="Arial" w:eastAsia="MS Mincho" w:hAnsi="Arial" w:cs="Tahoma"/>
      <w:sz w:val="28"/>
      <w:szCs w:val="28"/>
    </w:rPr>
  </w:style>
  <w:style w:type="paragraph" w:styleId="BodyText">
    <w:name w:val="Body Text"/>
    <w:basedOn w:val="Normal"/>
    <w:pPr>
      <w:spacing w:after="120"/>
    </w:pPr>
  </w:style>
  <w:style w:type="paragraph" w:styleId="List">
    <w:name w:val="List"/>
    <w:basedOn w:val="BodyText"/>
    <w:rPr>
      <w:rFonts w:cs="Tahoma"/>
    </w:rPr>
  </w:style>
  <w:style w:type="paragraph" w:customStyle="1" w:styleId="Lgende">
    <w:name w:val="Légende"/>
    <w:basedOn w:val="Normal"/>
    <w:pPr>
      <w:suppressLineNumbers/>
      <w:spacing w:before="120" w:after="120"/>
    </w:pPr>
    <w:rPr>
      <w:rFonts w:cs="Tahoma"/>
      <w:i/>
      <w:iCs/>
      <w:sz w:val="24"/>
      <w:szCs w:val="24"/>
    </w:rPr>
  </w:style>
  <w:style w:type="paragraph" w:customStyle="1" w:styleId="Index">
    <w:name w:val="Index"/>
    <w:basedOn w:val="Normal"/>
    <w:pPr>
      <w:suppressLineNumbers/>
    </w:pPr>
    <w:rPr>
      <w:rFonts w:cs="Tahoma"/>
    </w:rPr>
  </w:style>
  <w:style w:type="paragraph" w:customStyle="1" w:styleId="subsubhead">
    <w:name w:val="subsubhead"/>
    <w:basedOn w:val="Normal"/>
    <w:next w:val="Normal"/>
    <w:pPr>
      <w:spacing w:before="40" w:after="0"/>
      <w:jc w:val="left"/>
    </w:pPr>
    <w:rPr>
      <w:i/>
      <w:sz w:val="22"/>
    </w:rPr>
  </w:style>
  <w:style w:type="paragraph" w:customStyle="1" w:styleId="scenario">
    <w:name w:val="scenario"/>
    <w:basedOn w:val="Normal"/>
    <w:pPr>
      <w:spacing w:before="40" w:after="0"/>
      <w:jc w:val="left"/>
    </w:pPr>
    <w:rPr>
      <w:b/>
    </w:rPr>
  </w:style>
  <w:style w:type="paragraph" w:styleId="Title">
    <w:name w:val="Title"/>
    <w:basedOn w:val="Normal"/>
    <w:next w:val="Subtitle"/>
    <w:qFormat/>
    <w:pPr>
      <w:jc w:val="center"/>
    </w:pPr>
    <w:rPr>
      <w:rFonts w:ascii="Arial" w:hAnsi="Arial"/>
      <w:b/>
      <w:sz w:val="32"/>
    </w:rPr>
  </w:style>
  <w:style w:type="paragraph" w:styleId="Subtitle">
    <w:name w:val="Subtitle"/>
    <w:basedOn w:val="Titre"/>
    <w:next w:val="BodyText"/>
    <w:qFormat/>
    <w:pPr>
      <w:jc w:val="center"/>
    </w:pPr>
    <w:rPr>
      <w:i/>
      <w:iCs/>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FollowedHyperlink">
    <w:name w:val="FollowedHyperlink"/>
    <w:uiPriority w:val="99"/>
    <w:semiHidden/>
    <w:unhideWhenUsed/>
    <w:rsid w:val="001E3845"/>
    <w:rPr>
      <w:color w:val="954F72"/>
      <w:u w:val="single"/>
    </w:rPr>
  </w:style>
  <w:style w:type="table" w:styleId="TableGrid">
    <w:name w:val="Table Grid"/>
    <w:basedOn w:val="TableNormal"/>
    <w:uiPriority w:val="59"/>
    <w:rsid w:val="004945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467E78"/>
    <w:pPr>
      <w:tabs>
        <w:tab w:val="left" w:pos="384"/>
      </w:tabs>
      <w:spacing w:after="0"/>
      <w:ind w:left="384" w:hanging="384"/>
    </w:pPr>
  </w:style>
  <w:style w:type="paragraph" w:styleId="Caption">
    <w:name w:val="caption"/>
    <w:basedOn w:val="Normal"/>
    <w:next w:val="Normal"/>
    <w:uiPriority w:val="35"/>
    <w:unhideWhenUsed/>
    <w:qFormat/>
    <w:rsid w:val="00467E78"/>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621036A16A8E446BDC62714205CCFE5" ma:contentTypeVersion="13" ma:contentTypeDescription="Crée un document." ma:contentTypeScope="" ma:versionID="19c29932b8fcf9baf15ba42b934ecff5">
  <xsd:schema xmlns:xsd="http://www.w3.org/2001/XMLSchema" xmlns:xs="http://www.w3.org/2001/XMLSchema" xmlns:p="http://schemas.microsoft.com/office/2006/metadata/properties" xmlns:ns3="ac1ac560-e825-4d10-ba2c-2d1081d71d26" xmlns:ns4="6b2bcad1-e305-48ff-993b-ffec4cabedcc" targetNamespace="http://schemas.microsoft.com/office/2006/metadata/properties" ma:root="true" ma:fieldsID="625c0a4ebea5b9c0ffa7ebfbe9dc6e8d" ns3:_="" ns4:_="">
    <xsd:import namespace="ac1ac560-e825-4d10-ba2c-2d1081d71d26"/>
    <xsd:import namespace="6b2bcad1-e305-48ff-993b-ffec4cabedcc"/>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GenerationTime" minOccurs="0"/>
                <xsd:element ref="ns3:MediaServiceEventHashCode"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1ac560-e825-4d10-ba2c-2d1081d71d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b2bcad1-e305-48ff-993b-ffec4cabedcc" elementFormDefault="qualified">
    <xsd:import namespace="http://schemas.microsoft.com/office/2006/documentManagement/types"/>
    <xsd:import namespace="http://schemas.microsoft.com/office/infopath/2007/PartnerControls"/>
    <xsd:element name="SharedWithUsers" ma:index="18"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Partagé avec détails" ma:internalName="SharedWithDetails" ma:readOnly="true">
      <xsd:simpleType>
        <xsd:restriction base="dms:Note">
          <xsd:maxLength value="255"/>
        </xsd:restriction>
      </xsd:simpleType>
    </xsd:element>
    <xsd:element name="SharingHintHash" ma:index="20" nillable="true" ma:displayName="Partage du hachage d’indicateu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8760C39-BACE-436D-B7F6-C9712DD8F1B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63ABA47-4DF9-40B7-9D79-21AFC48BFB99}">
  <ds:schemaRefs>
    <ds:schemaRef ds:uri="http://schemas.microsoft.com/sharepoint/v3/contenttype/forms"/>
  </ds:schemaRefs>
</ds:datastoreItem>
</file>

<file path=customXml/itemProps3.xml><?xml version="1.0" encoding="utf-8"?>
<ds:datastoreItem xmlns:ds="http://schemas.openxmlformats.org/officeDocument/2006/customXml" ds:itemID="{D290BB46-FCA9-4B47-BBCB-B19D78E73D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1ac560-e825-4d10-ba2c-2d1081d71d26"/>
    <ds:schemaRef ds:uri="6b2bcad1-e305-48ff-993b-ffec4cabed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1348</Words>
  <Characters>7688</Characters>
  <Application>Microsoft Office Word</Application>
  <DocSecurity>0</DocSecurity>
  <Lines>64</Lines>
  <Paragraphs>18</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Belgian Day on BME - Author Instructions</vt:lpstr>
      <vt:lpstr>Belgian Day on BME - Author Instructions</vt:lpstr>
    </vt:vector>
  </TitlesOfParts>
  <Company>UGent</Company>
  <LinksUpToDate>false</LinksUpToDate>
  <CharactersWithSpaces>9018</CharactersWithSpaces>
  <SharedDoc>false</SharedDoc>
  <HLinks>
    <vt:vector size="6" baseType="variant">
      <vt:variant>
        <vt:i4>2293872</vt:i4>
      </vt:variant>
      <vt:variant>
        <vt:i4>0</vt:i4>
      </vt:variant>
      <vt:variant>
        <vt:i4>0</vt:i4>
      </vt:variant>
      <vt:variant>
        <vt:i4>5</vt:i4>
      </vt:variant>
      <vt:variant>
        <vt:lpwstr>http://www.ncbme.ugent.be/abstract-submission/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Belgian Day on BME - Author Instructions</dc:title>
  <dc:subject/>
  <dc:creator>Rik Van de Walle</dc:creator>
  <cp:keywords/>
  <cp:lastModifiedBy>Viviane Sauvage</cp:lastModifiedBy>
  <cp:revision>2</cp:revision>
  <cp:lastPrinted>1999-06-17T07:47:00Z</cp:lastPrinted>
  <dcterms:created xsi:type="dcterms:W3CDTF">2022-04-11T13:26:00Z</dcterms:created>
  <dcterms:modified xsi:type="dcterms:W3CDTF">2022-04-11T13:26:00Z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zotero-version="5.0.92"&gt;&lt;session id="6XrumJ16"/&gt;&lt;style id="http://www.zotero.org/styles/elsevier-without-titles" hasBibliography="1" bibliographyStyleHasBeenSet="1"/&gt;&lt;prefs&gt;&lt;pref name="fieldType" value="Field"/&gt;&lt;/prefs&gt;&lt;/data&gt;</vt:lpwstr>
  </property>
  <property fmtid="{D5CDD505-2E9C-101B-9397-08002B2CF9AE}" pid="3" name="ContentTypeId">
    <vt:lpwstr>0x0101004621036A16A8E446BDC62714205CCFE5</vt:lpwstr>
  </property>
</Properties>
</file>