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3783A" w14:textId="77777777" w:rsidR="002B7FD3" w:rsidRPr="002B7FD3" w:rsidRDefault="002B7FD3" w:rsidP="002B7FD3">
      <w:pPr>
        <w:widowControl w:val="0"/>
        <w:autoSpaceDE w:val="0"/>
        <w:autoSpaceDN w:val="0"/>
        <w:adjustRightInd w:val="0"/>
        <w:spacing w:line="280" w:lineRule="atLeast"/>
        <w:jc w:val="center"/>
        <w:rPr>
          <w:rFonts w:cs="Times"/>
          <w:color w:val="000000"/>
        </w:rPr>
      </w:pPr>
      <w:r w:rsidRPr="002B7FD3">
        <w:rPr>
          <w:rFonts w:cs="Times"/>
          <w:noProof/>
          <w:color w:val="000000"/>
          <w:lang w:eastAsia="fr-FR"/>
        </w:rPr>
        <w:drawing>
          <wp:inline distT="0" distB="0" distL="0" distR="0" wp14:anchorId="53A7C5FA" wp14:editId="6662ECE6">
            <wp:extent cx="1498600" cy="15068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0" cy="1506855"/>
                    </a:xfrm>
                    <a:prstGeom prst="rect">
                      <a:avLst/>
                    </a:prstGeom>
                    <a:noFill/>
                    <a:ln>
                      <a:noFill/>
                    </a:ln>
                  </pic:spPr>
                </pic:pic>
              </a:graphicData>
            </a:graphic>
          </wp:inline>
        </w:drawing>
      </w:r>
    </w:p>
    <w:p w14:paraId="1A983E7C" w14:textId="77777777" w:rsidR="002B7FD3" w:rsidRPr="002B7FD3" w:rsidRDefault="002B7FD3" w:rsidP="002B7FD3">
      <w:pPr>
        <w:widowControl w:val="0"/>
        <w:autoSpaceDE w:val="0"/>
        <w:autoSpaceDN w:val="0"/>
        <w:adjustRightInd w:val="0"/>
        <w:spacing w:after="240" w:line="360" w:lineRule="atLeast"/>
        <w:jc w:val="center"/>
        <w:rPr>
          <w:rFonts w:cs="Times"/>
          <w:color w:val="000000"/>
        </w:rPr>
      </w:pPr>
      <w:r w:rsidRPr="002B7FD3">
        <w:rPr>
          <w:rFonts w:cs="Times"/>
          <w:color w:val="000000"/>
        </w:rPr>
        <w:t>3 CASSANDRA: A VOZ DO FIM</w:t>
      </w:r>
    </w:p>
    <w:p w14:paraId="5DA1E6B9" w14:textId="77777777" w:rsidR="002B7FD3" w:rsidRPr="002B7FD3" w:rsidRDefault="002B7FD3" w:rsidP="002B7FD3">
      <w:pPr>
        <w:widowControl w:val="0"/>
        <w:autoSpaceDE w:val="0"/>
        <w:autoSpaceDN w:val="0"/>
        <w:adjustRightInd w:val="0"/>
        <w:spacing w:after="240" w:line="360" w:lineRule="atLeast"/>
        <w:jc w:val="center"/>
        <w:rPr>
          <w:rFonts w:cs="Times"/>
          <w:color w:val="000000"/>
        </w:rPr>
      </w:pPr>
      <w:r w:rsidRPr="002B7FD3">
        <w:rPr>
          <w:rFonts w:cs="Times"/>
          <w:color w:val="000000"/>
        </w:rPr>
        <w:t>Nathalie Frogneux</w:t>
      </w:r>
    </w:p>
    <w:p w14:paraId="271D3295"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Nós celebramos os 40 anos da publicação do </w:t>
      </w:r>
      <w:r w:rsidRPr="002B7FD3">
        <w:rPr>
          <w:rFonts w:cs="Times"/>
          <w:i/>
          <w:iCs/>
          <w:color w:val="000000"/>
        </w:rPr>
        <w:t xml:space="preserve">Princípio Responsabilidade </w:t>
      </w:r>
      <w:r w:rsidRPr="002B7FD3">
        <w:rPr>
          <w:rFonts w:cs="Times"/>
          <w:color w:val="000000"/>
        </w:rPr>
        <w:t xml:space="preserve">com uma dupla convicção: De uma parte, </w:t>
      </w:r>
      <w:r w:rsidRPr="002B7FD3">
        <w:rPr>
          <w:rFonts w:cs="Times"/>
          <w:i/>
          <w:iCs/>
          <w:color w:val="000000"/>
        </w:rPr>
        <w:t xml:space="preserve">O Princípio Responsabilidade </w:t>
      </w:r>
      <w:r w:rsidRPr="002B7FD3">
        <w:rPr>
          <w:rFonts w:cs="Times"/>
          <w:color w:val="000000"/>
        </w:rPr>
        <w:t xml:space="preserve">manteve sua atualidade e sua pertinência em muitos pontos, mas nós temos também, de outra parte, o sentimento de que, depois de 40 anos, o contexto no qual Hans Jonas o redigia se modificou profundamente. Ou mais exatamente, seria preciso dizer que seu diagnóstico da urgência e da gravidade da situação é correto em muitos pontos, e que seus “erros” parecem todos relativos e devidos ao fato de que ele descreveu a crise em um estado menos avançado que este que nós conhecemos atualmente. </w:t>
      </w:r>
      <w:bookmarkStart w:id="0" w:name="_GoBack"/>
      <w:bookmarkEnd w:id="0"/>
    </w:p>
    <w:p w14:paraId="262A3CC5"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Quando Greta Thunberg discursou em Davos foi impossível não ligar seu propósito àquele do PR. De uma parte, porque ela parece retomar 40 anos depois a posição de Jonas, isto é, a posição de alguém que alerta, neste caso no duplo sentido em que ela denuncia e alerta. Ela denuncia o sistema econômico-tecnológico voraz com respeito à natureza, mas também os países ricos e predadores que engendram injustiças massivas em escala planetária, mas ela também alerta contra uma inércia e uma negligência. Sem dúvida ela sabe, também, que ela ocupa a posição de Cassandra e que seu discurso corre o risco de não ser entendido: recebido e, consequentemente, seguido. </w:t>
      </w:r>
    </w:p>
    <w:p w14:paraId="3D6A25B6"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Em 1979, Hans Jonas aparecia como um filósofo precursor, uma vez que ele intuiu uma deriva do que ele chamava a “civilização tecnológica”, sua voracidade ilimitada, sua dinâmica cumulativa e sua relação desequilibrada com a natureza. A permeabilidade da natureza e da cidade humana, que ele constatou em seu primeiro capítulo não é contestada, e hoje nós falamos em Antropoceno para sublinhar a impossibilidade de lhes separar, e mesmo, de lhes distinguir. É, dessa forma, o fim da natureza selvagem que é atestada. Jonas que sempre se considerou como especialista da filosofia e do pensamento da Antiguidade utilizava um outro vocabulário, mesmo que muitas vezes ele tivesse antecipado as situações para as quais nós hoje </w:t>
      </w:r>
      <w:r w:rsidRPr="002B7FD3">
        <w:rPr>
          <w:rFonts w:cs="Times"/>
          <w:color w:val="000000"/>
        </w:rPr>
        <w:lastRenderedPageBreak/>
        <w:t xml:space="preserve">criamos um vocabulário novo. </w:t>
      </w:r>
    </w:p>
    <w:p w14:paraId="2C359049"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Depois de 40 anos, tudo parece, então, se desenrolar segundo os medos de Jonas e sua profecia parece infelizmente se realizar, mas seu medo de ocupar uma posição de Cassandra é, também, comprovadamente legítimo: seus avisos que tinham como objetivo nos prevenir de um perigo iminente, parecem ter sido inúteis. Entretanto, a ameaça que era invisível se tornou perceptível </w:t>
      </w:r>
    </w:p>
    <w:p w14:paraId="1DECF9D8" w14:textId="77777777" w:rsidR="002B7FD3" w:rsidRPr="002B7FD3" w:rsidRDefault="002B7FD3" w:rsidP="002B7FD3">
      <w:pPr>
        <w:widowControl w:val="0"/>
        <w:autoSpaceDE w:val="0"/>
        <w:autoSpaceDN w:val="0"/>
        <w:adjustRightInd w:val="0"/>
        <w:spacing w:after="240" w:line="340" w:lineRule="atLeast"/>
        <w:rPr>
          <w:rFonts w:cs="Times"/>
          <w:color w:val="000000"/>
        </w:rPr>
      </w:pPr>
      <w:r w:rsidRPr="002B7FD3">
        <w:rPr>
          <w:rFonts w:cs="Times"/>
          <w:color w:val="000000"/>
        </w:rPr>
        <w:t xml:space="preserve">26 </w:t>
      </w:r>
    </w:p>
    <w:p w14:paraId="27398539"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e é denunciada. E, no entanto, o comportamento, não muda. Se Jonas se enganou sobre um ponto maior, é que ele pensou que pequenas catástrofes permitiriam uma tomada de consciência da amplitude do perigo e induziria uma mudança de comportamento massiva. Ele opunha, assim, as catástrofes de amplitude local ou parciais, isto é, as “catástrofes graduais” (PR, 288) e a “catástrofe repentina” e total (PR, 290), o que nós nomeamos hoje de colapsos. Mas, depois de 40 anos, nós pudemos constatar que as pequenas catástrofes não nos têm permitido nem uma melhor tomada de consciência, nem a mudança da civilização. Os tufões e outros tornados não geraram a tomada de consciência, as ondas de calor levaram a população a se equipar com climatizadores nas habitações, mas também nos estádios de futebol, agravando assim o problema... Nós nos acomodamos pouco a pouco a essas mudanças e nós esperamos que o pior será evitado. </w:t>
      </w:r>
    </w:p>
    <w:p w14:paraId="64B8A68F"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Nós nos encontramos, assim, na situação que ele mais temia: o risco de uma crise global e total que pode tomar a figura de destruições parciais (com a elevação do nível dos mares em certas regiões muito populosas como no sudeste da Ásia) ou a saída brutal de uma civilização térmico-industrial por ruptura das fontes energéticas. Mas Jonas, ainda, radicalizava essas destruições discutindo sobre o espectro de um apocalipse completo, marcado pelo fim do vivente e da humanidade. </w:t>
      </w:r>
    </w:p>
    <w:p w14:paraId="1ADAA766"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Depois de 40 anos, uma outra mudança importante se produziu. Jonas apelava no PR a um espírito de moderação e pequenos passos para sair da sociedade tecnológica, uma vez que se tratava de moderar o crescimento e de modificar o curso dos apetites vorazes. Hoje, com efeito, tudo parece indicar que nós devemos adotar um comportamento incisivo e fazer grandes avanços para sair rapidamente da civilização térmico-industrial. O GIEC nos demonstra que apenas medidas radicais e mudanças massivas de consumo poderão, doravante, estar à altura do desafio atual: uma saída voluntária e organizada da civilização </w:t>
      </w:r>
      <w:r w:rsidRPr="002B7FD3">
        <w:rPr>
          <w:rFonts w:cs="Times"/>
          <w:i/>
          <w:iCs/>
          <w:color w:val="000000"/>
        </w:rPr>
        <w:t>énergivore</w:t>
      </w:r>
      <w:r w:rsidRPr="002B7FD3">
        <w:rPr>
          <w:rFonts w:cs="Times"/>
          <w:color w:val="000000"/>
        </w:rPr>
        <w:t xml:space="preserve">. Pois, no caso contrário, correria o risco de ser involuntária e desorganizada. O espírito de moderação preconizado pelo </w:t>
      </w:r>
      <w:r w:rsidRPr="002B7FD3">
        <w:rPr>
          <w:rFonts w:cs="Times"/>
          <w:i/>
          <w:iCs/>
          <w:color w:val="000000"/>
        </w:rPr>
        <w:t xml:space="preserve">Princípio Responsabilidade </w:t>
      </w:r>
      <w:r w:rsidRPr="002B7FD3">
        <w:rPr>
          <w:rFonts w:cs="Times"/>
          <w:color w:val="000000"/>
        </w:rPr>
        <w:t xml:space="preserve">deve, então, ser substituído por um espírito de mobilização total, de cada indivíduo em cada uma de suas escolhas e de todos os países e instituições modernas – com o risco de que isso tome um tom coercitivo –, a fim de perseguir o mesmo objetivo que aquele de Jonas há 40 anos: evitar que a humanidade arrisque tudo, que ela provoque sua própria perda. Se o objetivo é o mesmo, a estratégia proposta por Jonas parece quanto a ela superada. </w:t>
      </w:r>
    </w:p>
    <w:p w14:paraId="5154B9AA" w14:textId="77777777" w:rsidR="002B7FD3" w:rsidRPr="002B7FD3" w:rsidRDefault="002B7FD3" w:rsidP="002B7FD3">
      <w:pPr>
        <w:widowControl w:val="0"/>
        <w:autoSpaceDE w:val="0"/>
        <w:autoSpaceDN w:val="0"/>
        <w:adjustRightInd w:val="0"/>
        <w:spacing w:after="240" w:line="340" w:lineRule="atLeast"/>
        <w:rPr>
          <w:rFonts w:cs="Times"/>
          <w:color w:val="000000"/>
        </w:rPr>
      </w:pPr>
      <w:r w:rsidRPr="002B7FD3">
        <w:rPr>
          <w:rFonts w:cs="Times"/>
          <w:color w:val="000000"/>
        </w:rPr>
        <w:t xml:space="preserve">27 </w:t>
      </w:r>
    </w:p>
    <w:p w14:paraId="3A637EC8"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Pelo contrário, o que Jonas nos permite sempre pensar é a performatividade da linguagem quando aqueles que alertam anunciam a catástrofe. Assim, o apelo explícito ao medo e à responsabilidade é compreendido graças à figura de Cassandra que anuncia a desgraça futura. Jonas propõe uma interpretação que permanece totalmente pertinente hoje. Se a estratégia de Cassandra é eficaz, então ela está errada, uma vez que o estado do mundo que ela descreve não se realiza. Em contrapartida, se sua estratégia é ineficaz, sua descrição prospectiva está correta e coincide com sua derrota. </w:t>
      </w:r>
    </w:p>
    <w:p w14:paraId="16039833"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Vejamos isso de perto. Jonas tem consciência de se encontrar no coração do paradoxo de Cassandra, filha de Priam, que sabe qual ameaça pesa sobre Tróia, mas cujo saber da desgraça futura permanece vã, pois ela não é entendida pelos concidadãos em razão da maldição de Apolo. Na interpretação que nós podemos fazer hoje, seria preciso suspender a maldição divina que a torna impotente e distinguir dois tipos de obstáculos na previsão da desgraça: </w:t>
      </w:r>
    </w:p>
    <w:p w14:paraId="22F29254"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1) de uma parte, o risco de que aqueles que ouvem a previsão não acreditem nela.</w:t>
      </w:r>
      <w:r w:rsidRPr="002B7FD3">
        <w:rPr>
          <w:rFonts w:ascii="MS Mincho" w:eastAsia="MS Mincho" w:hAnsi="MS Mincho" w:cs="MS Mincho"/>
          <w:color w:val="000000"/>
        </w:rPr>
        <w:t> </w:t>
      </w:r>
      <w:r w:rsidRPr="002B7FD3">
        <w:rPr>
          <w:rFonts w:cs="Times"/>
          <w:color w:val="000000"/>
        </w:rPr>
        <w:t xml:space="preserve">2) e, de outra parte, o risco de que aqueles que acreditam na descrição do futuro </w:t>
      </w:r>
    </w:p>
    <w:p w14:paraId="4EE46407"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catastrófico concluem sua própria impotência e renunciem a agir. </w:t>
      </w:r>
    </w:p>
    <w:p w14:paraId="2ADE2D45"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Como adotar uma previsão responsável e que mobiliza a responsabilidade em vez de aniquilá-la? É a questão da performatividade da linguagem do alerta frente a uma catástrofe futura que é, assim, colocada. Como fazer ouvir um discurso que ninguém deseja ouvir, que os destinatários recusam ouvir a ponto de preferir negar a previsão, sustentada cientificamente, em razão de seu caráter catastrófico e se agarrar desesperadamente a uma ilusão reconfortante. </w:t>
      </w:r>
    </w:p>
    <w:p w14:paraId="287B89E8"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O anúncio da catástrofe pode provocar, ao menos, quatro atitudes diferentes: Mobilização contra a distopia, a recusa do saber, a recusa do agir e a inação desesperada. </w:t>
      </w:r>
    </w:p>
    <w:p w14:paraId="26665AF4"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1) A mobilização contra a distopia. Na medida em que o anúncio do pior não descreve um estado de fato, mas visa influenciar a ação e mobilizar os atores para prevenir a situação temida, sua vitória seria precisamente fazer fracassar o pior. A previsão da desgraça tem uma intenção dissuasiva, isto é, ela visa invalidar ou refutar a si própria, provocando um sobressalto de consciência e, logo, uma ação. Quanto mais Cassandra chega a mobilizar as pessoas por sua profecia, mais sua descrição do futuro é falsa e, então, </w:t>
      </w:r>
    </w:p>
    <w:p w14:paraId="3FBC1C08" w14:textId="77777777" w:rsidR="002B7FD3" w:rsidRPr="002B7FD3" w:rsidRDefault="002B7FD3" w:rsidP="002B7FD3">
      <w:pPr>
        <w:widowControl w:val="0"/>
        <w:autoSpaceDE w:val="0"/>
        <w:autoSpaceDN w:val="0"/>
        <w:adjustRightInd w:val="0"/>
        <w:spacing w:after="240" w:line="340" w:lineRule="atLeast"/>
        <w:rPr>
          <w:rFonts w:cs="Times"/>
          <w:color w:val="000000"/>
        </w:rPr>
      </w:pPr>
      <w:r w:rsidRPr="002B7FD3">
        <w:rPr>
          <w:rFonts w:cs="Times"/>
          <w:color w:val="000000"/>
        </w:rPr>
        <w:t xml:space="preserve">28 </w:t>
      </w:r>
    </w:p>
    <w:p w14:paraId="2E8C2D22"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menos ela é crível em sua descrição da desgraça por vir. E, logo, seu propósito terá uma </w:t>
      </w:r>
    </w:p>
    <w:p w14:paraId="52AC3D1A"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eficácia dissuasiva cada vez menos forte. </w:t>
      </w:r>
    </w:p>
    <w:p w14:paraId="34B100C9" w14:textId="77777777" w:rsidR="002B7FD3" w:rsidRPr="002B7FD3" w:rsidRDefault="002B7FD3" w:rsidP="002B7FD3">
      <w:pPr>
        <w:widowControl w:val="0"/>
        <w:numPr>
          <w:ilvl w:val="0"/>
          <w:numId w:val="1"/>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2)  A recusa do saber: Cassandra poderia não ser ouvida, pois sua mensagem é </w:t>
      </w:r>
      <w:r w:rsidRPr="002B7FD3">
        <w:rPr>
          <w:rFonts w:ascii="MS Mincho" w:eastAsia="MS Mincho" w:hAnsi="MS Mincho" w:cs="MS Mincho"/>
          <w:color w:val="000000"/>
        </w:rPr>
        <w:t> </w:t>
      </w:r>
      <w:r w:rsidRPr="002B7FD3">
        <w:rPr>
          <w:rFonts w:cs="Times"/>
          <w:color w:val="000000"/>
        </w:rPr>
        <w:t xml:space="preserve">desagradável, e mesmo insuportável. Em nome de uma postura </w:t>
      </w:r>
      <w:r w:rsidRPr="002B7FD3">
        <w:rPr>
          <w:rFonts w:cs="Times"/>
          <w:i/>
          <w:iCs/>
          <w:color w:val="000000"/>
        </w:rPr>
        <w:t xml:space="preserve">a priori </w:t>
      </w:r>
      <w:r w:rsidRPr="002B7FD3">
        <w:rPr>
          <w:rFonts w:cs="Times"/>
          <w:color w:val="000000"/>
        </w:rPr>
        <w:t xml:space="preserve">otimista, suas mensagens negativas são afastadas em razão de uma atitude de negação, que apresenta semelhanças a um mecanismo de proteção psicológica. </w:t>
      </w:r>
      <w:r w:rsidRPr="002B7FD3">
        <w:rPr>
          <w:rFonts w:ascii="MS Mincho" w:eastAsia="MS Mincho" w:hAnsi="MS Mincho" w:cs="MS Mincho"/>
          <w:color w:val="000000"/>
        </w:rPr>
        <w:t> </w:t>
      </w:r>
    </w:p>
    <w:p w14:paraId="0577FFE8" w14:textId="77777777" w:rsidR="002B7FD3" w:rsidRPr="002B7FD3" w:rsidRDefault="002B7FD3" w:rsidP="002B7FD3">
      <w:pPr>
        <w:widowControl w:val="0"/>
        <w:numPr>
          <w:ilvl w:val="0"/>
          <w:numId w:val="1"/>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3)  A recusa de agir. A terceira atitude corresponde a uma atitude de minimização e de fuga: “eu sei, mesmo assim”. O ouvinte de Cassandra começa a pressentir que ela tem razão, mas prefere fazê-la perder credibilidade e lançar a dúvida. Ele se engaja, então, em subterfúgios e atenua a gravidade da informação: “Nossa sociedade tomou a curva da transição”, “a situação não pode ser tão grave”; “nós encontraremos soluções tecnológica”; “o homem é engenhoso e sua criatividade não tem limites”, “mesmo que as previsões estejam corretas, é melhor não agir segundo elas”, ... </w:t>
      </w:r>
      <w:r w:rsidRPr="002B7FD3">
        <w:rPr>
          <w:rFonts w:ascii="MS Mincho" w:eastAsia="MS Mincho" w:hAnsi="MS Mincho" w:cs="MS Mincho"/>
          <w:color w:val="000000"/>
        </w:rPr>
        <w:t> </w:t>
      </w:r>
    </w:p>
    <w:p w14:paraId="67A1156F" w14:textId="77777777" w:rsidR="002B7FD3" w:rsidRPr="002B7FD3" w:rsidRDefault="002B7FD3" w:rsidP="002B7FD3">
      <w:pPr>
        <w:widowControl w:val="0"/>
        <w:numPr>
          <w:ilvl w:val="0"/>
          <w:numId w:val="1"/>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4)  A inação desesperada. Se a descrição da catástrofe é exata e considerada como tal, a catástrofe é inevitável. Essa quarta atitude é a posição trágica. Nesse caso, que se aja ou não, não muda nada. Ela é, então, o signo da desresponsabilização pela impotência: se a liberdade humana não pode mais engendrar consequências alternativas, para que agir. </w:t>
      </w:r>
      <w:r w:rsidRPr="002B7FD3">
        <w:rPr>
          <w:rFonts w:ascii="MS Mincho" w:eastAsia="MS Mincho" w:hAnsi="MS Mincho" w:cs="MS Mincho"/>
          <w:color w:val="000000"/>
        </w:rPr>
        <w:t> </w:t>
      </w:r>
    </w:p>
    <w:p w14:paraId="29C03F55"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Essas quatro consequências da profecia da desgraça desembocam em 4 atitudes: </w:t>
      </w:r>
    </w:p>
    <w:p w14:paraId="4F4A6AF5" w14:textId="77777777" w:rsidR="002B7FD3" w:rsidRPr="002B7FD3" w:rsidRDefault="002B7FD3" w:rsidP="002B7FD3">
      <w:pPr>
        <w:widowControl w:val="0"/>
        <w:numPr>
          <w:ilvl w:val="0"/>
          <w:numId w:val="2"/>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1)  A mobilização massiva contra a distopia que será, assim, evitada. </w:t>
      </w:r>
      <w:r w:rsidRPr="002B7FD3">
        <w:rPr>
          <w:rFonts w:ascii="MS Mincho" w:eastAsia="MS Mincho" w:hAnsi="MS Mincho" w:cs="MS Mincho"/>
          <w:color w:val="000000"/>
        </w:rPr>
        <w:t> </w:t>
      </w:r>
    </w:p>
    <w:p w14:paraId="74F612FD" w14:textId="77777777" w:rsidR="002B7FD3" w:rsidRPr="002B7FD3" w:rsidRDefault="002B7FD3" w:rsidP="002B7FD3">
      <w:pPr>
        <w:widowControl w:val="0"/>
        <w:numPr>
          <w:ilvl w:val="0"/>
          <w:numId w:val="2"/>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2)  A recusa de ouvir a previsão que bloqueia a questão de uma ação alternativa. </w:t>
      </w:r>
      <w:r w:rsidRPr="002B7FD3">
        <w:rPr>
          <w:rFonts w:ascii="MS Mincho" w:eastAsia="MS Mincho" w:hAnsi="MS Mincho" w:cs="MS Mincho"/>
          <w:color w:val="000000"/>
        </w:rPr>
        <w:t> </w:t>
      </w:r>
    </w:p>
    <w:p w14:paraId="1F4379E2" w14:textId="77777777" w:rsidR="002B7FD3" w:rsidRPr="002B7FD3" w:rsidRDefault="002B7FD3" w:rsidP="002B7FD3">
      <w:pPr>
        <w:widowControl w:val="0"/>
        <w:numPr>
          <w:ilvl w:val="0"/>
          <w:numId w:val="2"/>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3)  A recusa da mobilização massiva, pois um acordo é possível por mudanças locais. </w:t>
      </w:r>
      <w:r w:rsidRPr="002B7FD3">
        <w:rPr>
          <w:rFonts w:ascii="MS Mincho" w:eastAsia="MS Mincho" w:hAnsi="MS Mincho" w:cs="MS Mincho"/>
          <w:color w:val="000000"/>
        </w:rPr>
        <w:t> </w:t>
      </w:r>
    </w:p>
    <w:p w14:paraId="7AA7A43F" w14:textId="77777777" w:rsidR="002B7FD3" w:rsidRPr="002B7FD3" w:rsidRDefault="002B7FD3" w:rsidP="002B7FD3">
      <w:pPr>
        <w:widowControl w:val="0"/>
        <w:numPr>
          <w:ilvl w:val="0"/>
          <w:numId w:val="2"/>
        </w:numPr>
        <w:tabs>
          <w:tab w:val="left" w:pos="220"/>
          <w:tab w:val="left" w:pos="720"/>
        </w:tabs>
        <w:autoSpaceDE w:val="0"/>
        <w:autoSpaceDN w:val="0"/>
        <w:adjustRightInd w:val="0"/>
        <w:spacing w:after="240" w:line="360" w:lineRule="atLeast"/>
        <w:ind w:hanging="720"/>
        <w:rPr>
          <w:rFonts w:cs="Times"/>
          <w:color w:val="000000"/>
        </w:rPr>
      </w:pPr>
      <w:r w:rsidRPr="002B7FD3">
        <w:rPr>
          <w:rFonts w:cs="Times"/>
          <w:color w:val="000000"/>
        </w:rPr>
        <w:t xml:space="preserve">4)  A inutilidade da mobilização, pois a catástrofe não pode mais ser evitada. </w:t>
      </w:r>
      <w:r w:rsidRPr="002B7FD3">
        <w:rPr>
          <w:rFonts w:ascii="MS Mincho" w:eastAsia="MS Mincho" w:hAnsi="MS Mincho" w:cs="MS Mincho"/>
          <w:color w:val="000000"/>
        </w:rPr>
        <w:t> </w:t>
      </w:r>
      <w:r w:rsidRPr="002B7FD3">
        <w:rPr>
          <w:rFonts w:cs="Times"/>
          <w:color w:val="000000"/>
        </w:rPr>
        <w:t xml:space="preserve">No discurso de Cassandra está, portanto, não somente a dimensão performativa da </w:t>
      </w:r>
      <w:r w:rsidRPr="002B7FD3">
        <w:rPr>
          <w:rFonts w:ascii="MS Mincho" w:eastAsia="MS Mincho" w:hAnsi="MS Mincho" w:cs="MS Mincho"/>
          <w:color w:val="000000"/>
        </w:rPr>
        <w:t> </w:t>
      </w:r>
    </w:p>
    <w:p w14:paraId="0C54FA3A"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predição que é preciso sublinhar, mas também sua relação ao medo, e mesmo ao pânico. </w:t>
      </w:r>
    </w:p>
    <w:p w14:paraId="331047EE"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A questão é também aquela da articulação entre o medo e a ação: medo de saber, medo de estar errado e medo de sua própria impotência. </w:t>
      </w:r>
    </w:p>
    <w:p w14:paraId="12A44C88" w14:textId="77777777" w:rsidR="002B7FD3" w:rsidRPr="002B7FD3" w:rsidRDefault="002B7FD3" w:rsidP="002B7FD3">
      <w:pPr>
        <w:widowControl w:val="0"/>
        <w:autoSpaceDE w:val="0"/>
        <w:autoSpaceDN w:val="0"/>
        <w:adjustRightInd w:val="0"/>
        <w:spacing w:after="240" w:line="340" w:lineRule="atLeast"/>
        <w:rPr>
          <w:rFonts w:cs="Times"/>
          <w:color w:val="000000"/>
        </w:rPr>
      </w:pPr>
      <w:r w:rsidRPr="002B7FD3">
        <w:rPr>
          <w:rFonts w:cs="Times"/>
          <w:color w:val="000000"/>
        </w:rPr>
        <w:t xml:space="preserve">29 </w:t>
      </w:r>
    </w:p>
    <w:p w14:paraId="4418B36E"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1) </w:t>
      </w:r>
    </w:p>
    <w:p w14:paraId="02A85B61"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2) </w:t>
      </w:r>
    </w:p>
    <w:p w14:paraId="0FC6589B"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Por medo de saber que se trata, daqui em diante, de renunciar a seu desejo de acumulação e a seu hábito </w:t>
      </w:r>
      <w:r w:rsidRPr="002B7FD3">
        <w:rPr>
          <w:rFonts w:cs="Times"/>
          <w:i/>
          <w:iCs/>
          <w:color w:val="000000"/>
        </w:rPr>
        <w:t>énergivore</w:t>
      </w:r>
      <w:r w:rsidRPr="002B7FD3">
        <w:rPr>
          <w:rFonts w:cs="Times"/>
          <w:color w:val="000000"/>
        </w:rPr>
        <w:t xml:space="preserve">, um mecanismo de defesa psicológica pode engendrar uma dissonância cognitiva: não acreditamos no que sabemos. Nós sabemos apenas parcialmente. </w:t>
      </w:r>
    </w:p>
    <w:p w14:paraId="4741E6E9"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O medo de não poder perseguir seus objetivos e de ter de renunciar a seu modo de vida. Trata-se da negação dos fatos aos quais se impõe valores. Nós não renunciaremos aos nossos hábitos de consumo e se esses fossem colocados em questão pelos cientistas, seria preciso contestar seus resultados. É, assim, que a pós-verdade e as verdades alternativas vem contestar as instituições que são destinadas a garantir a construção dos fatos (pensemos nos jornalistas e pesquisadores que são questionados, ...). </w:t>
      </w:r>
    </w:p>
    <w:p w14:paraId="464456C1"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O medo de sua impotência. Como evitar o efeito de desmobilização que resulta da tomada de consciência da amplitude e, portanto, da inutilidade da ação: “para que agir?” </w:t>
      </w:r>
    </w:p>
    <w:p w14:paraId="46C10959"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3) </w:t>
      </w:r>
    </w:p>
    <w:p w14:paraId="76906FFF"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Parece que é nessa fase trágica da crise que nos encontramos: para que agir se é impossível produzir consequências que inverterão o curso das coisas? </w:t>
      </w:r>
    </w:p>
    <w:p w14:paraId="1E259395"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Depois de ter insistido sobre as consequências do anúncio da catástrofe, seria preciso insistir sobre suas intenções. É claro que no caso de Jonas, de Cassandra ou de Greta Thunberg é aquela da dissuasão e não da manipulação dos efeitos do discurso e do comportamento. Eles estão todos, portanto, em uma perspectiva de veracidade: o dizer verdadeiro que supõe uma atitude ética, a busca constante da exatidão e a sinceridade das palavras. Mas é, também, uma atitude ética que permite ouvir aqueles que tem a intuição da catástrofe futura. É sem dúvida essa atitude de veracidade que Greta Thunberg reclamava dos dirigentes políticos em seu discurso no dia 23 de setembro em New York. E se os profetas e seus ouvintes requerem essa veracidade, é para que o espaço público de tipo democrático seja capaz de ouvir as mensagens de alerta e de denúncia. </w:t>
      </w:r>
    </w:p>
    <w:p w14:paraId="229B7E0B" w14:textId="77777777" w:rsidR="002B7FD3" w:rsidRPr="002B7FD3" w:rsidRDefault="002B7FD3" w:rsidP="002B7FD3">
      <w:pPr>
        <w:widowControl w:val="0"/>
        <w:autoSpaceDE w:val="0"/>
        <w:autoSpaceDN w:val="0"/>
        <w:adjustRightInd w:val="0"/>
        <w:spacing w:after="240" w:line="360" w:lineRule="atLeast"/>
        <w:rPr>
          <w:rFonts w:cs="Times"/>
          <w:color w:val="000000"/>
        </w:rPr>
      </w:pPr>
      <w:r w:rsidRPr="002B7FD3">
        <w:rPr>
          <w:rFonts w:cs="Times"/>
          <w:color w:val="000000"/>
        </w:rPr>
        <w:t xml:space="preserve">Sem dúvida é a responsabilidade do discurso verdadeiro que Jonas nos convida a mobilizar ainda hoje. </w:t>
      </w:r>
    </w:p>
    <w:p w14:paraId="423F2757" w14:textId="77777777" w:rsidR="00F379F5" w:rsidRPr="002B7FD3" w:rsidRDefault="00F379F5"/>
    <w:sectPr w:rsidR="00F379F5" w:rsidRPr="002B7FD3" w:rsidSect="006C7B64">
      <w:footerReference w:type="even" r:id="rId8"/>
      <w:footerReference w:type="default" r:id="rId9"/>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567CB" w14:textId="77777777" w:rsidR="00B0095E" w:rsidRDefault="00B0095E" w:rsidP="002B7FD3">
      <w:r>
        <w:separator/>
      </w:r>
    </w:p>
  </w:endnote>
  <w:endnote w:type="continuationSeparator" w:id="0">
    <w:p w14:paraId="4E08EE83" w14:textId="77777777" w:rsidR="00B0095E" w:rsidRDefault="00B0095E" w:rsidP="002B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000050000000002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5FA7C" w14:textId="77777777" w:rsidR="002B7FD3" w:rsidRDefault="002B7FD3" w:rsidP="0035252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367630D" w14:textId="77777777" w:rsidR="002B7FD3" w:rsidRDefault="002B7FD3" w:rsidP="002B7FD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A941E" w14:textId="77777777" w:rsidR="002B7FD3" w:rsidRDefault="002B7FD3" w:rsidP="0035252C">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0095E">
      <w:rPr>
        <w:rStyle w:val="Numrodepage"/>
        <w:noProof/>
      </w:rPr>
      <w:t>1</w:t>
    </w:r>
    <w:r>
      <w:rPr>
        <w:rStyle w:val="Numrodepage"/>
      </w:rPr>
      <w:fldChar w:fldCharType="end"/>
    </w:r>
  </w:p>
  <w:p w14:paraId="0F311E64" w14:textId="77777777" w:rsidR="002B7FD3" w:rsidRDefault="002B7FD3" w:rsidP="002B7FD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EE1E9" w14:textId="77777777" w:rsidR="00B0095E" w:rsidRDefault="00B0095E" w:rsidP="002B7FD3">
      <w:r>
        <w:separator/>
      </w:r>
    </w:p>
  </w:footnote>
  <w:footnote w:type="continuationSeparator" w:id="0">
    <w:p w14:paraId="5402D3B3" w14:textId="77777777" w:rsidR="00B0095E" w:rsidRDefault="00B0095E" w:rsidP="002B7F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FD3"/>
    <w:rsid w:val="002B7FD3"/>
    <w:rsid w:val="00B0095E"/>
    <w:rsid w:val="00CC3618"/>
    <w:rsid w:val="00F379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D2E1B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B7FD3"/>
    <w:pPr>
      <w:tabs>
        <w:tab w:val="center" w:pos="4536"/>
        <w:tab w:val="right" w:pos="9072"/>
      </w:tabs>
    </w:pPr>
  </w:style>
  <w:style w:type="character" w:customStyle="1" w:styleId="PieddepageCar">
    <w:name w:val="Pied de page Car"/>
    <w:basedOn w:val="Policepardfaut"/>
    <w:link w:val="Pieddepage"/>
    <w:uiPriority w:val="99"/>
    <w:rsid w:val="002B7FD3"/>
  </w:style>
  <w:style w:type="character" w:styleId="Numrodepage">
    <w:name w:val="page number"/>
    <w:basedOn w:val="Policepardfaut"/>
    <w:uiPriority w:val="99"/>
    <w:semiHidden/>
    <w:unhideWhenUsed/>
    <w:rsid w:val="002B7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1784</Words>
  <Characters>9818</Characters>
  <Application>Microsoft Macintosh Word</Application>
  <DocSecurity>0</DocSecurity>
  <Lines>81</Lines>
  <Paragraphs>23</Paragraphs>
  <ScaleCrop>false</ScaleCrop>
  <LinksUpToDate>false</LinksUpToDate>
  <CharactersWithSpaces>11579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Frogneux</dc:creator>
  <cp:keywords/>
  <dc:description/>
  <cp:lastModifiedBy>Nathalie Frogneux</cp:lastModifiedBy>
  <cp:revision>1</cp:revision>
  <dcterms:created xsi:type="dcterms:W3CDTF">2020-05-02T16:25:00Z</dcterms:created>
  <dcterms:modified xsi:type="dcterms:W3CDTF">2020-05-02T16:27:00Z</dcterms:modified>
</cp:coreProperties>
</file>