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4232A" w14:textId="77777777" w:rsidR="004F117A" w:rsidRDefault="004F117A" w:rsidP="004F117A">
      <w:pPr>
        <w:rPr>
          <w:b/>
          <w:bCs/>
          <w:sz w:val="24"/>
          <w:lang w:val="en-US"/>
        </w:rPr>
      </w:pPr>
      <w:r w:rsidRPr="004F117A">
        <w:rPr>
          <w:b/>
          <w:bCs/>
          <w:sz w:val="24"/>
          <w:lang w:val="en-US"/>
        </w:rPr>
        <w:t xml:space="preserve">Exploring orphan crops and </w:t>
      </w:r>
      <w:proofErr w:type="gramStart"/>
      <w:r w:rsidRPr="004F117A">
        <w:rPr>
          <w:b/>
          <w:bCs/>
          <w:sz w:val="24"/>
          <w:lang w:val="en-US"/>
        </w:rPr>
        <w:t>crop</w:t>
      </w:r>
      <w:proofErr w:type="gramEnd"/>
      <w:r w:rsidRPr="004F117A">
        <w:rPr>
          <w:b/>
          <w:bCs/>
          <w:sz w:val="24"/>
          <w:lang w:val="en-US"/>
        </w:rPr>
        <w:t xml:space="preserve"> wild relatives to improve agricultural resilience to climate change</w:t>
      </w:r>
    </w:p>
    <w:p w14:paraId="6DF2B2A9" w14:textId="116EBAD9" w:rsidR="004F117A" w:rsidRPr="004F117A" w:rsidRDefault="004F117A" w:rsidP="004F117A">
      <w:pPr>
        <w:rPr>
          <w:bCs/>
          <w:sz w:val="24"/>
          <w:lang w:val="en-US"/>
        </w:rPr>
      </w:pPr>
      <w:r w:rsidRPr="004F117A">
        <w:rPr>
          <w:bCs/>
          <w:sz w:val="24"/>
          <w:lang w:val="en-US"/>
        </w:rPr>
        <w:t xml:space="preserve">Muriel Quinet, </w:t>
      </w:r>
      <w:r w:rsidR="00F0406C" w:rsidRPr="00F0406C">
        <w:rPr>
          <w:bCs/>
          <w:sz w:val="24"/>
          <w:lang w:val="en-US"/>
        </w:rPr>
        <w:t xml:space="preserve">Research Group in Plant </w:t>
      </w:r>
      <w:r w:rsidR="00F0406C">
        <w:rPr>
          <w:bCs/>
          <w:sz w:val="24"/>
          <w:lang w:val="en-US"/>
        </w:rPr>
        <w:t>Physiology</w:t>
      </w:r>
      <w:r w:rsidRPr="004F117A">
        <w:rPr>
          <w:bCs/>
          <w:sz w:val="24"/>
          <w:lang w:val="en-US"/>
        </w:rPr>
        <w:t>, Earth and Life Institute – Agronomy, UCLouvain, Louvain-la-Neuve, Belgium</w:t>
      </w:r>
    </w:p>
    <w:p w14:paraId="12BCE699" w14:textId="5264D092" w:rsidR="004F117A" w:rsidRPr="004F117A" w:rsidRDefault="004F117A" w:rsidP="004F117A">
      <w:pPr>
        <w:jc w:val="both"/>
        <w:rPr>
          <w:bCs/>
          <w:sz w:val="24"/>
          <w:lang w:val="en-US"/>
        </w:rPr>
      </w:pPr>
      <w:r w:rsidRPr="004F117A">
        <w:rPr>
          <w:bCs/>
          <w:sz w:val="24"/>
          <w:lang w:val="en-US"/>
        </w:rPr>
        <w:t>Climate change is expected to bring rising temperatures and reduced rainfall, imposing multiple stresses on agricultural systems. Expanding food sources by incorporating underutilized crops, such as pseudocereals, could help mitigate these challenges while improving food security. Among them, buckwheat (</w:t>
      </w:r>
      <w:r w:rsidRPr="004F117A">
        <w:rPr>
          <w:bCs/>
          <w:i/>
          <w:iCs/>
          <w:sz w:val="24"/>
          <w:lang w:val="en-US"/>
        </w:rPr>
        <w:t>Fagopyrum esculentum</w:t>
      </w:r>
      <w:r w:rsidRPr="004F117A">
        <w:rPr>
          <w:bCs/>
          <w:sz w:val="24"/>
          <w:lang w:val="en-US"/>
        </w:rPr>
        <w:t xml:space="preserve"> and </w:t>
      </w:r>
      <w:r w:rsidRPr="004F117A">
        <w:rPr>
          <w:bCs/>
          <w:i/>
          <w:iCs/>
          <w:sz w:val="24"/>
          <w:lang w:val="en-US"/>
        </w:rPr>
        <w:t xml:space="preserve">Fagopyrum </w:t>
      </w:r>
      <w:proofErr w:type="spellStart"/>
      <w:r w:rsidRPr="004F117A">
        <w:rPr>
          <w:bCs/>
          <w:i/>
          <w:iCs/>
          <w:sz w:val="24"/>
          <w:lang w:val="en-US"/>
        </w:rPr>
        <w:t>tataricum</w:t>
      </w:r>
      <w:proofErr w:type="spellEnd"/>
      <w:r w:rsidRPr="004F117A">
        <w:rPr>
          <w:bCs/>
          <w:sz w:val="24"/>
          <w:lang w:val="en-US"/>
        </w:rPr>
        <w:t>) and amaranth (</w:t>
      </w:r>
      <w:r w:rsidRPr="004F117A">
        <w:rPr>
          <w:bCs/>
          <w:i/>
          <w:iCs/>
          <w:sz w:val="24"/>
          <w:lang w:val="en-US"/>
        </w:rPr>
        <w:t xml:space="preserve">Amaranthus </w:t>
      </w:r>
      <w:proofErr w:type="spellStart"/>
      <w:r w:rsidRPr="004F117A">
        <w:rPr>
          <w:bCs/>
          <w:i/>
          <w:iCs/>
          <w:sz w:val="24"/>
          <w:lang w:val="en-US"/>
        </w:rPr>
        <w:t>cruentus</w:t>
      </w:r>
      <w:proofErr w:type="spellEnd"/>
      <w:r w:rsidRPr="004F117A">
        <w:rPr>
          <w:bCs/>
          <w:sz w:val="24"/>
          <w:lang w:val="en-US"/>
        </w:rPr>
        <w:t xml:space="preserve">) are gaining attention for their nutritional and medicinal benefits. However, the physiological mechanisms underlying their resistance to heat, drought, and salinity remain largely unexplored. Another promising approach to enhancing crop resilience involves leveraging wild relatives as sources of stress-resistant genes. Within </w:t>
      </w:r>
      <w:proofErr w:type="gramStart"/>
      <w:r w:rsidRPr="004F117A">
        <w:rPr>
          <w:bCs/>
          <w:sz w:val="24"/>
          <w:lang w:val="en-US"/>
        </w:rPr>
        <w:t>the tomato</w:t>
      </w:r>
      <w:proofErr w:type="gramEnd"/>
      <w:r w:rsidRPr="004F117A">
        <w:rPr>
          <w:bCs/>
          <w:sz w:val="24"/>
          <w:lang w:val="en-US"/>
        </w:rPr>
        <w:t xml:space="preserve"> clade, </w:t>
      </w:r>
      <w:r w:rsidRPr="004F117A">
        <w:rPr>
          <w:bCs/>
          <w:i/>
          <w:iCs/>
          <w:sz w:val="24"/>
          <w:lang w:val="en-US"/>
        </w:rPr>
        <w:t xml:space="preserve">Solanum </w:t>
      </w:r>
      <w:proofErr w:type="spellStart"/>
      <w:r w:rsidRPr="004F117A">
        <w:rPr>
          <w:bCs/>
          <w:i/>
          <w:iCs/>
          <w:sz w:val="24"/>
          <w:lang w:val="en-US"/>
        </w:rPr>
        <w:t>chilense</w:t>
      </w:r>
      <w:proofErr w:type="spellEnd"/>
      <w:r w:rsidRPr="004F117A">
        <w:rPr>
          <w:bCs/>
          <w:sz w:val="24"/>
          <w:lang w:val="en-US"/>
        </w:rPr>
        <w:t xml:space="preserve"> stands out due to its high genetic variability and remarkable tolerance to extreme environments. To assess its potential in tomato breeding, we compared the resistance of cultivated tomato (</w:t>
      </w:r>
      <w:r w:rsidRPr="004F117A">
        <w:rPr>
          <w:bCs/>
          <w:i/>
          <w:iCs/>
          <w:sz w:val="24"/>
          <w:lang w:val="en-US"/>
        </w:rPr>
        <w:t xml:space="preserve">Solanum </w:t>
      </w:r>
      <w:proofErr w:type="spellStart"/>
      <w:r w:rsidRPr="004F117A">
        <w:rPr>
          <w:bCs/>
          <w:i/>
          <w:iCs/>
          <w:sz w:val="24"/>
          <w:lang w:val="en-US"/>
        </w:rPr>
        <w:t>lycopersicum</w:t>
      </w:r>
      <w:proofErr w:type="spellEnd"/>
      <w:r w:rsidRPr="004F117A">
        <w:rPr>
          <w:bCs/>
          <w:sz w:val="24"/>
          <w:lang w:val="en-US"/>
        </w:rPr>
        <w:t xml:space="preserve">) and </w:t>
      </w:r>
      <w:r w:rsidRPr="004F117A">
        <w:rPr>
          <w:bCs/>
          <w:i/>
          <w:iCs/>
          <w:sz w:val="24"/>
          <w:lang w:val="en-US"/>
        </w:rPr>
        <w:t xml:space="preserve">S. </w:t>
      </w:r>
      <w:proofErr w:type="spellStart"/>
      <w:r w:rsidRPr="004F117A">
        <w:rPr>
          <w:bCs/>
          <w:i/>
          <w:iCs/>
          <w:sz w:val="24"/>
          <w:lang w:val="en-US"/>
        </w:rPr>
        <w:t>chilense</w:t>
      </w:r>
      <w:proofErr w:type="spellEnd"/>
      <w:r w:rsidRPr="004F117A">
        <w:rPr>
          <w:bCs/>
          <w:sz w:val="24"/>
          <w:lang w:val="en-US"/>
        </w:rPr>
        <w:t xml:space="preserve"> to heat, drought, and salinity stress while also investigating reproductive barriers to facilitate hybridization. These strategies, combining orphan crops and wild genetic resources, offer promising avenues for developing climate-resilient agriculture.</w:t>
      </w:r>
    </w:p>
    <w:p w14:paraId="11CA9CC3" w14:textId="77777777" w:rsidR="003F030B" w:rsidRPr="004F117A" w:rsidRDefault="003F030B" w:rsidP="004F117A">
      <w:pPr>
        <w:rPr>
          <w:lang w:val="en-US"/>
        </w:rPr>
      </w:pPr>
    </w:p>
    <w:sectPr w:rsidR="003F030B" w:rsidRPr="004F11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30B"/>
    <w:rsid w:val="000B1B5E"/>
    <w:rsid w:val="001C7730"/>
    <w:rsid w:val="003F030B"/>
    <w:rsid w:val="004F117A"/>
    <w:rsid w:val="00A1274E"/>
    <w:rsid w:val="00F0406C"/>
    <w:rsid w:val="00FC386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B53D7"/>
  <w15:chartTrackingRefBased/>
  <w15:docId w15:val="{3CFAF1FC-58CE-4DB0-BB69-638EEA2A0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203412">
      <w:bodyDiv w:val="1"/>
      <w:marLeft w:val="0"/>
      <w:marRight w:val="0"/>
      <w:marTop w:val="0"/>
      <w:marBottom w:val="0"/>
      <w:divBdr>
        <w:top w:val="none" w:sz="0" w:space="0" w:color="auto"/>
        <w:left w:val="none" w:sz="0" w:space="0" w:color="auto"/>
        <w:bottom w:val="none" w:sz="0" w:space="0" w:color="auto"/>
        <w:right w:val="none" w:sz="0" w:space="0" w:color="auto"/>
      </w:divBdr>
    </w:div>
    <w:div w:id="211197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224</Words>
  <Characters>1232</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 Quinet</dc:creator>
  <cp:keywords/>
  <dc:description/>
  <cp:lastModifiedBy>Muriel Quinet</cp:lastModifiedBy>
  <cp:revision>2</cp:revision>
  <dcterms:created xsi:type="dcterms:W3CDTF">2025-03-05T17:39:00Z</dcterms:created>
  <dcterms:modified xsi:type="dcterms:W3CDTF">2025-03-05T17:39:00Z</dcterms:modified>
</cp:coreProperties>
</file>