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8A988A" w14:textId="2E2C97C4" w:rsidR="001C6345" w:rsidRPr="00AE5152" w:rsidRDefault="00014DA4" w:rsidP="00AE5152">
      <w:pPr>
        <w:tabs>
          <w:tab w:val="center" w:pos="4533"/>
          <w:tab w:val="left" w:pos="7880"/>
        </w:tabs>
        <w:jc w:val="center"/>
        <w:rPr>
          <w:rFonts w:ascii="Times New Roman" w:hAnsi="Times New Roman" w:cs="Times New Roman"/>
        </w:rPr>
      </w:pPr>
      <w:r w:rsidRPr="00AE5152">
        <w:rPr>
          <w:rFonts w:ascii="Times New Roman" w:hAnsi="Times New Roman" w:cs="Times New Roman"/>
        </w:rPr>
        <w:t>Arrêt “</w:t>
      </w:r>
      <w:proofErr w:type="spellStart"/>
      <w:r w:rsidR="00965507" w:rsidRPr="00AE5152">
        <w:rPr>
          <w:rFonts w:ascii="Times New Roman" w:hAnsi="Times New Roman" w:cs="Times New Roman"/>
          <w:i/>
        </w:rPr>
        <w:t>Doronbantu</w:t>
      </w:r>
      <w:proofErr w:type="spellEnd"/>
      <w:r w:rsidR="00965507" w:rsidRPr="00AE5152">
        <w:rPr>
          <w:rFonts w:ascii="Times New Roman" w:hAnsi="Times New Roman" w:cs="Times New Roman"/>
        </w:rPr>
        <w:t>”</w:t>
      </w:r>
      <w:r w:rsidR="002B618D">
        <w:rPr>
          <w:rFonts w:ascii="Times New Roman" w:hAnsi="Times New Roman" w:cs="Times New Roman"/>
        </w:rPr>
        <w:t xml:space="preserve"> </w:t>
      </w:r>
      <w:r w:rsidR="00965507" w:rsidRPr="00AE5152">
        <w:rPr>
          <w:rFonts w:ascii="Times New Roman" w:hAnsi="Times New Roman" w:cs="Times New Roman"/>
        </w:rPr>
        <w:t xml:space="preserve">: </w:t>
      </w:r>
      <w:r w:rsidR="0010449E" w:rsidRPr="00AE5152">
        <w:rPr>
          <w:rFonts w:ascii="Times New Roman" w:hAnsi="Times New Roman" w:cs="Times New Roman"/>
        </w:rPr>
        <w:t>M</w:t>
      </w:r>
      <w:r w:rsidR="001C6345" w:rsidRPr="00AE5152">
        <w:rPr>
          <w:rFonts w:ascii="Times New Roman" w:hAnsi="Times New Roman" w:cs="Times New Roman"/>
        </w:rPr>
        <w:t xml:space="preserve">andat d’arrêt européen et exigences minimales </w:t>
      </w:r>
      <w:r w:rsidR="00867CB3" w:rsidRPr="00AE5152">
        <w:rPr>
          <w:rFonts w:ascii="Times New Roman" w:hAnsi="Times New Roman" w:cs="Times New Roman"/>
        </w:rPr>
        <w:t>relatives aux conditions de détention</w:t>
      </w:r>
    </w:p>
    <w:p w14:paraId="1B5778FE" w14:textId="01C3BF5F" w:rsidR="0065754B" w:rsidRPr="00AE5152" w:rsidRDefault="0065754B" w:rsidP="00AE5152">
      <w:pPr>
        <w:tabs>
          <w:tab w:val="center" w:pos="4533"/>
          <w:tab w:val="left" w:pos="7880"/>
        </w:tabs>
        <w:jc w:val="center"/>
        <w:rPr>
          <w:rFonts w:ascii="Times New Roman" w:hAnsi="Times New Roman" w:cs="Times New Roman"/>
        </w:rPr>
      </w:pPr>
    </w:p>
    <w:p w14:paraId="05C95E4D" w14:textId="634466E8" w:rsidR="0065754B" w:rsidRPr="00AE5152" w:rsidRDefault="0065754B" w:rsidP="00AE5152">
      <w:pPr>
        <w:tabs>
          <w:tab w:val="center" w:pos="4533"/>
          <w:tab w:val="left" w:pos="7880"/>
        </w:tabs>
        <w:jc w:val="center"/>
        <w:rPr>
          <w:rFonts w:ascii="Times New Roman" w:hAnsi="Times New Roman" w:cs="Times New Roman"/>
        </w:rPr>
      </w:pPr>
      <w:r w:rsidRPr="00AE5152">
        <w:rPr>
          <w:rFonts w:ascii="Times New Roman" w:hAnsi="Times New Roman" w:cs="Times New Roman"/>
        </w:rPr>
        <w:t>Par</w:t>
      </w:r>
    </w:p>
    <w:p w14:paraId="19336207" w14:textId="77777777" w:rsidR="0065754B" w:rsidRPr="00AE5152" w:rsidRDefault="0065754B" w:rsidP="00AE5152">
      <w:pPr>
        <w:tabs>
          <w:tab w:val="center" w:pos="4533"/>
          <w:tab w:val="left" w:pos="7880"/>
        </w:tabs>
        <w:jc w:val="center"/>
        <w:rPr>
          <w:rFonts w:ascii="Times New Roman" w:hAnsi="Times New Roman" w:cs="Times New Roman"/>
        </w:rPr>
      </w:pPr>
    </w:p>
    <w:p w14:paraId="522CAD3E" w14:textId="592DFD4D" w:rsidR="0065754B" w:rsidRPr="00AE5152" w:rsidRDefault="0065754B" w:rsidP="00AE5152">
      <w:pPr>
        <w:tabs>
          <w:tab w:val="center" w:pos="4533"/>
          <w:tab w:val="left" w:pos="7880"/>
        </w:tabs>
        <w:jc w:val="center"/>
        <w:rPr>
          <w:rFonts w:ascii="Times New Roman" w:hAnsi="Times New Roman" w:cs="Times New Roman"/>
        </w:rPr>
      </w:pPr>
      <w:r w:rsidRPr="00AE5152">
        <w:rPr>
          <w:rFonts w:ascii="Times New Roman" w:hAnsi="Times New Roman" w:cs="Times New Roman"/>
        </w:rPr>
        <w:t>Cecilia Rizcallah</w:t>
      </w:r>
      <w:r w:rsidRPr="00AE5152">
        <w:rPr>
          <w:rStyle w:val="Appelnotedebasdep"/>
          <w:rFonts w:ascii="Times New Roman" w:hAnsi="Times New Roman" w:cs="Times New Roman"/>
        </w:rPr>
        <w:footnoteReference w:id="1"/>
      </w:r>
    </w:p>
    <w:p w14:paraId="0DEDA2DE" w14:textId="77777777" w:rsidR="00965507" w:rsidRPr="00AE5152" w:rsidRDefault="00965507" w:rsidP="00AE5152">
      <w:pPr>
        <w:jc w:val="both"/>
        <w:rPr>
          <w:rFonts w:ascii="Times New Roman" w:hAnsi="Times New Roman" w:cs="Times New Roman"/>
        </w:rPr>
      </w:pPr>
    </w:p>
    <w:p w14:paraId="0D53041F" w14:textId="77777777" w:rsidR="00C23256" w:rsidRPr="00AE5152" w:rsidRDefault="00C23256" w:rsidP="00AE5152">
      <w:pPr>
        <w:pStyle w:val="Pardeliste"/>
        <w:numPr>
          <w:ilvl w:val="0"/>
          <w:numId w:val="1"/>
        </w:numPr>
        <w:jc w:val="both"/>
        <w:rPr>
          <w:rFonts w:ascii="Times New Roman" w:hAnsi="Times New Roman" w:cs="Times New Roman"/>
        </w:rPr>
      </w:pPr>
      <w:r w:rsidRPr="00AE5152">
        <w:rPr>
          <w:rFonts w:ascii="Times New Roman" w:hAnsi="Times New Roman" w:cs="Times New Roman"/>
        </w:rPr>
        <w:t>Le mécanisme du mandat d’arrêt européen organise une reconnaissance quasi-automatique des décisions des autorités judiciaires nationales, au sein de l’Union européenne, aux fins de l’exercice de</w:t>
      </w:r>
      <w:bookmarkStart w:id="0" w:name="_GoBack"/>
      <w:bookmarkEnd w:id="0"/>
      <w:r w:rsidRPr="00AE5152">
        <w:rPr>
          <w:rFonts w:ascii="Times New Roman" w:hAnsi="Times New Roman" w:cs="Times New Roman"/>
        </w:rPr>
        <w:t xml:space="preserve"> poursuites ou de l’exécution d’une condamnation dans un État membre</w:t>
      </w:r>
    </w:p>
    <w:p w14:paraId="44D1CCE3" w14:textId="77777777" w:rsidR="00C23256" w:rsidRPr="00AE5152" w:rsidRDefault="00C23256" w:rsidP="00AE5152">
      <w:pPr>
        <w:pStyle w:val="Pardeliste"/>
        <w:jc w:val="both"/>
        <w:rPr>
          <w:rFonts w:ascii="Times New Roman" w:hAnsi="Times New Roman" w:cs="Times New Roman"/>
        </w:rPr>
      </w:pPr>
    </w:p>
    <w:p w14:paraId="3FAE0013" w14:textId="7DDBAF94" w:rsidR="00C23256" w:rsidRPr="00AE5152" w:rsidRDefault="00C23256" w:rsidP="00AE5152">
      <w:pPr>
        <w:pStyle w:val="Pardeliste"/>
        <w:numPr>
          <w:ilvl w:val="0"/>
          <w:numId w:val="1"/>
        </w:numPr>
        <w:jc w:val="both"/>
        <w:rPr>
          <w:rFonts w:ascii="Times New Roman" w:hAnsi="Times New Roman" w:cs="Times New Roman"/>
        </w:rPr>
      </w:pPr>
      <w:r w:rsidRPr="00AE5152">
        <w:rPr>
          <w:rFonts w:ascii="Times New Roman" w:hAnsi="Times New Roman" w:cs="Times New Roman"/>
        </w:rPr>
        <w:t>Ce mécanisme repose sur le principe de confiance mutuelle</w:t>
      </w:r>
      <w:r w:rsidR="00B042DB">
        <w:rPr>
          <w:rFonts w:ascii="Times New Roman" w:hAnsi="Times New Roman" w:cs="Times New Roman"/>
        </w:rPr>
        <w:t>,</w:t>
      </w:r>
      <w:r w:rsidRPr="00AE5152">
        <w:rPr>
          <w:rFonts w:ascii="Times New Roman" w:hAnsi="Times New Roman" w:cs="Times New Roman"/>
        </w:rPr>
        <w:t xml:space="preserve"> lui-même fondé sur le postulat que les États membres sont présumés, sauf circonstances exceptionnelles indiquant le contraire, respecter les droits fondamentaux tels que garantis par la Charte des droits fondamentaux de l’Union européenne</w:t>
      </w:r>
    </w:p>
    <w:p w14:paraId="1145AA0E" w14:textId="77777777" w:rsidR="00C23256" w:rsidRPr="00AE5152" w:rsidRDefault="00C23256" w:rsidP="00AE5152">
      <w:pPr>
        <w:jc w:val="both"/>
        <w:rPr>
          <w:rFonts w:ascii="Times New Roman" w:hAnsi="Times New Roman" w:cs="Times New Roman"/>
        </w:rPr>
      </w:pPr>
    </w:p>
    <w:p w14:paraId="389983B3" w14:textId="0DA218CB" w:rsidR="00C23256" w:rsidRPr="00AE5152" w:rsidRDefault="00C23256" w:rsidP="00AE5152">
      <w:pPr>
        <w:pStyle w:val="Pardeliste"/>
        <w:numPr>
          <w:ilvl w:val="0"/>
          <w:numId w:val="1"/>
        </w:numPr>
        <w:jc w:val="both"/>
        <w:rPr>
          <w:rFonts w:ascii="Times New Roman" w:hAnsi="Times New Roman" w:cs="Times New Roman"/>
        </w:rPr>
      </w:pPr>
      <w:r w:rsidRPr="00AE5152">
        <w:rPr>
          <w:rFonts w:ascii="Times New Roman" w:hAnsi="Times New Roman" w:cs="Times New Roman"/>
        </w:rPr>
        <w:t xml:space="preserve">L’arrêt </w:t>
      </w:r>
      <w:proofErr w:type="spellStart"/>
      <w:r w:rsidRPr="00AE5152">
        <w:rPr>
          <w:rFonts w:ascii="Times New Roman" w:hAnsi="Times New Roman" w:cs="Times New Roman"/>
          <w:i/>
        </w:rPr>
        <w:t>Doronbantu</w:t>
      </w:r>
      <w:proofErr w:type="spellEnd"/>
      <w:r w:rsidRPr="00AE5152">
        <w:rPr>
          <w:rFonts w:ascii="Times New Roman" w:hAnsi="Times New Roman" w:cs="Times New Roman"/>
        </w:rPr>
        <w:t xml:space="preserve"> précise la limite </w:t>
      </w:r>
      <w:r w:rsidR="00067BFE" w:rsidRPr="00AE5152">
        <w:rPr>
          <w:rFonts w:ascii="Times New Roman" w:hAnsi="Times New Roman" w:cs="Times New Roman"/>
        </w:rPr>
        <w:t>reconnue au</w:t>
      </w:r>
      <w:r w:rsidRPr="00AE5152">
        <w:rPr>
          <w:rFonts w:ascii="Times New Roman" w:hAnsi="Times New Roman" w:cs="Times New Roman"/>
        </w:rPr>
        <w:t xml:space="preserve"> principe de confiance mutuelle tenant à l’existence d’un risque de traitement inh</w:t>
      </w:r>
      <w:r w:rsidR="00D0763E" w:rsidRPr="00AE5152">
        <w:rPr>
          <w:rFonts w:ascii="Times New Roman" w:hAnsi="Times New Roman" w:cs="Times New Roman"/>
        </w:rPr>
        <w:t>umain et dégradant résultant de</w:t>
      </w:r>
      <w:r w:rsidRPr="00AE5152">
        <w:rPr>
          <w:rFonts w:ascii="Times New Roman" w:hAnsi="Times New Roman" w:cs="Times New Roman"/>
        </w:rPr>
        <w:t xml:space="preserve"> mauvaises conditions </w:t>
      </w:r>
      <w:r w:rsidR="00D0763E" w:rsidRPr="00AE5152">
        <w:rPr>
          <w:rFonts w:ascii="Times New Roman" w:hAnsi="Times New Roman" w:cs="Times New Roman"/>
        </w:rPr>
        <w:t>de détention</w:t>
      </w:r>
    </w:p>
    <w:p w14:paraId="5C3C3891" w14:textId="77777777" w:rsidR="00C23256" w:rsidRPr="00AE5152" w:rsidRDefault="00C23256" w:rsidP="00AE5152">
      <w:pPr>
        <w:jc w:val="both"/>
        <w:rPr>
          <w:rFonts w:ascii="Times New Roman" w:hAnsi="Times New Roman" w:cs="Times New Roman"/>
        </w:rPr>
      </w:pPr>
    </w:p>
    <w:p w14:paraId="708DE9F3" w14:textId="77777777" w:rsidR="00965507" w:rsidRPr="00AE5152" w:rsidRDefault="00965507" w:rsidP="00AE5152">
      <w:pPr>
        <w:jc w:val="both"/>
        <w:rPr>
          <w:rFonts w:ascii="Times New Roman" w:hAnsi="Times New Roman" w:cs="Times New Roman"/>
        </w:rPr>
      </w:pPr>
    </w:p>
    <w:p w14:paraId="621D6511" w14:textId="505A00CD" w:rsidR="00965507" w:rsidRPr="00AE5152" w:rsidRDefault="00965507" w:rsidP="00AE5152">
      <w:pPr>
        <w:jc w:val="both"/>
        <w:rPr>
          <w:rFonts w:ascii="Times New Roman" w:hAnsi="Times New Roman" w:cs="Times New Roman"/>
        </w:rPr>
      </w:pPr>
      <w:r w:rsidRPr="00AE5152">
        <w:rPr>
          <w:rFonts w:ascii="Times New Roman" w:hAnsi="Times New Roman" w:cs="Times New Roman"/>
        </w:rPr>
        <w:t xml:space="preserve">Mots clés : </w:t>
      </w:r>
      <w:r w:rsidR="002569F1">
        <w:rPr>
          <w:rFonts w:ascii="Times New Roman" w:hAnsi="Times New Roman" w:cs="Times New Roman"/>
        </w:rPr>
        <w:t xml:space="preserve"> </w:t>
      </w:r>
      <w:r w:rsidRPr="00AE5152">
        <w:rPr>
          <w:rFonts w:ascii="Times New Roman" w:hAnsi="Times New Roman" w:cs="Times New Roman"/>
        </w:rPr>
        <w:t>Mandat d’arrêt européen – principe de confiance mutuelle – conditions de détention – interdiction de traitements inhumains et dégradants</w:t>
      </w:r>
      <w:r w:rsidR="00377E0E" w:rsidRPr="00AE5152">
        <w:rPr>
          <w:rFonts w:ascii="Times New Roman" w:hAnsi="Times New Roman" w:cs="Times New Roman"/>
        </w:rPr>
        <w:t xml:space="preserve"> - décision-cadre 2002/584/JAI – Article 4 de la Charte des droits fondamentaux de l’Union européenne </w:t>
      </w:r>
      <w:r w:rsidR="000220BD" w:rsidRPr="00AE5152">
        <w:rPr>
          <w:rFonts w:ascii="Times New Roman" w:hAnsi="Times New Roman" w:cs="Times New Roman"/>
        </w:rPr>
        <w:t xml:space="preserve">- </w:t>
      </w:r>
      <w:proofErr w:type="spellStart"/>
      <w:r w:rsidR="00EA11E0" w:rsidRPr="00EA11E0">
        <w:rPr>
          <w:rFonts w:ascii="Times New Roman" w:hAnsi="Times New Roman" w:cs="Times New Roman"/>
        </w:rPr>
        <w:t>Doronbantu</w:t>
      </w:r>
      <w:proofErr w:type="spellEnd"/>
      <w:r w:rsidR="00EA11E0" w:rsidRPr="00EA11E0">
        <w:rPr>
          <w:rFonts w:ascii="Times New Roman" w:hAnsi="Times New Roman" w:cs="Times New Roman"/>
        </w:rPr>
        <w:t xml:space="preserve"> </w:t>
      </w:r>
      <w:r w:rsidR="00EA11E0">
        <w:rPr>
          <w:rFonts w:ascii="Times New Roman" w:hAnsi="Times New Roman" w:cs="Times New Roman"/>
        </w:rPr>
        <w:t xml:space="preserve">– </w:t>
      </w:r>
      <w:proofErr w:type="spellStart"/>
      <w:r w:rsidR="000220BD" w:rsidRPr="00AE5152">
        <w:rPr>
          <w:rFonts w:ascii="Times New Roman" w:hAnsi="Times New Roman" w:cs="Times New Roman"/>
        </w:rPr>
        <w:t>Aranyosi</w:t>
      </w:r>
      <w:proofErr w:type="spellEnd"/>
      <w:r w:rsidR="000220BD" w:rsidRPr="00AE5152">
        <w:rPr>
          <w:rFonts w:ascii="Times New Roman" w:hAnsi="Times New Roman" w:cs="Times New Roman"/>
        </w:rPr>
        <w:t xml:space="preserve"> et </w:t>
      </w:r>
      <w:proofErr w:type="spellStart"/>
      <w:r w:rsidR="000220BD" w:rsidRPr="00AE5152">
        <w:rPr>
          <w:rFonts w:ascii="Times New Roman" w:hAnsi="Times New Roman" w:cs="Times New Roman"/>
        </w:rPr>
        <w:t>Căldăraru</w:t>
      </w:r>
      <w:proofErr w:type="spellEnd"/>
    </w:p>
    <w:p w14:paraId="1EB50434" w14:textId="77777777" w:rsidR="00067BFE" w:rsidRPr="00AE5152" w:rsidRDefault="00067BFE" w:rsidP="00AE5152">
      <w:pPr>
        <w:jc w:val="both"/>
        <w:rPr>
          <w:rFonts w:ascii="Times New Roman" w:hAnsi="Times New Roman" w:cs="Times New Roman"/>
        </w:rPr>
      </w:pPr>
    </w:p>
    <w:p w14:paraId="216EEFAC" w14:textId="271B5A9E" w:rsidR="00067BFE" w:rsidRPr="00AE5152" w:rsidRDefault="00067BFE" w:rsidP="00AE5152">
      <w:pPr>
        <w:jc w:val="both"/>
        <w:rPr>
          <w:rFonts w:ascii="Times New Roman" w:hAnsi="Times New Roman" w:cs="Times New Roman"/>
          <w:b/>
        </w:rPr>
      </w:pPr>
      <w:r w:rsidRPr="00AE5152">
        <w:rPr>
          <w:rFonts w:ascii="Times New Roman" w:hAnsi="Times New Roman" w:cs="Times New Roman"/>
          <w:b/>
        </w:rPr>
        <w:t xml:space="preserve">Introduction </w:t>
      </w:r>
    </w:p>
    <w:p w14:paraId="37ED567A" w14:textId="77777777" w:rsidR="00067BFE" w:rsidRPr="00AE5152" w:rsidRDefault="00067BFE" w:rsidP="00AE5152">
      <w:pPr>
        <w:jc w:val="both"/>
        <w:rPr>
          <w:rFonts w:ascii="Times New Roman" w:hAnsi="Times New Roman" w:cs="Times New Roman"/>
          <w:b/>
        </w:rPr>
      </w:pPr>
    </w:p>
    <w:p w14:paraId="2782CED3" w14:textId="3E39A1B5" w:rsidR="00EA11E0" w:rsidRDefault="00CF346B" w:rsidP="00AE5152">
      <w:pPr>
        <w:jc w:val="both"/>
        <w:rPr>
          <w:rFonts w:ascii="Times New Roman" w:hAnsi="Times New Roman" w:cs="Times New Roman"/>
        </w:rPr>
      </w:pPr>
      <w:r w:rsidRPr="00AE5152">
        <w:rPr>
          <w:rFonts w:ascii="Times New Roman" w:hAnsi="Times New Roman" w:cs="Times New Roman"/>
        </w:rPr>
        <w:t xml:space="preserve">Rendu </w:t>
      </w:r>
      <w:r w:rsidR="00C074DE" w:rsidRPr="00AE5152">
        <w:rPr>
          <w:rFonts w:ascii="Times New Roman" w:hAnsi="Times New Roman" w:cs="Times New Roman"/>
        </w:rPr>
        <w:t>le 15 octobre dernier par la Cour de justice de l’Union européenne (ci-après « </w:t>
      </w:r>
      <w:r w:rsidR="00DE6BC3">
        <w:rPr>
          <w:rFonts w:ascii="Times New Roman" w:hAnsi="Times New Roman" w:cs="Times New Roman"/>
        </w:rPr>
        <w:t xml:space="preserve">Cour de justice </w:t>
      </w:r>
      <w:r w:rsidR="00C074DE" w:rsidRPr="00AE5152">
        <w:rPr>
          <w:rFonts w:ascii="Times New Roman" w:hAnsi="Times New Roman" w:cs="Times New Roman"/>
        </w:rPr>
        <w:t>»</w:t>
      </w:r>
      <w:r w:rsidR="00DE6BC3">
        <w:rPr>
          <w:rFonts w:ascii="Times New Roman" w:hAnsi="Times New Roman" w:cs="Times New Roman"/>
        </w:rPr>
        <w:t xml:space="preserve"> ou « Cour »</w:t>
      </w:r>
      <w:r w:rsidR="00C074DE" w:rsidRPr="00AE5152">
        <w:rPr>
          <w:rFonts w:ascii="Times New Roman" w:hAnsi="Times New Roman" w:cs="Times New Roman"/>
        </w:rPr>
        <w:t xml:space="preserve">), réunie en grande chambre, l’arrêt </w:t>
      </w:r>
      <w:proofErr w:type="spellStart"/>
      <w:r w:rsidR="00EA11E0">
        <w:rPr>
          <w:rFonts w:ascii="Times New Roman" w:hAnsi="Times New Roman" w:cs="Times New Roman"/>
          <w:i/>
        </w:rPr>
        <w:t>Doronbantu</w:t>
      </w:r>
      <w:proofErr w:type="spellEnd"/>
      <w:r w:rsidR="00C074DE" w:rsidRPr="00AE5152">
        <w:rPr>
          <w:rFonts w:ascii="Times New Roman" w:hAnsi="Times New Roman" w:cs="Times New Roman"/>
        </w:rPr>
        <w:t xml:space="preserve"> porte sur les limites reconnues à l’obligation d’exécution d’un mandat d’arrêt européen</w:t>
      </w:r>
      <w:r w:rsidR="00631BB7" w:rsidRPr="00AE5152">
        <w:rPr>
          <w:rFonts w:ascii="Times New Roman" w:hAnsi="Times New Roman" w:cs="Times New Roman"/>
        </w:rPr>
        <w:t xml:space="preserve"> (ci-après </w:t>
      </w:r>
      <w:r w:rsidR="00D20BC8" w:rsidRPr="00AE5152">
        <w:rPr>
          <w:rFonts w:ascii="Times New Roman" w:hAnsi="Times New Roman" w:cs="Times New Roman"/>
        </w:rPr>
        <w:t>« </w:t>
      </w:r>
      <w:r w:rsidR="00631BB7" w:rsidRPr="00AE5152">
        <w:rPr>
          <w:rFonts w:ascii="Times New Roman" w:hAnsi="Times New Roman" w:cs="Times New Roman"/>
        </w:rPr>
        <w:t>MAE</w:t>
      </w:r>
      <w:r w:rsidR="00D20BC8" w:rsidRPr="00AE5152">
        <w:rPr>
          <w:rFonts w:ascii="Times New Roman" w:hAnsi="Times New Roman" w:cs="Times New Roman"/>
        </w:rPr>
        <w:t> »</w:t>
      </w:r>
      <w:r w:rsidR="00631BB7" w:rsidRPr="00AE5152">
        <w:rPr>
          <w:rFonts w:ascii="Times New Roman" w:hAnsi="Times New Roman" w:cs="Times New Roman"/>
        </w:rPr>
        <w:t>)</w:t>
      </w:r>
      <w:r w:rsidR="00C074DE" w:rsidRPr="00AE5152">
        <w:rPr>
          <w:rFonts w:ascii="Times New Roman" w:hAnsi="Times New Roman" w:cs="Times New Roman"/>
        </w:rPr>
        <w:t xml:space="preserve"> </w:t>
      </w:r>
      <w:r w:rsidR="00B61E67" w:rsidRPr="00AE5152">
        <w:rPr>
          <w:rFonts w:ascii="Times New Roman" w:hAnsi="Times New Roman" w:cs="Times New Roman"/>
        </w:rPr>
        <w:t xml:space="preserve">en présence de défaillances systémiques ou généralisées </w:t>
      </w:r>
      <w:r w:rsidR="00B24DD6">
        <w:rPr>
          <w:rFonts w:ascii="Times New Roman" w:hAnsi="Times New Roman" w:cs="Times New Roman"/>
        </w:rPr>
        <w:t>touchant le</w:t>
      </w:r>
      <w:r w:rsidR="00B61E67" w:rsidRPr="00AE5152">
        <w:rPr>
          <w:rFonts w:ascii="Times New Roman" w:hAnsi="Times New Roman" w:cs="Times New Roman"/>
        </w:rPr>
        <w:t xml:space="preserve"> système pénitentiaire de l’</w:t>
      </w:r>
      <w:r w:rsidR="00E40F48">
        <w:rPr>
          <w:rFonts w:ascii="Times New Roman" w:hAnsi="Times New Roman" w:cs="Times New Roman"/>
        </w:rPr>
        <w:t>É</w:t>
      </w:r>
      <w:r w:rsidR="00B61E67" w:rsidRPr="00AE5152">
        <w:rPr>
          <w:rFonts w:ascii="Times New Roman" w:hAnsi="Times New Roman" w:cs="Times New Roman"/>
        </w:rPr>
        <w:t>tat membre d’émission</w:t>
      </w:r>
      <w:r w:rsidR="00CF4EFD" w:rsidRPr="00AE5152">
        <w:rPr>
          <w:rFonts w:ascii="Times New Roman" w:hAnsi="Times New Roman" w:cs="Times New Roman"/>
        </w:rPr>
        <w:t xml:space="preserve"> du MAE</w:t>
      </w:r>
      <w:r w:rsidR="00631BB7" w:rsidRPr="00AE5152">
        <w:rPr>
          <w:rFonts w:ascii="Times New Roman" w:hAnsi="Times New Roman" w:cs="Times New Roman"/>
        </w:rPr>
        <w:t xml:space="preserve">. </w:t>
      </w:r>
      <w:r w:rsidR="00D42814" w:rsidRPr="00AE5152">
        <w:rPr>
          <w:rFonts w:ascii="Times New Roman" w:hAnsi="Times New Roman" w:cs="Times New Roman"/>
        </w:rPr>
        <w:t xml:space="preserve"> </w:t>
      </w:r>
    </w:p>
    <w:p w14:paraId="311C4BCF" w14:textId="77777777" w:rsidR="00EB6A49" w:rsidRDefault="00EB6A49" w:rsidP="00AE5152">
      <w:pPr>
        <w:jc w:val="both"/>
        <w:rPr>
          <w:rFonts w:ascii="Times New Roman" w:hAnsi="Times New Roman" w:cs="Times New Roman"/>
        </w:rPr>
      </w:pPr>
    </w:p>
    <w:p w14:paraId="6D34998B" w14:textId="25951F17" w:rsidR="00D42814" w:rsidRPr="00AE5152" w:rsidRDefault="00EA11E0" w:rsidP="00AE5152">
      <w:pPr>
        <w:jc w:val="both"/>
        <w:rPr>
          <w:rFonts w:ascii="Times New Roman" w:hAnsi="Times New Roman" w:cs="Times New Roman"/>
        </w:rPr>
      </w:pPr>
      <w:r>
        <w:rPr>
          <w:rFonts w:ascii="Times New Roman" w:hAnsi="Times New Roman" w:cs="Times New Roman"/>
        </w:rPr>
        <w:t>Le</w:t>
      </w:r>
      <w:r w:rsidR="00FD0EBA" w:rsidRPr="00AE5152">
        <w:rPr>
          <w:rFonts w:ascii="Times New Roman" w:hAnsi="Times New Roman" w:cs="Times New Roman"/>
        </w:rPr>
        <w:t xml:space="preserve"> mécanisme du </w:t>
      </w:r>
      <w:r w:rsidR="00CF4EFD" w:rsidRPr="00AE5152">
        <w:rPr>
          <w:rFonts w:ascii="Times New Roman" w:hAnsi="Times New Roman" w:cs="Times New Roman"/>
        </w:rPr>
        <w:t>MAE</w:t>
      </w:r>
      <w:r w:rsidR="00FD0EBA" w:rsidRPr="00AE5152">
        <w:rPr>
          <w:rFonts w:ascii="Times New Roman" w:hAnsi="Times New Roman" w:cs="Times New Roman"/>
        </w:rPr>
        <w:t xml:space="preserve"> organise une reconnaissance quasi-automatique des décisions des autorités judiciaires nationales, au sein de l’Union européenne, aux fins de l’exercice de poursuites ou de l’exécution d’une condamnation dans un État membre. Il est fondé sur le principe de confiance mutuelle qui implique l’obligation, pour l</w:t>
      </w:r>
      <w:r w:rsidR="00E40F48">
        <w:rPr>
          <w:rFonts w:ascii="Times New Roman" w:hAnsi="Times New Roman" w:cs="Times New Roman"/>
        </w:rPr>
        <w:t>es États</w:t>
      </w:r>
      <w:r w:rsidR="00FD0EBA" w:rsidRPr="00AE5152">
        <w:rPr>
          <w:rFonts w:ascii="Times New Roman" w:hAnsi="Times New Roman" w:cs="Times New Roman"/>
        </w:rPr>
        <w:t xml:space="preserve"> membre</w:t>
      </w:r>
      <w:r w:rsidR="00E40F48">
        <w:rPr>
          <w:rFonts w:ascii="Times New Roman" w:hAnsi="Times New Roman" w:cs="Times New Roman"/>
        </w:rPr>
        <w:t>s</w:t>
      </w:r>
      <w:r w:rsidR="00FD0EBA" w:rsidRPr="00AE5152">
        <w:rPr>
          <w:rFonts w:ascii="Times New Roman" w:hAnsi="Times New Roman" w:cs="Times New Roman"/>
        </w:rPr>
        <w:t xml:space="preserve">, de présumer le respect des droits fondamentaux par leurs pairs (I). </w:t>
      </w:r>
      <w:r w:rsidR="00CF4EFD" w:rsidRPr="00AE5152">
        <w:rPr>
          <w:rFonts w:ascii="Times New Roman" w:hAnsi="Times New Roman" w:cs="Times New Roman"/>
        </w:rPr>
        <w:t>L’arrêt commenté confirme</w:t>
      </w:r>
      <w:r w:rsidR="00AB359E" w:rsidRPr="00AE5152">
        <w:rPr>
          <w:rFonts w:ascii="Times New Roman" w:hAnsi="Times New Roman" w:cs="Times New Roman"/>
        </w:rPr>
        <w:t xml:space="preserve"> </w:t>
      </w:r>
      <w:r w:rsidR="00CF4EFD" w:rsidRPr="00AE5152">
        <w:rPr>
          <w:rFonts w:ascii="Times New Roman" w:hAnsi="Times New Roman" w:cs="Times New Roman"/>
        </w:rPr>
        <w:t xml:space="preserve">le caractère </w:t>
      </w:r>
      <w:proofErr w:type="spellStart"/>
      <w:r w:rsidR="00995364">
        <w:rPr>
          <w:rFonts w:ascii="Times New Roman" w:hAnsi="Times New Roman" w:cs="Times New Roman"/>
        </w:rPr>
        <w:t>réfragable</w:t>
      </w:r>
      <w:proofErr w:type="spellEnd"/>
      <w:r w:rsidR="00995364">
        <w:rPr>
          <w:rFonts w:ascii="Times New Roman" w:hAnsi="Times New Roman" w:cs="Times New Roman"/>
        </w:rPr>
        <w:t xml:space="preserve"> </w:t>
      </w:r>
      <w:r w:rsidR="00CF4EFD" w:rsidRPr="00AE5152">
        <w:rPr>
          <w:rFonts w:ascii="Times New Roman" w:hAnsi="Times New Roman" w:cs="Times New Roman"/>
        </w:rPr>
        <w:t>de cette</w:t>
      </w:r>
      <w:r w:rsidR="00FD0EBA" w:rsidRPr="00AE5152">
        <w:rPr>
          <w:rFonts w:ascii="Times New Roman" w:hAnsi="Times New Roman" w:cs="Times New Roman"/>
        </w:rPr>
        <w:t xml:space="preserve"> présomption</w:t>
      </w:r>
      <w:r w:rsidR="00995364">
        <w:rPr>
          <w:rFonts w:ascii="Times New Roman" w:hAnsi="Times New Roman" w:cs="Times New Roman"/>
        </w:rPr>
        <w:t>. Celle-ci doit notamment être</w:t>
      </w:r>
      <w:r w:rsidR="00730AF0" w:rsidRPr="00AE5152">
        <w:rPr>
          <w:rFonts w:ascii="Times New Roman" w:hAnsi="Times New Roman" w:cs="Times New Roman"/>
        </w:rPr>
        <w:t xml:space="preserve"> renversée</w:t>
      </w:r>
      <w:r w:rsidR="00D100AF" w:rsidRPr="00AE5152">
        <w:rPr>
          <w:rFonts w:ascii="Times New Roman" w:hAnsi="Times New Roman" w:cs="Times New Roman"/>
        </w:rPr>
        <w:t>,</w:t>
      </w:r>
      <w:r w:rsidR="00FD0EBA" w:rsidRPr="00AE5152">
        <w:rPr>
          <w:rFonts w:ascii="Times New Roman" w:hAnsi="Times New Roman" w:cs="Times New Roman"/>
        </w:rPr>
        <w:t xml:space="preserve"> </w:t>
      </w:r>
      <w:r w:rsidR="00542C9A" w:rsidRPr="00AE5152">
        <w:rPr>
          <w:rFonts w:ascii="Times New Roman" w:hAnsi="Times New Roman" w:cs="Times New Roman"/>
        </w:rPr>
        <w:t xml:space="preserve">sous certaines conditions, </w:t>
      </w:r>
      <w:r w:rsidR="00FD0EBA" w:rsidRPr="00AE5152">
        <w:rPr>
          <w:rFonts w:ascii="Times New Roman" w:hAnsi="Times New Roman" w:cs="Times New Roman"/>
        </w:rPr>
        <w:t>lorsque les conditions de détention dans l’</w:t>
      </w:r>
      <w:r w:rsidR="00E40F48">
        <w:rPr>
          <w:rFonts w:ascii="Times New Roman" w:hAnsi="Times New Roman" w:cs="Times New Roman"/>
        </w:rPr>
        <w:t>É</w:t>
      </w:r>
      <w:r w:rsidR="00FD0EBA" w:rsidRPr="00AE5152">
        <w:rPr>
          <w:rFonts w:ascii="Times New Roman" w:hAnsi="Times New Roman" w:cs="Times New Roman"/>
        </w:rPr>
        <w:t>tat membre d’</w:t>
      </w:r>
      <w:r w:rsidR="00D42814" w:rsidRPr="00AE5152">
        <w:rPr>
          <w:rFonts w:ascii="Times New Roman" w:hAnsi="Times New Roman" w:cs="Times New Roman"/>
        </w:rPr>
        <w:t>émission présentent de</w:t>
      </w:r>
      <w:r w:rsidR="00730AF0" w:rsidRPr="00AE5152">
        <w:rPr>
          <w:rFonts w:ascii="Times New Roman" w:hAnsi="Times New Roman" w:cs="Times New Roman"/>
        </w:rPr>
        <w:t>s</w:t>
      </w:r>
      <w:r w:rsidR="00D42814" w:rsidRPr="00AE5152">
        <w:rPr>
          <w:rFonts w:ascii="Times New Roman" w:hAnsi="Times New Roman" w:cs="Times New Roman"/>
        </w:rPr>
        <w:t xml:space="preserve"> défaillances</w:t>
      </w:r>
      <w:r w:rsidR="00730AF0" w:rsidRPr="00AE5152">
        <w:rPr>
          <w:rFonts w:ascii="Times New Roman" w:hAnsi="Times New Roman" w:cs="Times New Roman"/>
        </w:rPr>
        <w:t xml:space="preserve"> systémiques ou généralisées</w:t>
      </w:r>
      <w:r w:rsidR="00D20BC8" w:rsidRPr="00AE5152">
        <w:rPr>
          <w:rFonts w:ascii="Times New Roman" w:hAnsi="Times New Roman" w:cs="Times New Roman"/>
        </w:rPr>
        <w:t xml:space="preserve"> entra</w:t>
      </w:r>
      <w:r w:rsidR="00E40F48">
        <w:rPr>
          <w:rFonts w:ascii="Times New Roman" w:hAnsi="Times New Roman" w:cs="Times New Roman"/>
        </w:rPr>
        <w:t>î</w:t>
      </w:r>
      <w:r w:rsidR="00D20BC8" w:rsidRPr="00AE5152">
        <w:rPr>
          <w:rFonts w:ascii="Times New Roman" w:hAnsi="Times New Roman" w:cs="Times New Roman"/>
        </w:rPr>
        <w:t>nant un risque de violation de l’article 4 de la Charte des droits fondamentaux de l’Union européenne (ci-après « la Charte »</w:t>
      </w:r>
      <w:r w:rsidR="00800033">
        <w:rPr>
          <w:rFonts w:ascii="Times New Roman" w:hAnsi="Times New Roman" w:cs="Times New Roman"/>
        </w:rPr>
        <w:t xml:space="preserve">) </w:t>
      </w:r>
      <w:r w:rsidR="00D42814" w:rsidRPr="00AE5152">
        <w:rPr>
          <w:rFonts w:ascii="Times New Roman" w:hAnsi="Times New Roman" w:cs="Times New Roman"/>
        </w:rPr>
        <w:t xml:space="preserve">(II).  </w:t>
      </w:r>
      <w:r w:rsidR="007F58F7">
        <w:rPr>
          <w:rFonts w:ascii="Times New Roman" w:hAnsi="Times New Roman" w:cs="Times New Roman"/>
        </w:rPr>
        <w:t xml:space="preserve">Par cette jurisprudence, </w:t>
      </w:r>
      <w:r w:rsidR="006E54E3">
        <w:rPr>
          <w:rFonts w:ascii="Times New Roman" w:hAnsi="Times New Roman" w:cs="Times New Roman"/>
        </w:rPr>
        <w:t xml:space="preserve">dont la mise en œuvre concrète présente certes </w:t>
      </w:r>
      <w:r w:rsidR="00791796">
        <w:rPr>
          <w:rFonts w:ascii="Times New Roman" w:hAnsi="Times New Roman" w:cs="Times New Roman"/>
        </w:rPr>
        <w:t>de sérieuses</w:t>
      </w:r>
      <w:r w:rsidR="006E54E3">
        <w:rPr>
          <w:rFonts w:ascii="Times New Roman" w:hAnsi="Times New Roman" w:cs="Times New Roman"/>
        </w:rPr>
        <w:t xml:space="preserve"> difficultés</w:t>
      </w:r>
      <w:r w:rsidR="007F58F7">
        <w:rPr>
          <w:rFonts w:ascii="Times New Roman" w:hAnsi="Times New Roman" w:cs="Times New Roman"/>
        </w:rPr>
        <w:t xml:space="preserve">, la Cour de justice </w:t>
      </w:r>
      <w:r w:rsidR="001C33F0">
        <w:rPr>
          <w:rFonts w:ascii="Times New Roman" w:hAnsi="Times New Roman" w:cs="Times New Roman"/>
        </w:rPr>
        <w:t>tente de concilier, autant que faire se peut, les impératifs de lutte contre l’impunité et de protection des droits fondamentaux dans l’espace de liberté, de sécurité et de justice (III).</w:t>
      </w:r>
    </w:p>
    <w:p w14:paraId="359B103E" w14:textId="0F50DB86" w:rsidR="00D42814" w:rsidRPr="00AE5152" w:rsidRDefault="0029442F" w:rsidP="00AE5152">
      <w:pPr>
        <w:pStyle w:val="Pardeliste"/>
        <w:numPr>
          <w:ilvl w:val="0"/>
          <w:numId w:val="2"/>
        </w:numPr>
        <w:ind w:left="993"/>
        <w:jc w:val="both"/>
        <w:rPr>
          <w:rFonts w:ascii="Times New Roman" w:hAnsi="Times New Roman" w:cs="Times New Roman"/>
          <w:b/>
        </w:rPr>
      </w:pPr>
      <w:r w:rsidRPr="00AE5152">
        <w:rPr>
          <w:rFonts w:ascii="Times New Roman" w:hAnsi="Times New Roman" w:cs="Times New Roman"/>
          <w:b/>
        </w:rPr>
        <w:lastRenderedPageBreak/>
        <w:t xml:space="preserve">Le mandat d’arrêt européen et le principe de confiance mutuelle </w:t>
      </w:r>
    </w:p>
    <w:p w14:paraId="1DEAF86D" w14:textId="77777777" w:rsidR="00D42814" w:rsidRPr="00AE5152" w:rsidRDefault="00D42814" w:rsidP="00AE5152">
      <w:pPr>
        <w:jc w:val="both"/>
        <w:rPr>
          <w:rFonts w:ascii="Times New Roman" w:hAnsi="Times New Roman" w:cs="Times New Roman"/>
          <w:b/>
        </w:rPr>
      </w:pPr>
    </w:p>
    <w:p w14:paraId="1A0EDECA" w14:textId="75F9DF43" w:rsidR="0031474A" w:rsidRPr="00AE5152" w:rsidRDefault="00E40F48" w:rsidP="00AE5152">
      <w:pPr>
        <w:jc w:val="both"/>
        <w:rPr>
          <w:rFonts w:ascii="Times New Roman" w:hAnsi="Times New Roman" w:cs="Times New Roman"/>
        </w:rPr>
      </w:pPr>
      <w:r>
        <w:rPr>
          <w:rFonts w:ascii="Times New Roman" w:hAnsi="Times New Roman" w:cs="Times New Roman"/>
        </w:rPr>
        <w:t>É</w:t>
      </w:r>
      <w:r w:rsidR="00112277" w:rsidRPr="00AE5152">
        <w:rPr>
          <w:rFonts w:ascii="Times New Roman" w:hAnsi="Times New Roman" w:cs="Times New Roman"/>
        </w:rPr>
        <w:t xml:space="preserve">tabli par la décision-cadre </w:t>
      </w:r>
      <w:r w:rsidR="00112277" w:rsidRPr="00AE5152">
        <w:rPr>
          <w:rFonts w:ascii="Times New Roman" w:hAnsi="Times New Roman" w:cs="Times New Roman"/>
          <w:color w:val="000000" w:themeColor="text1"/>
        </w:rPr>
        <w:t>2002/584/JAI du 13 juin 2002</w:t>
      </w:r>
      <w:r w:rsidR="00112277" w:rsidRPr="00AE5152">
        <w:rPr>
          <w:rStyle w:val="Appelnotedebasdep"/>
          <w:rFonts w:ascii="Times New Roman" w:hAnsi="Times New Roman" w:cs="Times New Roman"/>
        </w:rPr>
        <w:footnoteReference w:id="2"/>
      </w:r>
      <w:r w:rsidR="00112277" w:rsidRPr="00AE5152">
        <w:rPr>
          <w:rFonts w:ascii="Times New Roman" w:hAnsi="Times New Roman" w:cs="Times New Roman"/>
        </w:rPr>
        <w:t xml:space="preserve">, le </w:t>
      </w:r>
      <w:r w:rsidR="00D20BC8" w:rsidRPr="00AE5152">
        <w:rPr>
          <w:rFonts w:ascii="Times New Roman" w:hAnsi="Times New Roman" w:cs="Times New Roman"/>
        </w:rPr>
        <w:t>MAE</w:t>
      </w:r>
      <w:r w:rsidR="00112277" w:rsidRPr="00AE5152">
        <w:rPr>
          <w:rFonts w:ascii="Times New Roman" w:hAnsi="Times New Roman" w:cs="Times New Roman"/>
        </w:rPr>
        <w:t xml:space="preserve"> constitue l’un des instruments </w:t>
      </w:r>
      <w:r w:rsidR="004A2ECB">
        <w:rPr>
          <w:rFonts w:ascii="Times New Roman" w:hAnsi="Times New Roman" w:cs="Times New Roman"/>
        </w:rPr>
        <w:t>phares</w:t>
      </w:r>
      <w:r w:rsidR="00112277" w:rsidRPr="00AE5152">
        <w:rPr>
          <w:rFonts w:ascii="Times New Roman" w:hAnsi="Times New Roman" w:cs="Times New Roman"/>
        </w:rPr>
        <w:t xml:space="preserve"> de la coopération pénale dans l’Union européenne. </w:t>
      </w:r>
      <w:r w:rsidR="00B042DB">
        <w:rPr>
          <w:rFonts w:ascii="Times New Roman" w:hAnsi="Times New Roman" w:cs="Times New Roman"/>
        </w:rPr>
        <w:t>Ce mécanisme</w:t>
      </w:r>
      <w:r w:rsidR="00B94512" w:rsidRPr="00AE5152">
        <w:rPr>
          <w:rFonts w:ascii="Times New Roman" w:hAnsi="Times New Roman" w:cs="Times New Roman"/>
        </w:rPr>
        <w:t xml:space="preserve"> instaure un système simplifié de remise entre les États membres des personnes condamnées ou soupçonnées, aux fins de l’exécution d’un jugement ou de poursuites en matière pénale.</w:t>
      </w:r>
      <w:r w:rsidR="00112277" w:rsidRPr="00AE5152">
        <w:rPr>
          <w:rFonts w:ascii="Times New Roman" w:hAnsi="Times New Roman" w:cs="Times New Roman"/>
        </w:rPr>
        <w:t xml:space="preserve"> </w:t>
      </w:r>
      <w:r w:rsidR="00B94512" w:rsidRPr="00AE5152">
        <w:rPr>
          <w:rFonts w:ascii="Times New Roman" w:hAnsi="Times New Roman" w:cs="Times New Roman"/>
        </w:rPr>
        <w:t xml:space="preserve">Il impose une remise quasi-automatique de ces personnes entre les </w:t>
      </w:r>
      <w:r w:rsidR="00B042DB">
        <w:rPr>
          <w:rFonts w:ascii="Times New Roman" w:hAnsi="Times New Roman" w:cs="Times New Roman"/>
        </w:rPr>
        <w:t>autorités judiciaires nationales</w:t>
      </w:r>
      <w:r w:rsidR="00B94512" w:rsidRPr="00AE5152">
        <w:rPr>
          <w:rFonts w:ascii="Times New Roman" w:hAnsi="Times New Roman" w:cs="Times New Roman"/>
        </w:rPr>
        <w:t xml:space="preserve"> en définissant de manière précise et limitative les circonstances qui justifient d’écarter l’exécution d’un </w:t>
      </w:r>
      <w:r w:rsidR="006E54E3">
        <w:rPr>
          <w:rFonts w:ascii="Times New Roman" w:hAnsi="Times New Roman" w:cs="Times New Roman"/>
        </w:rPr>
        <w:t>MAE</w:t>
      </w:r>
      <w:r w:rsidR="00B94512" w:rsidRPr="00AE5152">
        <w:rPr>
          <w:rStyle w:val="Appelnotedebasdep"/>
          <w:rFonts w:ascii="Times New Roman" w:hAnsi="Times New Roman" w:cs="Times New Roman"/>
        </w:rPr>
        <w:footnoteReference w:id="3"/>
      </w:r>
      <w:r w:rsidR="00B94512" w:rsidRPr="00AE5152">
        <w:rPr>
          <w:rFonts w:ascii="Times New Roman" w:hAnsi="Times New Roman" w:cs="Times New Roman"/>
        </w:rPr>
        <w:t>. La quasi-automat</w:t>
      </w:r>
      <w:r w:rsidR="00D20449" w:rsidRPr="00AE5152">
        <w:rPr>
          <w:rFonts w:ascii="Times New Roman" w:hAnsi="Times New Roman" w:cs="Times New Roman"/>
        </w:rPr>
        <w:t>icit</w:t>
      </w:r>
      <w:r w:rsidR="00B94512" w:rsidRPr="00AE5152">
        <w:rPr>
          <w:rFonts w:ascii="Times New Roman" w:hAnsi="Times New Roman" w:cs="Times New Roman"/>
        </w:rPr>
        <w:t>é du mécanisme est justifié</w:t>
      </w:r>
      <w:r>
        <w:rPr>
          <w:rFonts w:ascii="Times New Roman" w:hAnsi="Times New Roman" w:cs="Times New Roman"/>
        </w:rPr>
        <w:t>e</w:t>
      </w:r>
      <w:r w:rsidR="00B94512" w:rsidRPr="00AE5152">
        <w:rPr>
          <w:rFonts w:ascii="Times New Roman" w:hAnsi="Times New Roman" w:cs="Times New Roman"/>
        </w:rPr>
        <w:t xml:space="preserve"> par le principe de confiance mutuelle, qui impose </w:t>
      </w:r>
      <w:r w:rsidR="002D0023" w:rsidRPr="00AE5152">
        <w:rPr>
          <w:rFonts w:ascii="Times New Roman" w:hAnsi="Times New Roman" w:cs="Times New Roman"/>
        </w:rPr>
        <w:t xml:space="preserve">aux </w:t>
      </w:r>
      <w:r>
        <w:rPr>
          <w:rFonts w:ascii="Times New Roman" w:hAnsi="Times New Roman" w:cs="Times New Roman"/>
        </w:rPr>
        <w:t>É</w:t>
      </w:r>
      <w:r w:rsidR="002D0023" w:rsidRPr="00AE5152">
        <w:rPr>
          <w:rFonts w:ascii="Times New Roman" w:hAnsi="Times New Roman" w:cs="Times New Roman"/>
        </w:rPr>
        <w:t>tats membres de considérer, « sauf circonstances exceptionnelles</w:t>
      </w:r>
      <w:r w:rsidR="00A4494D" w:rsidRPr="00AE5152">
        <w:rPr>
          <w:rFonts w:ascii="Times New Roman" w:hAnsi="Times New Roman" w:cs="Times New Roman"/>
        </w:rPr>
        <w:t> que tous les autres États membres respectent le droit de l’Union et, tout particulièrement, les droits fondamentaux reconnus par ce droit »</w:t>
      </w:r>
      <w:r w:rsidR="00A4494D" w:rsidRPr="00AE5152">
        <w:rPr>
          <w:rStyle w:val="Appelnotedebasdep"/>
          <w:rFonts w:ascii="Times New Roman" w:hAnsi="Times New Roman" w:cs="Times New Roman"/>
        </w:rPr>
        <w:footnoteReference w:id="4"/>
      </w:r>
      <w:r w:rsidR="00A4494D" w:rsidRPr="00AE5152">
        <w:rPr>
          <w:rFonts w:ascii="Times New Roman" w:hAnsi="Times New Roman" w:cs="Times New Roman"/>
        </w:rPr>
        <w:t>.</w:t>
      </w:r>
      <w:r w:rsidR="0031474A" w:rsidRPr="00AE5152">
        <w:rPr>
          <w:rFonts w:ascii="Times New Roman" w:hAnsi="Times New Roman" w:cs="Times New Roman"/>
        </w:rPr>
        <w:t xml:space="preserve"> Une autorité judiciaire nationale n’est donc en principe pas en droit de vérifier le respect, par l’État membre d’émission, des droits fondamentaux avant l’exécution d’un </w:t>
      </w:r>
      <w:r w:rsidR="006E54E3">
        <w:rPr>
          <w:rFonts w:ascii="Times New Roman" w:hAnsi="Times New Roman" w:cs="Times New Roman"/>
        </w:rPr>
        <w:t>MAE</w:t>
      </w:r>
      <w:r w:rsidR="0031474A" w:rsidRPr="00AE5152">
        <w:rPr>
          <w:rFonts w:ascii="Times New Roman" w:hAnsi="Times New Roman" w:cs="Times New Roman"/>
        </w:rPr>
        <w:t>.</w:t>
      </w:r>
      <w:r w:rsidR="0029442F" w:rsidRPr="00AE5152">
        <w:rPr>
          <w:rFonts w:ascii="Times New Roman" w:hAnsi="Times New Roman" w:cs="Times New Roman"/>
        </w:rPr>
        <w:t xml:space="preserve"> </w:t>
      </w:r>
      <w:r w:rsidR="009C3739" w:rsidRPr="00AE5152">
        <w:rPr>
          <w:rFonts w:ascii="Times New Roman" w:hAnsi="Times New Roman" w:cs="Times New Roman"/>
        </w:rPr>
        <w:t>Le principe de confiance mutuelle</w:t>
      </w:r>
      <w:r w:rsidR="0029442F" w:rsidRPr="00AE5152">
        <w:rPr>
          <w:rFonts w:ascii="Times New Roman" w:hAnsi="Times New Roman" w:cs="Times New Roman"/>
        </w:rPr>
        <w:t xml:space="preserve"> contribue</w:t>
      </w:r>
      <w:r w:rsidR="009C3739" w:rsidRPr="00AE5152">
        <w:rPr>
          <w:rFonts w:ascii="Times New Roman" w:hAnsi="Times New Roman" w:cs="Times New Roman"/>
        </w:rPr>
        <w:t xml:space="preserve"> </w:t>
      </w:r>
      <w:r w:rsidR="0029442F" w:rsidRPr="00AE5152">
        <w:rPr>
          <w:rFonts w:ascii="Times New Roman" w:hAnsi="Times New Roman" w:cs="Times New Roman"/>
        </w:rPr>
        <w:t>à lutte contre l’impunité au sein de l’</w:t>
      </w:r>
      <w:r w:rsidR="009C3739" w:rsidRPr="00AE5152">
        <w:rPr>
          <w:rFonts w:ascii="Times New Roman" w:hAnsi="Times New Roman" w:cs="Times New Roman"/>
        </w:rPr>
        <w:t xml:space="preserve">espace européen sans frontières en </w:t>
      </w:r>
      <w:r w:rsidR="004E6883">
        <w:rPr>
          <w:rFonts w:ascii="Times New Roman" w:hAnsi="Times New Roman" w:cs="Times New Roman"/>
        </w:rPr>
        <w:t>renforçant</w:t>
      </w:r>
      <w:r w:rsidR="009C3739" w:rsidRPr="00AE5152">
        <w:rPr>
          <w:rFonts w:ascii="Times New Roman" w:hAnsi="Times New Roman" w:cs="Times New Roman"/>
        </w:rPr>
        <w:t xml:space="preserve"> l’effi</w:t>
      </w:r>
      <w:r w:rsidR="00B042DB">
        <w:rPr>
          <w:rFonts w:ascii="Times New Roman" w:hAnsi="Times New Roman" w:cs="Times New Roman"/>
        </w:rPr>
        <w:t>cacité de la coopération pénale</w:t>
      </w:r>
      <w:r w:rsidR="00C23BA5">
        <w:rPr>
          <w:rFonts w:ascii="Times New Roman" w:hAnsi="Times New Roman" w:cs="Times New Roman"/>
        </w:rPr>
        <w:t xml:space="preserve"> </w:t>
      </w:r>
      <w:r w:rsidR="004E6883">
        <w:rPr>
          <w:rFonts w:ascii="Times New Roman" w:hAnsi="Times New Roman" w:cs="Times New Roman"/>
        </w:rPr>
        <w:t>entre les Etats membres</w:t>
      </w:r>
      <w:r w:rsidR="00B042DB">
        <w:rPr>
          <w:rFonts w:ascii="Times New Roman" w:hAnsi="Times New Roman" w:cs="Times New Roman"/>
        </w:rPr>
        <w:t>.</w:t>
      </w:r>
    </w:p>
    <w:p w14:paraId="30A3E2E2" w14:textId="5E5AC806" w:rsidR="00E55E2F" w:rsidRPr="00AE5152" w:rsidRDefault="00E55E2F" w:rsidP="00AE5152">
      <w:pPr>
        <w:jc w:val="both"/>
        <w:rPr>
          <w:rFonts w:ascii="Times New Roman" w:hAnsi="Times New Roman" w:cs="Times New Roman"/>
          <w:b/>
        </w:rPr>
      </w:pPr>
    </w:p>
    <w:p w14:paraId="2CF2D63C" w14:textId="5A2312B8" w:rsidR="00D42814" w:rsidRPr="00AE5152" w:rsidRDefault="0029442F" w:rsidP="00AE5152">
      <w:pPr>
        <w:pStyle w:val="Pardeliste"/>
        <w:numPr>
          <w:ilvl w:val="0"/>
          <w:numId w:val="2"/>
        </w:numPr>
        <w:jc w:val="both"/>
        <w:rPr>
          <w:rFonts w:ascii="Times New Roman" w:hAnsi="Times New Roman" w:cs="Times New Roman"/>
          <w:b/>
        </w:rPr>
      </w:pPr>
      <w:r w:rsidRPr="00AE5152">
        <w:rPr>
          <w:rFonts w:ascii="Times New Roman" w:hAnsi="Times New Roman" w:cs="Times New Roman"/>
          <w:b/>
        </w:rPr>
        <w:t>La jurisprudence</w:t>
      </w:r>
      <w:r w:rsidRPr="00AE5152">
        <w:rPr>
          <w:rFonts w:ascii="Times New Roman" w:hAnsi="Times New Roman" w:cs="Times New Roman"/>
          <w:b/>
          <w:i/>
          <w:color w:val="000000" w:themeColor="text1"/>
        </w:rPr>
        <w:t xml:space="preserve"> </w:t>
      </w:r>
      <w:proofErr w:type="spellStart"/>
      <w:r w:rsidRPr="00AE5152">
        <w:rPr>
          <w:rFonts w:ascii="Times New Roman" w:hAnsi="Times New Roman" w:cs="Times New Roman"/>
          <w:b/>
          <w:i/>
          <w:color w:val="000000" w:themeColor="text1"/>
        </w:rPr>
        <w:t>Aranyosi</w:t>
      </w:r>
      <w:proofErr w:type="spellEnd"/>
      <w:r w:rsidRPr="00AE5152">
        <w:rPr>
          <w:rFonts w:ascii="Times New Roman" w:hAnsi="Times New Roman" w:cs="Times New Roman"/>
          <w:b/>
          <w:i/>
          <w:color w:val="000000" w:themeColor="text1"/>
        </w:rPr>
        <w:t xml:space="preserve"> et </w:t>
      </w:r>
      <w:proofErr w:type="spellStart"/>
      <w:r w:rsidRPr="00AE5152">
        <w:rPr>
          <w:rFonts w:ascii="Times New Roman" w:hAnsi="Times New Roman" w:cs="Times New Roman"/>
          <w:b/>
          <w:i/>
          <w:color w:val="000000" w:themeColor="text1"/>
        </w:rPr>
        <w:t>Căldăraru</w:t>
      </w:r>
      <w:proofErr w:type="spellEnd"/>
      <w:r w:rsidRPr="00AE5152">
        <w:rPr>
          <w:rFonts w:ascii="Times New Roman" w:hAnsi="Times New Roman" w:cs="Times New Roman"/>
          <w:b/>
          <w:i/>
          <w:color w:val="000000" w:themeColor="text1"/>
        </w:rPr>
        <w:t xml:space="preserve">, ML </w:t>
      </w:r>
      <w:r w:rsidRPr="00AE5152">
        <w:rPr>
          <w:rFonts w:ascii="Times New Roman" w:hAnsi="Times New Roman" w:cs="Times New Roman"/>
          <w:b/>
          <w:color w:val="000000" w:themeColor="text1"/>
        </w:rPr>
        <w:t xml:space="preserve">et </w:t>
      </w:r>
      <w:proofErr w:type="spellStart"/>
      <w:r w:rsidRPr="00AE5152">
        <w:rPr>
          <w:rFonts w:ascii="Times New Roman" w:hAnsi="Times New Roman" w:cs="Times New Roman"/>
          <w:b/>
          <w:i/>
          <w:color w:val="000000" w:themeColor="text1"/>
        </w:rPr>
        <w:t>Dorobantu</w:t>
      </w:r>
      <w:proofErr w:type="spellEnd"/>
      <w:r w:rsidRPr="00AE5152">
        <w:rPr>
          <w:rFonts w:ascii="Times New Roman" w:hAnsi="Times New Roman" w:cs="Times New Roman"/>
          <w:b/>
          <w:i/>
          <w:color w:val="000000" w:themeColor="text1"/>
        </w:rPr>
        <w:t> </w:t>
      </w:r>
      <w:r w:rsidRPr="00AE5152">
        <w:rPr>
          <w:rFonts w:ascii="Times New Roman" w:hAnsi="Times New Roman" w:cs="Times New Roman"/>
          <w:b/>
          <w:color w:val="000000" w:themeColor="text1"/>
        </w:rPr>
        <w:t xml:space="preserve">: les </w:t>
      </w:r>
      <w:r w:rsidR="003D4A7D" w:rsidRPr="00AE5152">
        <w:rPr>
          <w:rFonts w:ascii="Times New Roman" w:hAnsi="Times New Roman" w:cs="Times New Roman"/>
          <w:b/>
        </w:rPr>
        <w:t xml:space="preserve">exceptions au principe de confiance mutuelle tenant </w:t>
      </w:r>
      <w:r w:rsidRPr="00AE5152">
        <w:rPr>
          <w:rFonts w:ascii="Times New Roman" w:hAnsi="Times New Roman" w:cs="Times New Roman"/>
          <w:b/>
        </w:rPr>
        <w:t>à l’existence de</w:t>
      </w:r>
      <w:r w:rsidR="003D4A7D" w:rsidRPr="00AE5152">
        <w:rPr>
          <w:rFonts w:ascii="Times New Roman" w:hAnsi="Times New Roman" w:cs="Times New Roman"/>
          <w:b/>
        </w:rPr>
        <w:t xml:space="preserve"> mauvaises conditions de détention</w:t>
      </w:r>
      <w:r w:rsidR="00D12179">
        <w:rPr>
          <w:rFonts w:ascii="Times New Roman" w:hAnsi="Times New Roman" w:cs="Times New Roman"/>
          <w:b/>
        </w:rPr>
        <w:t xml:space="preserve"> dans les prisons</w:t>
      </w:r>
    </w:p>
    <w:p w14:paraId="7EC3ED83" w14:textId="77777777" w:rsidR="00D20449" w:rsidRPr="00AE5152" w:rsidRDefault="00D20449" w:rsidP="00AE5152">
      <w:pPr>
        <w:pStyle w:val="Pardeliste"/>
        <w:ind w:left="1080"/>
        <w:jc w:val="both"/>
        <w:rPr>
          <w:rFonts w:ascii="Times New Roman" w:hAnsi="Times New Roman" w:cs="Times New Roman"/>
          <w:b/>
        </w:rPr>
      </w:pPr>
    </w:p>
    <w:p w14:paraId="7430D058" w14:textId="356951E0" w:rsidR="008338D3" w:rsidRPr="00AE5152" w:rsidRDefault="00542C9A" w:rsidP="00AE5152">
      <w:pPr>
        <w:jc w:val="both"/>
        <w:rPr>
          <w:rFonts w:ascii="Times New Roman" w:hAnsi="Times New Roman" w:cs="Times New Roman"/>
          <w:color w:val="000000" w:themeColor="text1"/>
        </w:rPr>
      </w:pPr>
      <w:r w:rsidRPr="00AE5152">
        <w:rPr>
          <w:rFonts w:ascii="Times New Roman" w:hAnsi="Times New Roman" w:cs="Times New Roman"/>
        </w:rPr>
        <w:t xml:space="preserve">La Cour de justice a néanmoins reconnu </w:t>
      </w:r>
      <w:r w:rsidRPr="00AE5152">
        <w:rPr>
          <w:rFonts w:ascii="Times New Roman" w:hAnsi="Times New Roman" w:cs="Times New Roman"/>
          <w:color w:val="000000" w:themeColor="text1"/>
        </w:rPr>
        <w:t xml:space="preserve">que la présomption imposée par le principe de confiance mutuelle </w:t>
      </w:r>
      <w:r w:rsidR="0097551B" w:rsidRPr="00AE5152">
        <w:rPr>
          <w:rFonts w:ascii="Times New Roman" w:hAnsi="Times New Roman" w:cs="Times New Roman"/>
          <w:color w:val="000000" w:themeColor="text1"/>
        </w:rPr>
        <w:t xml:space="preserve">devait </w:t>
      </w:r>
      <w:r w:rsidRPr="00AE5152">
        <w:rPr>
          <w:rFonts w:ascii="Times New Roman" w:hAnsi="Times New Roman" w:cs="Times New Roman"/>
          <w:color w:val="000000" w:themeColor="text1"/>
        </w:rPr>
        <w:t xml:space="preserve">être </w:t>
      </w:r>
      <w:r w:rsidR="008338D3" w:rsidRPr="00AE5152">
        <w:rPr>
          <w:rFonts w:ascii="Times New Roman" w:hAnsi="Times New Roman" w:cs="Times New Roman"/>
          <w:color w:val="000000" w:themeColor="text1"/>
        </w:rPr>
        <w:t>limitée lorsque son application mettait gravement en péril la prot</w:t>
      </w:r>
      <w:r w:rsidR="009C3739" w:rsidRPr="00AE5152">
        <w:rPr>
          <w:rFonts w:ascii="Times New Roman" w:hAnsi="Times New Roman" w:cs="Times New Roman"/>
          <w:color w:val="000000" w:themeColor="text1"/>
        </w:rPr>
        <w:t>ection des droits fondamentaux</w:t>
      </w:r>
      <w:r w:rsidR="00800033" w:rsidRPr="00AE5152">
        <w:rPr>
          <w:rStyle w:val="Appelnotedebasdep"/>
          <w:rFonts w:ascii="Times New Roman" w:hAnsi="Times New Roman" w:cs="Times New Roman"/>
        </w:rPr>
        <w:footnoteReference w:id="5"/>
      </w:r>
      <w:r w:rsidR="009C3739" w:rsidRPr="00AE5152">
        <w:rPr>
          <w:rFonts w:ascii="Times New Roman" w:hAnsi="Times New Roman" w:cs="Times New Roman"/>
          <w:color w:val="000000" w:themeColor="text1"/>
        </w:rPr>
        <w:t xml:space="preserve"> et, en particulier, l’interdiction absolue de traitements inhumains et dégradants tel</w:t>
      </w:r>
      <w:r w:rsidR="00E40F48">
        <w:rPr>
          <w:rFonts w:ascii="Times New Roman" w:hAnsi="Times New Roman" w:cs="Times New Roman"/>
          <w:color w:val="000000" w:themeColor="text1"/>
        </w:rPr>
        <w:t>le</w:t>
      </w:r>
      <w:r w:rsidR="009C3739" w:rsidRPr="00AE5152">
        <w:rPr>
          <w:rFonts w:ascii="Times New Roman" w:hAnsi="Times New Roman" w:cs="Times New Roman"/>
          <w:color w:val="000000" w:themeColor="text1"/>
        </w:rPr>
        <w:t xml:space="preserve"> que consacré</w:t>
      </w:r>
      <w:r w:rsidR="001F0758" w:rsidRPr="00AE5152">
        <w:rPr>
          <w:rFonts w:ascii="Times New Roman" w:hAnsi="Times New Roman" w:cs="Times New Roman"/>
          <w:color w:val="000000" w:themeColor="text1"/>
        </w:rPr>
        <w:t>e</w:t>
      </w:r>
      <w:r w:rsidR="009C3739" w:rsidRPr="00AE5152">
        <w:rPr>
          <w:rFonts w:ascii="Times New Roman" w:hAnsi="Times New Roman" w:cs="Times New Roman"/>
          <w:color w:val="000000" w:themeColor="text1"/>
        </w:rPr>
        <w:t xml:space="preserve"> à l’article 4 de la Charte</w:t>
      </w:r>
      <w:r w:rsidR="009C3739" w:rsidRPr="00AE5152">
        <w:rPr>
          <w:rStyle w:val="Appelnotedebasdep"/>
          <w:rFonts w:ascii="Times New Roman" w:hAnsi="Times New Roman" w:cs="Times New Roman"/>
          <w:color w:val="000000" w:themeColor="text1"/>
        </w:rPr>
        <w:footnoteReference w:id="6"/>
      </w:r>
      <w:r w:rsidR="009C3739" w:rsidRPr="00AE5152">
        <w:rPr>
          <w:rFonts w:ascii="Times New Roman" w:hAnsi="Times New Roman" w:cs="Times New Roman"/>
          <w:color w:val="000000" w:themeColor="text1"/>
        </w:rPr>
        <w:t>.</w:t>
      </w:r>
    </w:p>
    <w:p w14:paraId="57BCB8AB" w14:textId="77777777" w:rsidR="0023627F" w:rsidRPr="00AE5152" w:rsidRDefault="0023627F" w:rsidP="00AE5152">
      <w:pPr>
        <w:jc w:val="both"/>
        <w:rPr>
          <w:rFonts w:ascii="Times New Roman" w:hAnsi="Times New Roman" w:cs="Times New Roman"/>
          <w:color w:val="000000" w:themeColor="text1"/>
        </w:rPr>
      </w:pPr>
    </w:p>
    <w:p w14:paraId="0A99B4F5" w14:textId="23A10DAA" w:rsidR="00542C9A" w:rsidRPr="00AE5152" w:rsidRDefault="00EF0A40" w:rsidP="00AE5152">
      <w:pPr>
        <w:jc w:val="both"/>
        <w:rPr>
          <w:rFonts w:ascii="Times New Roman" w:hAnsi="Times New Roman" w:cs="Times New Roman"/>
        </w:rPr>
      </w:pPr>
      <w:r w:rsidRPr="00AE5152">
        <w:rPr>
          <w:rFonts w:ascii="Times New Roman" w:hAnsi="Times New Roman" w:cs="Times New Roman"/>
        </w:rPr>
        <w:t>En matière pénale, elle a ainsi jugé dans son</w:t>
      </w:r>
      <w:r w:rsidR="00D12179">
        <w:rPr>
          <w:rFonts w:ascii="Times New Roman" w:hAnsi="Times New Roman" w:cs="Times New Roman"/>
        </w:rPr>
        <w:t xml:space="preserve"> désormais </w:t>
      </w:r>
      <w:r w:rsidR="008338D3" w:rsidRPr="00AE5152">
        <w:rPr>
          <w:rFonts w:ascii="Times New Roman" w:hAnsi="Times New Roman" w:cs="Times New Roman"/>
        </w:rPr>
        <w:t xml:space="preserve">célèbre arrêt </w:t>
      </w:r>
      <w:proofErr w:type="spellStart"/>
      <w:r w:rsidR="008338D3" w:rsidRPr="00AE5152">
        <w:rPr>
          <w:rFonts w:ascii="Times New Roman" w:hAnsi="Times New Roman" w:cs="Times New Roman"/>
          <w:i/>
          <w:color w:val="000000" w:themeColor="text1"/>
        </w:rPr>
        <w:t>Aranyosi</w:t>
      </w:r>
      <w:proofErr w:type="spellEnd"/>
      <w:r w:rsidR="008338D3" w:rsidRPr="00AE5152">
        <w:rPr>
          <w:rFonts w:ascii="Times New Roman" w:hAnsi="Times New Roman" w:cs="Times New Roman"/>
          <w:i/>
          <w:color w:val="000000" w:themeColor="text1"/>
        </w:rPr>
        <w:t xml:space="preserve"> et </w:t>
      </w:r>
      <w:proofErr w:type="spellStart"/>
      <w:r w:rsidR="008338D3" w:rsidRPr="00AE5152">
        <w:rPr>
          <w:rFonts w:ascii="Times New Roman" w:hAnsi="Times New Roman" w:cs="Times New Roman"/>
          <w:i/>
          <w:color w:val="000000" w:themeColor="text1"/>
        </w:rPr>
        <w:t>Căldăraru</w:t>
      </w:r>
      <w:proofErr w:type="spellEnd"/>
      <w:r w:rsidR="008338D3" w:rsidRPr="00AE5152">
        <w:rPr>
          <w:rStyle w:val="Appelnotedebasdep"/>
          <w:rFonts w:ascii="Times New Roman" w:hAnsi="Times New Roman" w:cs="Times New Roman"/>
        </w:rPr>
        <w:footnoteReference w:id="7"/>
      </w:r>
      <w:r w:rsidR="008338D3" w:rsidRPr="00AE5152">
        <w:rPr>
          <w:rFonts w:ascii="Times New Roman" w:hAnsi="Times New Roman" w:cs="Times New Roman"/>
          <w:color w:val="000000" w:themeColor="text1"/>
        </w:rPr>
        <w:t xml:space="preserve"> que </w:t>
      </w:r>
      <w:r w:rsidR="00542C9A" w:rsidRPr="00AE5152">
        <w:rPr>
          <w:rFonts w:ascii="Times New Roman" w:hAnsi="Times New Roman" w:cs="Times New Roman"/>
          <w:color w:val="000000" w:themeColor="text1"/>
        </w:rPr>
        <w:t xml:space="preserve">l’exécution d’un </w:t>
      </w:r>
      <w:r w:rsidR="006E54E3">
        <w:rPr>
          <w:rFonts w:ascii="Times New Roman" w:hAnsi="Times New Roman" w:cs="Times New Roman"/>
          <w:color w:val="000000" w:themeColor="text1"/>
        </w:rPr>
        <w:t>MAE</w:t>
      </w:r>
      <w:r w:rsidR="00542C9A" w:rsidRPr="00AE5152">
        <w:rPr>
          <w:rFonts w:ascii="Times New Roman" w:hAnsi="Times New Roman" w:cs="Times New Roman"/>
          <w:color w:val="000000" w:themeColor="text1"/>
        </w:rPr>
        <w:t xml:space="preserve"> devait être exceptionnellement écarté</w:t>
      </w:r>
      <w:r w:rsidR="00E40F48">
        <w:rPr>
          <w:rFonts w:ascii="Times New Roman" w:hAnsi="Times New Roman" w:cs="Times New Roman"/>
          <w:color w:val="000000" w:themeColor="text1"/>
        </w:rPr>
        <w:t>e</w:t>
      </w:r>
      <w:r w:rsidR="00542C9A" w:rsidRPr="00AE5152">
        <w:rPr>
          <w:rFonts w:ascii="Times New Roman" w:hAnsi="Times New Roman" w:cs="Times New Roman"/>
          <w:color w:val="000000" w:themeColor="text1"/>
        </w:rPr>
        <w:t xml:space="preserve"> en présence de </w:t>
      </w:r>
      <w:r w:rsidR="00542C9A" w:rsidRPr="00AE5152">
        <w:rPr>
          <w:rFonts w:ascii="Times New Roman" w:hAnsi="Times New Roman" w:cs="Times New Roman"/>
        </w:rPr>
        <w:t>« défaillances soit systémiques ou généralisées, soit touchant certains groupes de personnes, soit encore certains centres de détention en ce qui concerne les conditions de détention dans l’Ét</w:t>
      </w:r>
      <w:r w:rsidR="005B507C" w:rsidRPr="00AE5152">
        <w:rPr>
          <w:rFonts w:ascii="Times New Roman" w:hAnsi="Times New Roman" w:cs="Times New Roman"/>
        </w:rPr>
        <w:t xml:space="preserve">at membre d’émission » (pt. 89). </w:t>
      </w:r>
      <w:r w:rsidR="00106470">
        <w:rPr>
          <w:rFonts w:ascii="Times New Roman" w:hAnsi="Times New Roman" w:cs="Times New Roman"/>
        </w:rPr>
        <w:t>L</w:t>
      </w:r>
      <w:r w:rsidR="005B507C" w:rsidRPr="00AE5152">
        <w:rPr>
          <w:rFonts w:ascii="Times New Roman" w:hAnsi="Times New Roman" w:cs="Times New Roman"/>
        </w:rPr>
        <w:t>a Cour a néanmoins balisé cette exception en ajoutant qu’un tel refus ne pouvait être prononcé que « s’il existe des motifs sérieux et avérés » de croire que la personne concerné</w:t>
      </w:r>
      <w:r w:rsidR="00841967" w:rsidRPr="00AE5152">
        <w:rPr>
          <w:rFonts w:ascii="Times New Roman" w:hAnsi="Times New Roman" w:cs="Times New Roman"/>
        </w:rPr>
        <w:t>e</w:t>
      </w:r>
      <w:r w:rsidR="005B507C" w:rsidRPr="00AE5152">
        <w:rPr>
          <w:rFonts w:ascii="Times New Roman" w:hAnsi="Times New Roman" w:cs="Times New Roman"/>
        </w:rPr>
        <w:t xml:space="preserve"> courra un risque de traitement inhumain et d</w:t>
      </w:r>
      <w:r w:rsidR="00841967" w:rsidRPr="00AE5152">
        <w:rPr>
          <w:rFonts w:ascii="Times New Roman" w:hAnsi="Times New Roman" w:cs="Times New Roman"/>
        </w:rPr>
        <w:t>égradant en raison de ces défaillances</w:t>
      </w:r>
      <w:r w:rsidR="00542C9A" w:rsidRPr="00AE5152">
        <w:rPr>
          <w:rFonts w:ascii="Times New Roman" w:hAnsi="Times New Roman" w:cs="Times New Roman"/>
        </w:rPr>
        <w:t xml:space="preserve"> (pt. 92).</w:t>
      </w:r>
      <w:r w:rsidR="00841967" w:rsidRPr="00AE5152">
        <w:rPr>
          <w:rFonts w:ascii="Times New Roman" w:hAnsi="Times New Roman" w:cs="Times New Roman"/>
        </w:rPr>
        <w:t xml:space="preserve"> Afin d’apprécier </w:t>
      </w:r>
      <w:r w:rsidR="0062017B">
        <w:rPr>
          <w:rFonts w:ascii="Times New Roman" w:hAnsi="Times New Roman" w:cs="Times New Roman"/>
        </w:rPr>
        <w:t>de manière concrète ce risque</w:t>
      </w:r>
      <w:r w:rsidR="00841967" w:rsidRPr="00AE5152">
        <w:rPr>
          <w:rFonts w:ascii="Times New Roman" w:hAnsi="Times New Roman" w:cs="Times New Roman"/>
        </w:rPr>
        <w:t xml:space="preserve">, l’autorité d’exécution est notamment tenue de procéder à un échange d’informations avec l’autorité d’émission (pt. 95). </w:t>
      </w:r>
      <w:r w:rsidR="00171DCC" w:rsidRPr="00AE5152">
        <w:rPr>
          <w:rFonts w:ascii="Times New Roman" w:hAnsi="Times New Roman" w:cs="Times New Roman"/>
        </w:rPr>
        <w:t xml:space="preserve">Le constat </w:t>
      </w:r>
      <w:r w:rsidR="00171DCC" w:rsidRPr="00AE5152">
        <w:rPr>
          <w:rFonts w:ascii="Times New Roman" w:hAnsi="Times New Roman" w:cs="Times New Roman"/>
        </w:rPr>
        <w:lastRenderedPageBreak/>
        <w:t>abstrait de défaillances dans le système pénitentiaire de l’</w:t>
      </w:r>
      <w:r w:rsidR="00E40F48">
        <w:rPr>
          <w:rFonts w:ascii="Times New Roman" w:hAnsi="Times New Roman" w:cs="Times New Roman"/>
        </w:rPr>
        <w:t>É</w:t>
      </w:r>
      <w:r w:rsidR="00171DCC" w:rsidRPr="00AE5152">
        <w:rPr>
          <w:rFonts w:ascii="Times New Roman" w:hAnsi="Times New Roman" w:cs="Times New Roman"/>
        </w:rPr>
        <w:t xml:space="preserve">tat d’émission doit donc être </w:t>
      </w:r>
      <w:r w:rsidR="002E0548" w:rsidRPr="00AE5152">
        <w:rPr>
          <w:rFonts w:ascii="Times New Roman" w:hAnsi="Times New Roman" w:cs="Times New Roman"/>
        </w:rPr>
        <w:t>complété par une « évaluation individuelle et circonstanciée du risque auquel sera exposée la personne remise »</w:t>
      </w:r>
      <w:r w:rsidR="002E0548" w:rsidRPr="00AE5152">
        <w:rPr>
          <w:rStyle w:val="Appelnotedebasdep"/>
          <w:rFonts w:ascii="Times New Roman" w:hAnsi="Times New Roman" w:cs="Times New Roman"/>
        </w:rPr>
        <w:footnoteReference w:id="8"/>
      </w:r>
      <w:r w:rsidR="002E0548" w:rsidRPr="00AE5152">
        <w:rPr>
          <w:rFonts w:ascii="Times New Roman" w:hAnsi="Times New Roman" w:cs="Times New Roman"/>
        </w:rPr>
        <w:t>.</w:t>
      </w:r>
    </w:p>
    <w:p w14:paraId="5E7259FC" w14:textId="77777777" w:rsidR="00746C34" w:rsidRPr="00AE5152" w:rsidRDefault="00746C34" w:rsidP="00AE5152">
      <w:pPr>
        <w:jc w:val="both"/>
        <w:rPr>
          <w:rFonts w:ascii="Times New Roman" w:hAnsi="Times New Roman" w:cs="Times New Roman"/>
        </w:rPr>
      </w:pPr>
    </w:p>
    <w:p w14:paraId="2F4F5191" w14:textId="1E3554AE" w:rsidR="003D4A7D" w:rsidRPr="00AE5152" w:rsidRDefault="00746C34" w:rsidP="00AE5152">
      <w:pPr>
        <w:jc w:val="both"/>
        <w:rPr>
          <w:rFonts w:ascii="Times New Roman" w:hAnsi="Times New Roman" w:cs="Times New Roman"/>
        </w:rPr>
      </w:pPr>
      <w:r w:rsidRPr="00AE5152">
        <w:rPr>
          <w:rFonts w:ascii="Times New Roman" w:hAnsi="Times New Roman" w:cs="Times New Roman"/>
        </w:rPr>
        <w:t xml:space="preserve">Cette jurisprudence a été dans un premier temps affinée par un arrêt </w:t>
      </w:r>
      <w:r w:rsidRPr="00AE5152">
        <w:rPr>
          <w:rFonts w:ascii="Times New Roman" w:hAnsi="Times New Roman" w:cs="Times New Roman"/>
          <w:i/>
        </w:rPr>
        <w:t>ML</w:t>
      </w:r>
      <w:r w:rsidRPr="00AE5152">
        <w:rPr>
          <w:rFonts w:ascii="Times New Roman" w:hAnsi="Times New Roman" w:cs="Times New Roman"/>
        </w:rPr>
        <w:t>, rendu le 25 juillet 2019</w:t>
      </w:r>
      <w:r w:rsidRPr="00AE5152">
        <w:rPr>
          <w:rStyle w:val="Appelnotedebasdep"/>
          <w:rFonts w:ascii="Times New Roman" w:hAnsi="Times New Roman" w:cs="Times New Roman"/>
        </w:rPr>
        <w:footnoteReference w:id="9"/>
      </w:r>
      <w:r w:rsidR="00D12179">
        <w:rPr>
          <w:rFonts w:ascii="Times New Roman" w:hAnsi="Times New Roman" w:cs="Times New Roman"/>
        </w:rPr>
        <w:t>. La Cour y a confirmé</w:t>
      </w:r>
      <w:r w:rsidRPr="00AE5152">
        <w:rPr>
          <w:rFonts w:ascii="Times New Roman" w:hAnsi="Times New Roman" w:cs="Times New Roman"/>
        </w:rPr>
        <w:t xml:space="preserve"> que la seule existence de défaillances systémiques touchant le système carcéral d’un É</w:t>
      </w:r>
      <w:r w:rsidR="00744AA7" w:rsidRPr="00AE5152">
        <w:rPr>
          <w:rFonts w:ascii="Times New Roman" w:hAnsi="Times New Roman" w:cs="Times New Roman"/>
        </w:rPr>
        <w:t>tat membre bien qu’</w:t>
      </w:r>
      <w:r w:rsidRPr="00AE5152">
        <w:rPr>
          <w:rFonts w:ascii="Times New Roman" w:hAnsi="Times New Roman" w:cs="Times New Roman"/>
        </w:rPr>
        <w:t xml:space="preserve">entraînant des risques de traitement contraire à l’article 4 de la Charte </w:t>
      </w:r>
      <w:r w:rsidR="00744AA7" w:rsidRPr="00AE5152">
        <w:rPr>
          <w:rFonts w:ascii="Times New Roman" w:hAnsi="Times New Roman" w:cs="Times New Roman"/>
        </w:rPr>
        <w:t xml:space="preserve">ne </w:t>
      </w:r>
      <w:r w:rsidRPr="00AE5152">
        <w:rPr>
          <w:rFonts w:ascii="Times New Roman" w:hAnsi="Times New Roman" w:cs="Times New Roman"/>
        </w:rPr>
        <w:t xml:space="preserve">pouvait, à elle seule, justifier un refus d’exécution d’un </w:t>
      </w:r>
      <w:r w:rsidR="006E54E3">
        <w:rPr>
          <w:rFonts w:ascii="Times New Roman" w:hAnsi="Times New Roman" w:cs="Times New Roman"/>
        </w:rPr>
        <w:t>MAE</w:t>
      </w:r>
      <w:r w:rsidRPr="00AE5152">
        <w:rPr>
          <w:rFonts w:ascii="Times New Roman" w:hAnsi="Times New Roman" w:cs="Times New Roman"/>
        </w:rPr>
        <w:t>.</w:t>
      </w:r>
      <w:r w:rsidR="00283E5E" w:rsidRPr="00AE5152">
        <w:rPr>
          <w:rFonts w:ascii="Times New Roman" w:hAnsi="Times New Roman" w:cs="Times New Roman"/>
        </w:rPr>
        <w:t xml:space="preserve"> L</w:t>
      </w:r>
      <w:r w:rsidR="00373B85" w:rsidRPr="00AE5152">
        <w:rPr>
          <w:rFonts w:ascii="Times New Roman" w:hAnsi="Times New Roman" w:cs="Times New Roman"/>
        </w:rPr>
        <w:t xml:space="preserve">’autorité judiciaire d’exécution est en effet tenue d’apprécier, « de manière concrète et précise » le risque encouru par la personne en cas de remise (point 77). </w:t>
      </w:r>
      <w:r w:rsidR="002C78B3" w:rsidRPr="00AE5152">
        <w:rPr>
          <w:rFonts w:ascii="Times New Roman" w:hAnsi="Times New Roman" w:cs="Times New Roman"/>
        </w:rPr>
        <w:t xml:space="preserve">Elle ne doit donc examiner que les conditions de détention dans les établissements </w:t>
      </w:r>
      <w:r w:rsidR="0091369D" w:rsidRPr="00AE5152">
        <w:rPr>
          <w:rFonts w:ascii="Times New Roman" w:hAnsi="Times New Roman" w:cs="Times New Roman"/>
        </w:rPr>
        <w:t>pénitentiaires</w:t>
      </w:r>
      <w:r w:rsidR="002C78B3" w:rsidRPr="00AE5152">
        <w:rPr>
          <w:rFonts w:ascii="Times New Roman" w:hAnsi="Times New Roman" w:cs="Times New Roman"/>
        </w:rPr>
        <w:t xml:space="preserve"> dans lesquels il est concrètement envisagé que la personne concernée soit détenue, y compris à titre temporaire ou transitoire (point 87). Selon la Cour, « la conformité, au regar</w:t>
      </w:r>
      <w:r w:rsidR="009E523F" w:rsidRPr="00AE5152">
        <w:rPr>
          <w:rFonts w:ascii="Times New Roman" w:hAnsi="Times New Roman" w:cs="Times New Roman"/>
        </w:rPr>
        <w:t xml:space="preserve">d des droits fondamentaux, des </w:t>
      </w:r>
      <w:r w:rsidR="002C78B3" w:rsidRPr="00AE5152">
        <w:rPr>
          <w:rFonts w:ascii="Times New Roman" w:hAnsi="Times New Roman" w:cs="Times New Roman"/>
        </w:rPr>
        <w:t xml:space="preserve">conditions de détention existant au sein des autres établissements pénitentiaires dans </w:t>
      </w:r>
      <w:r w:rsidR="009E523F" w:rsidRPr="00AE5152">
        <w:rPr>
          <w:rFonts w:ascii="Times New Roman" w:hAnsi="Times New Roman" w:cs="Times New Roman"/>
        </w:rPr>
        <w:t>lesquelles</w:t>
      </w:r>
      <w:r w:rsidR="002C78B3" w:rsidRPr="00AE5152">
        <w:rPr>
          <w:rFonts w:ascii="Times New Roman" w:hAnsi="Times New Roman" w:cs="Times New Roman"/>
        </w:rPr>
        <w:t xml:space="preserve"> ladite personne pourrait, le cas échéant, être </w:t>
      </w:r>
      <w:r w:rsidR="009E523F" w:rsidRPr="00AE5152">
        <w:rPr>
          <w:rFonts w:ascii="Times New Roman" w:hAnsi="Times New Roman" w:cs="Times New Roman"/>
        </w:rPr>
        <w:t>incarcérée</w:t>
      </w:r>
      <w:r w:rsidR="002C78B3" w:rsidRPr="00AE5152">
        <w:rPr>
          <w:rFonts w:ascii="Times New Roman" w:hAnsi="Times New Roman" w:cs="Times New Roman"/>
        </w:rPr>
        <w:t xml:space="preserve"> ultérieurement</w:t>
      </w:r>
      <w:r w:rsidR="009E523F" w:rsidRPr="00AE5152">
        <w:rPr>
          <w:rFonts w:ascii="Times New Roman" w:hAnsi="Times New Roman" w:cs="Times New Roman"/>
        </w:rPr>
        <w:t xml:space="preserve"> relève [...] de la seule compétence des juridictions de l’</w:t>
      </w:r>
      <w:r w:rsidR="00E40F48">
        <w:rPr>
          <w:rFonts w:ascii="Times New Roman" w:hAnsi="Times New Roman" w:cs="Times New Roman"/>
        </w:rPr>
        <w:t>É</w:t>
      </w:r>
      <w:r w:rsidR="009E523F" w:rsidRPr="00AE5152">
        <w:rPr>
          <w:rFonts w:ascii="Times New Roman" w:hAnsi="Times New Roman" w:cs="Times New Roman"/>
        </w:rPr>
        <w:t>tat membre d’émission (point 87).</w:t>
      </w:r>
      <w:r w:rsidR="00B150DF" w:rsidRPr="00AE5152">
        <w:rPr>
          <w:rFonts w:ascii="Times New Roman" w:hAnsi="Times New Roman" w:cs="Times New Roman"/>
        </w:rPr>
        <w:t xml:space="preserve"> </w:t>
      </w:r>
      <w:r w:rsidR="00683223" w:rsidRPr="00AE5152">
        <w:rPr>
          <w:rFonts w:ascii="Times New Roman" w:hAnsi="Times New Roman" w:cs="Times New Roman"/>
        </w:rPr>
        <w:t>La</w:t>
      </w:r>
      <w:r w:rsidR="00B150DF" w:rsidRPr="00AE5152">
        <w:rPr>
          <w:rFonts w:ascii="Times New Roman" w:hAnsi="Times New Roman" w:cs="Times New Roman"/>
          <w:color w:val="000000" w:themeColor="text1"/>
        </w:rPr>
        <w:t xml:space="preserve"> question de savoir s’il s’agit d’une obligation ou </w:t>
      </w:r>
      <w:r w:rsidR="00106470">
        <w:rPr>
          <w:rFonts w:ascii="Times New Roman" w:hAnsi="Times New Roman" w:cs="Times New Roman"/>
          <w:color w:val="000000" w:themeColor="text1"/>
        </w:rPr>
        <w:t>d’</w:t>
      </w:r>
      <w:r w:rsidR="00B150DF" w:rsidRPr="00AE5152">
        <w:rPr>
          <w:rFonts w:ascii="Times New Roman" w:hAnsi="Times New Roman" w:cs="Times New Roman"/>
          <w:color w:val="000000" w:themeColor="text1"/>
        </w:rPr>
        <w:t xml:space="preserve">une faculté </w:t>
      </w:r>
      <w:r w:rsidR="00683223" w:rsidRPr="00AE5152">
        <w:rPr>
          <w:rFonts w:ascii="Times New Roman" w:hAnsi="Times New Roman" w:cs="Times New Roman"/>
          <w:color w:val="000000" w:themeColor="text1"/>
        </w:rPr>
        <w:t xml:space="preserve">n’était pas </w:t>
      </w:r>
      <w:r w:rsidR="00B150DF" w:rsidRPr="00AE5152">
        <w:rPr>
          <w:rFonts w:ascii="Times New Roman" w:hAnsi="Times New Roman" w:cs="Times New Roman"/>
          <w:color w:val="000000" w:themeColor="text1"/>
        </w:rPr>
        <w:t>réglée de manière claire</w:t>
      </w:r>
      <w:r w:rsidR="00683223" w:rsidRPr="00AE5152">
        <w:rPr>
          <w:rFonts w:ascii="Times New Roman" w:hAnsi="Times New Roman" w:cs="Times New Roman"/>
          <w:color w:val="000000" w:themeColor="text1"/>
        </w:rPr>
        <w:t xml:space="preserve"> dans cet arrêt</w:t>
      </w:r>
      <w:r w:rsidR="00B150DF" w:rsidRPr="00AE5152">
        <w:rPr>
          <w:rStyle w:val="Appelnotedebasdep"/>
          <w:rFonts w:ascii="Times New Roman" w:hAnsi="Times New Roman" w:cs="Times New Roman"/>
          <w:color w:val="000000" w:themeColor="text1"/>
        </w:rPr>
        <w:footnoteReference w:id="10"/>
      </w:r>
      <w:r w:rsidR="00B150DF" w:rsidRPr="00AE5152">
        <w:rPr>
          <w:rFonts w:ascii="Times New Roman" w:hAnsi="Times New Roman" w:cs="Times New Roman"/>
          <w:color w:val="000000" w:themeColor="text1"/>
        </w:rPr>
        <w:t>.</w:t>
      </w:r>
    </w:p>
    <w:p w14:paraId="646392FD" w14:textId="77777777" w:rsidR="003D4A7D" w:rsidRPr="00AE5152" w:rsidRDefault="003D4A7D" w:rsidP="00AE5152">
      <w:pPr>
        <w:jc w:val="both"/>
        <w:rPr>
          <w:rFonts w:ascii="Times New Roman" w:hAnsi="Times New Roman" w:cs="Times New Roman"/>
        </w:rPr>
      </w:pPr>
    </w:p>
    <w:p w14:paraId="5FF9B522" w14:textId="3B1FBEE1" w:rsidR="00E215C5" w:rsidRPr="00AE5152" w:rsidRDefault="00800940" w:rsidP="00AE5152">
      <w:pPr>
        <w:jc w:val="both"/>
        <w:rPr>
          <w:rFonts w:ascii="Times New Roman" w:hAnsi="Times New Roman" w:cs="Times New Roman"/>
        </w:rPr>
      </w:pPr>
      <w:r w:rsidRPr="00AE5152">
        <w:rPr>
          <w:rFonts w:ascii="Times New Roman" w:hAnsi="Times New Roman" w:cs="Times New Roman"/>
        </w:rPr>
        <w:t>L</w:t>
      </w:r>
      <w:r w:rsidR="005B4B61" w:rsidRPr="00AE5152">
        <w:rPr>
          <w:rFonts w:ascii="Times New Roman" w:hAnsi="Times New Roman" w:cs="Times New Roman"/>
        </w:rPr>
        <w:t xml:space="preserve">’arrêt </w:t>
      </w:r>
      <w:proofErr w:type="spellStart"/>
      <w:r w:rsidR="005B4B61" w:rsidRPr="00AE5152">
        <w:rPr>
          <w:rFonts w:ascii="Times New Roman" w:hAnsi="Times New Roman" w:cs="Times New Roman"/>
          <w:i/>
        </w:rPr>
        <w:t>Dorobantu</w:t>
      </w:r>
      <w:proofErr w:type="spellEnd"/>
      <w:r w:rsidR="00106470">
        <w:rPr>
          <w:rFonts w:ascii="Times New Roman" w:hAnsi="Times New Roman" w:cs="Times New Roman"/>
        </w:rPr>
        <w:t xml:space="preserve"> </w:t>
      </w:r>
      <w:r w:rsidR="003D4A7D" w:rsidRPr="00AE5152">
        <w:rPr>
          <w:rFonts w:ascii="Times New Roman" w:hAnsi="Times New Roman" w:cs="Times New Roman"/>
        </w:rPr>
        <w:t xml:space="preserve">prolonge </w:t>
      </w:r>
      <w:r w:rsidR="00200A9C">
        <w:rPr>
          <w:rFonts w:ascii="Times New Roman" w:hAnsi="Times New Roman" w:cs="Times New Roman"/>
        </w:rPr>
        <w:t xml:space="preserve">et précise </w:t>
      </w:r>
      <w:r w:rsidR="003D4A7D" w:rsidRPr="00AE5152">
        <w:rPr>
          <w:rFonts w:ascii="Times New Roman" w:hAnsi="Times New Roman" w:cs="Times New Roman"/>
        </w:rPr>
        <w:t xml:space="preserve">ces enseignements, d’une part, pour ce qui concerne </w:t>
      </w:r>
      <w:r w:rsidR="003F6B7D" w:rsidRPr="00AE5152">
        <w:rPr>
          <w:rFonts w:ascii="Times New Roman" w:hAnsi="Times New Roman" w:cs="Times New Roman"/>
        </w:rPr>
        <w:t>la méthode du contrôle</w:t>
      </w:r>
      <w:r w:rsidR="003D4A7D" w:rsidRPr="00AE5152">
        <w:rPr>
          <w:rFonts w:ascii="Times New Roman" w:hAnsi="Times New Roman" w:cs="Times New Roman"/>
        </w:rPr>
        <w:t xml:space="preserve"> (a) et, d’autre part, pour ce qui concerne l’appréciation substantielle des conditions de détention (b).</w:t>
      </w:r>
      <w:r w:rsidR="00E215C5" w:rsidRPr="00AE5152">
        <w:rPr>
          <w:rFonts w:ascii="Times New Roman" w:hAnsi="Times New Roman" w:cs="Times New Roman"/>
        </w:rPr>
        <w:t xml:space="preserve"> </w:t>
      </w:r>
    </w:p>
    <w:p w14:paraId="74673845" w14:textId="77777777" w:rsidR="003D4A7D" w:rsidRPr="00AE5152" w:rsidRDefault="003D4A7D" w:rsidP="00AE5152">
      <w:pPr>
        <w:jc w:val="both"/>
        <w:rPr>
          <w:rFonts w:ascii="Times New Roman" w:hAnsi="Times New Roman" w:cs="Times New Roman"/>
        </w:rPr>
      </w:pPr>
    </w:p>
    <w:p w14:paraId="36E69545" w14:textId="50BCA8BC" w:rsidR="003D4A7D" w:rsidRPr="00AE5152" w:rsidRDefault="003F6B7D" w:rsidP="00AE5152">
      <w:pPr>
        <w:pStyle w:val="Pardeliste"/>
        <w:numPr>
          <w:ilvl w:val="0"/>
          <w:numId w:val="10"/>
        </w:numPr>
        <w:jc w:val="both"/>
        <w:rPr>
          <w:rFonts w:ascii="Times New Roman" w:hAnsi="Times New Roman" w:cs="Times New Roman"/>
          <w:u w:val="single"/>
        </w:rPr>
      </w:pPr>
      <w:r w:rsidRPr="00AE5152">
        <w:rPr>
          <w:rFonts w:ascii="Times New Roman" w:hAnsi="Times New Roman" w:cs="Times New Roman"/>
          <w:u w:val="single"/>
        </w:rPr>
        <w:t>La méthode de contrôle des conditions de détention</w:t>
      </w:r>
      <w:r w:rsidR="003D4A7D" w:rsidRPr="00AE5152">
        <w:rPr>
          <w:rFonts w:ascii="Times New Roman" w:hAnsi="Times New Roman" w:cs="Times New Roman"/>
          <w:u w:val="single"/>
        </w:rPr>
        <w:t xml:space="preserve"> </w:t>
      </w:r>
    </w:p>
    <w:p w14:paraId="5293350E" w14:textId="77777777" w:rsidR="003D4A7D" w:rsidRPr="00AE5152" w:rsidRDefault="003D4A7D" w:rsidP="00AE5152">
      <w:pPr>
        <w:jc w:val="both"/>
        <w:rPr>
          <w:rFonts w:ascii="Times New Roman" w:hAnsi="Times New Roman" w:cs="Times New Roman"/>
        </w:rPr>
      </w:pPr>
    </w:p>
    <w:p w14:paraId="76F8B673" w14:textId="65E49B13" w:rsidR="00090DF9" w:rsidRPr="00AE5152" w:rsidRDefault="00730AF0" w:rsidP="00AE5152">
      <w:pPr>
        <w:jc w:val="both"/>
        <w:rPr>
          <w:rFonts w:ascii="Times New Roman" w:hAnsi="Times New Roman" w:cs="Times New Roman"/>
        </w:rPr>
      </w:pPr>
      <w:r w:rsidRPr="00AE5152">
        <w:rPr>
          <w:rFonts w:ascii="Times New Roman" w:hAnsi="Times New Roman" w:cs="Times New Roman"/>
        </w:rPr>
        <w:t xml:space="preserve">La Cour de justice </w:t>
      </w:r>
      <w:r w:rsidR="001F0758" w:rsidRPr="00AE5152">
        <w:rPr>
          <w:rFonts w:ascii="Times New Roman" w:hAnsi="Times New Roman" w:cs="Times New Roman"/>
        </w:rPr>
        <w:t>confirme</w:t>
      </w:r>
      <w:r w:rsidRPr="00AE5152">
        <w:rPr>
          <w:rFonts w:ascii="Times New Roman" w:hAnsi="Times New Roman" w:cs="Times New Roman"/>
        </w:rPr>
        <w:t xml:space="preserve">, dans l’arrêt commenté, le caractère dual du contrôle </w:t>
      </w:r>
      <w:r w:rsidR="00382352" w:rsidRPr="00AE5152">
        <w:rPr>
          <w:rFonts w:ascii="Times New Roman" w:hAnsi="Times New Roman" w:cs="Times New Roman"/>
        </w:rPr>
        <w:t>des conditions de détention que doit réaliser l’</w:t>
      </w:r>
      <w:r w:rsidR="00D20BC8" w:rsidRPr="00AE5152">
        <w:rPr>
          <w:rFonts w:ascii="Times New Roman" w:hAnsi="Times New Roman" w:cs="Times New Roman"/>
        </w:rPr>
        <w:t>autorité judiciaire d’exécution d’un MAE, en présence d’un risque de violation de l’interdiction de traitements inhumains et dégradants.</w:t>
      </w:r>
      <w:r w:rsidR="00C352FC" w:rsidRPr="00AE5152">
        <w:rPr>
          <w:rFonts w:ascii="Times New Roman" w:hAnsi="Times New Roman" w:cs="Times New Roman"/>
        </w:rPr>
        <w:t xml:space="preserve"> Dans un premier temps, cette autorité doit évaluer, de manière abstraite, les conditions de détention qui prévalent dans l’</w:t>
      </w:r>
      <w:r w:rsidR="00E40F48">
        <w:rPr>
          <w:rFonts w:ascii="Times New Roman" w:hAnsi="Times New Roman" w:cs="Times New Roman"/>
        </w:rPr>
        <w:t>É</w:t>
      </w:r>
      <w:r w:rsidR="00C352FC" w:rsidRPr="00AE5152">
        <w:rPr>
          <w:rFonts w:ascii="Times New Roman" w:hAnsi="Times New Roman" w:cs="Times New Roman"/>
        </w:rPr>
        <w:t>tat membre d’émission, sur la base d</w:t>
      </w:r>
      <w:proofErr w:type="gramStart"/>
      <w:r w:rsidR="00C352FC" w:rsidRPr="00AE5152">
        <w:rPr>
          <w:rFonts w:ascii="Times New Roman" w:hAnsi="Times New Roman" w:cs="Times New Roman"/>
        </w:rPr>
        <w:t>’«</w:t>
      </w:r>
      <w:proofErr w:type="gramEnd"/>
      <w:r w:rsidR="00C352FC" w:rsidRPr="00AE5152">
        <w:rPr>
          <w:rFonts w:ascii="Times New Roman" w:hAnsi="Times New Roman" w:cs="Times New Roman"/>
        </w:rPr>
        <w:t> éléments objectifs, fiables et précis »</w:t>
      </w:r>
      <w:r w:rsidR="003F6B7D" w:rsidRPr="00AE5152">
        <w:rPr>
          <w:rFonts w:ascii="Times New Roman" w:hAnsi="Times New Roman" w:cs="Times New Roman"/>
        </w:rPr>
        <w:t xml:space="preserve">. Elle doit, dans ce cadre, </w:t>
      </w:r>
      <w:r w:rsidR="00CB17E2" w:rsidRPr="00AE5152">
        <w:rPr>
          <w:rFonts w:ascii="Times New Roman" w:hAnsi="Times New Roman" w:cs="Times New Roman"/>
        </w:rPr>
        <w:t xml:space="preserve">examiner si </w:t>
      </w:r>
      <w:r w:rsidR="003F6B7D" w:rsidRPr="00AE5152">
        <w:rPr>
          <w:rFonts w:ascii="Times New Roman" w:hAnsi="Times New Roman" w:cs="Times New Roman"/>
        </w:rPr>
        <w:t>celles-ci</w:t>
      </w:r>
      <w:r w:rsidR="00CB17E2" w:rsidRPr="00AE5152">
        <w:rPr>
          <w:rFonts w:ascii="Times New Roman" w:hAnsi="Times New Roman" w:cs="Times New Roman"/>
        </w:rPr>
        <w:t xml:space="preserve"> présentent des « défaillances soit systémiques ou généralisées, soit touchant certains groupes de personnes, soit encore certains centres de détention » (point 52). </w:t>
      </w:r>
    </w:p>
    <w:p w14:paraId="43D12124" w14:textId="77777777" w:rsidR="00090DF9" w:rsidRPr="00AE5152" w:rsidRDefault="00090DF9" w:rsidP="00AE5152">
      <w:pPr>
        <w:jc w:val="both"/>
        <w:rPr>
          <w:rFonts w:ascii="Times New Roman" w:hAnsi="Times New Roman" w:cs="Times New Roman"/>
        </w:rPr>
      </w:pPr>
    </w:p>
    <w:p w14:paraId="65C32167" w14:textId="3257CF20" w:rsidR="00090DF9" w:rsidRPr="00AE5152" w:rsidRDefault="00CB17E2" w:rsidP="00AE5152">
      <w:pPr>
        <w:jc w:val="both"/>
        <w:rPr>
          <w:rFonts w:ascii="Times New Roman" w:hAnsi="Times New Roman" w:cs="Times New Roman"/>
        </w:rPr>
      </w:pPr>
      <w:r w:rsidRPr="00AE5152">
        <w:rPr>
          <w:rFonts w:ascii="Times New Roman" w:hAnsi="Times New Roman" w:cs="Times New Roman"/>
        </w:rPr>
        <w:t xml:space="preserve">Dans l’affirmative, l’autorité judiciaire d’exécution </w:t>
      </w:r>
      <w:r w:rsidR="00B20BD4" w:rsidRPr="00AE5152">
        <w:rPr>
          <w:rFonts w:ascii="Times New Roman" w:hAnsi="Times New Roman" w:cs="Times New Roman"/>
        </w:rPr>
        <w:t>est tenue</w:t>
      </w:r>
      <w:r w:rsidRPr="00AE5152">
        <w:rPr>
          <w:rFonts w:ascii="Times New Roman" w:hAnsi="Times New Roman" w:cs="Times New Roman"/>
        </w:rPr>
        <w:t xml:space="preserve"> – </w:t>
      </w:r>
      <w:r w:rsidR="00683223" w:rsidRPr="00AE5152">
        <w:rPr>
          <w:rFonts w:ascii="Times New Roman" w:hAnsi="Times New Roman" w:cs="Times New Roman"/>
        </w:rPr>
        <w:t>le caractère obligatoire du contrôle est</w:t>
      </w:r>
      <w:r w:rsidR="00D12179">
        <w:rPr>
          <w:rFonts w:ascii="Times New Roman" w:hAnsi="Times New Roman" w:cs="Times New Roman"/>
        </w:rPr>
        <w:t xml:space="preserve"> ici</w:t>
      </w:r>
      <w:r w:rsidR="00683223" w:rsidRPr="00AE5152">
        <w:rPr>
          <w:rFonts w:ascii="Times New Roman" w:hAnsi="Times New Roman" w:cs="Times New Roman"/>
        </w:rPr>
        <w:t xml:space="preserve"> confirmé</w:t>
      </w:r>
      <w:r w:rsidRPr="00AE5152">
        <w:rPr>
          <w:rFonts w:ascii="Times New Roman" w:hAnsi="Times New Roman" w:cs="Times New Roman"/>
        </w:rPr>
        <w:t xml:space="preserve"> </w:t>
      </w:r>
      <w:r w:rsidR="00683223" w:rsidRPr="00AE5152">
        <w:rPr>
          <w:rFonts w:ascii="Times New Roman" w:hAnsi="Times New Roman" w:cs="Times New Roman"/>
        </w:rPr>
        <w:t xml:space="preserve">– </w:t>
      </w:r>
      <w:r w:rsidR="00B20BD4" w:rsidRPr="00AE5152">
        <w:rPr>
          <w:rFonts w:ascii="Times New Roman" w:hAnsi="Times New Roman" w:cs="Times New Roman"/>
        </w:rPr>
        <w:t>d’apprécier</w:t>
      </w:r>
      <w:r w:rsidR="007155E1">
        <w:rPr>
          <w:rFonts w:ascii="Times New Roman" w:hAnsi="Times New Roman" w:cs="Times New Roman"/>
        </w:rPr>
        <w:t xml:space="preserve"> </w:t>
      </w:r>
      <w:r w:rsidR="003F6B7D" w:rsidRPr="00AE5152">
        <w:rPr>
          <w:rFonts w:ascii="Times New Roman" w:hAnsi="Times New Roman" w:cs="Times New Roman"/>
        </w:rPr>
        <w:t>« </w:t>
      </w:r>
      <w:r w:rsidR="00B20BD4" w:rsidRPr="00AE5152">
        <w:rPr>
          <w:rFonts w:ascii="Times New Roman" w:hAnsi="Times New Roman" w:cs="Times New Roman"/>
        </w:rPr>
        <w:t>de manière concrète et précise si, dans les circonstances de l’espèce</w:t>
      </w:r>
      <w:r w:rsidR="004E4AD7" w:rsidRPr="00AE5152">
        <w:rPr>
          <w:rFonts w:ascii="Times New Roman" w:hAnsi="Times New Roman" w:cs="Times New Roman"/>
        </w:rPr>
        <w:t>, il existe des motifs sérieux et avérés de croire que, à la suite de sa remise à l’</w:t>
      </w:r>
      <w:r w:rsidR="00E40F48">
        <w:rPr>
          <w:rFonts w:ascii="Times New Roman" w:hAnsi="Times New Roman" w:cs="Times New Roman"/>
        </w:rPr>
        <w:t>É</w:t>
      </w:r>
      <w:r w:rsidR="004E4AD7" w:rsidRPr="00AE5152">
        <w:rPr>
          <w:rFonts w:ascii="Times New Roman" w:hAnsi="Times New Roman" w:cs="Times New Roman"/>
        </w:rPr>
        <w:t xml:space="preserve">tat membre d’émission, cette personne courra un risque réel d’être soumise à un traitement inhumain ou dégradant » (point 55). </w:t>
      </w:r>
      <w:r w:rsidR="00906F1E" w:rsidRPr="00AE5152">
        <w:rPr>
          <w:rFonts w:ascii="Times New Roman" w:hAnsi="Times New Roman" w:cs="Times New Roman"/>
        </w:rPr>
        <w:t>C</w:t>
      </w:r>
      <w:r w:rsidR="004E4AD7" w:rsidRPr="00AE5152">
        <w:rPr>
          <w:rFonts w:ascii="Times New Roman" w:hAnsi="Times New Roman" w:cs="Times New Roman"/>
        </w:rPr>
        <w:t xml:space="preserve">e contrôle ne peut porter que sur les établissements pénitentiaires dans lesquels il est concrètement </w:t>
      </w:r>
      <w:r w:rsidR="00906F1E" w:rsidRPr="00AE5152">
        <w:rPr>
          <w:rFonts w:ascii="Times New Roman" w:hAnsi="Times New Roman" w:cs="Times New Roman"/>
        </w:rPr>
        <w:t>envisagé</w:t>
      </w:r>
      <w:r w:rsidR="004E4AD7" w:rsidRPr="00AE5152">
        <w:rPr>
          <w:rFonts w:ascii="Times New Roman" w:hAnsi="Times New Roman" w:cs="Times New Roman"/>
        </w:rPr>
        <w:t xml:space="preserve"> de détenir la personne, même à titre provisoire (point 66).  </w:t>
      </w:r>
      <w:r w:rsidR="00906F1E" w:rsidRPr="00AE5152">
        <w:rPr>
          <w:rFonts w:ascii="Times New Roman" w:hAnsi="Times New Roman" w:cs="Times New Roman"/>
        </w:rPr>
        <w:t xml:space="preserve">Si ce contrôle doit être concret, </w:t>
      </w:r>
      <w:r w:rsidR="001B7012" w:rsidRPr="00AE5152">
        <w:rPr>
          <w:rFonts w:ascii="Times New Roman" w:hAnsi="Times New Roman" w:cs="Times New Roman"/>
        </w:rPr>
        <w:t xml:space="preserve">la Cour précise dans l’arrêt </w:t>
      </w:r>
      <w:proofErr w:type="spellStart"/>
      <w:r w:rsidR="001B7012" w:rsidRPr="00AE5152">
        <w:rPr>
          <w:rFonts w:ascii="Times New Roman" w:hAnsi="Times New Roman" w:cs="Times New Roman"/>
          <w:i/>
        </w:rPr>
        <w:t>Dorobantu</w:t>
      </w:r>
      <w:proofErr w:type="spellEnd"/>
      <w:r w:rsidR="001B7012" w:rsidRPr="00AE5152">
        <w:rPr>
          <w:rFonts w:ascii="Times New Roman" w:hAnsi="Times New Roman" w:cs="Times New Roman"/>
        </w:rPr>
        <w:t xml:space="preserve"> qu’</w:t>
      </w:r>
      <w:r w:rsidR="00906F1E" w:rsidRPr="00AE5152">
        <w:rPr>
          <w:rFonts w:ascii="Times New Roman" w:hAnsi="Times New Roman" w:cs="Times New Roman"/>
        </w:rPr>
        <w:t>il ne peut</w:t>
      </w:r>
      <w:r w:rsidR="003F6B7D" w:rsidRPr="00AE5152">
        <w:rPr>
          <w:rFonts w:ascii="Times New Roman" w:hAnsi="Times New Roman" w:cs="Times New Roman"/>
        </w:rPr>
        <w:t xml:space="preserve"> néanmoins pas se limiter</w:t>
      </w:r>
      <w:r w:rsidR="00AE1910" w:rsidRPr="00AE5152">
        <w:rPr>
          <w:rFonts w:ascii="Times New Roman" w:hAnsi="Times New Roman" w:cs="Times New Roman"/>
        </w:rPr>
        <w:t xml:space="preserve">, en raison du caractère absolu de l’interdiction de traitements inhumains et dégradants, </w:t>
      </w:r>
      <w:r w:rsidR="00906F1E" w:rsidRPr="00AE5152">
        <w:rPr>
          <w:rFonts w:ascii="Times New Roman" w:hAnsi="Times New Roman" w:cs="Times New Roman"/>
        </w:rPr>
        <w:t>aux insuffisances manifestes </w:t>
      </w:r>
      <w:r w:rsidR="00AE1910" w:rsidRPr="00AE5152">
        <w:rPr>
          <w:rFonts w:ascii="Times New Roman" w:hAnsi="Times New Roman" w:cs="Times New Roman"/>
        </w:rPr>
        <w:t xml:space="preserve">(point 62).  </w:t>
      </w:r>
    </w:p>
    <w:p w14:paraId="3E77049C" w14:textId="77777777" w:rsidR="00090DF9" w:rsidRPr="00AE5152" w:rsidRDefault="00090DF9" w:rsidP="00AE5152">
      <w:pPr>
        <w:jc w:val="both"/>
        <w:rPr>
          <w:rFonts w:ascii="Times New Roman" w:hAnsi="Times New Roman" w:cs="Times New Roman"/>
        </w:rPr>
      </w:pPr>
    </w:p>
    <w:p w14:paraId="680AA9C2" w14:textId="674992EE" w:rsidR="00090DF9" w:rsidRDefault="00090DF9" w:rsidP="00AE5152">
      <w:pPr>
        <w:jc w:val="both"/>
        <w:rPr>
          <w:rFonts w:ascii="Times New Roman" w:hAnsi="Times New Roman" w:cs="Times New Roman"/>
        </w:rPr>
      </w:pPr>
      <w:r w:rsidRPr="00AE5152">
        <w:rPr>
          <w:rFonts w:ascii="Times New Roman" w:hAnsi="Times New Roman" w:cs="Times New Roman"/>
        </w:rPr>
        <w:lastRenderedPageBreak/>
        <w:t>Dans le cadre de son contrôle, l</w:t>
      </w:r>
      <w:r w:rsidR="00AE1910" w:rsidRPr="00AE5152">
        <w:rPr>
          <w:rFonts w:ascii="Times New Roman" w:hAnsi="Times New Roman" w:cs="Times New Roman"/>
        </w:rPr>
        <w:t>’autorité judiciaire d’exécution est</w:t>
      </w:r>
      <w:r w:rsidRPr="00AE5152">
        <w:rPr>
          <w:rFonts w:ascii="Times New Roman" w:hAnsi="Times New Roman" w:cs="Times New Roman"/>
        </w:rPr>
        <w:t xml:space="preserve"> par ailleurs</w:t>
      </w:r>
      <w:r w:rsidR="00AE1910" w:rsidRPr="00AE5152">
        <w:rPr>
          <w:rFonts w:ascii="Times New Roman" w:hAnsi="Times New Roman" w:cs="Times New Roman"/>
        </w:rPr>
        <w:t xml:space="preserve"> tenue de prendre en compte les éventuelles assurances transmises par l’autorité judiciaire d’émission garantissant le respect de l’article 4 de la Charte </w:t>
      </w:r>
      <w:r w:rsidRPr="00AE5152">
        <w:rPr>
          <w:rFonts w:ascii="Times New Roman" w:hAnsi="Times New Roman" w:cs="Times New Roman"/>
        </w:rPr>
        <w:t>(point 68)</w:t>
      </w:r>
      <w:r w:rsidR="00AE1910" w:rsidRPr="00AE5152">
        <w:rPr>
          <w:rFonts w:ascii="Times New Roman" w:hAnsi="Times New Roman" w:cs="Times New Roman"/>
        </w:rPr>
        <w:t xml:space="preserve">. </w:t>
      </w:r>
      <w:r w:rsidR="003F127B" w:rsidRPr="00AE5152">
        <w:rPr>
          <w:rFonts w:ascii="Times New Roman" w:hAnsi="Times New Roman" w:cs="Times New Roman"/>
        </w:rPr>
        <w:t xml:space="preserve">La Cour de justice </w:t>
      </w:r>
      <w:r w:rsidR="001B7012" w:rsidRPr="00AE5152">
        <w:rPr>
          <w:rFonts w:ascii="Times New Roman" w:hAnsi="Times New Roman" w:cs="Times New Roman"/>
        </w:rPr>
        <w:t>se montre</w:t>
      </w:r>
      <w:r w:rsidR="003F127B" w:rsidRPr="00AE5152">
        <w:rPr>
          <w:rFonts w:ascii="Times New Roman" w:hAnsi="Times New Roman" w:cs="Times New Roman"/>
        </w:rPr>
        <w:t xml:space="preserve"> néanmoins moins </w:t>
      </w:r>
      <w:r w:rsidR="00034A64" w:rsidRPr="00AE5152">
        <w:rPr>
          <w:rFonts w:ascii="Times New Roman" w:hAnsi="Times New Roman" w:cs="Times New Roman"/>
        </w:rPr>
        <w:t xml:space="preserve">ferme, sur ce point, </w:t>
      </w:r>
      <w:r w:rsidR="003F127B" w:rsidRPr="00AE5152">
        <w:rPr>
          <w:rFonts w:ascii="Times New Roman" w:hAnsi="Times New Roman" w:cs="Times New Roman"/>
        </w:rPr>
        <w:t>que l’avocat général Campos Sanchez-</w:t>
      </w:r>
      <w:proofErr w:type="spellStart"/>
      <w:r w:rsidR="003F127B" w:rsidRPr="00AE5152">
        <w:rPr>
          <w:rFonts w:ascii="Times New Roman" w:hAnsi="Times New Roman" w:cs="Times New Roman"/>
        </w:rPr>
        <w:t>Bordona</w:t>
      </w:r>
      <w:proofErr w:type="spellEnd"/>
      <w:r w:rsidR="003F127B" w:rsidRPr="00AE5152">
        <w:rPr>
          <w:rFonts w:ascii="Times New Roman" w:hAnsi="Times New Roman" w:cs="Times New Roman"/>
        </w:rPr>
        <w:t xml:space="preserve"> qui a</w:t>
      </w:r>
      <w:r w:rsidR="001B7012" w:rsidRPr="00AE5152">
        <w:rPr>
          <w:rFonts w:ascii="Times New Roman" w:hAnsi="Times New Roman" w:cs="Times New Roman"/>
        </w:rPr>
        <w:t>vait</w:t>
      </w:r>
      <w:r w:rsidR="003F127B" w:rsidRPr="00AE5152">
        <w:rPr>
          <w:rFonts w:ascii="Times New Roman" w:hAnsi="Times New Roman" w:cs="Times New Roman"/>
        </w:rPr>
        <w:t xml:space="preserve"> été jusqu’à affirmer </w:t>
      </w:r>
      <w:r w:rsidR="001B7012" w:rsidRPr="00AE5152">
        <w:rPr>
          <w:rFonts w:ascii="Times New Roman" w:hAnsi="Times New Roman" w:cs="Times New Roman"/>
        </w:rPr>
        <w:t xml:space="preserve">que </w:t>
      </w:r>
      <w:r w:rsidR="003F127B" w:rsidRPr="00AE5152">
        <w:rPr>
          <w:rFonts w:ascii="Times New Roman" w:hAnsi="Times New Roman" w:cs="Times New Roman"/>
        </w:rPr>
        <w:t xml:space="preserve">l’autorité judiciaire d’exécution </w:t>
      </w:r>
      <w:r w:rsidR="001B7012" w:rsidRPr="00AE5152">
        <w:rPr>
          <w:rFonts w:ascii="Times New Roman" w:hAnsi="Times New Roman" w:cs="Times New Roman"/>
        </w:rPr>
        <w:t xml:space="preserve">ne </w:t>
      </w:r>
      <w:r w:rsidR="003F127B" w:rsidRPr="00AE5152">
        <w:rPr>
          <w:rFonts w:ascii="Times New Roman" w:hAnsi="Times New Roman" w:cs="Times New Roman"/>
        </w:rPr>
        <w:t>pourrait</w:t>
      </w:r>
      <w:r w:rsidR="001B7012" w:rsidRPr="00AE5152">
        <w:rPr>
          <w:rFonts w:ascii="Times New Roman" w:hAnsi="Times New Roman" w:cs="Times New Roman"/>
        </w:rPr>
        <w:t>, en toute hypothèse,</w:t>
      </w:r>
      <w:r w:rsidR="003F127B" w:rsidRPr="00AE5152">
        <w:rPr>
          <w:rFonts w:ascii="Times New Roman" w:hAnsi="Times New Roman" w:cs="Times New Roman"/>
        </w:rPr>
        <w:t xml:space="preserve"> </w:t>
      </w:r>
      <w:r w:rsidR="001B7012" w:rsidRPr="00AE5152">
        <w:rPr>
          <w:rFonts w:ascii="Times New Roman" w:hAnsi="Times New Roman" w:cs="Times New Roman"/>
        </w:rPr>
        <w:t>« </w:t>
      </w:r>
      <w:r w:rsidR="003F127B" w:rsidRPr="00AE5152">
        <w:rPr>
          <w:rFonts w:ascii="Times New Roman" w:hAnsi="Times New Roman" w:cs="Times New Roman"/>
        </w:rPr>
        <w:t>mettre en doute et contrôler la fiabilité d’[une] assurance au regard des données disponibles quant aux conditions de détention dans l’</w:t>
      </w:r>
      <w:r w:rsidR="00E40F48">
        <w:rPr>
          <w:rFonts w:ascii="Times New Roman" w:hAnsi="Times New Roman" w:cs="Times New Roman"/>
        </w:rPr>
        <w:t>É</w:t>
      </w:r>
      <w:r w:rsidR="003F127B" w:rsidRPr="00AE5152">
        <w:rPr>
          <w:rFonts w:ascii="Times New Roman" w:hAnsi="Times New Roman" w:cs="Times New Roman"/>
        </w:rPr>
        <w:t>tat membre [d’émission du mandat d’arrêt européen] »</w:t>
      </w:r>
      <w:r w:rsidR="003F127B" w:rsidRPr="00AE5152">
        <w:rPr>
          <w:rStyle w:val="Appelnotedebasdep"/>
          <w:rFonts w:ascii="Times New Roman" w:hAnsi="Times New Roman" w:cs="Times New Roman"/>
        </w:rPr>
        <w:footnoteReference w:id="11"/>
      </w:r>
      <w:r w:rsidR="003F127B" w:rsidRPr="00AE5152">
        <w:rPr>
          <w:rFonts w:ascii="Times New Roman" w:hAnsi="Times New Roman" w:cs="Times New Roman"/>
        </w:rPr>
        <w:t xml:space="preserve">. Une telle vérification nourrirait, selon lui, « une défiance réciproque et, par ricochet, remettrait en question le système simplifié de remise sur </w:t>
      </w:r>
      <w:r w:rsidR="001B7012" w:rsidRPr="00AE5152">
        <w:rPr>
          <w:rFonts w:ascii="Times New Roman" w:hAnsi="Times New Roman" w:cs="Times New Roman"/>
        </w:rPr>
        <w:t xml:space="preserve">laquelle repose </w:t>
      </w:r>
      <w:r w:rsidR="003F127B" w:rsidRPr="00AE5152">
        <w:rPr>
          <w:rFonts w:ascii="Times New Roman" w:hAnsi="Times New Roman" w:cs="Times New Roman"/>
        </w:rPr>
        <w:t>le mandat d’arrêt européen »</w:t>
      </w:r>
      <w:r w:rsidR="003F127B" w:rsidRPr="00AE5152">
        <w:rPr>
          <w:rStyle w:val="Appelnotedebasdep"/>
          <w:rFonts w:ascii="Times New Roman" w:hAnsi="Times New Roman" w:cs="Times New Roman"/>
        </w:rPr>
        <w:footnoteReference w:id="12"/>
      </w:r>
      <w:r w:rsidR="003F127B" w:rsidRPr="00AE5152">
        <w:rPr>
          <w:rFonts w:ascii="Times New Roman" w:hAnsi="Times New Roman" w:cs="Times New Roman"/>
        </w:rPr>
        <w:t xml:space="preserve">. La Cour de justice </w:t>
      </w:r>
      <w:r w:rsidR="00811483" w:rsidRPr="00AE5152">
        <w:rPr>
          <w:rFonts w:ascii="Times New Roman" w:hAnsi="Times New Roman" w:cs="Times New Roman"/>
        </w:rPr>
        <w:t>considère, quant à elle,</w:t>
      </w:r>
      <w:r w:rsidR="003F127B" w:rsidRPr="00AE5152">
        <w:rPr>
          <w:rFonts w:ascii="Times New Roman" w:hAnsi="Times New Roman" w:cs="Times New Roman"/>
        </w:rPr>
        <w:t xml:space="preserve"> que</w:t>
      </w:r>
      <w:r w:rsidR="00B11016" w:rsidRPr="00AE5152">
        <w:rPr>
          <w:rFonts w:ascii="Times New Roman" w:hAnsi="Times New Roman" w:cs="Times New Roman"/>
        </w:rPr>
        <w:t xml:space="preserve"> l’autorité judiciaire d’exé</w:t>
      </w:r>
      <w:r w:rsidR="00811483" w:rsidRPr="00AE5152">
        <w:rPr>
          <w:rFonts w:ascii="Times New Roman" w:hAnsi="Times New Roman" w:cs="Times New Roman"/>
        </w:rPr>
        <w:t>cution a l’obligation de se</w:t>
      </w:r>
      <w:r w:rsidR="00B11016" w:rsidRPr="00AE5152">
        <w:rPr>
          <w:rFonts w:ascii="Times New Roman" w:hAnsi="Times New Roman" w:cs="Times New Roman"/>
        </w:rPr>
        <w:t xml:space="preserve"> fier</w:t>
      </w:r>
      <w:r w:rsidR="00811483" w:rsidRPr="00AE5152">
        <w:rPr>
          <w:rFonts w:ascii="Times New Roman" w:hAnsi="Times New Roman" w:cs="Times New Roman"/>
        </w:rPr>
        <w:t xml:space="preserve"> à une telle assurance seulement</w:t>
      </w:r>
      <w:r w:rsidR="00B11016" w:rsidRPr="00AE5152">
        <w:rPr>
          <w:rFonts w:ascii="Times New Roman" w:hAnsi="Times New Roman" w:cs="Times New Roman"/>
        </w:rPr>
        <w:t xml:space="preserve"> « en l’absence de tout élément précis permettant de penser que les conditions de détention existant au sein d’un centre de détention déterminé sont </w:t>
      </w:r>
      <w:r w:rsidR="001B7012" w:rsidRPr="00AE5152">
        <w:rPr>
          <w:rFonts w:ascii="Times New Roman" w:hAnsi="Times New Roman" w:cs="Times New Roman"/>
        </w:rPr>
        <w:t>contraires</w:t>
      </w:r>
      <w:r w:rsidR="00B11016" w:rsidRPr="00AE5152">
        <w:rPr>
          <w:rFonts w:ascii="Times New Roman" w:hAnsi="Times New Roman" w:cs="Times New Roman"/>
        </w:rPr>
        <w:t xml:space="preserve"> à l’article 4 de la Charte</w:t>
      </w:r>
      <w:r w:rsidR="005760DE">
        <w:rPr>
          <w:rFonts w:ascii="Times New Roman" w:hAnsi="Times New Roman" w:cs="Times New Roman"/>
        </w:rPr>
        <w:t> »</w:t>
      </w:r>
      <w:r w:rsidR="00B11016" w:rsidRPr="00AE5152">
        <w:rPr>
          <w:rFonts w:ascii="Times New Roman" w:hAnsi="Times New Roman" w:cs="Times New Roman"/>
        </w:rPr>
        <w:t xml:space="preserve"> (p</w:t>
      </w:r>
      <w:r w:rsidR="005760DE">
        <w:rPr>
          <w:rFonts w:ascii="Times New Roman" w:hAnsi="Times New Roman" w:cs="Times New Roman"/>
        </w:rPr>
        <w:t>oint</w:t>
      </w:r>
      <w:r w:rsidR="00B11016" w:rsidRPr="00AE5152">
        <w:rPr>
          <w:rFonts w:ascii="Times New Roman" w:hAnsi="Times New Roman" w:cs="Times New Roman"/>
        </w:rPr>
        <w:t xml:space="preserve"> 68). </w:t>
      </w:r>
    </w:p>
    <w:p w14:paraId="4415DC91" w14:textId="77777777" w:rsidR="007155E1" w:rsidRPr="00AE5152" w:rsidRDefault="007155E1" w:rsidP="00AE5152">
      <w:pPr>
        <w:jc w:val="both"/>
        <w:rPr>
          <w:rFonts w:ascii="Times New Roman" w:hAnsi="Times New Roman" w:cs="Times New Roman"/>
        </w:rPr>
      </w:pPr>
    </w:p>
    <w:p w14:paraId="5AD1B99E" w14:textId="55B874F3" w:rsidR="004B56EF" w:rsidRPr="00AE5152" w:rsidRDefault="004B56EF" w:rsidP="00AE5152">
      <w:pPr>
        <w:jc w:val="both"/>
        <w:rPr>
          <w:rFonts w:ascii="Times New Roman" w:hAnsi="Times New Roman" w:cs="Times New Roman"/>
        </w:rPr>
      </w:pPr>
      <w:r w:rsidRPr="00AE5152">
        <w:rPr>
          <w:rFonts w:ascii="Times New Roman" w:hAnsi="Times New Roman" w:cs="Times New Roman"/>
        </w:rPr>
        <w:t xml:space="preserve">Enfin, </w:t>
      </w:r>
      <w:r w:rsidR="00811483" w:rsidRPr="00AE5152">
        <w:rPr>
          <w:rFonts w:ascii="Times New Roman" w:hAnsi="Times New Roman" w:cs="Times New Roman"/>
        </w:rPr>
        <w:t xml:space="preserve">la Cour de justice </w:t>
      </w:r>
      <w:r w:rsidR="00792C58">
        <w:rPr>
          <w:rFonts w:ascii="Times New Roman" w:hAnsi="Times New Roman" w:cs="Times New Roman"/>
        </w:rPr>
        <w:t>souligne</w:t>
      </w:r>
      <w:r w:rsidR="00811483" w:rsidRPr="00AE5152">
        <w:rPr>
          <w:rFonts w:ascii="Times New Roman" w:hAnsi="Times New Roman" w:cs="Times New Roman"/>
        </w:rPr>
        <w:t xml:space="preserve"> que </w:t>
      </w:r>
      <w:r w:rsidR="000A1891">
        <w:rPr>
          <w:rFonts w:ascii="Times New Roman" w:hAnsi="Times New Roman" w:cs="Times New Roman"/>
        </w:rPr>
        <w:t xml:space="preserve">si </w:t>
      </w:r>
      <w:r w:rsidRPr="00AE5152">
        <w:rPr>
          <w:rFonts w:ascii="Times New Roman" w:hAnsi="Times New Roman" w:cs="Times New Roman"/>
        </w:rPr>
        <w:t>l’existence de mesures générales destinées à améliorer le contrôle des conditions de détention</w:t>
      </w:r>
      <w:r w:rsidR="00C27487">
        <w:rPr>
          <w:rFonts w:ascii="Times New Roman" w:hAnsi="Times New Roman" w:cs="Times New Roman"/>
        </w:rPr>
        <w:t>, tel</w:t>
      </w:r>
      <w:r w:rsidR="005760DE">
        <w:rPr>
          <w:rFonts w:ascii="Times New Roman" w:hAnsi="Times New Roman" w:cs="Times New Roman"/>
        </w:rPr>
        <w:t xml:space="preserve"> que l’existence d’une voie de recours,</w:t>
      </w:r>
      <w:r w:rsidRPr="00AE5152">
        <w:rPr>
          <w:rFonts w:ascii="Times New Roman" w:hAnsi="Times New Roman" w:cs="Times New Roman"/>
        </w:rPr>
        <w:t xml:space="preserve"> do</w:t>
      </w:r>
      <w:r w:rsidR="000A1891">
        <w:rPr>
          <w:rFonts w:ascii="Times New Roman" w:hAnsi="Times New Roman" w:cs="Times New Roman"/>
        </w:rPr>
        <w:t xml:space="preserve">it </w:t>
      </w:r>
      <w:r w:rsidRPr="00AE5152">
        <w:rPr>
          <w:rFonts w:ascii="Times New Roman" w:hAnsi="Times New Roman" w:cs="Times New Roman"/>
        </w:rPr>
        <w:t xml:space="preserve">être prises en compte dans l’examen du risque, </w:t>
      </w:r>
      <w:r w:rsidR="000A1891">
        <w:rPr>
          <w:rFonts w:ascii="Times New Roman" w:hAnsi="Times New Roman" w:cs="Times New Roman"/>
        </w:rPr>
        <w:t xml:space="preserve">celles-ci </w:t>
      </w:r>
      <w:r w:rsidRPr="00AE5152">
        <w:rPr>
          <w:rFonts w:ascii="Times New Roman" w:hAnsi="Times New Roman" w:cs="Times New Roman"/>
        </w:rPr>
        <w:t>ne suffisent pas, à elles</w:t>
      </w:r>
      <w:r w:rsidR="00E40F48">
        <w:rPr>
          <w:rFonts w:ascii="Times New Roman" w:hAnsi="Times New Roman" w:cs="Times New Roman"/>
        </w:rPr>
        <w:t xml:space="preserve"> </w:t>
      </w:r>
      <w:r w:rsidRPr="00AE5152">
        <w:rPr>
          <w:rFonts w:ascii="Times New Roman" w:hAnsi="Times New Roman" w:cs="Times New Roman"/>
        </w:rPr>
        <w:t>seules à l’écarter (point 80).</w:t>
      </w:r>
    </w:p>
    <w:p w14:paraId="30082B94" w14:textId="77777777" w:rsidR="00047F5F" w:rsidRPr="00AE5152" w:rsidRDefault="00047F5F" w:rsidP="00AE5152">
      <w:pPr>
        <w:jc w:val="both"/>
        <w:rPr>
          <w:rFonts w:ascii="Times New Roman" w:hAnsi="Times New Roman" w:cs="Times New Roman"/>
        </w:rPr>
      </w:pPr>
    </w:p>
    <w:p w14:paraId="79B200C6" w14:textId="450E67AC" w:rsidR="00047F5F" w:rsidRPr="00AE5152" w:rsidRDefault="00877DE5" w:rsidP="00AE5152">
      <w:pPr>
        <w:pStyle w:val="Pardeliste"/>
        <w:numPr>
          <w:ilvl w:val="0"/>
          <w:numId w:val="9"/>
        </w:numPr>
        <w:jc w:val="both"/>
        <w:rPr>
          <w:rFonts w:ascii="Times New Roman" w:hAnsi="Times New Roman" w:cs="Times New Roman"/>
          <w:u w:val="single"/>
        </w:rPr>
      </w:pPr>
      <w:r w:rsidRPr="00AE5152">
        <w:rPr>
          <w:rFonts w:ascii="Times New Roman" w:hAnsi="Times New Roman" w:cs="Times New Roman"/>
          <w:u w:val="single"/>
        </w:rPr>
        <w:t>L’appréciation substantielle des conditions de</w:t>
      </w:r>
      <w:r w:rsidR="00047F5F" w:rsidRPr="00AE5152">
        <w:rPr>
          <w:rFonts w:ascii="Times New Roman" w:hAnsi="Times New Roman" w:cs="Times New Roman"/>
          <w:u w:val="single"/>
        </w:rPr>
        <w:t xml:space="preserve"> </w:t>
      </w:r>
      <w:r w:rsidRPr="00AE5152">
        <w:rPr>
          <w:rFonts w:ascii="Times New Roman" w:hAnsi="Times New Roman" w:cs="Times New Roman"/>
          <w:u w:val="single"/>
        </w:rPr>
        <w:t>détention</w:t>
      </w:r>
    </w:p>
    <w:p w14:paraId="447C9020" w14:textId="77777777" w:rsidR="00047F5F" w:rsidRPr="00AE5152" w:rsidRDefault="00047F5F" w:rsidP="00AE5152">
      <w:pPr>
        <w:jc w:val="both"/>
        <w:rPr>
          <w:rFonts w:ascii="Times New Roman" w:hAnsi="Times New Roman" w:cs="Times New Roman"/>
        </w:rPr>
      </w:pPr>
    </w:p>
    <w:p w14:paraId="30D14C07" w14:textId="7C98A252" w:rsidR="009E136A" w:rsidRPr="00AE5152" w:rsidRDefault="009E136A" w:rsidP="00AE5152">
      <w:pPr>
        <w:jc w:val="both"/>
        <w:rPr>
          <w:rFonts w:ascii="Times New Roman" w:hAnsi="Times New Roman" w:cs="Times New Roman"/>
        </w:rPr>
      </w:pPr>
      <w:r w:rsidRPr="00AE5152">
        <w:rPr>
          <w:rFonts w:ascii="Times New Roman" w:hAnsi="Times New Roman" w:cs="Times New Roman"/>
        </w:rPr>
        <w:t xml:space="preserve">Pour ce qui concerne l’appréciation </w:t>
      </w:r>
      <w:r w:rsidR="003F6B7D" w:rsidRPr="00AE5152">
        <w:rPr>
          <w:rFonts w:ascii="Times New Roman" w:hAnsi="Times New Roman" w:cs="Times New Roman"/>
        </w:rPr>
        <w:t xml:space="preserve">substantielle </w:t>
      </w:r>
      <w:r w:rsidRPr="00AE5152">
        <w:rPr>
          <w:rFonts w:ascii="Times New Roman" w:hAnsi="Times New Roman" w:cs="Times New Roman"/>
        </w:rPr>
        <w:t>des conditions de détention</w:t>
      </w:r>
      <w:r w:rsidR="008940D9">
        <w:rPr>
          <w:rFonts w:ascii="Times New Roman" w:hAnsi="Times New Roman" w:cs="Times New Roman"/>
        </w:rPr>
        <w:t xml:space="preserve"> – question qui ne fait pas l’objet d’une harmonisation au niveau de l’Union </w:t>
      </w:r>
      <w:proofErr w:type="gramStart"/>
      <w:r w:rsidR="008940D9">
        <w:rPr>
          <w:rFonts w:ascii="Times New Roman" w:hAnsi="Times New Roman" w:cs="Times New Roman"/>
        </w:rPr>
        <w:t xml:space="preserve">– </w:t>
      </w:r>
      <w:r w:rsidRPr="00AE5152">
        <w:rPr>
          <w:rFonts w:ascii="Times New Roman" w:hAnsi="Times New Roman" w:cs="Times New Roman"/>
        </w:rPr>
        <w:t>,</w:t>
      </w:r>
      <w:proofErr w:type="gramEnd"/>
      <w:r w:rsidRPr="00AE5152">
        <w:rPr>
          <w:rFonts w:ascii="Times New Roman" w:hAnsi="Times New Roman" w:cs="Times New Roman"/>
        </w:rPr>
        <w:t xml:space="preserve"> la Cour de justice </w:t>
      </w:r>
      <w:r w:rsidR="000220BD" w:rsidRPr="00AE5152">
        <w:rPr>
          <w:rFonts w:ascii="Times New Roman" w:hAnsi="Times New Roman" w:cs="Times New Roman"/>
        </w:rPr>
        <w:t>prend</w:t>
      </w:r>
      <w:r w:rsidR="00296058">
        <w:rPr>
          <w:rFonts w:ascii="Times New Roman" w:hAnsi="Times New Roman" w:cs="Times New Roman"/>
        </w:rPr>
        <w:t xml:space="preserve"> </w:t>
      </w:r>
      <w:r w:rsidR="000220BD" w:rsidRPr="00AE5152">
        <w:rPr>
          <w:rFonts w:ascii="Times New Roman" w:hAnsi="Times New Roman" w:cs="Times New Roman"/>
        </w:rPr>
        <w:t>largement appui sur</w:t>
      </w:r>
      <w:r w:rsidRPr="00AE5152">
        <w:rPr>
          <w:rFonts w:ascii="Times New Roman" w:hAnsi="Times New Roman" w:cs="Times New Roman"/>
        </w:rPr>
        <w:t xml:space="preserve"> la jurisprudence de la Cour européenne des droits de l’homme relative à l’article 3 de la Convention éponyme (point 71). Le facteur spatial </w:t>
      </w:r>
      <w:r w:rsidR="003B7706" w:rsidRPr="00AE5152">
        <w:rPr>
          <w:rFonts w:ascii="Times New Roman" w:hAnsi="Times New Roman" w:cs="Times New Roman"/>
        </w:rPr>
        <w:t>présentant</w:t>
      </w:r>
      <w:r w:rsidRPr="00AE5152">
        <w:rPr>
          <w:rFonts w:ascii="Times New Roman" w:hAnsi="Times New Roman" w:cs="Times New Roman"/>
        </w:rPr>
        <w:t>,</w:t>
      </w:r>
      <w:r w:rsidR="003B7706" w:rsidRPr="00AE5152">
        <w:rPr>
          <w:rFonts w:ascii="Times New Roman" w:hAnsi="Times New Roman" w:cs="Times New Roman"/>
        </w:rPr>
        <w:t xml:space="preserve"> en vertu de cette dernière, une certaine importance, « le fait que l’espace personnel dont dispose le détenu est inférieur à 3m</w:t>
      </w:r>
      <w:r w:rsidR="003B7706" w:rsidRPr="000A1891">
        <w:rPr>
          <w:rFonts w:ascii="Times New Roman" w:hAnsi="Times New Roman" w:cs="Times New Roman"/>
          <w:vertAlign w:val="superscript"/>
        </w:rPr>
        <w:t>2</w:t>
      </w:r>
      <w:r w:rsidR="003B7706" w:rsidRPr="00AE5152">
        <w:rPr>
          <w:rFonts w:ascii="Times New Roman" w:hAnsi="Times New Roman" w:cs="Times New Roman"/>
        </w:rPr>
        <w:t xml:space="preserve"> dans une cellule collective », fait naître, selon la Cour de justice, « une forte présomption de violation de l’article 3 de la [Convention européenne des droits de l’homme] (point 72). Elle peut néanmoins être </w:t>
      </w:r>
      <w:r w:rsidR="00AD0DC2" w:rsidRPr="00AE5152">
        <w:rPr>
          <w:rFonts w:ascii="Times New Roman" w:hAnsi="Times New Roman" w:cs="Times New Roman"/>
        </w:rPr>
        <w:t>réfutée</w:t>
      </w:r>
      <w:r w:rsidR="003B7706" w:rsidRPr="00AE5152">
        <w:rPr>
          <w:rFonts w:ascii="Times New Roman" w:hAnsi="Times New Roman" w:cs="Times New Roman"/>
        </w:rPr>
        <w:t xml:space="preserve"> si </w:t>
      </w:r>
      <w:r w:rsidR="00AD0DC2" w:rsidRPr="00AE5152">
        <w:rPr>
          <w:rFonts w:ascii="Times New Roman" w:hAnsi="Times New Roman" w:cs="Times New Roman"/>
        </w:rPr>
        <w:t>les réductions de l’espace personnel par rapport au minimum requis de 3m</w:t>
      </w:r>
      <w:r w:rsidR="00AD0DC2" w:rsidRPr="007155E1">
        <w:rPr>
          <w:rFonts w:ascii="Times New Roman" w:hAnsi="Times New Roman" w:cs="Times New Roman"/>
          <w:vertAlign w:val="superscript"/>
        </w:rPr>
        <w:t>2</w:t>
      </w:r>
      <w:r w:rsidR="00AD0DC2" w:rsidRPr="00AE5152">
        <w:rPr>
          <w:rFonts w:ascii="Times New Roman" w:hAnsi="Times New Roman" w:cs="Times New Roman"/>
        </w:rPr>
        <w:t xml:space="preserve"> sont « courtes, occasionnelles et mineures »</w:t>
      </w:r>
      <w:r w:rsidR="007155E1">
        <w:rPr>
          <w:rFonts w:ascii="Times New Roman" w:hAnsi="Times New Roman" w:cs="Times New Roman"/>
        </w:rPr>
        <w:t xml:space="preserve"> et qu’</w:t>
      </w:r>
      <w:r w:rsidR="00AD0DC2" w:rsidRPr="00AE5152">
        <w:rPr>
          <w:rFonts w:ascii="Times New Roman" w:hAnsi="Times New Roman" w:cs="Times New Roman"/>
        </w:rPr>
        <w:t>elles</w:t>
      </w:r>
      <w:r w:rsidR="007155E1">
        <w:rPr>
          <w:rFonts w:ascii="Times New Roman" w:hAnsi="Times New Roman" w:cs="Times New Roman"/>
        </w:rPr>
        <w:t xml:space="preserve"> sont accompagnées « </w:t>
      </w:r>
      <w:r w:rsidR="00AD0DC2" w:rsidRPr="00AE5152">
        <w:rPr>
          <w:rFonts w:ascii="Times New Roman" w:hAnsi="Times New Roman" w:cs="Times New Roman"/>
        </w:rPr>
        <w:t xml:space="preserve">d’une liberté de circulation suffisante hors de la cellule », si les conditions de détention sont de manière générale décentes et si la « personne concernée n’est pas soumise à d’autres éléments considérés comme des circonstances </w:t>
      </w:r>
      <w:r w:rsidR="00F82B27" w:rsidRPr="00AE5152">
        <w:rPr>
          <w:rFonts w:ascii="Times New Roman" w:hAnsi="Times New Roman" w:cs="Times New Roman"/>
        </w:rPr>
        <w:t>aggravantes</w:t>
      </w:r>
      <w:r w:rsidR="00AD0DC2" w:rsidRPr="00AE5152">
        <w:rPr>
          <w:rFonts w:ascii="Times New Roman" w:hAnsi="Times New Roman" w:cs="Times New Roman"/>
        </w:rPr>
        <w:t xml:space="preserve"> de mauvaises conditions de détention » (point 73). </w:t>
      </w:r>
      <w:r w:rsidR="00047F5F" w:rsidRPr="00AE5152">
        <w:rPr>
          <w:rFonts w:ascii="Times New Roman" w:hAnsi="Times New Roman" w:cs="Times New Roman"/>
        </w:rPr>
        <w:t xml:space="preserve">Le facteur spatial n’est néanmoins pas le seul élément pertinent à prendre en compte, dans la mesure où des conditions de détention peuvent être contraires à l’article 3 de la Convention même si le minimum requis d’espace personnel est respecté (point 76). La Cour de justice précise, au demeurant, que l’éventuelle brièveté de la période de détention envisagée ne la soustrait pas du champ d’application de l’article 3 de la Convention (point 74). </w:t>
      </w:r>
    </w:p>
    <w:p w14:paraId="4E24D2FF" w14:textId="77777777" w:rsidR="009E674D" w:rsidRPr="00AE5152" w:rsidRDefault="009E674D" w:rsidP="00AE5152">
      <w:pPr>
        <w:jc w:val="both"/>
        <w:rPr>
          <w:rFonts w:ascii="Times New Roman" w:hAnsi="Times New Roman" w:cs="Times New Roman"/>
        </w:rPr>
      </w:pPr>
    </w:p>
    <w:p w14:paraId="75BF69AF" w14:textId="608D046D" w:rsidR="009E674D" w:rsidRPr="00AE5152" w:rsidRDefault="0050071B" w:rsidP="00AE5152">
      <w:pPr>
        <w:jc w:val="both"/>
        <w:rPr>
          <w:rFonts w:ascii="Times New Roman" w:hAnsi="Times New Roman" w:cs="Times New Roman"/>
        </w:rPr>
      </w:pPr>
      <w:r>
        <w:rPr>
          <w:rFonts w:ascii="Times New Roman" w:hAnsi="Times New Roman" w:cs="Times New Roman"/>
        </w:rPr>
        <w:t>La</w:t>
      </w:r>
      <w:r w:rsidR="009E674D" w:rsidRPr="00AE5152">
        <w:rPr>
          <w:rFonts w:ascii="Times New Roman" w:hAnsi="Times New Roman" w:cs="Times New Roman"/>
        </w:rPr>
        <w:t xml:space="preserve"> Cour de justice </w:t>
      </w:r>
      <w:r>
        <w:rPr>
          <w:rFonts w:ascii="Times New Roman" w:hAnsi="Times New Roman" w:cs="Times New Roman"/>
        </w:rPr>
        <w:t>rappelle, finalement, en prenant appui</w:t>
      </w:r>
      <w:r w:rsidR="009E674D" w:rsidRPr="00AE5152">
        <w:rPr>
          <w:rFonts w:ascii="Times New Roman" w:hAnsi="Times New Roman" w:cs="Times New Roman"/>
        </w:rPr>
        <w:t xml:space="preserve"> sur sa jurisprudence </w:t>
      </w:r>
      <w:r w:rsidR="009E674D" w:rsidRPr="00AE5152">
        <w:rPr>
          <w:rFonts w:ascii="Times New Roman" w:hAnsi="Times New Roman" w:cs="Times New Roman"/>
          <w:i/>
        </w:rPr>
        <w:t>Melloni</w:t>
      </w:r>
      <w:r w:rsidR="009E674D" w:rsidRPr="00AE5152">
        <w:rPr>
          <w:rStyle w:val="Appelnotedebasdep"/>
          <w:rFonts w:ascii="Times New Roman" w:hAnsi="Times New Roman" w:cs="Times New Roman"/>
        </w:rPr>
        <w:footnoteReference w:id="13"/>
      </w:r>
      <w:r w:rsidR="009E674D" w:rsidRPr="00AE5152">
        <w:rPr>
          <w:rFonts w:ascii="Times New Roman" w:hAnsi="Times New Roman" w:cs="Times New Roman"/>
        </w:rPr>
        <w:t xml:space="preserve">, que s’il reste loisible, aux </w:t>
      </w:r>
      <w:r w:rsidR="00E40F48">
        <w:rPr>
          <w:rFonts w:ascii="Times New Roman" w:hAnsi="Times New Roman" w:cs="Times New Roman"/>
        </w:rPr>
        <w:t>É</w:t>
      </w:r>
      <w:r w:rsidR="009E674D" w:rsidRPr="00AE5152">
        <w:rPr>
          <w:rFonts w:ascii="Times New Roman" w:hAnsi="Times New Roman" w:cs="Times New Roman"/>
        </w:rPr>
        <w:t xml:space="preserve">tats membres, de prévoir des garanties plus élevées que celles prévues par la Charte des droits fondamentaux pour ce qui concerne leur propre système pénitentiaire, </w:t>
      </w:r>
      <w:r w:rsidR="004B56EF" w:rsidRPr="00AE5152">
        <w:rPr>
          <w:rFonts w:ascii="Times New Roman" w:hAnsi="Times New Roman" w:cs="Times New Roman"/>
        </w:rPr>
        <w:t xml:space="preserve">ils ne peuvent subordonner la remise d’une personne qu’au respect des exigences découlant de cette dernière (point 79). </w:t>
      </w:r>
    </w:p>
    <w:p w14:paraId="3E84280D" w14:textId="77777777" w:rsidR="004B56EF" w:rsidRPr="00AE5152" w:rsidRDefault="004B56EF" w:rsidP="00AE5152">
      <w:pPr>
        <w:jc w:val="both"/>
        <w:rPr>
          <w:rFonts w:ascii="Times New Roman" w:hAnsi="Times New Roman" w:cs="Times New Roman"/>
        </w:rPr>
      </w:pPr>
    </w:p>
    <w:p w14:paraId="21FD3251" w14:textId="6C0F8725" w:rsidR="009177CD" w:rsidRPr="00AE5152" w:rsidRDefault="006314FC" w:rsidP="00AE5152">
      <w:pPr>
        <w:pStyle w:val="Pardeliste"/>
        <w:numPr>
          <w:ilvl w:val="0"/>
          <w:numId w:val="2"/>
        </w:numPr>
        <w:jc w:val="both"/>
        <w:rPr>
          <w:rFonts w:ascii="Times New Roman" w:hAnsi="Times New Roman" w:cs="Times New Roman"/>
          <w:b/>
        </w:rPr>
      </w:pPr>
      <w:r w:rsidRPr="00AE5152">
        <w:rPr>
          <w:rFonts w:ascii="Times New Roman" w:hAnsi="Times New Roman" w:cs="Times New Roman"/>
          <w:b/>
        </w:rPr>
        <w:lastRenderedPageBreak/>
        <w:t>Lutte contre l’impunité et respect des droits fond</w:t>
      </w:r>
      <w:r w:rsidR="00181857">
        <w:rPr>
          <w:rFonts w:ascii="Times New Roman" w:hAnsi="Times New Roman" w:cs="Times New Roman"/>
          <w:b/>
        </w:rPr>
        <w:t xml:space="preserve">amentaux dans les prisons : un équilibre difficile à atteindre </w:t>
      </w:r>
    </w:p>
    <w:p w14:paraId="6886DEFE" w14:textId="77777777" w:rsidR="003F71AB" w:rsidRPr="00AE5152" w:rsidRDefault="003F71AB" w:rsidP="00AE5152">
      <w:pPr>
        <w:jc w:val="both"/>
        <w:rPr>
          <w:rFonts w:ascii="Times New Roman" w:hAnsi="Times New Roman" w:cs="Times New Roman"/>
        </w:rPr>
      </w:pPr>
    </w:p>
    <w:p w14:paraId="59DEC228" w14:textId="1585CB21" w:rsidR="00AE5070" w:rsidRPr="00086389" w:rsidRDefault="001124CA" w:rsidP="00AE5152">
      <w:pPr>
        <w:jc w:val="both"/>
        <w:rPr>
          <w:rFonts w:ascii="Times New Roman" w:hAnsi="Times New Roman" w:cs="Times New Roman"/>
        </w:rPr>
      </w:pPr>
      <w:r w:rsidRPr="00AE5152">
        <w:rPr>
          <w:rFonts w:ascii="Times New Roman" w:hAnsi="Times New Roman" w:cs="Times New Roman"/>
        </w:rPr>
        <w:t xml:space="preserve">Afin d’assurer </w:t>
      </w:r>
      <w:r w:rsidR="00AE5070" w:rsidRPr="00AE5152">
        <w:rPr>
          <w:rFonts w:ascii="Times New Roman" w:hAnsi="Times New Roman" w:cs="Times New Roman"/>
        </w:rPr>
        <w:t>une protection satisfaisante des droits fondamentaux</w:t>
      </w:r>
      <w:r w:rsidRPr="00AE5152">
        <w:rPr>
          <w:rFonts w:ascii="Times New Roman" w:hAnsi="Times New Roman" w:cs="Times New Roman"/>
        </w:rPr>
        <w:t xml:space="preserve"> dans l’Union européenne</w:t>
      </w:r>
      <w:r w:rsidR="002B79FA">
        <w:rPr>
          <w:rFonts w:ascii="Times New Roman" w:hAnsi="Times New Roman" w:cs="Times New Roman"/>
        </w:rPr>
        <w:t xml:space="preserve"> – et, en particulier, de l’interdiction absolue de traitements inhumains et dégradants</w:t>
      </w:r>
      <w:r w:rsidR="00C27487">
        <w:rPr>
          <w:rStyle w:val="Appelnotedebasdep"/>
          <w:rFonts w:ascii="Times New Roman" w:hAnsi="Times New Roman" w:cs="Times New Roman"/>
        </w:rPr>
        <w:footnoteReference w:id="14"/>
      </w:r>
      <w:r w:rsidR="002B79FA">
        <w:rPr>
          <w:rFonts w:ascii="Times New Roman" w:hAnsi="Times New Roman" w:cs="Times New Roman"/>
        </w:rPr>
        <w:t xml:space="preserve"> </w:t>
      </w:r>
      <w:r w:rsidR="002B79FA">
        <w:rPr>
          <w:rFonts w:ascii="Times New Roman" w:hAnsi="Times New Roman" w:cs="Times New Roman"/>
        </w:rPr>
        <w:t>–</w:t>
      </w:r>
      <w:r w:rsidRPr="00AE5152">
        <w:rPr>
          <w:rFonts w:ascii="Times New Roman" w:hAnsi="Times New Roman" w:cs="Times New Roman"/>
        </w:rPr>
        <w:t xml:space="preserve">, la Cour de justice n’a eu d’autres choix que de consacrer des exceptions au principe de confiance mutuelle. En raison des très mauvaises conditions de détention dans plusieurs </w:t>
      </w:r>
      <w:r w:rsidR="00E40F48">
        <w:rPr>
          <w:rFonts w:ascii="Times New Roman" w:hAnsi="Times New Roman" w:cs="Times New Roman"/>
        </w:rPr>
        <w:t>É</w:t>
      </w:r>
      <w:r w:rsidRPr="00AE5152">
        <w:rPr>
          <w:rFonts w:ascii="Times New Roman" w:hAnsi="Times New Roman" w:cs="Times New Roman"/>
        </w:rPr>
        <w:t xml:space="preserve">tats membres de l’Union, de </w:t>
      </w:r>
      <w:r w:rsidR="003F71AB" w:rsidRPr="00AE5152">
        <w:rPr>
          <w:rFonts w:ascii="Times New Roman" w:hAnsi="Times New Roman" w:cs="Times New Roman"/>
        </w:rPr>
        <w:t xml:space="preserve">plus en plus de refus d’exécution de </w:t>
      </w:r>
      <w:r w:rsidR="006E54E3">
        <w:rPr>
          <w:rFonts w:ascii="Times New Roman" w:hAnsi="Times New Roman" w:cs="Times New Roman"/>
        </w:rPr>
        <w:t>MAE</w:t>
      </w:r>
      <w:r w:rsidR="003F71AB" w:rsidRPr="00AE5152">
        <w:rPr>
          <w:rFonts w:ascii="Times New Roman" w:hAnsi="Times New Roman" w:cs="Times New Roman"/>
        </w:rPr>
        <w:t xml:space="preserve"> sont prononcés par des autorités judiciaires nationales </w:t>
      </w:r>
      <w:r w:rsidR="00DD3D3D" w:rsidRPr="00AE5152">
        <w:rPr>
          <w:rFonts w:ascii="Times New Roman" w:hAnsi="Times New Roman" w:cs="Times New Roman"/>
        </w:rPr>
        <w:t>sur base de la jurisprudence commentée</w:t>
      </w:r>
      <w:r w:rsidR="00086389" w:rsidRPr="00AE5152">
        <w:rPr>
          <w:rStyle w:val="Appelnotedebasdep"/>
          <w:rFonts w:ascii="Times New Roman" w:hAnsi="Times New Roman" w:cs="Times New Roman"/>
        </w:rPr>
        <w:footnoteReference w:id="15"/>
      </w:r>
      <w:r w:rsidR="00DD3D3D" w:rsidRPr="00AE5152">
        <w:rPr>
          <w:rFonts w:ascii="Times New Roman" w:hAnsi="Times New Roman" w:cs="Times New Roman"/>
        </w:rPr>
        <w:t xml:space="preserve">. </w:t>
      </w:r>
      <w:r w:rsidR="005426EB" w:rsidRPr="00AE5152">
        <w:rPr>
          <w:rFonts w:ascii="Times New Roman" w:hAnsi="Times New Roman" w:cs="Times New Roman"/>
        </w:rPr>
        <w:t xml:space="preserve"> </w:t>
      </w:r>
      <w:r w:rsidR="00DD3D3D" w:rsidRPr="00AE5152">
        <w:rPr>
          <w:rFonts w:ascii="Times New Roman" w:hAnsi="Times New Roman" w:cs="Times New Roman"/>
        </w:rPr>
        <w:t xml:space="preserve">Il n’en demeure pas moins que </w:t>
      </w:r>
      <w:r w:rsidR="002B79FA">
        <w:rPr>
          <w:rFonts w:ascii="Times New Roman" w:hAnsi="Times New Roman" w:cs="Times New Roman"/>
        </w:rPr>
        <w:t>cette jurisprudence</w:t>
      </w:r>
      <w:r w:rsidR="00DD3D3D" w:rsidRPr="00AE5152">
        <w:rPr>
          <w:rFonts w:ascii="Times New Roman" w:hAnsi="Times New Roman" w:cs="Times New Roman"/>
        </w:rPr>
        <w:t xml:space="preserve"> </w:t>
      </w:r>
      <w:r w:rsidR="002B79FA">
        <w:rPr>
          <w:rFonts w:ascii="Times New Roman" w:hAnsi="Times New Roman" w:cs="Times New Roman"/>
        </w:rPr>
        <w:t>soulève</w:t>
      </w:r>
      <w:r w:rsidR="005426EB" w:rsidRPr="00AE5152">
        <w:rPr>
          <w:rFonts w:ascii="Times New Roman" w:hAnsi="Times New Roman" w:cs="Times New Roman"/>
        </w:rPr>
        <w:t xml:space="preserve"> plusieurs </w:t>
      </w:r>
      <w:r w:rsidR="00AE5070" w:rsidRPr="00AE5152">
        <w:rPr>
          <w:rFonts w:ascii="Times New Roman" w:hAnsi="Times New Roman" w:cs="Times New Roman"/>
        </w:rPr>
        <w:t>difficultés pratiques</w:t>
      </w:r>
      <w:r w:rsidR="00BB3AEB" w:rsidRPr="00AE5152">
        <w:rPr>
          <w:rFonts w:ascii="Times New Roman" w:hAnsi="Times New Roman" w:cs="Times New Roman"/>
        </w:rPr>
        <w:t>, qui découlent, en particulier, de la deuxième étape du contrôle qu’elle consacre</w:t>
      </w:r>
      <w:r w:rsidR="00AE5070" w:rsidRPr="00AE5152">
        <w:rPr>
          <w:rFonts w:ascii="Times New Roman" w:hAnsi="Times New Roman" w:cs="Times New Roman"/>
        </w:rPr>
        <w:t xml:space="preserve">. </w:t>
      </w:r>
      <w:r w:rsidR="00034A64" w:rsidRPr="00AE5152">
        <w:rPr>
          <w:rFonts w:ascii="Times New Roman" w:hAnsi="Times New Roman" w:cs="Times New Roman"/>
        </w:rPr>
        <w:t>La</w:t>
      </w:r>
      <w:r w:rsidRPr="00AE5152">
        <w:rPr>
          <w:rFonts w:ascii="Times New Roman" w:hAnsi="Times New Roman" w:cs="Times New Roman"/>
        </w:rPr>
        <w:t xml:space="preserve"> détermination concrète du risque encouru par la personne concernée par le MAE en cas de remise</w:t>
      </w:r>
      <w:r w:rsidR="00034A64" w:rsidRPr="00AE5152">
        <w:rPr>
          <w:rFonts w:ascii="Times New Roman" w:hAnsi="Times New Roman" w:cs="Times New Roman"/>
        </w:rPr>
        <w:t xml:space="preserve"> peut, en effet, se heurter</w:t>
      </w:r>
      <w:r w:rsidR="00811483" w:rsidRPr="00AE5152">
        <w:rPr>
          <w:rFonts w:ascii="Times New Roman" w:hAnsi="Times New Roman" w:cs="Times New Roman"/>
        </w:rPr>
        <w:t xml:space="preserve"> au manque d’information dont disposent les autorités judiciaires d’</w:t>
      </w:r>
      <w:r w:rsidR="002D6DF3">
        <w:rPr>
          <w:rFonts w:ascii="Times New Roman" w:hAnsi="Times New Roman" w:cs="Times New Roman"/>
        </w:rPr>
        <w:t>exécution, quant à l’état du système pénitentiaire dans l’</w:t>
      </w:r>
      <w:r w:rsidR="00E40F48">
        <w:rPr>
          <w:rFonts w:ascii="Times New Roman" w:hAnsi="Times New Roman" w:cs="Times New Roman"/>
        </w:rPr>
        <w:t>É</w:t>
      </w:r>
      <w:r w:rsidR="002D6DF3">
        <w:rPr>
          <w:rFonts w:ascii="Times New Roman" w:hAnsi="Times New Roman" w:cs="Times New Roman"/>
        </w:rPr>
        <w:t xml:space="preserve">tat d’émission du MAE. </w:t>
      </w:r>
      <w:r w:rsidR="00811483" w:rsidRPr="00AE5152">
        <w:rPr>
          <w:rFonts w:ascii="Times New Roman" w:hAnsi="Times New Roman" w:cs="Times New Roman"/>
        </w:rPr>
        <w:t xml:space="preserve">Si </w:t>
      </w:r>
      <w:r w:rsidR="009629C8">
        <w:rPr>
          <w:rFonts w:ascii="Times New Roman" w:hAnsi="Times New Roman" w:cs="Times New Roman"/>
        </w:rPr>
        <w:t>l’insuffisance d’informations</w:t>
      </w:r>
      <w:r w:rsidR="003213A0">
        <w:rPr>
          <w:rFonts w:ascii="Times New Roman" w:hAnsi="Times New Roman" w:cs="Times New Roman"/>
        </w:rPr>
        <w:t xml:space="preserve"> </w:t>
      </w:r>
      <w:r w:rsidR="00811483" w:rsidRPr="00AE5152">
        <w:rPr>
          <w:rFonts w:ascii="Times New Roman" w:hAnsi="Times New Roman" w:cs="Times New Roman"/>
        </w:rPr>
        <w:t xml:space="preserve">peut-être </w:t>
      </w:r>
      <w:r w:rsidR="002B79FA">
        <w:rPr>
          <w:rFonts w:ascii="Times New Roman" w:hAnsi="Times New Roman" w:cs="Times New Roman"/>
        </w:rPr>
        <w:t>en théorie</w:t>
      </w:r>
      <w:r w:rsidR="00811483" w:rsidRPr="00AE5152">
        <w:rPr>
          <w:rFonts w:ascii="Times New Roman" w:hAnsi="Times New Roman" w:cs="Times New Roman"/>
        </w:rPr>
        <w:t xml:space="preserve"> pallié</w:t>
      </w:r>
      <w:r w:rsidR="00C27487">
        <w:rPr>
          <w:rFonts w:ascii="Times New Roman" w:hAnsi="Times New Roman" w:cs="Times New Roman"/>
        </w:rPr>
        <w:t>e</w:t>
      </w:r>
      <w:r w:rsidR="00811483" w:rsidRPr="00AE5152">
        <w:rPr>
          <w:rFonts w:ascii="Times New Roman" w:hAnsi="Times New Roman" w:cs="Times New Roman"/>
        </w:rPr>
        <w:t xml:space="preserve"> par le mécanisme d’échange d’information, </w:t>
      </w:r>
      <w:r w:rsidR="002D6DF3">
        <w:rPr>
          <w:rFonts w:ascii="Times New Roman" w:hAnsi="Times New Roman" w:cs="Times New Roman"/>
        </w:rPr>
        <w:t>l’efficacité de ce système n’est pas toujours vérifiée en pratique</w:t>
      </w:r>
      <w:r w:rsidR="002B79FA">
        <w:rPr>
          <w:rFonts w:ascii="Times New Roman" w:hAnsi="Times New Roman" w:cs="Times New Roman"/>
        </w:rPr>
        <w:t>, les autorités judiciaires nationales n’étant pas toujours pas prêtes à collaborer efficacement</w:t>
      </w:r>
      <w:r w:rsidR="002D6DF3">
        <w:rPr>
          <w:rStyle w:val="Appelnotedebasdep"/>
          <w:rFonts w:ascii="Times New Roman" w:hAnsi="Times New Roman" w:cs="Times New Roman"/>
        </w:rPr>
        <w:footnoteReference w:id="16"/>
      </w:r>
      <w:r w:rsidR="002D6DF3">
        <w:rPr>
          <w:rFonts w:ascii="Times New Roman" w:hAnsi="Times New Roman" w:cs="Times New Roman"/>
        </w:rPr>
        <w:t xml:space="preserve">. </w:t>
      </w:r>
      <w:r w:rsidR="00086389">
        <w:rPr>
          <w:rFonts w:ascii="Times New Roman" w:hAnsi="Times New Roman" w:cs="Times New Roman"/>
        </w:rPr>
        <w:t xml:space="preserve"> </w:t>
      </w:r>
      <w:r w:rsidR="00AE5070" w:rsidRPr="00AE5152">
        <w:rPr>
          <w:rFonts w:ascii="Times New Roman" w:hAnsi="Times New Roman" w:cs="Times New Roman"/>
        </w:rPr>
        <w:t xml:space="preserve">En outre, </w:t>
      </w:r>
      <w:r w:rsidR="00AE5070" w:rsidRPr="00AE5152">
        <w:rPr>
          <w:rFonts w:ascii="Times New Roman" w:eastAsia="Times New Roman" w:hAnsi="Times New Roman" w:cs="Times New Roman"/>
          <w:color w:val="000000" w:themeColor="text1"/>
          <w:shd w:val="clear" w:color="auto" w:fill="FFFFFF"/>
        </w:rPr>
        <w:t xml:space="preserve">comme le souligne la Cour de justice elle-même, « il n’est généralement pas possible, au stade de l’exécution d’un </w:t>
      </w:r>
      <w:r w:rsidR="006E54E3">
        <w:rPr>
          <w:rFonts w:ascii="Times New Roman" w:eastAsia="Times New Roman" w:hAnsi="Times New Roman" w:cs="Times New Roman"/>
          <w:color w:val="000000" w:themeColor="text1"/>
          <w:shd w:val="clear" w:color="auto" w:fill="FFFFFF"/>
        </w:rPr>
        <w:t>MAE</w:t>
      </w:r>
      <w:r w:rsidR="00AE5070" w:rsidRPr="00AE5152">
        <w:rPr>
          <w:rFonts w:ascii="Times New Roman" w:eastAsia="Times New Roman" w:hAnsi="Times New Roman" w:cs="Times New Roman"/>
          <w:color w:val="000000" w:themeColor="text1"/>
          <w:shd w:val="clear" w:color="auto" w:fill="FFFFFF"/>
        </w:rPr>
        <w:t>, d’identifier tous les établissements pénitentiaires dans lesquels une telle personne sera effectivement incarcérée, un transfert d’un établissement à un autre pouvant se justifier par la survenance de circonstances imprévisibles, voire extérieures à la personne concernée »</w:t>
      </w:r>
      <w:r w:rsidR="00AE5070" w:rsidRPr="00AE5152">
        <w:rPr>
          <w:rStyle w:val="Appelnotedebasdep"/>
          <w:rFonts w:ascii="Times New Roman" w:eastAsia="Times New Roman" w:hAnsi="Times New Roman" w:cs="Times New Roman"/>
          <w:color w:val="000000" w:themeColor="text1"/>
          <w:shd w:val="clear" w:color="auto" w:fill="FFFFFF"/>
        </w:rPr>
        <w:footnoteReference w:id="17"/>
      </w:r>
      <w:r w:rsidR="00AE5070" w:rsidRPr="00AE5152">
        <w:rPr>
          <w:rFonts w:ascii="Times New Roman" w:eastAsia="Times New Roman" w:hAnsi="Times New Roman" w:cs="Times New Roman"/>
          <w:color w:val="000000" w:themeColor="text1"/>
          <w:shd w:val="clear" w:color="auto" w:fill="FFFFFF"/>
        </w:rPr>
        <w:t>.</w:t>
      </w:r>
      <w:r w:rsidRPr="00AE5152">
        <w:rPr>
          <w:rFonts w:ascii="Times New Roman" w:eastAsia="Times New Roman" w:hAnsi="Times New Roman" w:cs="Times New Roman"/>
          <w:color w:val="000000" w:themeColor="text1"/>
          <w:shd w:val="clear" w:color="auto" w:fill="FFFFFF"/>
        </w:rPr>
        <w:t xml:space="preserve"> En limitant le contrôle au premier établissement de détention, l’ensemble des risques découlant de l’exécution d’un MAE </w:t>
      </w:r>
      <w:r w:rsidR="000A1891">
        <w:rPr>
          <w:rFonts w:ascii="Times New Roman" w:eastAsia="Times New Roman" w:hAnsi="Times New Roman" w:cs="Times New Roman"/>
          <w:color w:val="000000" w:themeColor="text1"/>
          <w:shd w:val="clear" w:color="auto" w:fill="FFFFFF"/>
        </w:rPr>
        <w:t>n’est</w:t>
      </w:r>
      <w:r w:rsidRPr="00AE5152">
        <w:rPr>
          <w:rFonts w:ascii="Times New Roman" w:eastAsia="Times New Roman" w:hAnsi="Times New Roman" w:cs="Times New Roman"/>
          <w:color w:val="000000" w:themeColor="text1"/>
          <w:shd w:val="clear" w:color="auto" w:fill="FFFFFF"/>
        </w:rPr>
        <w:t xml:space="preserve"> donc pas écarté.  </w:t>
      </w:r>
    </w:p>
    <w:p w14:paraId="1C0A6E8F" w14:textId="518779FE" w:rsidR="00806659" w:rsidRDefault="00806659" w:rsidP="00AE5152">
      <w:pPr>
        <w:jc w:val="both"/>
        <w:rPr>
          <w:rFonts w:ascii="Times New Roman" w:eastAsia="Times New Roman" w:hAnsi="Times New Roman" w:cs="Times New Roman"/>
          <w:color w:val="000000" w:themeColor="text1"/>
          <w:shd w:val="clear" w:color="auto" w:fill="FFFFFF"/>
        </w:rPr>
      </w:pPr>
    </w:p>
    <w:p w14:paraId="555FE375" w14:textId="29C59718" w:rsidR="00806659" w:rsidRDefault="00821BD9" w:rsidP="00AE5152">
      <w:pPr>
        <w:jc w:val="both"/>
        <w:rPr>
          <w:rFonts w:ascii="Times New Roman" w:eastAsia="Times New Roman" w:hAnsi="Times New Roman" w:cs="Times New Roman"/>
          <w:color w:val="000000" w:themeColor="text1"/>
          <w:shd w:val="clear" w:color="auto" w:fill="FFFFFF"/>
        </w:rPr>
      </w:pPr>
      <w:r>
        <w:rPr>
          <w:rFonts w:ascii="Times New Roman" w:eastAsia="Times New Roman" w:hAnsi="Times New Roman" w:cs="Times New Roman"/>
          <w:color w:val="000000" w:themeColor="text1"/>
          <w:shd w:val="clear" w:color="auto" w:fill="FFFFFF"/>
        </w:rPr>
        <w:t xml:space="preserve">La sauvegarde de l’efficacité du mécanisme du </w:t>
      </w:r>
      <w:r w:rsidR="006E54E3">
        <w:rPr>
          <w:rFonts w:ascii="Times New Roman" w:eastAsia="Times New Roman" w:hAnsi="Times New Roman" w:cs="Times New Roman"/>
          <w:color w:val="000000" w:themeColor="text1"/>
          <w:shd w:val="clear" w:color="auto" w:fill="FFFFFF"/>
        </w:rPr>
        <w:t>MAE</w:t>
      </w:r>
      <w:r>
        <w:rPr>
          <w:rFonts w:ascii="Times New Roman" w:eastAsia="Times New Roman" w:hAnsi="Times New Roman" w:cs="Times New Roman"/>
          <w:color w:val="000000" w:themeColor="text1"/>
          <w:shd w:val="clear" w:color="auto" w:fill="FFFFFF"/>
        </w:rPr>
        <w:t xml:space="preserve"> constitue néanmoins une condition de la lutte contre l’impunité au sein de l’espace européen. Sans le maintien d’</w:t>
      </w:r>
      <w:r w:rsidR="00880565">
        <w:rPr>
          <w:rFonts w:ascii="Times New Roman" w:eastAsia="Times New Roman" w:hAnsi="Times New Roman" w:cs="Times New Roman"/>
          <w:color w:val="000000" w:themeColor="text1"/>
          <w:shd w:val="clear" w:color="auto" w:fill="FFFFFF"/>
        </w:rPr>
        <w:t xml:space="preserve">un certain degré de </w:t>
      </w:r>
      <w:r>
        <w:rPr>
          <w:rFonts w:ascii="Times New Roman" w:eastAsia="Times New Roman" w:hAnsi="Times New Roman" w:cs="Times New Roman"/>
          <w:color w:val="000000" w:themeColor="text1"/>
          <w:shd w:val="clear" w:color="auto" w:fill="FFFFFF"/>
        </w:rPr>
        <w:t xml:space="preserve">confiance mutuelle entre les </w:t>
      </w:r>
      <w:r w:rsidR="00E40F48">
        <w:rPr>
          <w:rFonts w:ascii="Times New Roman" w:eastAsia="Times New Roman" w:hAnsi="Times New Roman" w:cs="Times New Roman"/>
          <w:color w:val="000000" w:themeColor="text1"/>
          <w:shd w:val="clear" w:color="auto" w:fill="FFFFFF"/>
        </w:rPr>
        <w:t>É</w:t>
      </w:r>
      <w:r>
        <w:rPr>
          <w:rFonts w:ascii="Times New Roman" w:eastAsia="Times New Roman" w:hAnsi="Times New Roman" w:cs="Times New Roman"/>
          <w:color w:val="000000" w:themeColor="text1"/>
          <w:shd w:val="clear" w:color="auto" w:fill="FFFFFF"/>
        </w:rPr>
        <w:t>tats membres, des personnes coupables d’</w:t>
      </w:r>
      <w:r w:rsidR="00880565">
        <w:rPr>
          <w:rFonts w:ascii="Times New Roman" w:eastAsia="Times New Roman" w:hAnsi="Times New Roman" w:cs="Times New Roman"/>
          <w:color w:val="000000" w:themeColor="text1"/>
          <w:shd w:val="clear" w:color="auto" w:fill="FFFFFF"/>
        </w:rPr>
        <w:t>infractions pourraient</w:t>
      </w:r>
      <w:r w:rsidR="00086389">
        <w:rPr>
          <w:rFonts w:ascii="Times New Roman" w:eastAsia="Times New Roman" w:hAnsi="Times New Roman" w:cs="Times New Roman"/>
          <w:color w:val="000000" w:themeColor="text1"/>
          <w:shd w:val="clear" w:color="auto" w:fill="FFFFFF"/>
        </w:rPr>
        <w:t>, sans difficulté,</w:t>
      </w:r>
      <w:r w:rsidR="00880565">
        <w:rPr>
          <w:rFonts w:ascii="Times New Roman" w:eastAsia="Times New Roman" w:hAnsi="Times New Roman" w:cs="Times New Roman"/>
          <w:color w:val="000000" w:themeColor="text1"/>
          <w:shd w:val="clear" w:color="auto" w:fill="FFFFFF"/>
        </w:rPr>
        <w:t xml:space="preserve"> </w:t>
      </w:r>
      <w:r>
        <w:rPr>
          <w:rFonts w:ascii="Times New Roman" w:eastAsia="Times New Roman" w:hAnsi="Times New Roman" w:cs="Times New Roman"/>
          <w:color w:val="000000" w:themeColor="text1"/>
          <w:shd w:val="clear" w:color="auto" w:fill="FFFFFF"/>
        </w:rPr>
        <w:t xml:space="preserve">profiter des libertés de circulation pour se déplacer dans l’Union européenne </w:t>
      </w:r>
      <w:r w:rsidR="00086389">
        <w:rPr>
          <w:rFonts w:ascii="Times New Roman" w:eastAsia="Times New Roman" w:hAnsi="Times New Roman" w:cs="Times New Roman"/>
          <w:color w:val="000000" w:themeColor="text1"/>
          <w:shd w:val="clear" w:color="auto" w:fill="FFFFFF"/>
        </w:rPr>
        <w:t>afin d’</w:t>
      </w:r>
      <w:r>
        <w:rPr>
          <w:rFonts w:ascii="Times New Roman" w:eastAsia="Times New Roman" w:hAnsi="Times New Roman" w:cs="Times New Roman"/>
          <w:color w:val="000000" w:themeColor="text1"/>
          <w:shd w:val="clear" w:color="auto" w:fill="FFFFFF"/>
        </w:rPr>
        <w:t>échapper aux poursuites dans l’</w:t>
      </w:r>
      <w:r w:rsidR="00E40F48">
        <w:rPr>
          <w:rFonts w:ascii="Times New Roman" w:eastAsia="Times New Roman" w:hAnsi="Times New Roman" w:cs="Times New Roman"/>
          <w:color w:val="000000" w:themeColor="text1"/>
          <w:shd w:val="clear" w:color="auto" w:fill="FFFFFF"/>
        </w:rPr>
        <w:t>É</w:t>
      </w:r>
      <w:r w:rsidR="004C3B32">
        <w:rPr>
          <w:rFonts w:ascii="Times New Roman" w:eastAsia="Times New Roman" w:hAnsi="Times New Roman" w:cs="Times New Roman"/>
          <w:color w:val="000000" w:themeColor="text1"/>
          <w:shd w:val="clear" w:color="auto" w:fill="FFFFFF"/>
        </w:rPr>
        <w:t xml:space="preserve">tat membre où </w:t>
      </w:r>
      <w:r w:rsidR="00086389">
        <w:rPr>
          <w:rFonts w:ascii="Times New Roman" w:eastAsia="Times New Roman" w:hAnsi="Times New Roman" w:cs="Times New Roman"/>
          <w:color w:val="000000" w:themeColor="text1"/>
          <w:shd w:val="clear" w:color="auto" w:fill="FFFFFF"/>
        </w:rPr>
        <w:t>ils auraient commis une infraction.</w:t>
      </w:r>
      <w:r w:rsidR="00E82CD7">
        <w:rPr>
          <w:rFonts w:ascii="Times New Roman" w:eastAsia="Times New Roman" w:hAnsi="Times New Roman" w:cs="Times New Roman"/>
          <w:color w:val="000000" w:themeColor="text1"/>
          <w:shd w:val="clear" w:color="auto" w:fill="FFFFFF"/>
        </w:rPr>
        <w:t xml:space="preserve"> </w:t>
      </w:r>
      <w:r w:rsidR="004C3B32">
        <w:rPr>
          <w:rFonts w:ascii="Times New Roman" w:eastAsia="Times New Roman" w:hAnsi="Times New Roman" w:cs="Times New Roman"/>
          <w:color w:val="000000" w:themeColor="text1"/>
          <w:shd w:val="clear" w:color="auto" w:fill="FFFFFF"/>
        </w:rPr>
        <w:t xml:space="preserve">La Belgique a d’ailleurs, récemment, fait l’objet d’une condamnation de la part de la Cour européenne des droits de l’homme pour ne pas avoir exécuté un </w:t>
      </w:r>
      <w:r w:rsidR="006E54E3">
        <w:rPr>
          <w:rFonts w:ascii="Times New Roman" w:eastAsia="Times New Roman" w:hAnsi="Times New Roman" w:cs="Times New Roman"/>
          <w:color w:val="000000" w:themeColor="text1"/>
          <w:shd w:val="clear" w:color="auto" w:fill="FFFFFF"/>
        </w:rPr>
        <w:t xml:space="preserve">MAE </w:t>
      </w:r>
      <w:r w:rsidR="004C3B32">
        <w:rPr>
          <w:rFonts w:ascii="Times New Roman" w:eastAsia="Times New Roman" w:hAnsi="Times New Roman" w:cs="Times New Roman"/>
          <w:color w:val="000000" w:themeColor="text1"/>
          <w:shd w:val="clear" w:color="auto" w:fill="FFFFFF"/>
        </w:rPr>
        <w:t xml:space="preserve">émis par l’Espagne, au titre des obligations </w:t>
      </w:r>
      <w:r w:rsidR="00AD71EC">
        <w:rPr>
          <w:rFonts w:ascii="Times New Roman" w:eastAsia="Times New Roman" w:hAnsi="Times New Roman" w:cs="Times New Roman"/>
          <w:color w:val="000000" w:themeColor="text1"/>
          <w:shd w:val="clear" w:color="auto" w:fill="FFFFFF"/>
        </w:rPr>
        <w:t xml:space="preserve">positives pour les </w:t>
      </w:r>
      <w:r w:rsidR="00E40F48">
        <w:rPr>
          <w:rFonts w:ascii="Times New Roman" w:eastAsia="Times New Roman" w:hAnsi="Times New Roman" w:cs="Times New Roman"/>
          <w:color w:val="000000" w:themeColor="text1"/>
          <w:shd w:val="clear" w:color="auto" w:fill="FFFFFF"/>
        </w:rPr>
        <w:t>É</w:t>
      </w:r>
      <w:r w:rsidR="00AD71EC">
        <w:rPr>
          <w:rFonts w:ascii="Times New Roman" w:eastAsia="Times New Roman" w:hAnsi="Times New Roman" w:cs="Times New Roman"/>
          <w:color w:val="000000" w:themeColor="text1"/>
          <w:shd w:val="clear" w:color="auto" w:fill="FFFFFF"/>
        </w:rPr>
        <w:t xml:space="preserve">tats </w:t>
      </w:r>
      <w:r w:rsidR="00086389">
        <w:rPr>
          <w:rFonts w:ascii="Times New Roman" w:eastAsia="Times New Roman" w:hAnsi="Times New Roman" w:cs="Times New Roman"/>
          <w:color w:val="000000" w:themeColor="text1"/>
          <w:shd w:val="clear" w:color="auto" w:fill="FFFFFF"/>
        </w:rPr>
        <w:t xml:space="preserve">parties </w:t>
      </w:r>
      <w:r w:rsidR="00AD71EC">
        <w:rPr>
          <w:rFonts w:ascii="Times New Roman" w:eastAsia="Times New Roman" w:hAnsi="Times New Roman" w:cs="Times New Roman"/>
          <w:color w:val="000000" w:themeColor="text1"/>
          <w:shd w:val="clear" w:color="auto" w:fill="FFFFFF"/>
        </w:rPr>
        <w:t>de prendre toutes les mesures nécessaires à la protection de la vie des personnes relevant de leur juridiction.</w:t>
      </w:r>
      <w:r w:rsidR="001D0FDE">
        <w:rPr>
          <w:rFonts w:ascii="Times New Roman" w:eastAsia="Times New Roman" w:hAnsi="Times New Roman" w:cs="Times New Roman"/>
          <w:color w:val="000000" w:themeColor="text1"/>
          <w:shd w:val="clear" w:color="auto" w:fill="FFFFFF"/>
        </w:rPr>
        <w:t xml:space="preserve"> Dans </w:t>
      </w:r>
      <w:r w:rsidR="00651F85">
        <w:rPr>
          <w:rFonts w:ascii="Times New Roman" w:eastAsia="Times New Roman" w:hAnsi="Times New Roman" w:cs="Times New Roman"/>
          <w:color w:val="000000" w:themeColor="text1"/>
          <w:shd w:val="clear" w:color="auto" w:fill="FFFFFF"/>
        </w:rPr>
        <w:t xml:space="preserve">son </w:t>
      </w:r>
      <w:r w:rsidR="001D0FDE">
        <w:rPr>
          <w:rFonts w:ascii="Times New Roman" w:eastAsia="Times New Roman" w:hAnsi="Times New Roman" w:cs="Times New Roman"/>
          <w:color w:val="000000" w:themeColor="text1"/>
          <w:shd w:val="clear" w:color="auto" w:fill="FFFFFF"/>
        </w:rPr>
        <w:t xml:space="preserve">volet procédural, </w:t>
      </w:r>
      <w:r w:rsidR="00651F85">
        <w:rPr>
          <w:rFonts w:ascii="Times New Roman" w:eastAsia="Times New Roman" w:hAnsi="Times New Roman" w:cs="Times New Roman"/>
          <w:color w:val="000000" w:themeColor="text1"/>
          <w:shd w:val="clear" w:color="auto" w:fill="FFFFFF"/>
        </w:rPr>
        <w:t xml:space="preserve">l’article 2 de la Convention européenne des droits de l’homme qui consacre le droit à la vie impose </w:t>
      </w:r>
      <w:r w:rsidR="00E82CD7">
        <w:rPr>
          <w:rFonts w:ascii="Times New Roman" w:eastAsia="Times New Roman" w:hAnsi="Times New Roman" w:cs="Times New Roman"/>
          <w:color w:val="000000" w:themeColor="text1"/>
          <w:shd w:val="clear" w:color="auto" w:fill="FFFFFF"/>
        </w:rPr>
        <w:t>en effet</w:t>
      </w:r>
      <w:r w:rsidR="001D0FDE">
        <w:rPr>
          <w:rFonts w:ascii="Times New Roman" w:eastAsia="Times New Roman" w:hAnsi="Times New Roman" w:cs="Times New Roman"/>
          <w:color w:val="000000" w:themeColor="text1"/>
          <w:shd w:val="clear" w:color="auto" w:fill="FFFFFF"/>
        </w:rPr>
        <w:t xml:space="preserve"> </w:t>
      </w:r>
      <w:r w:rsidR="00156F9D">
        <w:rPr>
          <w:rFonts w:ascii="Times New Roman" w:eastAsia="Times New Roman" w:hAnsi="Times New Roman" w:cs="Times New Roman"/>
          <w:color w:val="000000" w:themeColor="text1"/>
          <w:shd w:val="clear" w:color="auto" w:fill="FFFFFF"/>
        </w:rPr>
        <w:t>une obligation de coopération </w:t>
      </w:r>
      <w:r w:rsidR="00651F85">
        <w:rPr>
          <w:rFonts w:ascii="Times New Roman" w:eastAsia="Times New Roman" w:hAnsi="Times New Roman" w:cs="Times New Roman"/>
          <w:color w:val="000000" w:themeColor="text1"/>
          <w:shd w:val="clear" w:color="auto" w:fill="FFFFFF"/>
        </w:rPr>
        <w:t>de manière à pouvoir de sorte à faire traduire les auteurs d’homicide</w:t>
      </w:r>
      <w:r w:rsidR="00EF0C0F">
        <w:rPr>
          <w:rFonts w:ascii="Times New Roman" w:eastAsia="Times New Roman" w:hAnsi="Times New Roman" w:cs="Times New Roman"/>
          <w:color w:val="000000" w:themeColor="text1"/>
          <w:shd w:val="clear" w:color="auto" w:fill="FFFFFF"/>
        </w:rPr>
        <w:t>s</w:t>
      </w:r>
      <w:r w:rsidR="00651F85">
        <w:rPr>
          <w:rFonts w:ascii="Times New Roman" w:eastAsia="Times New Roman" w:hAnsi="Times New Roman" w:cs="Times New Roman"/>
          <w:color w:val="000000" w:themeColor="text1"/>
          <w:shd w:val="clear" w:color="auto" w:fill="FFFFFF"/>
        </w:rPr>
        <w:t xml:space="preserve"> en justice</w:t>
      </w:r>
      <w:r w:rsidR="002B618D">
        <w:rPr>
          <w:rStyle w:val="Appelnotedebasdep"/>
          <w:rFonts w:ascii="Times New Roman" w:eastAsia="Times New Roman" w:hAnsi="Times New Roman" w:cs="Times New Roman"/>
          <w:color w:val="000000" w:themeColor="text1"/>
          <w:shd w:val="clear" w:color="auto" w:fill="FFFFFF"/>
        </w:rPr>
        <w:footnoteReference w:id="18"/>
      </w:r>
      <w:r w:rsidR="00651F85">
        <w:rPr>
          <w:rFonts w:ascii="Times New Roman" w:eastAsia="Times New Roman" w:hAnsi="Times New Roman" w:cs="Times New Roman"/>
          <w:color w:val="000000" w:themeColor="text1"/>
          <w:shd w:val="clear" w:color="auto" w:fill="FFFFFF"/>
        </w:rPr>
        <w:t>.</w:t>
      </w:r>
    </w:p>
    <w:p w14:paraId="51CB549E" w14:textId="77777777" w:rsidR="00AE5070" w:rsidRPr="00AE5152" w:rsidRDefault="00AE5070" w:rsidP="00AE5152">
      <w:pPr>
        <w:jc w:val="both"/>
        <w:rPr>
          <w:rFonts w:ascii="Times New Roman" w:hAnsi="Times New Roman" w:cs="Times New Roman"/>
        </w:rPr>
      </w:pPr>
    </w:p>
    <w:p w14:paraId="0CB73EA3" w14:textId="27DD9A8E" w:rsidR="00DD3D3D" w:rsidRPr="00AE5152" w:rsidRDefault="00A72EE0" w:rsidP="00AE5152">
      <w:pPr>
        <w:jc w:val="both"/>
        <w:rPr>
          <w:rFonts w:ascii="Times New Roman" w:hAnsi="Times New Roman" w:cs="Times New Roman"/>
        </w:rPr>
      </w:pPr>
      <w:r w:rsidRPr="00AE5152">
        <w:rPr>
          <w:rFonts w:ascii="Times New Roman" w:hAnsi="Times New Roman" w:cs="Times New Roman"/>
        </w:rPr>
        <w:t>C’est donc à un véritable exercice d’</w:t>
      </w:r>
      <w:r w:rsidR="004C3B32">
        <w:rPr>
          <w:rFonts w:ascii="Times New Roman" w:hAnsi="Times New Roman" w:cs="Times New Roman"/>
        </w:rPr>
        <w:t xml:space="preserve">équilibriste que </w:t>
      </w:r>
      <w:r w:rsidR="00E82CD7">
        <w:rPr>
          <w:rFonts w:ascii="Times New Roman" w:hAnsi="Times New Roman" w:cs="Times New Roman"/>
        </w:rPr>
        <w:t>doit s’adonner</w:t>
      </w:r>
      <w:r w:rsidR="004C3B32">
        <w:rPr>
          <w:rFonts w:ascii="Times New Roman" w:hAnsi="Times New Roman" w:cs="Times New Roman"/>
        </w:rPr>
        <w:t xml:space="preserve"> </w:t>
      </w:r>
      <w:r w:rsidRPr="00AE5152">
        <w:rPr>
          <w:rFonts w:ascii="Times New Roman" w:hAnsi="Times New Roman" w:cs="Times New Roman"/>
        </w:rPr>
        <w:t>la Cour de justice dans la jurisprudence commentée</w:t>
      </w:r>
      <w:r w:rsidR="009C4481">
        <w:rPr>
          <w:rFonts w:ascii="Times New Roman" w:hAnsi="Times New Roman" w:cs="Times New Roman"/>
        </w:rPr>
        <w:t xml:space="preserve"> entre, d’une part, </w:t>
      </w:r>
      <w:r w:rsidR="009C4481" w:rsidRPr="00AE5152">
        <w:rPr>
          <w:rFonts w:ascii="Times New Roman" w:hAnsi="Times New Roman" w:cs="Times New Roman"/>
        </w:rPr>
        <w:t>l’impératif de lutte contre l’impunité</w:t>
      </w:r>
      <w:r w:rsidR="002569F1">
        <w:rPr>
          <w:rFonts w:ascii="Times New Roman" w:hAnsi="Times New Roman" w:cs="Times New Roman"/>
        </w:rPr>
        <w:t xml:space="preserve"> – qui trouve </w:t>
      </w:r>
      <w:r w:rsidR="002569F1">
        <w:rPr>
          <w:rFonts w:ascii="Times New Roman" w:hAnsi="Times New Roman" w:cs="Times New Roman"/>
        </w:rPr>
        <w:lastRenderedPageBreak/>
        <w:t xml:space="preserve">également un ancrage dans les obligations procédurales découlant des droits fondamentaux des victimes – </w:t>
      </w:r>
      <w:r w:rsidR="009C4481" w:rsidRPr="00AE5152">
        <w:rPr>
          <w:rFonts w:ascii="Times New Roman" w:hAnsi="Times New Roman" w:cs="Times New Roman"/>
        </w:rPr>
        <w:t xml:space="preserve"> et</w:t>
      </w:r>
      <w:r w:rsidR="009C4481">
        <w:rPr>
          <w:rFonts w:ascii="Times New Roman" w:hAnsi="Times New Roman" w:cs="Times New Roman"/>
        </w:rPr>
        <w:t>, d’autre part,</w:t>
      </w:r>
      <w:r w:rsidR="009C4481" w:rsidRPr="00AE5152">
        <w:rPr>
          <w:rFonts w:ascii="Times New Roman" w:hAnsi="Times New Roman" w:cs="Times New Roman"/>
        </w:rPr>
        <w:t xml:space="preserve"> celui de protection des droits fondamentaux</w:t>
      </w:r>
      <w:r w:rsidR="002569F1">
        <w:rPr>
          <w:rFonts w:ascii="Times New Roman" w:hAnsi="Times New Roman" w:cs="Times New Roman"/>
        </w:rPr>
        <w:t xml:space="preserve"> des personnes poursuivies</w:t>
      </w:r>
      <w:r w:rsidR="00E82CD7">
        <w:rPr>
          <w:rStyle w:val="Appelnotedebasdep"/>
          <w:rFonts w:ascii="Times New Roman" w:hAnsi="Times New Roman" w:cs="Times New Roman"/>
        </w:rPr>
        <w:footnoteReference w:id="19"/>
      </w:r>
      <w:r w:rsidR="009C4481" w:rsidRPr="00AE5152">
        <w:rPr>
          <w:rFonts w:ascii="Times New Roman" w:hAnsi="Times New Roman" w:cs="Times New Roman"/>
        </w:rPr>
        <w:t xml:space="preserve">.  </w:t>
      </w:r>
    </w:p>
    <w:sectPr w:rsidR="00DD3D3D" w:rsidRPr="00AE5152" w:rsidSect="0057770B">
      <w:footerReference w:type="even" r:id="rId7"/>
      <w:footerReference w:type="default" r:id="rId8"/>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1DD17B" w14:textId="77777777" w:rsidR="00AE711B" w:rsidRDefault="00AE711B" w:rsidP="004E4B68">
      <w:r>
        <w:separator/>
      </w:r>
    </w:p>
  </w:endnote>
  <w:endnote w:type="continuationSeparator" w:id="0">
    <w:p w14:paraId="2C1B9E72" w14:textId="77777777" w:rsidR="00AE711B" w:rsidRDefault="00AE711B" w:rsidP="004E4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4B92EC" w14:textId="77777777" w:rsidR="00047F5F" w:rsidRDefault="00047F5F" w:rsidP="00047F5F">
    <w:pPr>
      <w:pStyle w:val="Pieddepage"/>
      <w:framePr w:wrap="none"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18D4158D" w14:textId="77777777" w:rsidR="00047F5F" w:rsidRDefault="00047F5F" w:rsidP="004E4B68">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658F2D" w14:textId="77777777" w:rsidR="00047F5F" w:rsidRPr="00111293" w:rsidRDefault="00047F5F" w:rsidP="00111293">
    <w:pPr>
      <w:pStyle w:val="Pieddepage"/>
      <w:framePr w:wrap="none" w:vAnchor="text" w:hAnchor="page" w:x="10342" w:y="2"/>
      <w:rPr>
        <w:rStyle w:val="Numrodepage"/>
        <w:rFonts w:ascii="Times New Roman" w:hAnsi="Times New Roman" w:cs="Times New Roman"/>
      </w:rPr>
    </w:pPr>
    <w:r w:rsidRPr="00111293">
      <w:rPr>
        <w:rStyle w:val="Numrodepage"/>
        <w:rFonts w:ascii="Times New Roman" w:hAnsi="Times New Roman" w:cs="Times New Roman"/>
      </w:rPr>
      <w:fldChar w:fldCharType="begin"/>
    </w:r>
    <w:r w:rsidRPr="00111293">
      <w:rPr>
        <w:rStyle w:val="Numrodepage"/>
        <w:rFonts w:ascii="Times New Roman" w:hAnsi="Times New Roman" w:cs="Times New Roman"/>
      </w:rPr>
      <w:instrText xml:space="preserve">PAGE  </w:instrText>
    </w:r>
    <w:r w:rsidRPr="00111293">
      <w:rPr>
        <w:rStyle w:val="Numrodepage"/>
        <w:rFonts w:ascii="Times New Roman" w:hAnsi="Times New Roman" w:cs="Times New Roman"/>
      </w:rPr>
      <w:fldChar w:fldCharType="separate"/>
    </w:r>
    <w:r w:rsidR="00DA187A">
      <w:rPr>
        <w:rStyle w:val="Numrodepage"/>
        <w:rFonts w:ascii="Times New Roman" w:hAnsi="Times New Roman" w:cs="Times New Roman"/>
        <w:noProof/>
      </w:rPr>
      <w:t>1</w:t>
    </w:r>
    <w:r w:rsidRPr="00111293">
      <w:rPr>
        <w:rStyle w:val="Numrodepage"/>
        <w:rFonts w:ascii="Times New Roman" w:hAnsi="Times New Roman" w:cs="Times New Roman"/>
      </w:rPr>
      <w:fldChar w:fldCharType="end"/>
    </w:r>
  </w:p>
  <w:p w14:paraId="48CB6EC6" w14:textId="77777777" w:rsidR="00047F5F" w:rsidRDefault="00047F5F" w:rsidP="004E4B68">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514090" w14:textId="77777777" w:rsidR="00AE711B" w:rsidRDefault="00AE711B" w:rsidP="004E4B68">
      <w:r>
        <w:separator/>
      </w:r>
    </w:p>
  </w:footnote>
  <w:footnote w:type="continuationSeparator" w:id="0">
    <w:p w14:paraId="283B9119" w14:textId="77777777" w:rsidR="00AE711B" w:rsidRDefault="00AE711B" w:rsidP="004E4B68">
      <w:r>
        <w:continuationSeparator/>
      </w:r>
    </w:p>
  </w:footnote>
  <w:footnote w:id="1">
    <w:p w14:paraId="545B4997" w14:textId="38DF7E57" w:rsidR="00047F5F" w:rsidRPr="00DA187A" w:rsidRDefault="00047F5F"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L’auteure est chargée d’enseignement à l’Uni</w:t>
      </w:r>
      <w:r w:rsidR="009B01D6" w:rsidRPr="00DA187A">
        <w:rPr>
          <w:rFonts w:ascii="Times New Roman" w:hAnsi="Times New Roman" w:cs="Times New Roman"/>
          <w:sz w:val="20"/>
          <w:szCs w:val="20"/>
        </w:rPr>
        <w:t xml:space="preserve">versité Saint-Louis – Bruxelles </w:t>
      </w:r>
      <w:r w:rsidRPr="00DA187A">
        <w:rPr>
          <w:rFonts w:ascii="Times New Roman" w:hAnsi="Times New Roman" w:cs="Times New Roman"/>
          <w:sz w:val="20"/>
          <w:szCs w:val="20"/>
        </w:rPr>
        <w:t xml:space="preserve">et aspirante au Fonds national de la recherche scientifique auprès de l’Université libre de Bruxelles et l’Université Saint-Louis </w:t>
      </w:r>
      <w:r w:rsidR="009B01D6" w:rsidRPr="00DA187A">
        <w:rPr>
          <w:rFonts w:ascii="Times New Roman" w:hAnsi="Times New Roman" w:cs="Times New Roman"/>
          <w:sz w:val="20"/>
          <w:szCs w:val="20"/>
        </w:rPr>
        <w:t xml:space="preserve">– </w:t>
      </w:r>
      <w:r w:rsidRPr="00DA187A">
        <w:rPr>
          <w:rFonts w:ascii="Times New Roman" w:hAnsi="Times New Roman" w:cs="Times New Roman"/>
          <w:sz w:val="20"/>
          <w:szCs w:val="20"/>
        </w:rPr>
        <w:t xml:space="preserve">Bruxelles. Elle </w:t>
      </w:r>
      <w:r w:rsidRPr="00DA187A">
        <w:rPr>
          <w:rFonts w:ascii="Times New Roman" w:hAnsi="Times New Roman" w:cs="Times New Roman"/>
          <w:color w:val="000000" w:themeColor="text1"/>
          <w:sz w:val="20"/>
          <w:szCs w:val="20"/>
        </w:rPr>
        <w:t>peut être contactée à l’adresse suivante : cecilia.rizcallah@coleurope.eu.</w:t>
      </w:r>
    </w:p>
  </w:footnote>
  <w:footnote w:id="2">
    <w:p w14:paraId="0B07DC59" w14:textId="77777777" w:rsidR="00047F5F" w:rsidRPr="00DA187A" w:rsidRDefault="00047F5F" w:rsidP="00DA187A">
      <w:pPr>
        <w:pStyle w:val="Notedebasdepage"/>
        <w:jc w:val="both"/>
        <w:rPr>
          <w:rFonts w:ascii="Times New Roman" w:hAnsi="Times New Roman" w:cs="Times New Roman"/>
          <w:color w:val="000000" w:themeColor="text1"/>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color w:val="000000" w:themeColor="text1"/>
          <w:sz w:val="20"/>
          <w:szCs w:val="20"/>
        </w:rPr>
        <w:t xml:space="preserve"> Décision-cadre 2002/584/JAI du Conseil, du 13 juin 2002, relative au mandat d’arrêt européen et aux procédures de remise entre États membres, </w:t>
      </w:r>
      <w:r w:rsidRPr="00DA187A">
        <w:rPr>
          <w:rFonts w:ascii="Times New Roman" w:hAnsi="Times New Roman" w:cs="Times New Roman"/>
          <w:i/>
          <w:color w:val="000000" w:themeColor="text1"/>
          <w:sz w:val="20"/>
          <w:szCs w:val="20"/>
        </w:rPr>
        <w:t>JO</w:t>
      </w:r>
      <w:r w:rsidRPr="00DA187A">
        <w:rPr>
          <w:rFonts w:ascii="Times New Roman" w:hAnsi="Times New Roman" w:cs="Times New Roman"/>
          <w:color w:val="000000" w:themeColor="text1"/>
          <w:sz w:val="20"/>
          <w:szCs w:val="20"/>
        </w:rPr>
        <w:t>, L 190, p. 1.</w:t>
      </w:r>
    </w:p>
  </w:footnote>
  <w:footnote w:id="3">
    <w:p w14:paraId="75A92DC2" w14:textId="0F70533B" w:rsidR="00047F5F" w:rsidRPr="00DA187A" w:rsidRDefault="00047F5F"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Art.</w:t>
      </w:r>
      <w:r w:rsidR="00683223" w:rsidRPr="00DA187A">
        <w:rPr>
          <w:rFonts w:ascii="Times New Roman" w:hAnsi="Times New Roman" w:cs="Times New Roman"/>
          <w:sz w:val="20"/>
          <w:szCs w:val="20"/>
        </w:rPr>
        <w:t xml:space="preserve"> 3 et 4</w:t>
      </w:r>
      <w:r w:rsidR="004624F6" w:rsidRPr="00DA187A">
        <w:rPr>
          <w:rFonts w:ascii="Times New Roman" w:hAnsi="Times New Roman" w:cs="Times New Roman"/>
          <w:sz w:val="20"/>
          <w:szCs w:val="20"/>
        </w:rPr>
        <w:t xml:space="preserve"> de la</w:t>
      </w:r>
      <w:r w:rsidRPr="00DA187A">
        <w:rPr>
          <w:rFonts w:ascii="Times New Roman" w:hAnsi="Times New Roman" w:cs="Times New Roman"/>
          <w:sz w:val="20"/>
          <w:szCs w:val="20"/>
        </w:rPr>
        <w:t xml:space="preserve"> </w:t>
      </w:r>
      <w:r w:rsidR="004624F6" w:rsidRPr="00DA187A">
        <w:rPr>
          <w:rFonts w:ascii="Times New Roman" w:hAnsi="Times New Roman" w:cs="Times New Roman"/>
          <w:color w:val="000000" w:themeColor="text1"/>
          <w:sz w:val="20"/>
          <w:szCs w:val="20"/>
        </w:rPr>
        <w:t>d</w:t>
      </w:r>
      <w:r w:rsidRPr="00DA187A">
        <w:rPr>
          <w:rFonts w:ascii="Times New Roman" w:hAnsi="Times New Roman" w:cs="Times New Roman"/>
          <w:color w:val="000000" w:themeColor="text1"/>
          <w:sz w:val="20"/>
          <w:szCs w:val="20"/>
        </w:rPr>
        <w:t xml:space="preserve">écision-cadre 2002/584/JAI du Conseil, du 13 juin 2002, relative au mandat d’arrêt européen et aux procédures de remise entre États membres, </w:t>
      </w:r>
      <w:r w:rsidRPr="00DA187A">
        <w:rPr>
          <w:rFonts w:ascii="Times New Roman" w:hAnsi="Times New Roman" w:cs="Times New Roman"/>
          <w:i/>
          <w:color w:val="000000" w:themeColor="text1"/>
          <w:sz w:val="20"/>
          <w:szCs w:val="20"/>
        </w:rPr>
        <w:t>JO</w:t>
      </w:r>
      <w:r w:rsidRPr="00DA187A">
        <w:rPr>
          <w:rFonts w:ascii="Times New Roman" w:hAnsi="Times New Roman" w:cs="Times New Roman"/>
          <w:color w:val="000000" w:themeColor="text1"/>
          <w:sz w:val="20"/>
          <w:szCs w:val="20"/>
        </w:rPr>
        <w:t xml:space="preserve">, </w:t>
      </w:r>
      <w:r w:rsidR="004624F6" w:rsidRPr="00DA187A">
        <w:rPr>
          <w:rFonts w:ascii="Times New Roman" w:hAnsi="Times New Roman" w:cs="Times New Roman"/>
          <w:color w:val="000000" w:themeColor="text1"/>
          <w:sz w:val="20"/>
          <w:szCs w:val="20"/>
        </w:rPr>
        <w:t xml:space="preserve">18 juillet 2002, </w:t>
      </w:r>
      <w:r w:rsidRPr="00DA187A">
        <w:rPr>
          <w:rFonts w:ascii="Times New Roman" w:hAnsi="Times New Roman" w:cs="Times New Roman"/>
          <w:color w:val="000000" w:themeColor="text1"/>
          <w:sz w:val="20"/>
          <w:szCs w:val="20"/>
        </w:rPr>
        <w:t>L 190, p. 1.</w:t>
      </w:r>
    </w:p>
  </w:footnote>
  <w:footnote w:id="4">
    <w:p w14:paraId="0D8A4975" w14:textId="12D56E2C" w:rsidR="00047F5F" w:rsidRPr="00DA187A" w:rsidRDefault="00047F5F"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r w:rsidRPr="00DA187A">
        <w:rPr>
          <w:rFonts w:ascii="Times New Roman" w:hAnsi="Times New Roman" w:cs="Times New Roman"/>
          <w:color w:val="000000" w:themeColor="text1"/>
          <w:sz w:val="20"/>
          <w:szCs w:val="20"/>
        </w:rPr>
        <w:t xml:space="preserve">Avis 2/13, 18 décembre 2014, </w:t>
      </w:r>
      <w:proofErr w:type="gramStart"/>
      <w:r w:rsidRPr="00DA187A">
        <w:rPr>
          <w:rFonts w:ascii="Times New Roman" w:eastAsia="Calibri" w:hAnsi="Times New Roman" w:cs="Times New Roman"/>
          <w:bCs/>
          <w:color w:val="000000" w:themeColor="text1"/>
          <w:sz w:val="20"/>
          <w:szCs w:val="20"/>
          <w:shd w:val="clear" w:color="auto" w:fill="FFFFFF"/>
        </w:rPr>
        <w:t>EU</w:t>
      </w:r>
      <w:r w:rsidRPr="00DA187A">
        <w:rPr>
          <w:rFonts w:ascii="Times New Roman" w:eastAsia="Times New Roman" w:hAnsi="Times New Roman" w:cs="Times New Roman"/>
          <w:bCs/>
          <w:color w:val="000000" w:themeColor="text1"/>
          <w:sz w:val="20"/>
          <w:szCs w:val="20"/>
          <w:shd w:val="clear" w:color="auto" w:fill="FFFFFF"/>
        </w:rPr>
        <w:t>:</w:t>
      </w:r>
      <w:proofErr w:type="gramEnd"/>
      <w:r w:rsidRPr="00DA187A">
        <w:rPr>
          <w:rFonts w:ascii="Times New Roman" w:eastAsia="Calibri" w:hAnsi="Times New Roman" w:cs="Times New Roman"/>
          <w:bCs/>
          <w:color w:val="000000" w:themeColor="text1"/>
          <w:sz w:val="20"/>
          <w:szCs w:val="20"/>
          <w:shd w:val="clear" w:color="auto" w:fill="FFFFFF"/>
        </w:rPr>
        <w:t>C</w:t>
      </w:r>
      <w:r w:rsidRPr="00DA187A">
        <w:rPr>
          <w:rFonts w:ascii="Times New Roman" w:eastAsia="Times New Roman" w:hAnsi="Times New Roman" w:cs="Times New Roman"/>
          <w:bCs/>
          <w:color w:val="000000" w:themeColor="text1"/>
          <w:sz w:val="20"/>
          <w:szCs w:val="20"/>
          <w:shd w:val="clear" w:color="auto" w:fill="FFFFFF"/>
        </w:rPr>
        <w:t>:2014:2454</w:t>
      </w:r>
      <w:r w:rsidRPr="00DA187A">
        <w:rPr>
          <w:rFonts w:ascii="Times New Roman" w:hAnsi="Times New Roman" w:cs="Times New Roman"/>
          <w:color w:val="000000" w:themeColor="text1"/>
          <w:sz w:val="20"/>
          <w:szCs w:val="20"/>
        </w:rPr>
        <w:t xml:space="preserve">, </w:t>
      </w:r>
      <w:r w:rsidR="00683223" w:rsidRPr="00DA187A">
        <w:rPr>
          <w:rFonts w:ascii="Times New Roman" w:hAnsi="Times New Roman" w:cs="Times New Roman"/>
          <w:color w:val="000000" w:themeColor="text1"/>
          <w:sz w:val="20"/>
          <w:szCs w:val="20"/>
        </w:rPr>
        <w:t xml:space="preserve">point </w:t>
      </w:r>
      <w:r w:rsidRPr="00DA187A">
        <w:rPr>
          <w:rFonts w:ascii="Times New Roman" w:hAnsi="Times New Roman" w:cs="Times New Roman"/>
          <w:color w:val="000000" w:themeColor="text1"/>
          <w:sz w:val="20"/>
          <w:szCs w:val="20"/>
        </w:rPr>
        <w:t>191.</w:t>
      </w:r>
    </w:p>
  </w:footnote>
  <w:footnote w:id="5">
    <w:p w14:paraId="3441FD16" w14:textId="17A0D5C2" w:rsidR="00800033" w:rsidRPr="00DA187A" w:rsidRDefault="00800033"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proofErr w:type="spellStart"/>
      <w:r w:rsidRPr="00DA187A">
        <w:rPr>
          <w:rFonts w:ascii="Times New Roman" w:hAnsi="Times New Roman" w:cs="Times New Roman"/>
          <w:sz w:val="20"/>
          <w:szCs w:val="20"/>
        </w:rPr>
        <w:t>Voy</w:t>
      </w:r>
      <w:proofErr w:type="spellEnd"/>
      <w:r w:rsidRPr="00DA187A">
        <w:rPr>
          <w:rFonts w:ascii="Times New Roman" w:hAnsi="Times New Roman" w:cs="Times New Roman"/>
          <w:sz w:val="20"/>
          <w:szCs w:val="20"/>
        </w:rPr>
        <w:t xml:space="preserve">., de manière plus générale sur ces exceptions, </w:t>
      </w:r>
      <w:r w:rsidR="004E6883" w:rsidRPr="00DA187A">
        <w:rPr>
          <w:rFonts w:ascii="Times New Roman" w:hAnsi="Times New Roman" w:cs="Times New Roman"/>
          <w:sz w:val="20"/>
          <w:szCs w:val="20"/>
        </w:rPr>
        <w:t xml:space="preserve">C. </w:t>
      </w:r>
      <w:r w:rsidR="004E6883" w:rsidRPr="00DA187A">
        <w:rPr>
          <w:rFonts w:ascii="Times New Roman" w:hAnsi="Times New Roman" w:cs="Times New Roman"/>
          <w:smallCaps/>
          <w:sz w:val="20"/>
          <w:szCs w:val="20"/>
        </w:rPr>
        <w:t>Rizcallah</w:t>
      </w:r>
      <w:r w:rsidR="004E6883" w:rsidRPr="00DA187A">
        <w:rPr>
          <w:rFonts w:ascii="Times New Roman" w:hAnsi="Times New Roman" w:cs="Times New Roman"/>
          <w:sz w:val="20"/>
          <w:szCs w:val="20"/>
        </w:rPr>
        <w:t xml:space="preserve">, « Le principe de confiance mutuelle : une utopie malheureuse ? », </w:t>
      </w:r>
      <w:proofErr w:type="spellStart"/>
      <w:r w:rsidR="004E6883" w:rsidRPr="00DA187A">
        <w:rPr>
          <w:rFonts w:ascii="Times New Roman" w:hAnsi="Times New Roman" w:cs="Times New Roman"/>
          <w:i/>
          <w:sz w:val="20"/>
          <w:szCs w:val="20"/>
        </w:rPr>
        <w:t>Rev</w:t>
      </w:r>
      <w:proofErr w:type="spellEnd"/>
      <w:r w:rsidR="004E6883" w:rsidRPr="00DA187A">
        <w:rPr>
          <w:rFonts w:ascii="Times New Roman" w:hAnsi="Times New Roman" w:cs="Times New Roman"/>
          <w:i/>
          <w:sz w:val="20"/>
          <w:szCs w:val="20"/>
        </w:rPr>
        <w:t xml:space="preserve">. trim. </w:t>
      </w:r>
      <w:proofErr w:type="spellStart"/>
      <w:r w:rsidR="004E6883" w:rsidRPr="00DA187A">
        <w:rPr>
          <w:rFonts w:ascii="Times New Roman" w:hAnsi="Times New Roman" w:cs="Times New Roman"/>
          <w:i/>
          <w:sz w:val="20"/>
          <w:szCs w:val="20"/>
        </w:rPr>
        <w:t>dr</w:t>
      </w:r>
      <w:proofErr w:type="spellEnd"/>
      <w:r w:rsidR="004E6883" w:rsidRPr="00DA187A">
        <w:rPr>
          <w:rFonts w:ascii="Times New Roman" w:hAnsi="Times New Roman" w:cs="Times New Roman"/>
          <w:i/>
          <w:sz w:val="20"/>
          <w:szCs w:val="20"/>
        </w:rPr>
        <w:t xml:space="preserve">. h., </w:t>
      </w:r>
      <w:r w:rsidR="004E6883" w:rsidRPr="00DA187A">
        <w:rPr>
          <w:rFonts w:ascii="Times New Roman" w:hAnsi="Times New Roman" w:cs="Times New Roman"/>
          <w:sz w:val="20"/>
          <w:szCs w:val="20"/>
        </w:rPr>
        <w:t>2019, pp. 297 à 322</w:t>
      </w:r>
      <w:r w:rsidR="004E6883" w:rsidRPr="00DA187A">
        <w:rPr>
          <w:rFonts w:ascii="Times New Roman" w:hAnsi="Times New Roman" w:cs="Times New Roman"/>
          <w:sz w:val="20"/>
          <w:szCs w:val="20"/>
        </w:rPr>
        <w:t xml:space="preserve"> et </w:t>
      </w:r>
      <w:r w:rsidRPr="00DA187A">
        <w:rPr>
          <w:rFonts w:ascii="Times New Roman" w:hAnsi="Times New Roman" w:cs="Times New Roman"/>
          <w:sz w:val="20"/>
          <w:szCs w:val="20"/>
          <w:lang w:val="en-US"/>
        </w:rPr>
        <w:fldChar w:fldCharType="begin"/>
      </w:r>
      <w:r w:rsidRPr="00DA187A">
        <w:rPr>
          <w:rFonts w:ascii="Times New Roman" w:hAnsi="Times New Roman" w:cs="Times New Roman"/>
          <w:sz w:val="20"/>
          <w:szCs w:val="20"/>
        </w:rPr>
        <w:instrText xml:space="preserve"> ADDIN ZOTERO_ITEM CSL_CITATION {"citationID":"Gpdmu5yE","properties":{"formattedCitation":"{\\rtf E. {\\scaps Bribosia} et A. {\\scaps Weyembergh}, \\uc0\\u171{}\\uc0\\u160{}Confiance mutuelle et droits fondamentaux\\uc0\\u8239{}: \\uc0\\u171{}\\uc0\\u8239{}back to the future\\uc0\\u8239{}\\uc0\\u187{}\\uc0\\u160{}\\uc0\\u187{}, {\\i{}Cahiers droit europ\\uc0\\u233{}en (CDE)}, 2016, vol.\\uc0\\u160{}2016, n\\super o\\nosupersub{}\\uc0\\u160{}2, p. 469\\uc0\\u8209{}522.}","plainCitation":"E. Bribosia et A. Weyembergh, « Confiance mutuelle et droits fondamentaux : « back to the future » », Cahiers droit européen (CDE), 2016, vol. 2016, no 2, p. 469</w:instrText>
      </w:r>
      <w:r w:rsidRPr="00DA187A">
        <w:rPr>
          <w:rFonts w:ascii="Calibri" w:eastAsia="Calibri" w:hAnsi="Calibri" w:cs="Calibri"/>
          <w:sz w:val="20"/>
          <w:szCs w:val="20"/>
        </w:rPr>
        <w:instrText>‑</w:instrText>
      </w:r>
      <w:r w:rsidRPr="00DA187A">
        <w:rPr>
          <w:rFonts w:ascii="Times New Roman" w:hAnsi="Times New Roman" w:cs="Times New Roman"/>
          <w:sz w:val="20"/>
          <w:szCs w:val="20"/>
        </w:rPr>
        <w:instrText xml:space="preserve">522."},"citationItems":[{"id":46,"uris":["http://zotero.org/users/3463793/items/DR2CZ7GQ"],"uri":["http://zotero.org/users/3463793/items/DR2CZ7GQ"],"itemData":{"id":46,"type":"article-journal","title":"Confiance mutuelle et droits fondamentaux : « back to the future »","container-title":"Cahiers droit européen (CDE)","page":"469-522","volume":"2016","issue":"2","journalAbbreviation":"CahDroitEur","author":[{"family":"Bribosia","given":"E."},{"family":"Weyembergh","given":"A."}],"issued":{"date-parts":[["2016"]]}}}],"schema":"https://github.com/citation-style-language/schema/raw/master/csl-citation.json"} </w:instrText>
      </w:r>
      <w:r w:rsidRPr="00DA187A">
        <w:rPr>
          <w:rFonts w:ascii="Times New Roman" w:hAnsi="Times New Roman" w:cs="Times New Roman"/>
          <w:sz w:val="20"/>
          <w:szCs w:val="20"/>
          <w:lang w:val="en-US"/>
        </w:rPr>
        <w:fldChar w:fldCharType="separate"/>
      </w:r>
      <w:r w:rsidRPr="00DA187A">
        <w:rPr>
          <w:rFonts w:ascii="Times New Roman" w:eastAsia="Times New Roman" w:hAnsi="Times New Roman" w:cs="Times New Roman"/>
          <w:sz w:val="20"/>
          <w:szCs w:val="20"/>
        </w:rPr>
        <w:t xml:space="preserve">E. </w:t>
      </w:r>
      <w:r w:rsidRPr="00DA187A">
        <w:rPr>
          <w:rFonts w:ascii="Times New Roman" w:eastAsia="Times New Roman" w:hAnsi="Times New Roman" w:cs="Times New Roman"/>
          <w:smallCaps/>
          <w:sz w:val="20"/>
          <w:szCs w:val="20"/>
        </w:rPr>
        <w:t>Bribosia</w:t>
      </w:r>
      <w:r w:rsidRPr="00DA187A">
        <w:rPr>
          <w:rFonts w:ascii="Times New Roman" w:eastAsia="Times New Roman" w:hAnsi="Times New Roman" w:cs="Times New Roman"/>
          <w:sz w:val="20"/>
          <w:szCs w:val="20"/>
        </w:rPr>
        <w:t xml:space="preserve"> et A. </w:t>
      </w:r>
      <w:r w:rsidRPr="00DA187A">
        <w:rPr>
          <w:rFonts w:ascii="Times New Roman" w:eastAsia="Times New Roman" w:hAnsi="Times New Roman" w:cs="Times New Roman"/>
          <w:smallCaps/>
          <w:sz w:val="20"/>
          <w:szCs w:val="20"/>
        </w:rPr>
        <w:t>Weyembergh</w:t>
      </w:r>
      <w:r w:rsidRPr="00DA187A">
        <w:rPr>
          <w:rFonts w:ascii="Times New Roman" w:eastAsia="Times New Roman" w:hAnsi="Times New Roman" w:cs="Times New Roman"/>
          <w:sz w:val="20"/>
          <w:szCs w:val="20"/>
        </w:rPr>
        <w:t xml:space="preserve">, « Confiance mutuelle et droits fondamentaux : « back to the future » », </w:t>
      </w:r>
      <w:r w:rsidRPr="00DA187A">
        <w:rPr>
          <w:rFonts w:ascii="Times New Roman" w:eastAsia="Times New Roman" w:hAnsi="Times New Roman" w:cs="Times New Roman"/>
          <w:i/>
          <w:iCs/>
          <w:sz w:val="20"/>
          <w:szCs w:val="20"/>
        </w:rPr>
        <w:t>Cah. dr. eur.</w:t>
      </w:r>
      <w:r w:rsidRPr="00DA187A">
        <w:rPr>
          <w:rFonts w:ascii="Times New Roman" w:eastAsia="Times New Roman" w:hAnsi="Times New Roman" w:cs="Times New Roman"/>
          <w:sz w:val="20"/>
          <w:szCs w:val="20"/>
        </w:rPr>
        <w:t>, 2016, pp. 469</w:t>
      </w:r>
      <w:r w:rsidRPr="00DA187A">
        <w:rPr>
          <w:rFonts w:ascii="Calibri" w:eastAsia="Calibri" w:hAnsi="Calibri" w:cs="Calibri"/>
          <w:sz w:val="20"/>
          <w:szCs w:val="20"/>
        </w:rPr>
        <w:t>‑</w:t>
      </w:r>
      <w:r w:rsidRPr="00DA187A">
        <w:rPr>
          <w:rFonts w:ascii="Times New Roman" w:eastAsia="Times New Roman" w:hAnsi="Times New Roman" w:cs="Times New Roman"/>
          <w:sz w:val="20"/>
          <w:szCs w:val="20"/>
        </w:rPr>
        <w:t>522</w:t>
      </w:r>
      <w:r w:rsidR="004E6883" w:rsidRPr="00DA187A">
        <w:rPr>
          <w:rFonts w:ascii="Times New Roman" w:eastAsia="Times New Roman" w:hAnsi="Times New Roman" w:cs="Times New Roman"/>
          <w:sz w:val="20"/>
          <w:szCs w:val="20"/>
        </w:rPr>
        <w:t>.</w:t>
      </w:r>
      <w:r w:rsidRPr="00DA187A">
        <w:rPr>
          <w:rFonts w:ascii="Times New Roman" w:eastAsia="Times New Roman" w:hAnsi="Times New Roman" w:cs="Times New Roman"/>
          <w:sz w:val="20"/>
          <w:szCs w:val="20"/>
        </w:rPr>
        <w:t xml:space="preserve"> </w:t>
      </w:r>
      <w:r w:rsidRPr="00DA187A">
        <w:rPr>
          <w:rFonts w:ascii="Times New Roman" w:hAnsi="Times New Roman" w:cs="Times New Roman"/>
          <w:sz w:val="20"/>
          <w:szCs w:val="20"/>
          <w:lang w:val="en-US"/>
        </w:rPr>
        <w:fldChar w:fldCharType="end"/>
      </w:r>
    </w:p>
  </w:footnote>
  <w:footnote w:id="6">
    <w:p w14:paraId="2487C3D3" w14:textId="5457EF21" w:rsidR="009C3739" w:rsidRPr="00DA187A" w:rsidRDefault="009C3739"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La Cour de justice a également consacré une exception visant à protéger le droit </w:t>
      </w:r>
      <w:r w:rsidR="00C57469" w:rsidRPr="00DA187A">
        <w:rPr>
          <w:rFonts w:ascii="Times New Roman" w:hAnsi="Times New Roman" w:cs="Times New Roman"/>
          <w:sz w:val="20"/>
          <w:szCs w:val="20"/>
        </w:rPr>
        <w:t>à un juge indépendant, qui relève</w:t>
      </w:r>
      <w:r w:rsidR="00C27487" w:rsidRPr="00DA187A">
        <w:rPr>
          <w:rFonts w:ascii="Times New Roman" w:hAnsi="Times New Roman" w:cs="Times New Roman"/>
          <w:sz w:val="20"/>
          <w:szCs w:val="20"/>
        </w:rPr>
        <w:t xml:space="preserve"> du contenu essentiel du droit </w:t>
      </w:r>
      <w:r w:rsidR="00C57469" w:rsidRPr="00DA187A">
        <w:rPr>
          <w:rFonts w:ascii="Times New Roman" w:hAnsi="Times New Roman" w:cs="Times New Roman"/>
          <w:sz w:val="20"/>
          <w:szCs w:val="20"/>
        </w:rPr>
        <w:t xml:space="preserve">fondamental à un procès équitable. CJUE, </w:t>
      </w:r>
      <w:r w:rsidR="00C57469" w:rsidRPr="00DA187A">
        <w:rPr>
          <w:rFonts w:ascii="Times New Roman" w:hAnsi="Times New Roman" w:cs="Times New Roman"/>
          <w:color w:val="000000" w:themeColor="text1"/>
          <w:sz w:val="20"/>
          <w:szCs w:val="20"/>
        </w:rPr>
        <w:t xml:space="preserve">arrêt du 25 juillet 2018, </w:t>
      </w:r>
      <w:r w:rsidR="00C57469" w:rsidRPr="00DA187A">
        <w:rPr>
          <w:rFonts w:ascii="Times New Roman" w:hAnsi="Times New Roman" w:cs="Times New Roman"/>
          <w:i/>
          <w:color w:val="000000" w:themeColor="text1"/>
          <w:sz w:val="20"/>
          <w:szCs w:val="20"/>
        </w:rPr>
        <w:t>LM</w:t>
      </w:r>
      <w:r w:rsidR="00C57469" w:rsidRPr="00DA187A">
        <w:rPr>
          <w:rFonts w:ascii="Times New Roman" w:hAnsi="Times New Roman" w:cs="Times New Roman"/>
          <w:color w:val="000000" w:themeColor="text1"/>
          <w:sz w:val="20"/>
          <w:szCs w:val="20"/>
        </w:rPr>
        <w:t xml:space="preserve">, C-216/18 PPU, </w:t>
      </w:r>
      <w:proofErr w:type="gramStart"/>
      <w:r w:rsidR="00C57469" w:rsidRPr="00DA187A">
        <w:rPr>
          <w:rFonts w:ascii="Times New Roman" w:hAnsi="Times New Roman" w:cs="Times New Roman"/>
          <w:bCs/>
          <w:color w:val="000000" w:themeColor="text1"/>
          <w:sz w:val="20"/>
          <w:szCs w:val="20"/>
        </w:rPr>
        <w:t>EU:</w:t>
      </w:r>
      <w:proofErr w:type="gramEnd"/>
      <w:r w:rsidR="00C57469" w:rsidRPr="00DA187A">
        <w:rPr>
          <w:rFonts w:ascii="Times New Roman" w:hAnsi="Times New Roman" w:cs="Times New Roman"/>
          <w:bCs/>
          <w:color w:val="000000" w:themeColor="text1"/>
          <w:sz w:val="20"/>
          <w:szCs w:val="20"/>
        </w:rPr>
        <w:t xml:space="preserve">C:2018:586, </w:t>
      </w:r>
      <w:proofErr w:type="spellStart"/>
      <w:r w:rsidR="00C57469" w:rsidRPr="00DA187A">
        <w:rPr>
          <w:rFonts w:ascii="Times New Roman" w:hAnsi="Times New Roman" w:cs="Times New Roman"/>
          <w:bCs/>
          <w:color w:val="000000" w:themeColor="text1"/>
          <w:sz w:val="20"/>
          <w:szCs w:val="20"/>
        </w:rPr>
        <w:t>voy</w:t>
      </w:r>
      <w:proofErr w:type="spellEnd"/>
      <w:r w:rsidR="00C57469" w:rsidRPr="00DA187A">
        <w:rPr>
          <w:rFonts w:ascii="Times New Roman" w:hAnsi="Times New Roman" w:cs="Times New Roman"/>
          <w:bCs/>
          <w:color w:val="000000" w:themeColor="text1"/>
          <w:sz w:val="20"/>
          <w:szCs w:val="20"/>
        </w:rPr>
        <w:t xml:space="preserve">. </w:t>
      </w:r>
      <w:proofErr w:type="gramStart"/>
      <w:r w:rsidR="00C57469" w:rsidRPr="00DA187A">
        <w:rPr>
          <w:rFonts w:ascii="Times New Roman" w:hAnsi="Times New Roman" w:cs="Times New Roman"/>
          <w:bCs/>
          <w:color w:val="000000" w:themeColor="text1"/>
          <w:sz w:val="20"/>
          <w:szCs w:val="20"/>
        </w:rPr>
        <w:t>à</w:t>
      </w:r>
      <w:proofErr w:type="gramEnd"/>
      <w:r w:rsidR="00C57469" w:rsidRPr="00DA187A">
        <w:rPr>
          <w:rFonts w:ascii="Times New Roman" w:hAnsi="Times New Roman" w:cs="Times New Roman"/>
          <w:bCs/>
          <w:color w:val="000000" w:themeColor="text1"/>
          <w:sz w:val="20"/>
          <w:szCs w:val="20"/>
        </w:rPr>
        <w:t xml:space="preserve"> son propos, M. Wendel, « Indépendance judiciaire et confiance mutuelle : à propos de l’arrêt LM », </w:t>
      </w:r>
      <w:r w:rsidR="00C57469" w:rsidRPr="00DA187A">
        <w:rPr>
          <w:rFonts w:ascii="Times New Roman" w:hAnsi="Times New Roman" w:cs="Times New Roman"/>
          <w:bCs/>
          <w:i/>
          <w:color w:val="000000" w:themeColor="text1"/>
          <w:sz w:val="20"/>
          <w:szCs w:val="20"/>
        </w:rPr>
        <w:t>CDE</w:t>
      </w:r>
      <w:r w:rsidR="00C57469" w:rsidRPr="00DA187A">
        <w:rPr>
          <w:rFonts w:ascii="Times New Roman" w:hAnsi="Times New Roman" w:cs="Times New Roman"/>
          <w:bCs/>
          <w:color w:val="000000" w:themeColor="text1"/>
          <w:sz w:val="20"/>
          <w:szCs w:val="20"/>
        </w:rPr>
        <w:t>,</w:t>
      </w:r>
      <w:r w:rsidR="001F0758" w:rsidRPr="00DA187A">
        <w:rPr>
          <w:rFonts w:ascii="Times New Roman" w:hAnsi="Times New Roman" w:cs="Times New Roman"/>
          <w:bCs/>
          <w:color w:val="000000" w:themeColor="text1"/>
          <w:sz w:val="20"/>
          <w:szCs w:val="20"/>
        </w:rPr>
        <w:t xml:space="preserve"> 2019, pp. 189 à 215 et</w:t>
      </w:r>
      <w:r w:rsidR="00C57469" w:rsidRPr="00DA187A">
        <w:rPr>
          <w:rFonts w:ascii="Times New Roman" w:hAnsi="Times New Roman" w:cs="Times New Roman"/>
          <w:bCs/>
          <w:color w:val="000000" w:themeColor="text1"/>
          <w:sz w:val="20"/>
          <w:szCs w:val="20"/>
        </w:rPr>
        <w:t xml:space="preserve"> </w:t>
      </w:r>
      <w:r w:rsidR="00C57469" w:rsidRPr="00DA187A">
        <w:rPr>
          <w:rFonts w:ascii="Times New Roman" w:hAnsi="Times New Roman" w:cs="Times New Roman"/>
          <w:sz w:val="20"/>
          <w:szCs w:val="20"/>
        </w:rPr>
        <w:t xml:space="preserve">C. </w:t>
      </w:r>
      <w:r w:rsidR="00C57469" w:rsidRPr="00DA187A">
        <w:rPr>
          <w:rFonts w:ascii="Times New Roman" w:hAnsi="Times New Roman" w:cs="Times New Roman"/>
          <w:smallCaps/>
          <w:sz w:val="20"/>
          <w:szCs w:val="20"/>
        </w:rPr>
        <w:t>Rizcallah</w:t>
      </w:r>
      <w:r w:rsidR="00C57469" w:rsidRPr="00DA187A">
        <w:rPr>
          <w:rFonts w:ascii="Times New Roman" w:hAnsi="Times New Roman" w:cs="Times New Roman"/>
          <w:sz w:val="20"/>
          <w:szCs w:val="20"/>
        </w:rPr>
        <w:t xml:space="preserve">, « Arrêt </w:t>
      </w:r>
      <w:r w:rsidR="00C57469" w:rsidRPr="00DA187A">
        <w:rPr>
          <w:rFonts w:ascii="Times New Roman" w:eastAsia="Times New Roman" w:hAnsi="Times New Roman" w:cs="Times New Roman"/>
          <w:sz w:val="20"/>
          <w:szCs w:val="20"/>
        </w:rPr>
        <w:t>“</w:t>
      </w:r>
      <w:r w:rsidR="00C57469" w:rsidRPr="00DA187A">
        <w:rPr>
          <w:rFonts w:ascii="Times New Roman" w:hAnsi="Times New Roman" w:cs="Times New Roman"/>
          <w:i/>
          <w:sz w:val="20"/>
          <w:szCs w:val="20"/>
        </w:rPr>
        <w:t>LM</w:t>
      </w:r>
      <w:r w:rsidR="00C57469" w:rsidRPr="00DA187A">
        <w:rPr>
          <w:rFonts w:ascii="Times New Roman" w:eastAsia="Times New Roman" w:hAnsi="Times New Roman" w:cs="Times New Roman"/>
          <w:sz w:val="20"/>
          <w:szCs w:val="20"/>
        </w:rPr>
        <w:t>” </w:t>
      </w:r>
      <w:r w:rsidR="00C57469" w:rsidRPr="00DA187A">
        <w:rPr>
          <w:rFonts w:ascii="Times New Roman" w:hAnsi="Times New Roman" w:cs="Times New Roman"/>
          <w:i/>
          <w:sz w:val="20"/>
          <w:szCs w:val="20"/>
        </w:rPr>
        <w:t xml:space="preserve"> </w:t>
      </w:r>
      <w:r w:rsidR="00C57469" w:rsidRPr="00DA187A">
        <w:rPr>
          <w:rFonts w:ascii="Times New Roman" w:hAnsi="Times New Roman" w:cs="Times New Roman"/>
          <w:sz w:val="20"/>
          <w:szCs w:val="20"/>
        </w:rPr>
        <w:t xml:space="preserve">: L’existence d’un risque réel et individualisé de violation du droit fondamental à un tribunal indépendant s’oppose à l’exécution d’un mandat d’arrêt européen », </w:t>
      </w:r>
      <w:r w:rsidR="00C57469" w:rsidRPr="00DA187A">
        <w:rPr>
          <w:rFonts w:ascii="Times New Roman" w:hAnsi="Times New Roman" w:cs="Times New Roman"/>
          <w:i/>
          <w:sz w:val="20"/>
          <w:szCs w:val="20"/>
        </w:rPr>
        <w:t>JDE</w:t>
      </w:r>
      <w:r w:rsidR="00C57469" w:rsidRPr="00DA187A">
        <w:rPr>
          <w:rFonts w:ascii="Times New Roman" w:hAnsi="Times New Roman" w:cs="Times New Roman"/>
          <w:sz w:val="20"/>
          <w:szCs w:val="20"/>
        </w:rPr>
        <w:t xml:space="preserve">, </w:t>
      </w:r>
      <w:r w:rsidR="001F0758" w:rsidRPr="00DA187A">
        <w:rPr>
          <w:rFonts w:ascii="Times New Roman" w:hAnsi="Times New Roman" w:cs="Times New Roman"/>
          <w:sz w:val="20"/>
          <w:szCs w:val="20"/>
        </w:rPr>
        <w:t xml:space="preserve">pp. 348 à 350. </w:t>
      </w:r>
    </w:p>
  </w:footnote>
  <w:footnote w:id="7">
    <w:p w14:paraId="641B00D5" w14:textId="2623FD13" w:rsidR="00047F5F" w:rsidRPr="00DA187A" w:rsidRDefault="00047F5F" w:rsidP="00DA187A">
      <w:pPr>
        <w:pStyle w:val="Notedebasdepage"/>
        <w:jc w:val="both"/>
        <w:rPr>
          <w:rFonts w:ascii="Times New Roman" w:hAnsi="Times New Roman" w:cs="Times New Roman"/>
          <w:color w:val="000000" w:themeColor="text1"/>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color w:val="000000" w:themeColor="text1"/>
          <w:sz w:val="20"/>
          <w:szCs w:val="20"/>
        </w:rPr>
        <w:t xml:space="preserve"> CJUE, 5 mai 2016, </w:t>
      </w:r>
      <w:proofErr w:type="spellStart"/>
      <w:r w:rsidRPr="00DA187A">
        <w:rPr>
          <w:rFonts w:ascii="Times New Roman" w:hAnsi="Times New Roman" w:cs="Times New Roman"/>
          <w:i/>
          <w:color w:val="000000" w:themeColor="text1"/>
          <w:sz w:val="20"/>
          <w:szCs w:val="20"/>
        </w:rPr>
        <w:t>Aranyosi</w:t>
      </w:r>
      <w:proofErr w:type="spellEnd"/>
      <w:r w:rsidRPr="00DA187A">
        <w:rPr>
          <w:rFonts w:ascii="Times New Roman" w:hAnsi="Times New Roman" w:cs="Times New Roman"/>
          <w:i/>
          <w:color w:val="000000" w:themeColor="text1"/>
          <w:sz w:val="20"/>
          <w:szCs w:val="20"/>
        </w:rPr>
        <w:t xml:space="preserve"> et </w:t>
      </w:r>
      <w:proofErr w:type="spellStart"/>
      <w:r w:rsidRPr="00DA187A">
        <w:rPr>
          <w:rFonts w:ascii="Times New Roman" w:hAnsi="Times New Roman" w:cs="Times New Roman"/>
          <w:i/>
          <w:color w:val="000000" w:themeColor="text1"/>
          <w:sz w:val="20"/>
          <w:szCs w:val="20"/>
        </w:rPr>
        <w:t>Căldăraru</w:t>
      </w:r>
      <w:proofErr w:type="spellEnd"/>
      <w:r w:rsidRPr="00DA187A">
        <w:rPr>
          <w:rFonts w:ascii="Times New Roman" w:hAnsi="Times New Roman" w:cs="Times New Roman"/>
          <w:color w:val="000000" w:themeColor="text1"/>
          <w:sz w:val="20"/>
          <w:szCs w:val="20"/>
        </w:rPr>
        <w:t>, C</w:t>
      </w:r>
      <w:r w:rsidRPr="00DA187A">
        <w:rPr>
          <w:rFonts w:ascii="Calibri" w:eastAsia="Calibri" w:hAnsi="Calibri" w:cs="Calibri"/>
          <w:color w:val="000000" w:themeColor="text1"/>
          <w:sz w:val="20"/>
          <w:szCs w:val="20"/>
        </w:rPr>
        <w:t>‑</w:t>
      </w:r>
      <w:r w:rsidRPr="00DA187A">
        <w:rPr>
          <w:rFonts w:ascii="Times New Roman" w:hAnsi="Times New Roman" w:cs="Times New Roman"/>
          <w:color w:val="000000" w:themeColor="text1"/>
          <w:sz w:val="20"/>
          <w:szCs w:val="20"/>
        </w:rPr>
        <w:t>404/15 et C</w:t>
      </w:r>
      <w:r w:rsidRPr="00DA187A">
        <w:rPr>
          <w:rFonts w:ascii="Calibri" w:eastAsia="Calibri" w:hAnsi="Calibri" w:cs="Calibri"/>
          <w:color w:val="000000" w:themeColor="text1"/>
          <w:sz w:val="20"/>
          <w:szCs w:val="20"/>
        </w:rPr>
        <w:t>‑</w:t>
      </w:r>
      <w:r w:rsidRPr="00DA187A">
        <w:rPr>
          <w:rFonts w:ascii="Times New Roman" w:hAnsi="Times New Roman" w:cs="Times New Roman"/>
          <w:color w:val="000000" w:themeColor="text1"/>
          <w:sz w:val="20"/>
          <w:szCs w:val="20"/>
        </w:rPr>
        <w:t xml:space="preserve">659/15 PPU, </w:t>
      </w:r>
      <w:proofErr w:type="gramStart"/>
      <w:r w:rsidRPr="00DA187A">
        <w:rPr>
          <w:rFonts w:ascii="Times New Roman" w:hAnsi="Times New Roman" w:cs="Times New Roman"/>
          <w:color w:val="000000" w:themeColor="text1"/>
          <w:sz w:val="20"/>
          <w:szCs w:val="20"/>
        </w:rPr>
        <w:t>EU:</w:t>
      </w:r>
      <w:proofErr w:type="gramEnd"/>
      <w:r w:rsidRPr="00DA187A">
        <w:rPr>
          <w:rFonts w:ascii="Times New Roman" w:hAnsi="Times New Roman" w:cs="Times New Roman"/>
          <w:color w:val="000000" w:themeColor="text1"/>
          <w:sz w:val="20"/>
          <w:szCs w:val="20"/>
        </w:rPr>
        <w:t xml:space="preserve">C:2016:198. </w:t>
      </w:r>
      <w:proofErr w:type="spellStart"/>
      <w:proofErr w:type="gramStart"/>
      <w:r w:rsidR="00683223" w:rsidRPr="00DA187A">
        <w:rPr>
          <w:rFonts w:ascii="Times New Roman" w:hAnsi="Times New Roman" w:cs="Times New Roman"/>
          <w:color w:val="000000" w:themeColor="text1"/>
          <w:sz w:val="20"/>
          <w:szCs w:val="20"/>
        </w:rPr>
        <w:t>voy</w:t>
      </w:r>
      <w:proofErr w:type="spellEnd"/>
      <w:proofErr w:type="gramEnd"/>
      <w:r w:rsidR="00683223" w:rsidRPr="00DA187A">
        <w:rPr>
          <w:rFonts w:ascii="Times New Roman" w:hAnsi="Times New Roman" w:cs="Times New Roman"/>
          <w:color w:val="000000" w:themeColor="text1"/>
          <w:sz w:val="20"/>
          <w:szCs w:val="20"/>
        </w:rPr>
        <w:t xml:space="preserve">., </w:t>
      </w:r>
      <w:r w:rsidR="008E0B8D" w:rsidRPr="00DA187A">
        <w:rPr>
          <w:rFonts w:ascii="Times New Roman" w:hAnsi="Times New Roman" w:cs="Times New Roman"/>
          <w:color w:val="000000" w:themeColor="text1"/>
          <w:sz w:val="20"/>
          <w:szCs w:val="20"/>
        </w:rPr>
        <w:t>pour un commentaire</w:t>
      </w:r>
      <w:r w:rsidR="00683223" w:rsidRPr="00DA187A">
        <w:rPr>
          <w:rFonts w:ascii="Times New Roman" w:hAnsi="Times New Roman" w:cs="Times New Roman"/>
          <w:color w:val="000000" w:themeColor="text1"/>
          <w:sz w:val="20"/>
          <w:szCs w:val="20"/>
        </w:rPr>
        <w:t xml:space="preserve">, </w:t>
      </w:r>
      <w:r w:rsidR="00683223" w:rsidRPr="00DA187A">
        <w:rPr>
          <w:rFonts w:ascii="Times New Roman" w:hAnsi="Times New Roman" w:cs="Times New Roman"/>
          <w:sz w:val="20"/>
          <w:szCs w:val="20"/>
        </w:rPr>
        <w:t xml:space="preserve">E. </w:t>
      </w:r>
      <w:proofErr w:type="spellStart"/>
      <w:r w:rsidR="00683223" w:rsidRPr="00DA187A">
        <w:rPr>
          <w:rFonts w:ascii="Times New Roman" w:hAnsi="Times New Roman" w:cs="Times New Roman"/>
          <w:smallCaps/>
          <w:sz w:val="20"/>
          <w:szCs w:val="20"/>
        </w:rPr>
        <w:t>Bribosia</w:t>
      </w:r>
      <w:proofErr w:type="spellEnd"/>
      <w:r w:rsidR="00683223" w:rsidRPr="00DA187A">
        <w:rPr>
          <w:rFonts w:ascii="Times New Roman" w:hAnsi="Times New Roman" w:cs="Times New Roman"/>
          <w:color w:val="000000" w:themeColor="text1"/>
          <w:sz w:val="20"/>
          <w:szCs w:val="20"/>
        </w:rPr>
        <w:t xml:space="preserve"> et A. </w:t>
      </w:r>
      <w:proofErr w:type="spellStart"/>
      <w:r w:rsidR="00683223" w:rsidRPr="00DA187A">
        <w:rPr>
          <w:rFonts w:ascii="Times New Roman" w:hAnsi="Times New Roman" w:cs="Times New Roman"/>
          <w:smallCaps/>
          <w:color w:val="000000" w:themeColor="text1"/>
          <w:sz w:val="20"/>
          <w:szCs w:val="20"/>
        </w:rPr>
        <w:t>Weyembergh</w:t>
      </w:r>
      <w:proofErr w:type="spellEnd"/>
      <w:r w:rsidR="00683223" w:rsidRPr="00DA187A">
        <w:rPr>
          <w:rFonts w:ascii="Times New Roman" w:hAnsi="Times New Roman" w:cs="Times New Roman"/>
          <w:color w:val="000000" w:themeColor="text1"/>
          <w:sz w:val="20"/>
          <w:szCs w:val="20"/>
        </w:rPr>
        <w:t>, « Arrêt "</w:t>
      </w:r>
      <w:proofErr w:type="spellStart"/>
      <w:r w:rsidR="00683223" w:rsidRPr="00DA187A">
        <w:rPr>
          <w:rFonts w:ascii="Times New Roman" w:hAnsi="Times New Roman" w:cs="Times New Roman"/>
          <w:i/>
          <w:color w:val="000000" w:themeColor="text1"/>
          <w:sz w:val="20"/>
          <w:szCs w:val="20"/>
        </w:rPr>
        <w:t>Aranyosi</w:t>
      </w:r>
      <w:proofErr w:type="spellEnd"/>
      <w:r w:rsidR="00683223" w:rsidRPr="00DA187A">
        <w:rPr>
          <w:rFonts w:ascii="Times New Roman" w:hAnsi="Times New Roman" w:cs="Times New Roman"/>
          <w:i/>
          <w:color w:val="000000" w:themeColor="text1"/>
          <w:sz w:val="20"/>
          <w:szCs w:val="20"/>
        </w:rPr>
        <w:t xml:space="preserve"> et </w:t>
      </w:r>
      <w:proofErr w:type="spellStart"/>
      <w:r w:rsidR="00683223" w:rsidRPr="00DA187A">
        <w:rPr>
          <w:rFonts w:ascii="Times New Roman" w:hAnsi="Times New Roman" w:cs="Times New Roman"/>
          <w:i/>
          <w:color w:val="000000" w:themeColor="text1"/>
          <w:sz w:val="20"/>
          <w:szCs w:val="20"/>
        </w:rPr>
        <w:t>Caldararu</w:t>
      </w:r>
      <w:proofErr w:type="spellEnd"/>
      <w:r w:rsidR="00683223" w:rsidRPr="00DA187A">
        <w:rPr>
          <w:rFonts w:ascii="Times New Roman" w:hAnsi="Times New Roman" w:cs="Times New Roman"/>
          <w:color w:val="000000" w:themeColor="text1"/>
          <w:sz w:val="20"/>
          <w:szCs w:val="20"/>
        </w:rPr>
        <w:t xml:space="preserve">": imposition de certaines limites à la confiance mutuelle dans la coopération </w:t>
      </w:r>
      <w:proofErr w:type="spellStart"/>
      <w:r w:rsidR="00683223" w:rsidRPr="00DA187A">
        <w:rPr>
          <w:rFonts w:ascii="Times New Roman" w:hAnsi="Times New Roman" w:cs="Times New Roman"/>
          <w:color w:val="000000" w:themeColor="text1"/>
          <w:sz w:val="20"/>
          <w:szCs w:val="20"/>
        </w:rPr>
        <w:t>juridicaire</w:t>
      </w:r>
      <w:proofErr w:type="spellEnd"/>
      <w:r w:rsidR="00683223" w:rsidRPr="00DA187A">
        <w:rPr>
          <w:rFonts w:ascii="Times New Roman" w:hAnsi="Times New Roman" w:cs="Times New Roman"/>
          <w:color w:val="000000" w:themeColor="text1"/>
          <w:sz w:val="20"/>
          <w:szCs w:val="20"/>
        </w:rPr>
        <w:t xml:space="preserve"> pénale », </w:t>
      </w:r>
      <w:r w:rsidR="00683223" w:rsidRPr="00DA187A">
        <w:rPr>
          <w:rFonts w:ascii="Times New Roman" w:hAnsi="Times New Roman" w:cs="Times New Roman"/>
          <w:i/>
          <w:color w:val="000000" w:themeColor="text1"/>
          <w:sz w:val="20"/>
          <w:szCs w:val="20"/>
        </w:rPr>
        <w:t>JDE</w:t>
      </w:r>
      <w:r w:rsidR="00683223" w:rsidRPr="00DA187A">
        <w:rPr>
          <w:rFonts w:ascii="Times New Roman" w:hAnsi="Times New Roman" w:cs="Times New Roman"/>
          <w:color w:val="000000" w:themeColor="text1"/>
          <w:sz w:val="20"/>
          <w:szCs w:val="20"/>
        </w:rPr>
        <w:t>, 2016, pp. 225 – 228.</w:t>
      </w:r>
    </w:p>
  </w:footnote>
  <w:footnote w:id="8">
    <w:p w14:paraId="51925750" w14:textId="57CC8852" w:rsidR="00047F5F" w:rsidRPr="00DA187A" w:rsidRDefault="00047F5F"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Conclusions de l’Avocat général Sanchez-</w:t>
      </w:r>
      <w:proofErr w:type="spellStart"/>
      <w:r w:rsidRPr="00DA187A">
        <w:rPr>
          <w:rFonts w:ascii="Times New Roman" w:hAnsi="Times New Roman" w:cs="Times New Roman"/>
          <w:sz w:val="20"/>
          <w:szCs w:val="20"/>
        </w:rPr>
        <w:t>Bordona</w:t>
      </w:r>
      <w:proofErr w:type="spellEnd"/>
      <w:r w:rsidRPr="00DA187A">
        <w:rPr>
          <w:rFonts w:ascii="Times New Roman" w:hAnsi="Times New Roman" w:cs="Times New Roman"/>
          <w:sz w:val="20"/>
          <w:szCs w:val="20"/>
        </w:rPr>
        <w:t xml:space="preserve"> présentées le 30 avril 2019 dans l’affaire </w:t>
      </w:r>
      <w:proofErr w:type="spellStart"/>
      <w:r w:rsidRPr="00DA187A">
        <w:rPr>
          <w:rFonts w:ascii="Times New Roman" w:hAnsi="Times New Roman" w:cs="Times New Roman"/>
          <w:i/>
          <w:sz w:val="20"/>
          <w:szCs w:val="20"/>
        </w:rPr>
        <w:t>Dorobantu</w:t>
      </w:r>
      <w:proofErr w:type="spellEnd"/>
      <w:r w:rsidRPr="00DA187A">
        <w:rPr>
          <w:rFonts w:ascii="Times New Roman" w:hAnsi="Times New Roman" w:cs="Times New Roman"/>
          <w:sz w:val="20"/>
          <w:szCs w:val="20"/>
        </w:rPr>
        <w:t xml:space="preserve">, C-128/18, </w:t>
      </w:r>
      <w:proofErr w:type="gramStart"/>
      <w:r w:rsidRPr="00DA187A">
        <w:rPr>
          <w:rFonts w:ascii="Times New Roman" w:hAnsi="Times New Roman" w:cs="Times New Roman"/>
          <w:sz w:val="20"/>
          <w:szCs w:val="20"/>
        </w:rPr>
        <w:t>EU:</w:t>
      </w:r>
      <w:proofErr w:type="gramEnd"/>
      <w:r w:rsidRPr="00DA187A">
        <w:rPr>
          <w:rFonts w:ascii="Times New Roman" w:hAnsi="Times New Roman" w:cs="Times New Roman"/>
          <w:sz w:val="20"/>
          <w:szCs w:val="20"/>
        </w:rPr>
        <w:t xml:space="preserve">C:2019:857, point 35. </w:t>
      </w:r>
    </w:p>
  </w:footnote>
  <w:footnote w:id="9">
    <w:p w14:paraId="28DC4AD8" w14:textId="67A16189" w:rsidR="00047F5F" w:rsidRPr="00DA187A" w:rsidRDefault="00047F5F"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r w:rsidRPr="00DA187A">
        <w:rPr>
          <w:rFonts w:ascii="Times New Roman" w:hAnsi="Times New Roman" w:cs="Times New Roman"/>
          <w:color w:val="000000" w:themeColor="text1"/>
          <w:sz w:val="20"/>
          <w:szCs w:val="20"/>
        </w:rPr>
        <w:t xml:space="preserve">CJUE, arrêt du 25 juillet 2018, </w:t>
      </w:r>
      <w:r w:rsidRPr="00DA187A">
        <w:rPr>
          <w:rFonts w:ascii="Times New Roman" w:hAnsi="Times New Roman" w:cs="Times New Roman"/>
          <w:i/>
          <w:color w:val="000000" w:themeColor="text1"/>
          <w:sz w:val="20"/>
          <w:szCs w:val="20"/>
        </w:rPr>
        <w:t>ML</w:t>
      </w:r>
      <w:r w:rsidRPr="00DA187A">
        <w:rPr>
          <w:rFonts w:ascii="Times New Roman" w:hAnsi="Times New Roman" w:cs="Times New Roman"/>
          <w:color w:val="000000" w:themeColor="text1"/>
          <w:sz w:val="20"/>
          <w:szCs w:val="20"/>
        </w:rPr>
        <w:t xml:space="preserve">, C-220/18 PPU, </w:t>
      </w:r>
      <w:proofErr w:type="gramStart"/>
      <w:r w:rsidRPr="00DA187A">
        <w:rPr>
          <w:rFonts w:ascii="Times New Roman" w:hAnsi="Times New Roman" w:cs="Times New Roman"/>
          <w:color w:val="000000" w:themeColor="text1"/>
          <w:sz w:val="20"/>
          <w:szCs w:val="20"/>
        </w:rPr>
        <w:t>EU:</w:t>
      </w:r>
      <w:proofErr w:type="gramEnd"/>
      <w:r w:rsidRPr="00DA187A">
        <w:rPr>
          <w:rFonts w:ascii="Times New Roman" w:hAnsi="Times New Roman" w:cs="Times New Roman"/>
          <w:color w:val="000000" w:themeColor="text1"/>
          <w:sz w:val="20"/>
          <w:szCs w:val="20"/>
        </w:rPr>
        <w:t>C:2018:589.</w:t>
      </w:r>
    </w:p>
  </w:footnote>
  <w:footnote w:id="10">
    <w:p w14:paraId="11A246C8" w14:textId="378B4946" w:rsidR="00047F5F" w:rsidRPr="00DA187A" w:rsidRDefault="00047F5F"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proofErr w:type="spellStart"/>
      <w:r w:rsidRPr="00DA187A">
        <w:rPr>
          <w:rFonts w:ascii="Times New Roman" w:hAnsi="Times New Roman" w:cs="Times New Roman"/>
          <w:sz w:val="20"/>
          <w:szCs w:val="20"/>
        </w:rPr>
        <w:t>Voy</w:t>
      </w:r>
      <w:proofErr w:type="spellEnd"/>
      <w:r w:rsidRPr="00DA187A">
        <w:rPr>
          <w:rFonts w:ascii="Times New Roman" w:hAnsi="Times New Roman" w:cs="Times New Roman"/>
          <w:sz w:val="20"/>
          <w:szCs w:val="20"/>
        </w:rPr>
        <w:t xml:space="preserve">., par exemple, dans l’arrêt </w:t>
      </w:r>
      <w:r w:rsidRPr="00DA187A">
        <w:rPr>
          <w:rFonts w:ascii="Times New Roman" w:hAnsi="Times New Roman" w:cs="Times New Roman"/>
          <w:color w:val="000000" w:themeColor="text1"/>
          <w:sz w:val="20"/>
          <w:szCs w:val="20"/>
        </w:rPr>
        <w:t>CJUE,</w:t>
      </w:r>
      <w:r w:rsidR="00CC6BE7" w:rsidRPr="00DA187A">
        <w:rPr>
          <w:rFonts w:ascii="Times New Roman" w:hAnsi="Times New Roman" w:cs="Times New Roman"/>
          <w:color w:val="000000" w:themeColor="text1"/>
          <w:sz w:val="20"/>
          <w:szCs w:val="20"/>
        </w:rPr>
        <w:t xml:space="preserve"> </w:t>
      </w:r>
      <w:r w:rsidR="00CC6BE7" w:rsidRPr="00DA187A">
        <w:rPr>
          <w:rFonts w:ascii="Times New Roman" w:hAnsi="Times New Roman" w:cs="Times New Roman"/>
          <w:i/>
          <w:color w:val="000000" w:themeColor="text1"/>
          <w:sz w:val="20"/>
          <w:szCs w:val="20"/>
        </w:rPr>
        <w:t>ML</w:t>
      </w:r>
      <w:r w:rsidRPr="00DA187A">
        <w:rPr>
          <w:rFonts w:ascii="Times New Roman" w:hAnsi="Times New Roman" w:cs="Times New Roman"/>
          <w:color w:val="000000" w:themeColor="text1"/>
          <w:sz w:val="20"/>
          <w:szCs w:val="20"/>
        </w:rPr>
        <w:t xml:space="preserve"> </w:t>
      </w:r>
      <w:r w:rsidR="00CC6BE7" w:rsidRPr="00DA187A">
        <w:rPr>
          <w:rFonts w:ascii="Times New Roman" w:hAnsi="Times New Roman" w:cs="Times New Roman"/>
          <w:color w:val="000000" w:themeColor="text1"/>
          <w:sz w:val="20"/>
          <w:szCs w:val="20"/>
        </w:rPr>
        <w:t xml:space="preserve">précité, </w:t>
      </w:r>
      <w:r w:rsidRPr="00DA187A">
        <w:rPr>
          <w:rFonts w:ascii="Times New Roman" w:hAnsi="Times New Roman" w:cs="Times New Roman"/>
          <w:color w:val="000000" w:themeColor="text1"/>
          <w:sz w:val="20"/>
          <w:szCs w:val="20"/>
        </w:rPr>
        <w:t>: alors que le point 57 parle de « faculté » de l’autorité judiciaire d’exécution, le point 59 souligne que celle-ci est, dans certaines circonstances, « tenue d’</w:t>
      </w:r>
      <w:r w:rsidR="00683223" w:rsidRPr="00DA187A">
        <w:rPr>
          <w:rFonts w:ascii="Times New Roman" w:hAnsi="Times New Roman" w:cs="Times New Roman"/>
          <w:color w:val="000000" w:themeColor="text1"/>
          <w:sz w:val="20"/>
          <w:szCs w:val="20"/>
        </w:rPr>
        <w:t>apprécier</w:t>
      </w:r>
      <w:r w:rsidRPr="00DA187A">
        <w:rPr>
          <w:rFonts w:ascii="Times New Roman" w:hAnsi="Times New Roman" w:cs="Times New Roman"/>
          <w:color w:val="000000" w:themeColor="text1"/>
          <w:sz w:val="20"/>
          <w:szCs w:val="20"/>
        </w:rPr>
        <w:t xml:space="preserve"> » l’existence d’un risque de traitement inhumain et dégradant. </w:t>
      </w:r>
    </w:p>
  </w:footnote>
  <w:footnote w:id="11">
    <w:p w14:paraId="72280E9C" w14:textId="77777777" w:rsidR="00047F5F" w:rsidRPr="00DA187A" w:rsidRDefault="00047F5F"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Conclusions de l’Avocat général Sanchez-</w:t>
      </w:r>
      <w:proofErr w:type="spellStart"/>
      <w:r w:rsidRPr="00DA187A">
        <w:rPr>
          <w:rFonts w:ascii="Times New Roman" w:hAnsi="Times New Roman" w:cs="Times New Roman"/>
          <w:sz w:val="20"/>
          <w:szCs w:val="20"/>
        </w:rPr>
        <w:t>Bordona</w:t>
      </w:r>
      <w:proofErr w:type="spellEnd"/>
      <w:r w:rsidRPr="00DA187A">
        <w:rPr>
          <w:rFonts w:ascii="Times New Roman" w:hAnsi="Times New Roman" w:cs="Times New Roman"/>
          <w:sz w:val="20"/>
          <w:szCs w:val="20"/>
        </w:rPr>
        <w:t xml:space="preserve"> présentées le 30 avril 2019 dans l’affaire </w:t>
      </w:r>
      <w:proofErr w:type="spellStart"/>
      <w:r w:rsidRPr="00DA187A">
        <w:rPr>
          <w:rFonts w:ascii="Times New Roman" w:hAnsi="Times New Roman" w:cs="Times New Roman"/>
          <w:i/>
          <w:sz w:val="20"/>
          <w:szCs w:val="20"/>
        </w:rPr>
        <w:t>Dorobantu</w:t>
      </w:r>
      <w:proofErr w:type="spellEnd"/>
      <w:r w:rsidRPr="00DA187A">
        <w:rPr>
          <w:rFonts w:ascii="Times New Roman" w:hAnsi="Times New Roman" w:cs="Times New Roman"/>
          <w:sz w:val="20"/>
          <w:szCs w:val="20"/>
        </w:rPr>
        <w:t xml:space="preserve">, C-128/18, </w:t>
      </w:r>
      <w:proofErr w:type="gramStart"/>
      <w:r w:rsidRPr="00DA187A">
        <w:rPr>
          <w:rFonts w:ascii="Times New Roman" w:hAnsi="Times New Roman" w:cs="Times New Roman"/>
          <w:sz w:val="20"/>
          <w:szCs w:val="20"/>
        </w:rPr>
        <w:t>ECLI:</w:t>
      </w:r>
      <w:proofErr w:type="gramEnd"/>
      <w:r w:rsidRPr="00DA187A">
        <w:rPr>
          <w:rFonts w:ascii="Times New Roman" w:hAnsi="Times New Roman" w:cs="Times New Roman"/>
          <w:sz w:val="20"/>
          <w:szCs w:val="20"/>
        </w:rPr>
        <w:t xml:space="preserve">EU:C:2019:857, point 55. </w:t>
      </w:r>
    </w:p>
  </w:footnote>
  <w:footnote w:id="12">
    <w:p w14:paraId="05C56C2A" w14:textId="2A4B80EE" w:rsidR="00047F5F" w:rsidRPr="00DA187A" w:rsidRDefault="00047F5F"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r w:rsidR="00CC6BE7" w:rsidRPr="00DA187A">
        <w:rPr>
          <w:rFonts w:ascii="Times New Roman" w:hAnsi="Times New Roman" w:cs="Times New Roman"/>
          <w:i/>
          <w:sz w:val="20"/>
          <w:szCs w:val="20"/>
        </w:rPr>
        <w:t>Ibid.</w:t>
      </w:r>
      <w:r w:rsidRPr="00DA187A">
        <w:rPr>
          <w:rFonts w:ascii="Times New Roman" w:hAnsi="Times New Roman" w:cs="Times New Roman"/>
          <w:sz w:val="20"/>
          <w:szCs w:val="20"/>
        </w:rPr>
        <w:t>, point 56.</w:t>
      </w:r>
    </w:p>
  </w:footnote>
  <w:footnote w:id="13">
    <w:p w14:paraId="774F6CC7" w14:textId="3D0D08A7" w:rsidR="00086389" w:rsidRPr="00DA187A" w:rsidRDefault="009E674D"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r w:rsidR="00086389" w:rsidRPr="00DA187A">
        <w:rPr>
          <w:rFonts w:ascii="Times New Roman" w:hAnsi="Times New Roman" w:cs="Times New Roman"/>
          <w:sz w:val="20"/>
          <w:szCs w:val="20"/>
        </w:rPr>
        <w:t xml:space="preserve">CJUE, arrêt du 26 </w:t>
      </w:r>
      <w:r w:rsidR="00086389" w:rsidRPr="00DA187A">
        <w:rPr>
          <w:rFonts w:ascii="Times New Roman" w:eastAsia="Calibri" w:hAnsi="Times New Roman" w:cs="Times New Roman"/>
          <w:sz w:val="20"/>
          <w:szCs w:val="20"/>
        </w:rPr>
        <w:t>février</w:t>
      </w:r>
      <w:r w:rsidR="00086389" w:rsidRPr="00DA187A">
        <w:rPr>
          <w:rFonts w:ascii="Times New Roman" w:hAnsi="Times New Roman" w:cs="Times New Roman"/>
          <w:sz w:val="20"/>
          <w:szCs w:val="20"/>
        </w:rPr>
        <w:t xml:space="preserve"> 2013, </w:t>
      </w:r>
      <w:r w:rsidR="00086389" w:rsidRPr="00DA187A">
        <w:rPr>
          <w:rFonts w:ascii="Times New Roman" w:hAnsi="Times New Roman" w:cs="Times New Roman"/>
          <w:i/>
          <w:sz w:val="20"/>
          <w:szCs w:val="20"/>
        </w:rPr>
        <w:t>Melloni</w:t>
      </w:r>
      <w:r w:rsidR="00086389" w:rsidRPr="00DA187A">
        <w:rPr>
          <w:rFonts w:ascii="Times New Roman" w:hAnsi="Times New Roman" w:cs="Times New Roman"/>
          <w:sz w:val="20"/>
          <w:szCs w:val="20"/>
        </w:rPr>
        <w:t xml:space="preserve">, </w:t>
      </w:r>
      <w:r w:rsidR="00086389" w:rsidRPr="00DA187A">
        <w:rPr>
          <w:rFonts w:ascii="Times New Roman" w:eastAsia="Calibri" w:hAnsi="Times New Roman" w:cs="Times New Roman"/>
          <w:sz w:val="20"/>
          <w:szCs w:val="20"/>
        </w:rPr>
        <w:t>C</w:t>
      </w:r>
      <w:r w:rsidR="00086389" w:rsidRPr="00DA187A">
        <w:rPr>
          <w:rFonts w:ascii="Times New Roman" w:hAnsi="Times New Roman" w:cs="Times New Roman"/>
          <w:sz w:val="20"/>
          <w:szCs w:val="20"/>
        </w:rPr>
        <w:t xml:space="preserve">-399/11, </w:t>
      </w:r>
      <w:proofErr w:type="gramStart"/>
      <w:r w:rsidR="00086389" w:rsidRPr="00DA187A">
        <w:rPr>
          <w:rFonts w:ascii="Times New Roman" w:eastAsia="Calibri" w:hAnsi="Times New Roman" w:cs="Times New Roman"/>
          <w:sz w:val="20"/>
          <w:szCs w:val="20"/>
        </w:rPr>
        <w:t>EU</w:t>
      </w:r>
      <w:r w:rsidR="00086389" w:rsidRPr="00DA187A">
        <w:rPr>
          <w:rFonts w:ascii="Times New Roman" w:hAnsi="Times New Roman" w:cs="Times New Roman"/>
          <w:sz w:val="20"/>
          <w:szCs w:val="20"/>
        </w:rPr>
        <w:t>:</w:t>
      </w:r>
      <w:proofErr w:type="gramEnd"/>
      <w:r w:rsidR="00086389" w:rsidRPr="00DA187A">
        <w:rPr>
          <w:rFonts w:ascii="Times New Roman" w:eastAsia="Calibri" w:hAnsi="Times New Roman" w:cs="Times New Roman"/>
          <w:sz w:val="20"/>
          <w:szCs w:val="20"/>
        </w:rPr>
        <w:t>C</w:t>
      </w:r>
      <w:r w:rsidR="00086389" w:rsidRPr="00DA187A">
        <w:rPr>
          <w:rFonts w:ascii="Times New Roman" w:hAnsi="Times New Roman" w:cs="Times New Roman"/>
          <w:sz w:val="20"/>
          <w:szCs w:val="20"/>
        </w:rPr>
        <w:t>:2013:107.</w:t>
      </w:r>
    </w:p>
    <w:p w14:paraId="4EE0535E" w14:textId="4F75DA95" w:rsidR="009E674D" w:rsidRPr="00DA187A" w:rsidRDefault="009E674D" w:rsidP="00DA187A">
      <w:pPr>
        <w:pStyle w:val="Notedebasdepage"/>
        <w:jc w:val="both"/>
        <w:rPr>
          <w:rFonts w:ascii="Times New Roman" w:hAnsi="Times New Roman" w:cs="Times New Roman"/>
          <w:sz w:val="20"/>
          <w:szCs w:val="20"/>
        </w:rPr>
      </w:pPr>
    </w:p>
  </w:footnote>
  <w:footnote w:id="14">
    <w:p w14:paraId="48CE74F3" w14:textId="1C7A4681" w:rsidR="00C27487" w:rsidRPr="00DA187A" w:rsidRDefault="00C27487"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proofErr w:type="spellStart"/>
      <w:r w:rsidRPr="00DA187A">
        <w:rPr>
          <w:rFonts w:ascii="Times New Roman" w:hAnsi="Times New Roman" w:cs="Times New Roman"/>
          <w:sz w:val="20"/>
          <w:szCs w:val="20"/>
        </w:rPr>
        <w:t>Voy</w:t>
      </w:r>
      <w:proofErr w:type="spellEnd"/>
      <w:r w:rsidRPr="00DA187A">
        <w:rPr>
          <w:rFonts w:ascii="Times New Roman" w:hAnsi="Times New Roman" w:cs="Times New Roman"/>
          <w:sz w:val="20"/>
          <w:szCs w:val="20"/>
        </w:rPr>
        <w:t xml:space="preserve">., sur cette disposition, W. </w:t>
      </w:r>
      <w:proofErr w:type="spellStart"/>
      <w:r w:rsidRPr="00DA187A">
        <w:rPr>
          <w:rFonts w:ascii="Times New Roman" w:hAnsi="Times New Roman" w:cs="Times New Roman"/>
          <w:sz w:val="20"/>
          <w:szCs w:val="20"/>
        </w:rPr>
        <w:t>Schabas</w:t>
      </w:r>
      <w:proofErr w:type="spellEnd"/>
      <w:r w:rsidRPr="00DA187A">
        <w:rPr>
          <w:rFonts w:ascii="Times New Roman" w:hAnsi="Times New Roman" w:cs="Times New Roman"/>
          <w:sz w:val="20"/>
          <w:szCs w:val="20"/>
        </w:rPr>
        <w:t xml:space="preserve">, S. Van </w:t>
      </w:r>
      <w:proofErr w:type="spellStart"/>
      <w:r w:rsidRPr="00DA187A">
        <w:rPr>
          <w:rFonts w:ascii="Times New Roman" w:hAnsi="Times New Roman" w:cs="Times New Roman"/>
          <w:sz w:val="20"/>
          <w:szCs w:val="20"/>
        </w:rPr>
        <w:t>Drooghenbroeck</w:t>
      </w:r>
      <w:proofErr w:type="spellEnd"/>
      <w:r w:rsidRPr="00DA187A">
        <w:rPr>
          <w:rFonts w:ascii="Times New Roman" w:hAnsi="Times New Roman" w:cs="Times New Roman"/>
          <w:sz w:val="20"/>
          <w:szCs w:val="20"/>
        </w:rPr>
        <w:t xml:space="preserve"> et C. Rizcallah, « Article 4 », in F. </w:t>
      </w:r>
      <w:proofErr w:type="spellStart"/>
      <w:r w:rsidRPr="00DA187A">
        <w:rPr>
          <w:rFonts w:ascii="Times New Roman" w:hAnsi="Times New Roman" w:cs="Times New Roman"/>
          <w:sz w:val="20"/>
          <w:szCs w:val="20"/>
        </w:rPr>
        <w:t>Picod</w:t>
      </w:r>
      <w:proofErr w:type="spellEnd"/>
      <w:r w:rsidRPr="00DA187A">
        <w:rPr>
          <w:rFonts w:ascii="Times New Roman" w:hAnsi="Times New Roman" w:cs="Times New Roman"/>
          <w:sz w:val="20"/>
          <w:szCs w:val="20"/>
        </w:rPr>
        <w:t xml:space="preserve">, C. Rizcallah et S. Van </w:t>
      </w:r>
      <w:proofErr w:type="spellStart"/>
      <w:r w:rsidRPr="00DA187A">
        <w:rPr>
          <w:rFonts w:ascii="Times New Roman" w:hAnsi="Times New Roman" w:cs="Times New Roman"/>
          <w:sz w:val="20"/>
          <w:szCs w:val="20"/>
        </w:rPr>
        <w:t>Drooghenbroeck</w:t>
      </w:r>
      <w:proofErr w:type="spellEnd"/>
      <w:r w:rsidRPr="00DA187A">
        <w:rPr>
          <w:rFonts w:ascii="Times New Roman" w:hAnsi="Times New Roman" w:cs="Times New Roman"/>
          <w:sz w:val="20"/>
          <w:szCs w:val="20"/>
        </w:rPr>
        <w:t xml:space="preserve">, </w:t>
      </w:r>
      <w:r w:rsidR="00DA187A" w:rsidRPr="00DA187A">
        <w:rPr>
          <w:rFonts w:ascii="Times New Roman" w:hAnsi="Times New Roman" w:cs="Times New Roman"/>
          <w:i/>
          <w:sz w:val="20"/>
          <w:szCs w:val="20"/>
        </w:rPr>
        <w:t>La Charte des droits fondamentaux de l’Union européenne. Commentaire article par article</w:t>
      </w:r>
      <w:r w:rsidR="00DA187A" w:rsidRPr="00DA187A">
        <w:rPr>
          <w:rFonts w:ascii="Times New Roman" w:hAnsi="Times New Roman" w:cs="Times New Roman"/>
          <w:sz w:val="20"/>
          <w:szCs w:val="20"/>
        </w:rPr>
        <w:t xml:space="preserve">, Bruxelles, </w:t>
      </w:r>
      <w:proofErr w:type="spellStart"/>
      <w:r w:rsidR="00DA187A" w:rsidRPr="00DA187A">
        <w:rPr>
          <w:rFonts w:ascii="Times New Roman" w:hAnsi="Times New Roman" w:cs="Times New Roman"/>
          <w:sz w:val="20"/>
          <w:szCs w:val="20"/>
        </w:rPr>
        <w:t>Bruylant</w:t>
      </w:r>
      <w:proofErr w:type="spellEnd"/>
      <w:r w:rsidR="00DA187A" w:rsidRPr="00DA187A">
        <w:rPr>
          <w:rFonts w:ascii="Times New Roman" w:hAnsi="Times New Roman" w:cs="Times New Roman"/>
          <w:sz w:val="20"/>
          <w:szCs w:val="20"/>
        </w:rPr>
        <w:t xml:space="preserve">, 2020, à paraître. </w:t>
      </w:r>
    </w:p>
  </w:footnote>
  <w:footnote w:id="15">
    <w:p w14:paraId="3087C1EA" w14:textId="50ECCD8B" w:rsidR="00086389" w:rsidRPr="00DA187A" w:rsidRDefault="00086389" w:rsidP="00DA187A">
      <w:pPr>
        <w:pStyle w:val="p1"/>
        <w:jc w:val="both"/>
        <w:rPr>
          <w:rFonts w:ascii="Times New Roman" w:hAnsi="Times New Roman"/>
          <w:sz w:val="20"/>
          <w:szCs w:val="20"/>
        </w:rPr>
      </w:pPr>
      <w:r w:rsidRPr="00DA187A">
        <w:rPr>
          <w:rStyle w:val="Appelnotedebasdep"/>
          <w:rFonts w:ascii="Times New Roman" w:hAnsi="Times New Roman"/>
          <w:sz w:val="20"/>
          <w:szCs w:val="20"/>
        </w:rPr>
        <w:footnoteRef/>
      </w:r>
      <w:r w:rsidRPr="00DA187A">
        <w:rPr>
          <w:rFonts w:ascii="Times New Roman" w:hAnsi="Times New Roman"/>
          <w:sz w:val="20"/>
          <w:szCs w:val="20"/>
        </w:rPr>
        <w:t xml:space="preserve"> </w:t>
      </w:r>
      <w:proofErr w:type="spellStart"/>
      <w:r w:rsidRPr="00DA187A">
        <w:rPr>
          <w:rFonts w:ascii="Times New Roman" w:hAnsi="Times New Roman"/>
          <w:sz w:val="20"/>
          <w:szCs w:val="20"/>
        </w:rPr>
        <w:t>Voy</w:t>
      </w:r>
      <w:proofErr w:type="spellEnd"/>
      <w:r w:rsidRPr="00DA187A">
        <w:rPr>
          <w:rFonts w:ascii="Times New Roman" w:hAnsi="Times New Roman"/>
          <w:sz w:val="20"/>
          <w:szCs w:val="20"/>
        </w:rPr>
        <w:t xml:space="preserve">., par exemple, High Court of Justice, </w:t>
      </w:r>
      <w:proofErr w:type="spellStart"/>
      <w:r w:rsidRPr="00DA187A">
        <w:rPr>
          <w:rFonts w:ascii="Times New Roman" w:hAnsi="Times New Roman"/>
          <w:sz w:val="20"/>
          <w:szCs w:val="20"/>
        </w:rPr>
        <w:t>Queen’s</w:t>
      </w:r>
      <w:proofErr w:type="spellEnd"/>
      <w:r w:rsidRPr="00DA187A">
        <w:rPr>
          <w:rFonts w:ascii="Times New Roman" w:hAnsi="Times New Roman"/>
          <w:sz w:val="20"/>
          <w:szCs w:val="20"/>
        </w:rPr>
        <w:t xml:space="preserve"> </w:t>
      </w:r>
      <w:proofErr w:type="spellStart"/>
      <w:r w:rsidRPr="00DA187A">
        <w:rPr>
          <w:rFonts w:ascii="Times New Roman" w:hAnsi="Times New Roman"/>
          <w:sz w:val="20"/>
          <w:szCs w:val="20"/>
        </w:rPr>
        <w:t>Bench</w:t>
      </w:r>
      <w:proofErr w:type="spellEnd"/>
      <w:r w:rsidRPr="00DA187A">
        <w:rPr>
          <w:rFonts w:ascii="Times New Roman" w:hAnsi="Times New Roman"/>
          <w:sz w:val="20"/>
          <w:szCs w:val="20"/>
        </w:rPr>
        <w:t xml:space="preserve"> Division (</w:t>
      </w:r>
      <w:proofErr w:type="spellStart"/>
      <w:r w:rsidRPr="00DA187A">
        <w:rPr>
          <w:rFonts w:ascii="Times New Roman" w:hAnsi="Times New Roman"/>
          <w:sz w:val="20"/>
          <w:szCs w:val="20"/>
        </w:rPr>
        <w:t>Divisional</w:t>
      </w:r>
      <w:proofErr w:type="spellEnd"/>
      <w:r w:rsidRPr="00DA187A">
        <w:rPr>
          <w:rFonts w:ascii="Times New Roman" w:hAnsi="Times New Roman"/>
          <w:sz w:val="20"/>
          <w:szCs w:val="20"/>
        </w:rPr>
        <w:t xml:space="preserve"> Court), arrêt du 12 avril 2017, [2017] EWHC QB 827, </w:t>
      </w:r>
      <w:proofErr w:type="spellStart"/>
      <w:r w:rsidRPr="00DA187A">
        <w:rPr>
          <w:rFonts w:ascii="Times New Roman" w:hAnsi="Times New Roman"/>
          <w:i/>
          <w:sz w:val="20"/>
          <w:szCs w:val="20"/>
        </w:rPr>
        <w:t>Kirchanov</w:t>
      </w:r>
      <w:proofErr w:type="spellEnd"/>
      <w:r w:rsidRPr="00DA187A">
        <w:rPr>
          <w:rFonts w:ascii="Times New Roman" w:hAnsi="Times New Roman"/>
          <w:i/>
          <w:sz w:val="20"/>
          <w:szCs w:val="20"/>
        </w:rPr>
        <w:t xml:space="preserve"> et autres c. Bulgarie</w:t>
      </w:r>
      <w:r w:rsidR="00E40F48" w:rsidRPr="00DA187A">
        <w:rPr>
          <w:rFonts w:ascii="Times New Roman" w:hAnsi="Times New Roman"/>
          <w:sz w:val="20"/>
          <w:szCs w:val="20"/>
        </w:rPr>
        <w:t xml:space="preserve">, </w:t>
      </w:r>
      <w:r w:rsidRPr="00DA187A">
        <w:rPr>
          <w:rFonts w:ascii="Times New Roman" w:hAnsi="Times New Roman"/>
          <w:sz w:val="20"/>
          <w:szCs w:val="20"/>
        </w:rPr>
        <w:t xml:space="preserve">[2017] EWHC 1285 (Admin) et [2017] EWHC 2048 (Admin) ; Tribunal d’Amsterdam, arrêt du 7 août 2018, </w:t>
      </w:r>
      <w:proofErr w:type="gramStart"/>
      <w:r w:rsidRPr="00DA187A">
        <w:rPr>
          <w:rFonts w:ascii="Times New Roman" w:hAnsi="Times New Roman"/>
          <w:sz w:val="20"/>
          <w:szCs w:val="20"/>
        </w:rPr>
        <w:t>NL:RBAMS</w:t>
      </w:r>
      <w:proofErr w:type="gramEnd"/>
      <w:r w:rsidRPr="00DA187A">
        <w:rPr>
          <w:rFonts w:ascii="Times New Roman" w:hAnsi="Times New Roman"/>
          <w:sz w:val="20"/>
          <w:szCs w:val="20"/>
        </w:rPr>
        <w:t xml:space="preserve">:2018:6161 et Cour d’appel de Bruxelles (mis. </w:t>
      </w:r>
      <w:proofErr w:type="spellStart"/>
      <w:proofErr w:type="gramStart"/>
      <w:r w:rsidRPr="00DA187A">
        <w:rPr>
          <w:rFonts w:ascii="Times New Roman" w:hAnsi="Times New Roman"/>
          <w:sz w:val="20"/>
          <w:szCs w:val="20"/>
        </w:rPr>
        <w:t>acc</w:t>
      </w:r>
      <w:proofErr w:type="spellEnd"/>
      <w:proofErr w:type="gramEnd"/>
      <w:r w:rsidRPr="00DA187A">
        <w:rPr>
          <w:rFonts w:ascii="Times New Roman" w:hAnsi="Times New Roman"/>
          <w:sz w:val="20"/>
          <w:szCs w:val="20"/>
        </w:rPr>
        <w:t xml:space="preserve">.), 9 octobre 2018, </w:t>
      </w:r>
      <w:proofErr w:type="spellStart"/>
      <w:r w:rsidRPr="00DA187A">
        <w:rPr>
          <w:rFonts w:ascii="Times New Roman" w:hAnsi="Times New Roman"/>
          <w:i/>
          <w:sz w:val="20"/>
          <w:szCs w:val="20"/>
        </w:rPr>
        <w:t>Rev</w:t>
      </w:r>
      <w:proofErr w:type="spellEnd"/>
      <w:r w:rsidRPr="00DA187A">
        <w:rPr>
          <w:rFonts w:ascii="Times New Roman" w:hAnsi="Times New Roman"/>
          <w:i/>
          <w:sz w:val="20"/>
          <w:szCs w:val="20"/>
        </w:rPr>
        <w:t xml:space="preserve">. Dr. </w:t>
      </w:r>
      <w:proofErr w:type="spellStart"/>
      <w:r w:rsidRPr="00DA187A">
        <w:rPr>
          <w:rFonts w:ascii="Times New Roman" w:hAnsi="Times New Roman"/>
          <w:i/>
          <w:sz w:val="20"/>
          <w:szCs w:val="20"/>
        </w:rPr>
        <w:t>Crim</w:t>
      </w:r>
      <w:proofErr w:type="spellEnd"/>
      <w:r w:rsidRPr="00DA187A">
        <w:rPr>
          <w:rFonts w:ascii="Times New Roman" w:hAnsi="Times New Roman"/>
          <w:sz w:val="20"/>
          <w:szCs w:val="20"/>
        </w:rPr>
        <w:t>, 2019, pp. 100 à 104</w:t>
      </w:r>
      <w:r w:rsidR="00E82CD7" w:rsidRPr="00DA187A">
        <w:rPr>
          <w:rFonts w:ascii="Times New Roman" w:hAnsi="Times New Roman"/>
          <w:sz w:val="20"/>
          <w:szCs w:val="20"/>
        </w:rPr>
        <w:t>.</w:t>
      </w:r>
    </w:p>
  </w:footnote>
  <w:footnote w:id="16">
    <w:p w14:paraId="721A15B6" w14:textId="6D45981E" w:rsidR="002D6DF3" w:rsidRPr="00DA187A" w:rsidRDefault="002D6DF3"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proofErr w:type="spellStart"/>
      <w:r w:rsidRPr="00DA187A">
        <w:rPr>
          <w:rFonts w:ascii="Times New Roman" w:hAnsi="Times New Roman" w:cs="Times New Roman"/>
          <w:sz w:val="20"/>
          <w:szCs w:val="20"/>
        </w:rPr>
        <w:t>Voy</w:t>
      </w:r>
      <w:proofErr w:type="spellEnd"/>
      <w:r w:rsidRPr="00DA187A">
        <w:rPr>
          <w:rFonts w:ascii="Times New Roman" w:hAnsi="Times New Roman" w:cs="Times New Roman"/>
          <w:sz w:val="20"/>
          <w:szCs w:val="20"/>
        </w:rPr>
        <w:t xml:space="preserve">., par exemple, Cour d’appel de Bruxelles (mis. </w:t>
      </w:r>
      <w:proofErr w:type="spellStart"/>
      <w:proofErr w:type="gramStart"/>
      <w:r w:rsidRPr="00DA187A">
        <w:rPr>
          <w:rFonts w:ascii="Times New Roman" w:hAnsi="Times New Roman" w:cs="Times New Roman"/>
          <w:sz w:val="20"/>
          <w:szCs w:val="20"/>
        </w:rPr>
        <w:t>acc</w:t>
      </w:r>
      <w:proofErr w:type="spellEnd"/>
      <w:proofErr w:type="gramEnd"/>
      <w:r w:rsidRPr="00DA187A">
        <w:rPr>
          <w:rFonts w:ascii="Times New Roman" w:hAnsi="Times New Roman" w:cs="Times New Roman"/>
          <w:sz w:val="20"/>
          <w:szCs w:val="20"/>
        </w:rPr>
        <w:t xml:space="preserve">.), 9 octobre 2018, </w:t>
      </w:r>
      <w:proofErr w:type="spellStart"/>
      <w:r w:rsidRPr="00DA187A">
        <w:rPr>
          <w:rFonts w:ascii="Times New Roman" w:hAnsi="Times New Roman" w:cs="Times New Roman"/>
          <w:i/>
          <w:sz w:val="20"/>
          <w:szCs w:val="20"/>
        </w:rPr>
        <w:t>Rev</w:t>
      </w:r>
      <w:proofErr w:type="spellEnd"/>
      <w:r w:rsidRPr="00DA187A">
        <w:rPr>
          <w:rFonts w:ascii="Times New Roman" w:hAnsi="Times New Roman" w:cs="Times New Roman"/>
          <w:i/>
          <w:sz w:val="20"/>
          <w:szCs w:val="20"/>
        </w:rPr>
        <w:t xml:space="preserve">. Dr. </w:t>
      </w:r>
      <w:proofErr w:type="spellStart"/>
      <w:r w:rsidRPr="00DA187A">
        <w:rPr>
          <w:rFonts w:ascii="Times New Roman" w:hAnsi="Times New Roman" w:cs="Times New Roman"/>
          <w:i/>
          <w:sz w:val="20"/>
          <w:szCs w:val="20"/>
        </w:rPr>
        <w:t>Crim</w:t>
      </w:r>
      <w:proofErr w:type="spellEnd"/>
      <w:r w:rsidRPr="00DA187A">
        <w:rPr>
          <w:rFonts w:ascii="Times New Roman" w:hAnsi="Times New Roman" w:cs="Times New Roman"/>
          <w:sz w:val="20"/>
          <w:szCs w:val="20"/>
        </w:rPr>
        <w:t xml:space="preserve">, 2019, pp. 100 à 104, note C. </w:t>
      </w:r>
      <w:r w:rsidRPr="00DA187A">
        <w:rPr>
          <w:rFonts w:ascii="Times New Roman" w:hAnsi="Times New Roman" w:cs="Times New Roman"/>
          <w:smallCaps/>
          <w:sz w:val="20"/>
          <w:szCs w:val="20"/>
        </w:rPr>
        <w:t>Rizcallah</w:t>
      </w:r>
      <w:r w:rsidRPr="00DA187A">
        <w:rPr>
          <w:rFonts w:ascii="Times New Roman" w:hAnsi="Times New Roman" w:cs="Times New Roman"/>
          <w:sz w:val="20"/>
          <w:szCs w:val="20"/>
        </w:rPr>
        <w:t xml:space="preserve"> « la protection des droits fondamentaux dans le cadre du mandat d’arrêt européen : un impératif difficile à mettre en œuvre ».</w:t>
      </w:r>
    </w:p>
  </w:footnote>
  <w:footnote w:id="17">
    <w:p w14:paraId="6669C52E" w14:textId="77777777" w:rsidR="00AE5070" w:rsidRPr="00DA187A" w:rsidRDefault="00AE5070"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r w:rsidRPr="00DA187A">
        <w:rPr>
          <w:rFonts w:ascii="Times New Roman" w:hAnsi="Times New Roman" w:cs="Times New Roman"/>
          <w:color w:val="000000" w:themeColor="text1"/>
          <w:sz w:val="20"/>
          <w:szCs w:val="20"/>
        </w:rPr>
        <w:t xml:space="preserve">CJUE, arrêt </w:t>
      </w:r>
      <w:r w:rsidRPr="00DA187A">
        <w:rPr>
          <w:rFonts w:ascii="Times New Roman" w:hAnsi="Times New Roman" w:cs="Times New Roman"/>
          <w:i/>
          <w:color w:val="000000" w:themeColor="text1"/>
          <w:sz w:val="20"/>
          <w:szCs w:val="20"/>
        </w:rPr>
        <w:t>ML</w:t>
      </w:r>
      <w:r w:rsidRPr="00DA187A">
        <w:rPr>
          <w:rFonts w:ascii="Times New Roman" w:hAnsi="Times New Roman" w:cs="Times New Roman"/>
          <w:color w:val="000000" w:themeColor="text1"/>
          <w:sz w:val="20"/>
          <w:szCs w:val="20"/>
        </w:rPr>
        <w:t xml:space="preserve">, précité, point 81. </w:t>
      </w:r>
    </w:p>
  </w:footnote>
  <w:footnote w:id="18">
    <w:p w14:paraId="0E801DA3" w14:textId="4FF61265" w:rsidR="002B618D" w:rsidRPr="00DA187A" w:rsidRDefault="002B618D"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w:t>
      </w:r>
      <w:r w:rsidRPr="00DA187A">
        <w:rPr>
          <w:rFonts w:ascii="Times New Roman" w:hAnsi="Times New Roman" w:cs="Times New Roman"/>
          <w:color w:val="000000" w:themeColor="text1"/>
          <w:sz w:val="20"/>
          <w:szCs w:val="20"/>
        </w:rPr>
        <w:t xml:space="preserve">Cour </w:t>
      </w:r>
      <w:proofErr w:type="spellStart"/>
      <w:r w:rsidRPr="00DA187A">
        <w:rPr>
          <w:rFonts w:ascii="Times New Roman" w:hAnsi="Times New Roman" w:cs="Times New Roman"/>
          <w:color w:val="000000" w:themeColor="text1"/>
          <w:sz w:val="20"/>
          <w:szCs w:val="20"/>
        </w:rPr>
        <w:t>eur</w:t>
      </w:r>
      <w:proofErr w:type="spellEnd"/>
      <w:r w:rsidRPr="00DA187A">
        <w:rPr>
          <w:rFonts w:ascii="Times New Roman" w:hAnsi="Times New Roman" w:cs="Times New Roman"/>
          <w:color w:val="000000" w:themeColor="text1"/>
          <w:sz w:val="20"/>
          <w:szCs w:val="20"/>
        </w:rPr>
        <w:t xml:space="preserve">. D.H., arrêt du 9 juillet 2019, </w:t>
      </w:r>
      <w:r w:rsidRPr="00DA187A">
        <w:rPr>
          <w:rFonts w:ascii="Times New Roman" w:hAnsi="Times New Roman" w:cs="Times New Roman"/>
          <w:i/>
          <w:color w:val="000000" w:themeColor="text1"/>
          <w:sz w:val="20"/>
          <w:szCs w:val="20"/>
        </w:rPr>
        <w:t xml:space="preserve">Roméo </w:t>
      </w:r>
      <w:proofErr w:type="spellStart"/>
      <w:r w:rsidRPr="00DA187A">
        <w:rPr>
          <w:rFonts w:ascii="Times New Roman" w:hAnsi="Times New Roman" w:cs="Times New Roman"/>
          <w:i/>
          <w:color w:val="000000" w:themeColor="text1"/>
          <w:sz w:val="20"/>
          <w:szCs w:val="20"/>
        </w:rPr>
        <w:t>Castano</w:t>
      </w:r>
      <w:proofErr w:type="spellEnd"/>
      <w:r w:rsidRPr="00DA187A">
        <w:rPr>
          <w:rFonts w:ascii="Times New Roman" w:hAnsi="Times New Roman" w:cs="Times New Roman"/>
          <w:i/>
          <w:color w:val="000000" w:themeColor="text1"/>
          <w:sz w:val="20"/>
          <w:szCs w:val="20"/>
        </w:rPr>
        <w:t xml:space="preserve"> c. Belgique</w:t>
      </w:r>
      <w:r w:rsidRPr="00DA187A">
        <w:rPr>
          <w:rFonts w:ascii="Times New Roman" w:hAnsi="Times New Roman" w:cs="Times New Roman"/>
          <w:color w:val="000000" w:themeColor="text1"/>
          <w:sz w:val="20"/>
          <w:szCs w:val="20"/>
        </w:rPr>
        <w:t xml:space="preserve">, </w:t>
      </w:r>
      <w:proofErr w:type="spellStart"/>
      <w:r w:rsidRPr="00DA187A">
        <w:rPr>
          <w:rFonts w:ascii="Times New Roman" w:hAnsi="Times New Roman" w:cs="Times New Roman"/>
          <w:color w:val="000000" w:themeColor="text1"/>
          <w:sz w:val="20"/>
          <w:szCs w:val="20"/>
        </w:rPr>
        <w:t>req</w:t>
      </w:r>
      <w:proofErr w:type="spellEnd"/>
      <w:r w:rsidRPr="00DA187A">
        <w:rPr>
          <w:rFonts w:ascii="Times New Roman" w:hAnsi="Times New Roman" w:cs="Times New Roman"/>
          <w:color w:val="000000" w:themeColor="text1"/>
          <w:sz w:val="20"/>
          <w:szCs w:val="20"/>
        </w:rPr>
        <w:t xml:space="preserve">. </w:t>
      </w:r>
      <w:proofErr w:type="gramStart"/>
      <w:r w:rsidRPr="00DA187A">
        <w:rPr>
          <w:rFonts w:ascii="Times New Roman" w:hAnsi="Times New Roman" w:cs="Times New Roman"/>
          <w:color w:val="000000" w:themeColor="text1"/>
          <w:sz w:val="20"/>
          <w:szCs w:val="20"/>
        </w:rPr>
        <w:t>n</w:t>
      </w:r>
      <w:proofErr w:type="gramEnd"/>
      <w:r w:rsidRPr="00DA187A">
        <w:rPr>
          <w:rFonts w:ascii="Times New Roman" w:hAnsi="Times New Roman" w:cs="Times New Roman"/>
          <w:color w:val="000000" w:themeColor="text1"/>
          <w:sz w:val="20"/>
          <w:szCs w:val="20"/>
        </w:rPr>
        <w:t xml:space="preserve">°8351/17, point 88. </w:t>
      </w:r>
    </w:p>
  </w:footnote>
  <w:footnote w:id="19">
    <w:p w14:paraId="6D916CF8" w14:textId="1BA579E7" w:rsidR="00E82CD7" w:rsidRPr="00DA187A" w:rsidRDefault="00E82CD7" w:rsidP="00DA187A">
      <w:pPr>
        <w:pStyle w:val="Notedebasdepage"/>
        <w:jc w:val="both"/>
        <w:rPr>
          <w:rFonts w:ascii="Times New Roman" w:hAnsi="Times New Roman" w:cs="Times New Roman"/>
          <w:sz w:val="20"/>
          <w:szCs w:val="20"/>
        </w:rPr>
      </w:pPr>
      <w:r w:rsidRPr="00DA187A">
        <w:rPr>
          <w:rStyle w:val="Appelnotedebasdep"/>
          <w:rFonts w:ascii="Times New Roman" w:hAnsi="Times New Roman" w:cs="Times New Roman"/>
          <w:sz w:val="20"/>
          <w:szCs w:val="20"/>
        </w:rPr>
        <w:footnoteRef/>
      </w:r>
      <w:r w:rsidRPr="00DA187A">
        <w:rPr>
          <w:rFonts w:ascii="Times New Roman" w:hAnsi="Times New Roman" w:cs="Times New Roman"/>
          <w:sz w:val="20"/>
          <w:szCs w:val="20"/>
        </w:rPr>
        <w:t xml:space="preserve"> C’est d’ailleurs ce qui</w:t>
      </w:r>
      <w:r w:rsidR="00E2746B" w:rsidRPr="00DA187A">
        <w:rPr>
          <w:rFonts w:ascii="Times New Roman" w:hAnsi="Times New Roman" w:cs="Times New Roman"/>
          <w:sz w:val="20"/>
          <w:szCs w:val="20"/>
        </w:rPr>
        <w:t xml:space="preserve"> distingue les enjeux tenant au</w:t>
      </w:r>
      <w:r w:rsidRPr="00DA187A">
        <w:rPr>
          <w:rFonts w:ascii="Times New Roman" w:hAnsi="Times New Roman" w:cs="Times New Roman"/>
          <w:sz w:val="20"/>
          <w:szCs w:val="20"/>
        </w:rPr>
        <w:t xml:space="preserve"> principe de confiance mutuelle dans le domaine pénal de ceux du domaine de l’asile, où </w:t>
      </w:r>
      <w:proofErr w:type="gramStart"/>
      <w:r w:rsidR="00E2746B" w:rsidRPr="00DA187A">
        <w:rPr>
          <w:rFonts w:ascii="Times New Roman" w:hAnsi="Times New Roman" w:cs="Times New Roman"/>
          <w:sz w:val="20"/>
          <w:szCs w:val="20"/>
        </w:rPr>
        <w:t>ce</w:t>
      </w:r>
      <w:proofErr w:type="gramEnd"/>
      <w:r w:rsidRPr="00DA187A">
        <w:rPr>
          <w:rFonts w:ascii="Times New Roman" w:hAnsi="Times New Roman" w:cs="Times New Roman"/>
          <w:sz w:val="20"/>
          <w:szCs w:val="20"/>
        </w:rPr>
        <w:t xml:space="preserve"> risque d’impunité n’est pas présent.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7F0F58"/>
    <w:multiLevelType w:val="hybridMultilevel"/>
    <w:tmpl w:val="EFFAD8EC"/>
    <w:lvl w:ilvl="0" w:tplc="E3D2A98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E8D732C"/>
    <w:multiLevelType w:val="hybridMultilevel"/>
    <w:tmpl w:val="AD90D7DE"/>
    <w:lvl w:ilvl="0" w:tplc="05061D92">
      <w:start w:val="2"/>
      <w:numFmt w:val="bullet"/>
      <w:lvlText w:val="-"/>
      <w:lvlJc w:val="left"/>
      <w:pPr>
        <w:ind w:left="1440" w:hanging="360"/>
      </w:pPr>
      <w:rPr>
        <w:rFonts w:ascii="Times New Roman" w:eastAsiaTheme="minorEastAsia"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nsid w:val="120E5181"/>
    <w:multiLevelType w:val="hybridMultilevel"/>
    <w:tmpl w:val="2DF21E32"/>
    <w:lvl w:ilvl="0" w:tplc="E12006DE">
      <w:start w:val="1"/>
      <w:numFmt w:val="decimal"/>
      <w:lvlText w:val="%1."/>
      <w:lvlJc w:val="left"/>
      <w:pPr>
        <w:ind w:left="0" w:firstLine="360"/>
      </w:pPr>
      <w:rPr>
        <w:rFonts w:ascii="Times New Roman" w:hAnsi="Times New Roman" w:hint="default"/>
        <w:b/>
        <w:i w:val="0"/>
        <w:color w:val="000000" w:themeColor="text1"/>
        <w:sz w:val="24"/>
        <w:u w:val="none"/>
      </w:rPr>
    </w:lvl>
    <w:lvl w:ilvl="1" w:tplc="040C0017">
      <w:start w:val="1"/>
      <w:numFmt w:val="lowerLetter"/>
      <w:lvlText w:val="%2)"/>
      <w:lvlJc w:val="left"/>
      <w:pPr>
        <w:ind w:left="1440" w:hanging="360"/>
      </w:pPr>
    </w:lvl>
    <w:lvl w:ilvl="2" w:tplc="040C001B">
      <w:start w:val="1"/>
      <w:numFmt w:val="lowerRoman"/>
      <w:lvlText w:val="%3."/>
      <w:lvlJc w:val="right"/>
      <w:pPr>
        <w:ind w:left="2160" w:hanging="180"/>
      </w:pPr>
    </w:lvl>
    <w:lvl w:ilvl="3" w:tplc="D5605298">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2C937DB"/>
    <w:multiLevelType w:val="hybridMultilevel"/>
    <w:tmpl w:val="F39AF682"/>
    <w:lvl w:ilvl="0" w:tplc="5B100DF0">
      <w:start w:val="2"/>
      <w:numFmt w:val="bullet"/>
      <w:lvlText w:val="-"/>
      <w:lvlJc w:val="left"/>
      <w:pPr>
        <w:ind w:left="1440" w:hanging="360"/>
      </w:pPr>
      <w:rPr>
        <w:rFonts w:ascii="Times New Roman" w:eastAsiaTheme="minorEastAsia"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nsid w:val="2E286166"/>
    <w:multiLevelType w:val="hybridMultilevel"/>
    <w:tmpl w:val="EFFAD8EC"/>
    <w:lvl w:ilvl="0" w:tplc="E3D2A98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FAC15F1"/>
    <w:multiLevelType w:val="hybridMultilevel"/>
    <w:tmpl w:val="EFFAD8EC"/>
    <w:lvl w:ilvl="0" w:tplc="E3D2A986">
      <w:start w:val="1"/>
      <w:numFmt w:val="upperRoman"/>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3CD44718"/>
    <w:multiLevelType w:val="hybridMultilevel"/>
    <w:tmpl w:val="EFFAD8EC"/>
    <w:lvl w:ilvl="0" w:tplc="E3D2A98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DE82370"/>
    <w:multiLevelType w:val="hybridMultilevel"/>
    <w:tmpl w:val="7144DA5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nsid w:val="51E03B16"/>
    <w:multiLevelType w:val="hybridMultilevel"/>
    <w:tmpl w:val="7A4E8092"/>
    <w:lvl w:ilvl="0" w:tplc="C64E5C46">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4AB64D3"/>
    <w:multiLevelType w:val="hybridMultilevel"/>
    <w:tmpl w:val="B93231E0"/>
    <w:lvl w:ilvl="0" w:tplc="9586B1C0">
      <w:start w:val="2"/>
      <w:numFmt w:val="lowerLetter"/>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0">
    <w:nsid w:val="5E31515B"/>
    <w:multiLevelType w:val="hybridMultilevel"/>
    <w:tmpl w:val="D760FEE8"/>
    <w:lvl w:ilvl="0" w:tplc="31AE3FBE">
      <w:start w:val="1"/>
      <w:numFmt w:val="lowerLetter"/>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num w:numId="1">
    <w:abstractNumId w:val="7"/>
  </w:num>
  <w:num w:numId="2">
    <w:abstractNumId w:val="4"/>
  </w:num>
  <w:num w:numId="3">
    <w:abstractNumId w:val="3"/>
  </w:num>
  <w:num w:numId="4">
    <w:abstractNumId w:val="1"/>
  </w:num>
  <w:num w:numId="5">
    <w:abstractNumId w:val="8"/>
  </w:num>
  <w:num w:numId="6">
    <w:abstractNumId w:val="2"/>
  </w:num>
  <w:num w:numId="7">
    <w:abstractNumId w:val="6"/>
  </w:num>
  <w:num w:numId="8">
    <w:abstractNumId w:val="5"/>
  </w:num>
  <w:num w:numId="9">
    <w:abstractNumId w:val="9"/>
  </w:num>
  <w:num w:numId="10">
    <w:abstractNumId w:val="10"/>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4F64"/>
    <w:rsid w:val="00014DA4"/>
    <w:rsid w:val="000220BD"/>
    <w:rsid w:val="00034A64"/>
    <w:rsid w:val="00045291"/>
    <w:rsid w:val="00047F5F"/>
    <w:rsid w:val="00067BFE"/>
    <w:rsid w:val="00086389"/>
    <w:rsid w:val="00090DF9"/>
    <w:rsid w:val="000A1891"/>
    <w:rsid w:val="000B1DD0"/>
    <w:rsid w:val="0010449E"/>
    <w:rsid w:val="00106470"/>
    <w:rsid w:val="00111293"/>
    <w:rsid w:val="00112277"/>
    <w:rsid w:val="001124CA"/>
    <w:rsid w:val="00142CD9"/>
    <w:rsid w:val="00156F9D"/>
    <w:rsid w:val="00164F64"/>
    <w:rsid w:val="00171DCC"/>
    <w:rsid w:val="00181857"/>
    <w:rsid w:val="00190ABD"/>
    <w:rsid w:val="00191259"/>
    <w:rsid w:val="001B7012"/>
    <w:rsid w:val="001C33F0"/>
    <w:rsid w:val="001C6345"/>
    <w:rsid w:val="001D0FDE"/>
    <w:rsid w:val="001E2FD6"/>
    <w:rsid w:val="001E51D1"/>
    <w:rsid w:val="001F0758"/>
    <w:rsid w:val="00200A9C"/>
    <w:rsid w:val="00211EE3"/>
    <w:rsid w:val="0022778D"/>
    <w:rsid w:val="0023627F"/>
    <w:rsid w:val="002569F1"/>
    <w:rsid w:val="00257499"/>
    <w:rsid w:val="00266D18"/>
    <w:rsid w:val="00283E5E"/>
    <w:rsid w:val="0029442F"/>
    <w:rsid w:val="0029530D"/>
    <w:rsid w:val="00296058"/>
    <w:rsid w:val="002B618D"/>
    <w:rsid w:val="002B79FA"/>
    <w:rsid w:val="002C78B3"/>
    <w:rsid w:val="002D0023"/>
    <w:rsid w:val="002D6DF3"/>
    <w:rsid w:val="002E0548"/>
    <w:rsid w:val="002F7049"/>
    <w:rsid w:val="0031474A"/>
    <w:rsid w:val="003213A0"/>
    <w:rsid w:val="003276ED"/>
    <w:rsid w:val="00360066"/>
    <w:rsid w:val="00373B85"/>
    <w:rsid w:val="00377E0E"/>
    <w:rsid w:val="00382352"/>
    <w:rsid w:val="003913EE"/>
    <w:rsid w:val="003B7706"/>
    <w:rsid w:val="003D4A7D"/>
    <w:rsid w:val="003F127B"/>
    <w:rsid w:val="003F6B7D"/>
    <w:rsid w:val="003F71AB"/>
    <w:rsid w:val="004455B5"/>
    <w:rsid w:val="004624F6"/>
    <w:rsid w:val="00463CAB"/>
    <w:rsid w:val="004A2ECB"/>
    <w:rsid w:val="004B56EF"/>
    <w:rsid w:val="004C3B32"/>
    <w:rsid w:val="004E3D97"/>
    <w:rsid w:val="004E4AD7"/>
    <w:rsid w:val="004E4B68"/>
    <w:rsid w:val="004E6883"/>
    <w:rsid w:val="004F0F25"/>
    <w:rsid w:val="0050071B"/>
    <w:rsid w:val="00514E6B"/>
    <w:rsid w:val="005426EB"/>
    <w:rsid w:val="00542C9A"/>
    <w:rsid w:val="005760DE"/>
    <w:rsid w:val="0057770B"/>
    <w:rsid w:val="005B4B61"/>
    <w:rsid w:val="005B507C"/>
    <w:rsid w:val="005C5CF9"/>
    <w:rsid w:val="00611EA8"/>
    <w:rsid w:val="0062017B"/>
    <w:rsid w:val="00625FDD"/>
    <w:rsid w:val="006314FC"/>
    <w:rsid w:val="00631BB7"/>
    <w:rsid w:val="006469D9"/>
    <w:rsid w:val="00651F85"/>
    <w:rsid w:val="00656BAC"/>
    <w:rsid w:val="0065754B"/>
    <w:rsid w:val="00683223"/>
    <w:rsid w:val="006854B1"/>
    <w:rsid w:val="006E54E3"/>
    <w:rsid w:val="006F44E6"/>
    <w:rsid w:val="00700C7C"/>
    <w:rsid w:val="007155E1"/>
    <w:rsid w:val="00730AF0"/>
    <w:rsid w:val="00744AA7"/>
    <w:rsid w:val="00746C34"/>
    <w:rsid w:val="00791796"/>
    <w:rsid w:val="00792C58"/>
    <w:rsid w:val="007A422C"/>
    <w:rsid w:val="007B544C"/>
    <w:rsid w:val="007D47CD"/>
    <w:rsid w:val="007F58F7"/>
    <w:rsid w:val="00800033"/>
    <w:rsid w:val="00800940"/>
    <w:rsid w:val="00806659"/>
    <w:rsid w:val="00811483"/>
    <w:rsid w:val="00821BD9"/>
    <w:rsid w:val="00822093"/>
    <w:rsid w:val="008338D3"/>
    <w:rsid w:val="00841967"/>
    <w:rsid w:val="00867CB3"/>
    <w:rsid w:val="00877DE5"/>
    <w:rsid w:val="00880565"/>
    <w:rsid w:val="008940D9"/>
    <w:rsid w:val="008A435A"/>
    <w:rsid w:val="008E0B8D"/>
    <w:rsid w:val="00906F1E"/>
    <w:rsid w:val="0091369D"/>
    <w:rsid w:val="009177CD"/>
    <w:rsid w:val="00927F56"/>
    <w:rsid w:val="009342B2"/>
    <w:rsid w:val="00944720"/>
    <w:rsid w:val="009629C8"/>
    <w:rsid w:val="00965507"/>
    <w:rsid w:val="0097551B"/>
    <w:rsid w:val="0099534E"/>
    <w:rsid w:val="00995364"/>
    <w:rsid w:val="009B01D6"/>
    <w:rsid w:val="009C3739"/>
    <w:rsid w:val="009C4481"/>
    <w:rsid w:val="009D2087"/>
    <w:rsid w:val="009E136A"/>
    <w:rsid w:val="009E523F"/>
    <w:rsid w:val="009E674D"/>
    <w:rsid w:val="00A4494D"/>
    <w:rsid w:val="00A72EE0"/>
    <w:rsid w:val="00AA736C"/>
    <w:rsid w:val="00AB359E"/>
    <w:rsid w:val="00AD0DC2"/>
    <w:rsid w:val="00AD71EC"/>
    <w:rsid w:val="00AE1910"/>
    <w:rsid w:val="00AE5070"/>
    <w:rsid w:val="00AE5152"/>
    <w:rsid w:val="00AE711B"/>
    <w:rsid w:val="00B042DB"/>
    <w:rsid w:val="00B11016"/>
    <w:rsid w:val="00B150DF"/>
    <w:rsid w:val="00B20BD4"/>
    <w:rsid w:val="00B24DD6"/>
    <w:rsid w:val="00B44BDC"/>
    <w:rsid w:val="00B61E67"/>
    <w:rsid w:val="00B94512"/>
    <w:rsid w:val="00BB3AEB"/>
    <w:rsid w:val="00BC1366"/>
    <w:rsid w:val="00BC5CF7"/>
    <w:rsid w:val="00C074DE"/>
    <w:rsid w:val="00C12D57"/>
    <w:rsid w:val="00C23256"/>
    <w:rsid w:val="00C23BA5"/>
    <w:rsid w:val="00C27487"/>
    <w:rsid w:val="00C352FC"/>
    <w:rsid w:val="00C57469"/>
    <w:rsid w:val="00CB17E2"/>
    <w:rsid w:val="00CB27CB"/>
    <w:rsid w:val="00CC6BE7"/>
    <w:rsid w:val="00CE6FC0"/>
    <w:rsid w:val="00CF203E"/>
    <w:rsid w:val="00CF346B"/>
    <w:rsid w:val="00CF4EFD"/>
    <w:rsid w:val="00D0763E"/>
    <w:rsid w:val="00D100AF"/>
    <w:rsid w:val="00D12179"/>
    <w:rsid w:val="00D20449"/>
    <w:rsid w:val="00D20BC8"/>
    <w:rsid w:val="00D42814"/>
    <w:rsid w:val="00DA187A"/>
    <w:rsid w:val="00DD3D3D"/>
    <w:rsid w:val="00DE6BC3"/>
    <w:rsid w:val="00E215C5"/>
    <w:rsid w:val="00E26328"/>
    <w:rsid w:val="00E2746B"/>
    <w:rsid w:val="00E40F48"/>
    <w:rsid w:val="00E5076A"/>
    <w:rsid w:val="00E55E2F"/>
    <w:rsid w:val="00E82CD7"/>
    <w:rsid w:val="00EA11E0"/>
    <w:rsid w:val="00EA1A5D"/>
    <w:rsid w:val="00EB6A49"/>
    <w:rsid w:val="00EF0A40"/>
    <w:rsid w:val="00EF0C0F"/>
    <w:rsid w:val="00F82B27"/>
    <w:rsid w:val="00FD0EBA"/>
    <w:rsid w:val="00FD3529"/>
    <w:rsid w:val="00FE0ECE"/>
  </w:rsids>
  <m:mathPr>
    <m:mathFont m:val="Cambria Math"/>
    <m:brkBin m:val="before"/>
    <m:brkBinSub m:val="--"/>
    <m:smallFrac m:val="0"/>
    <m:dispDef/>
    <m:lMargin m:val="0"/>
    <m:rMargin m:val="0"/>
    <m:defJc m:val="centerGroup"/>
    <m:wrapIndent m:val="1440"/>
    <m:intLim m:val="subSup"/>
    <m:naryLim m:val="undOvr"/>
  </m:mathPr>
  <w:themeFontLang w:val="fr-FR"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4F3775"/>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4E4B68"/>
    <w:pPr>
      <w:tabs>
        <w:tab w:val="center" w:pos="4536"/>
        <w:tab w:val="right" w:pos="9072"/>
      </w:tabs>
    </w:pPr>
  </w:style>
  <w:style w:type="character" w:customStyle="1" w:styleId="PieddepageCar">
    <w:name w:val="Pied de page Car"/>
    <w:basedOn w:val="Policepardfaut"/>
    <w:link w:val="Pieddepage"/>
    <w:uiPriority w:val="99"/>
    <w:rsid w:val="004E4B68"/>
  </w:style>
  <w:style w:type="character" w:styleId="Numrodepage">
    <w:name w:val="page number"/>
    <w:basedOn w:val="Policepardfaut"/>
    <w:uiPriority w:val="99"/>
    <w:semiHidden/>
    <w:unhideWhenUsed/>
    <w:rsid w:val="004E4B68"/>
  </w:style>
  <w:style w:type="paragraph" w:styleId="Notedebasdepage">
    <w:name w:val="footnote text"/>
    <w:aliases w:val="Footnotes,Footnote2 Car,Footnote2 Car Car Car,Footnote Car Car Car Car Car,Footnote,Footnote Car Car,Footnote Car Car Car Car Car Car Car Car Car Car,Footnote Car Car Car,Footnote Car,Footnote Car Car Car Car Car Car,Car Char Char,fn"/>
    <w:basedOn w:val="Normal"/>
    <w:link w:val="NotedebasdepageCar"/>
    <w:uiPriority w:val="99"/>
    <w:unhideWhenUsed/>
    <w:qFormat/>
    <w:rsid w:val="0065754B"/>
  </w:style>
  <w:style w:type="character" w:customStyle="1" w:styleId="NotedebasdepageCar">
    <w:name w:val="Note de bas de page Car"/>
    <w:aliases w:val="Footnotes Car,Footnote2 Car Car,Footnote2 Car Car Car Car,Footnote Car Car Car Car Car Car1,Footnote Car1,Footnote Car Car Car1,Footnote Car Car Car Car Car Car Car Car Car Car Car,Footnote Car Car Car Car,Footnote Car Car1"/>
    <w:basedOn w:val="Policepardfaut"/>
    <w:link w:val="Notedebasdepage"/>
    <w:uiPriority w:val="99"/>
    <w:rsid w:val="0065754B"/>
  </w:style>
  <w:style w:type="character" w:styleId="Appelnotedebasdep">
    <w:name w:val="footnote reference"/>
    <w:aliases w:val="Appel note de bas de page,callout,Footnote Refernece,Footnotes refss,Footnote Reference Superscript,BVI fnr, BVI fnr,Footnote Reference Number,Footnote Refernece + (Latein) Arial,10 pt,Blau,Fußnotenzeichen_Raxen,4_G,16 Point,Ref"/>
    <w:basedOn w:val="Policepardfaut"/>
    <w:uiPriority w:val="99"/>
    <w:unhideWhenUsed/>
    <w:rsid w:val="0065754B"/>
    <w:rPr>
      <w:vertAlign w:val="superscript"/>
    </w:rPr>
  </w:style>
  <w:style w:type="character" w:customStyle="1" w:styleId="apple-converted-space">
    <w:name w:val="apple-converted-space"/>
    <w:basedOn w:val="Policepardfaut"/>
    <w:rsid w:val="001C6345"/>
  </w:style>
  <w:style w:type="paragraph" w:styleId="Pardeliste">
    <w:name w:val="List Paragraph"/>
    <w:basedOn w:val="Normal"/>
    <w:uiPriority w:val="34"/>
    <w:qFormat/>
    <w:rsid w:val="00C23256"/>
    <w:pPr>
      <w:ind w:left="720"/>
      <w:contextualSpacing/>
    </w:pPr>
    <w:rPr>
      <w:rFonts w:eastAsiaTheme="minorEastAsia"/>
      <w:lang w:eastAsia="fr-FR"/>
    </w:rPr>
  </w:style>
  <w:style w:type="paragraph" w:customStyle="1" w:styleId="c01pointnumerotealtn">
    <w:name w:val="c01pointnumerotealtn"/>
    <w:basedOn w:val="Normal"/>
    <w:rsid w:val="006469D9"/>
    <w:pPr>
      <w:spacing w:before="100" w:beforeAutospacing="1" w:after="100" w:afterAutospacing="1"/>
    </w:pPr>
    <w:rPr>
      <w:rFonts w:ascii="Times New Roman" w:hAnsi="Times New Roman" w:cs="Times New Roman"/>
      <w:lang w:eastAsia="fr-FR"/>
    </w:rPr>
  </w:style>
  <w:style w:type="paragraph" w:customStyle="1" w:styleId="p1">
    <w:name w:val="p1"/>
    <w:basedOn w:val="Normal"/>
    <w:rsid w:val="003F71AB"/>
    <w:rPr>
      <w:rFonts w:ascii="Helvetica" w:hAnsi="Helvetica" w:cs="Times New Roman"/>
      <w:sz w:val="12"/>
      <w:szCs w:val="12"/>
      <w:lang w:eastAsia="fr-FR"/>
    </w:rPr>
  </w:style>
  <w:style w:type="paragraph" w:styleId="En-tte">
    <w:name w:val="header"/>
    <w:basedOn w:val="Normal"/>
    <w:link w:val="En-tteCar"/>
    <w:uiPriority w:val="99"/>
    <w:unhideWhenUsed/>
    <w:rsid w:val="00111293"/>
    <w:pPr>
      <w:tabs>
        <w:tab w:val="center" w:pos="4536"/>
        <w:tab w:val="right" w:pos="9072"/>
      </w:tabs>
    </w:pPr>
  </w:style>
  <w:style w:type="character" w:customStyle="1" w:styleId="En-tteCar">
    <w:name w:val="En-tête Car"/>
    <w:basedOn w:val="Policepardfaut"/>
    <w:link w:val="En-tte"/>
    <w:uiPriority w:val="99"/>
    <w:rsid w:val="001112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683303">
      <w:bodyDiv w:val="1"/>
      <w:marLeft w:val="0"/>
      <w:marRight w:val="0"/>
      <w:marTop w:val="0"/>
      <w:marBottom w:val="0"/>
      <w:divBdr>
        <w:top w:val="none" w:sz="0" w:space="0" w:color="auto"/>
        <w:left w:val="none" w:sz="0" w:space="0" w:color="auto"/>
        <w:bottom w:val="none" w:sz="0" w:space="0" w:color="auto"/>
        <w:right w:val="none" w:sz="0" w:space="0" w:color="auto"/>
      </w:divBdr>
    </w:div>
    <w:div w:id="366103138">
      <w:bodyDiv w:val="1"/>
      <w:marLeft w:val="0"/>
      <w:marRight w:val="0"/>
      <w:marTop w:val="0"/>
      <w:marBottom w:val="0"/>
      <w:divBdr>
        <w:top w:val="none" w:sz="0" w:space="0" w:color="auto"/>
        <w:left w:val="none" w:sz="0" w:space="0" w:color="auto"/>
        <w:bottom w:val="none" w:sz="0" w:space="0" w:color="auto"/>
        <w:right w:val="none" w:sz="0" w:space="0" w:color="auto"/>
      </w:divBdr>
    </w:div>
    <w:div w:id="688529436">
      <w:bodyDiv w:val="1"/>
      <w:marLeft w:val="0"/>
      <w:marRight w:val="0"/>
      <w:marTop w:val="0"/>
      <w:marBottom w:val="0"/>
      <w:divBdr>
        <w:top w:val="none" w:sz="0" w:space="0" w:color="auto"/>
        <w:left w:val="none" w:sz="0" w:space="0" w:color="auto"/>
        <w:bottom w:val="none" w:sz="0" w:space="0" w:color="auto"/>
        <w:right w:val="none" w:sz="0" w:space="0" w:color="auto"/>
      </w:divBdr>
    </w:div>
    <w:div w:id="110423027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273</TotalTime>
  <Pages>6</Pages>
  <Words>2340</Words>
  <Characters>13200</Characters>
  <Application>Microsoft Macintosh Word</Application>
  <DocSecurity>0</DocSecurity>
  <Lines>220</Lines>
  <Paragraphs>34</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15506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Cecilia</dc:creator>
  <cp:keywords/>
  <dc:description/>
  <cp:lastModifiedBy>Cecilia</cp:lastModifiedBy>
  <cp:revision>28</cp:revision>
  <cp:lastPrinted>2019-11-28T14:13:00Z</cp:lastPrinted>
  <dcterms:created xsi:type="dcterms:W3CDTF">2019-11-23T15:33:00Z</dcterms:created>
  <dcterms:modified xsi:type="dcterms:W3CDTF">2019-11-28T15:31:00Z</dcterms:modified>
</cp:coreProperties>
</file>