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80FA" w14:textId="426327C4" w:rsidR="00832386" w:rsidRPr="00A92136" w:rsidRDefault="00557FAF">
      <w:pPr>
        <w:rPr>
          <w:rFonts w:eastAsiaTheme="minorEastAsia"/>
          <w:b/>
          <w:bCs/>
          <w:sz w:val="28"/>
          <w:szCs w:val="28"/>
          <w:lang w:val="en-US"/>
        </w:rPr>
      </w:pPr>
      <w:r w:rsidRPr="00D26FEE">
        <w:rPr>
          <w:rFonts w:eastAsiaTheme="minorEastAsia"/>
          <w:b/>
          <w:bCs/>
          <w:sz w:val="28"/>
          <w:szCs w:val="28"/>
          <w:lang w:val="en-US"/>
        </w:rPr>
        <w:t xml:space="preserve">Unveiling acute eosinophilic pneumonia in children: </w:t>
      </w:r>
      <w:r w:rsidR="00A92136">
        <w:rPr>
          <w:rFonts w:eastAsiaTheme="minorEastAsia"/>
          <w:b/>
          <w:bCs/>
          <w:sz w:val="28"/>
          <w:szCs w:val="28"/>
          <w:lang w:val="en-US"/>
        </w:rPr>
        <w:t>c</w:t>
      </w:r>
      <w:r w:rsidR="00A92136" w:rsidRPr="00A92136">
        <w:rPr>
          <w:rFonts w:eastAsiaTheme="minorEastAsia"/>
          <w:b/>
          <w:bCs/>
          <w:sz w:val="28"/>
          <w:szCs w:val="28"/>
          <w:lang w:val="en-US"/>
        </w:rPr>
        <w:t xml:space="preserve">ase </w:t>
      </w:r>
      <w:r w:rsidR="00A92136">
        <w:rPr>
          <w:rFonts w:eastAsiaTheme="minorEastAsia"/>
          <w:b/>
          <w:bCs/>
          <w:sz w:val="28"/>
          <w:szCs w:val="28"/>
          <w:lang w:val="en-US"/>
        </w:rPr>
        <w:t>s</w:t>
      </w:r>
      <w:r w:rsidR="00A92136" w:rsidRPr="00A92136">
        <w:rPr>
          <w:rFonts w:eastAsiaTheme="minorEastAsia"/>
          <w:b/>
          <w:bCs/>
          <w:sz w:val="28"/>
          <w:szCs w:val="28"/>
          <w:lang w:val="en-US"/>
        </w:rPr>
        <w:t>eries</w:t>
      </w:r>
      <w:r w:rsidR="00A92136">
        <w:rPr>
          <w:rFonts w:eastAsiaTheme="minorEastAsia"/>
          <w:b/>
          <w:bCs/>
          <w:sz w:val="28"/>
          <w:szCs w:val="28"/>
          <w:lang w:val="en-US"/>
        </w:rPr>
        <w:t xml:space="preserve"> and l</w:t>
      </w:r>
      <w:r w:rsidR="00A92136" w:rsidRPr="00A92136">
        <w:rPr>
          <w:rFonts w:eastAsiaTheme="minorEastAsia"/>
          <w:b/>
          <w:bCs/>
          <w:sz w:val="28"/>
          <w:szCs w:val="28"/>
          <w:lang w:val="en-US"/>
        </w:rPr>
        <w:t xml:space="preserve">iterature </w:t>
      </w:r>
      <w:r w:rsidR="00A92136">
        <w:rPr>
          <w:rFonts w:eastAsiaTheme="minorEastAsia"/>
          <w:b/>
          <w:bCs/>
          <w:sz w:val="28"/>
          <w:szCs w:val="28"/>
          <w:lang w:val="en-US"/>
        </w:rPr>
        <w:t>r</w:t>
      </w:r>
      <w:r w:rsidR="00A92136" w:rsidRPr="00A92136">
        <w:rPr>
          <w:rFonts w:eastAsiaTheme="minorEastAsia"/>
          <w:b/>
          <w:bCs/>
          <w:sz w:val="28"/>
          <w:szCs w:val="28"/>
          <w:lang w:val="en-US"/>
        </w:rPr>
        <w:t>eview</w:t>
      </w:r>
    </w:p>
    <w:p w14:paraId="2E30888C" w14:textId="77777777" w:rsidR="00557FAF" w:rsidRPr="00D26FEE" w:rsidRDefault="00557FAF" w:rsidP="00557FAF">
      <w:pPr>
        <w:spacing w:line="240" w:lineRule="auto"/>
        <w:rPr>
          <w:rFonts w:eastAsiaTheme="minorEastAsia"/>
          <w:sz w:val="20"/>
          <w:szCs w:val="20"/>
          <w:vertAlign w:val="superscript"/>
          <w:lang w:val="en-US"/>
        </w:rPr>
      </w:pPr>
      <w:r w:rsidRPr="00D26FEE">
        <w:rPr>
          <w:rFonts w:eastAsiaTheme="minorEastAsia"/>
          <w:sz w:val="20"/>
          <w:szCs w:val="20"/>
          <w:lang w:val="en-US"/>
        </w:rPr>
        <w:t>Corentin Stavart</w:t>
      </w:r>
      <w:r w:rsidRPr="00D26FEE">
        <w:rPr>
          <w:rFonts w:eastAsiaTheme="minorEastAsia"/>
          <w:sz w:val="20"/>
          <w:szCs w:val="20"/>
          <w:vertAlign w:val="superscript"/>
          <w:lang w:val="en-US"/>
        </w:rPr>
        <w:t>1,2</w:t>
      </w:r>
      <w:r>
        <w:rPr>
          <w:rFonts w:eastAsiaTheme="minorEastAsia"/>
          <w:sz w:val="20"/>
          <w:szCs w:val="20"/>
          <w:vertAlign w:val="superscript"/>
          <w:lang w:val="en-US"/>
        </w:rPr>
        <w:t>,3</w:t>
      </w:r>
      <w:r w:rsidRPr="00D26FEE">
        <w:rPr>
          <w:rFonts w:eastAsiaTheme="minorEastAsia"/>
          <w:sz w:val="20"/>
          <w:szCs w:val="20"/>
          <w:lang w:val="en-US"/>
        </w:rPr>
        <w:t>, Antoine Froidure</w:t>
      </w:r>
      <w:r w:rsidRPr="00D26FEE">
        <w:rPr>
          <w:rFonts w:eastAsiaTheme="minorEastAsia"/>
          <w:sz w:val="20"/>
          <w:szCs w:val="20"/>
          <w:vertAlign w:val="superscript"/>
          <w:lang w:val="en-US"/>
        </w:rPr>
        <w:t>2,3</w:t>
      </w:r>
      <w:r w:rsidRPr="00D26FEE">
        <w:rPr>
          <w:rFonts w:eastAsiaTheme="minorEastAsia"/>
          <w:sz w:val="20"/>
          <w:szCs w:val="20"/>
          <w:lang w:val="en-US"/>
        </w:rPr>
        <w:t>,</w:t>
      </w:r>
      <w:r>
        <w:rPr>
          <w:rFonts w:eastAsiaTheme="minorEastAsia"/>
          <w:sz w:val="20"/>
          <w:szCs w:val="20"/>
          <w:lang w:val="en-US"/>
        </w:rPr>
        <w:t xml:space="preserve"> Eric Marchand</w:t>
      </w:r>
      <w:r>
        <w:rPr>
          <w:rFonts w:eastAsiaTheme="minorEastAsia"/>
          <w:sz w:val="20"/>
          <w:szCs w:val="20"/>
          <w:vertAlign w:val="superscript"/>
          <w:lang w:val="en-US"/>
        </w:rPr>
        <w:t>4</w:t>
      </w:r>
      <w:r>
        <w:rPr>
          <w:rFonts w:eastAsiaTheme="minorEastAsia"/>
          <w:sz w:val="20"/>
          <w:szCs w:val="20"/>
          <w:lang w:val="en-US"/>
        </w:rPr>
        <w:t xml:space="preserve">, </w:t>
      </w:r>
      <w:r w:rsidRPr="00D26FEE">
        <w:rPr>
          <w:rFonts w:eastAsiaTheme="minorEastAsia"/>
          <w:sz w:val="20"/>
          <w:szCs w:val="20"/>
          <w:lang w:val="en-US"/>
        </w:rPr>
        <w:t>Eddy Bodart</w:t>
      </w:r>
      <w:r w:rsidRPr="00D26FEE">
        <w:rPr>
          <w:rFonts w:eastAsiaTheme="minorEastAsia"/>
          <w:sz w:val="20"/>
          <w:szCs w:val="20"/>
          <w:vertAlign w:val="superscript"/>
          <w:lang w:val="en-US"/>
        </w:rPr>
        <w:t>1</w:t>
      </w:r>
    </w:p>
    <w:p w14:paraId="16F33B34" w14:textId="26685DDC" w:rsidR="00557FAF" w:rsidRPr="006F4E9B" w:rsidRDefault="00557FAF" w:rsidP="00557FAF">
      <w:pPr>
        <w:pStyle w:val="paragraph"/>
        <w:spacing w:before="0" w:after="0"/>
        <w:jc w:val="both"/>
        <w:textAlignment w:val="baseline"/>
        <w:rPr>
          <w:rFonts w:asciiTheme="minorHAnsi" w:hAnsiTheme="minorHAnsi" w:cstheme="minorBidi"/>
          <w:sz w:val="20"/>
          <w:szCs w:val="20"/>
          <w:lang w:val="en-US"/>
        </w:rPr>
      </w:pPr>
      <w:r w:rsidRPr="006F4E9B">
        <w:rPr>
          <w:rStyle w:val="normaltextrun"/>
          <w:rFonts w:asciiTheme="minorHAnsi" w:eastAsiaTheme="majorEastAsia" w:hAnsiTheme="minorHAnsi" w:cstheme="minorBidi"/>
          <w:sz w:val="20"/>
          <w:szCs w:val="20"/>
          <w:vertAlign w:val="superscript"/>
          <w:lang w:val="en-US"/>
        </w:rPr>
        <w:t>1</w:t>
      </w:r>
      <w:r w:rsidR="00627443">
        <w:rPr>
          <w:rFonts w:asciiTheme="minorHAnsi" w:hAnsiTheme="minorHAnsi" w:cstheme="minorBidi"/>
          <w:color w:val="212121"/>
          <w:sz w:val="20"/>
          <w:szCs w:val="20"/>
          <w:shd w:val="clear" w:color="auto" w:fill="FFFFFF"/>
          <w:lang w:val="en-US"/>
        </w:rPr>
        <w:t xml:space="preserve"> D</w:t>
      </w:r>
      <w:r w:rsidRPr="006F4E9B">
        <w:rPr>
          <w:rFonts w:asciiTheme="minorHAnsi" w:hAnsiTheme="minorHAnsi" w:cstheme="minorBidi"/>
          <w:color w:val="212121"/>
          <w:sz w:val="20"/>
          <w:szCs w:val="20"/>
          <w:shd w:val="clear" w:color="auto" w:fill="FFFFFF"/>
          <w:lang w:val="en-US"/>
        </w:rPr>
        <w:t xml:space="preserve">epartment of Pediatrics, </w:t>
      </w:r>
      <w:r w:rsidRPr="006F4E9B">
        <w:rPr>
          <w:rStyle w:val="normaltextrun"/>
          <w:rFonts w:asciiTheme="minorHAnsi" w:eastAsiaTheme="majorEastAsia" w:hAnsiTheme="minorHAnsi" w:cstheme="minorBidi"/>
          <w:sz w:val="20"/>
          <w:szCs w:val="20"/>
          <w:lang w:val="en-US"/>
        </w:rPr>
        <w:t xml:space="preserve">CHU UCL Namur Godinne, </w:t>
      </w:r>
      <w:proofErr w:type="spellStart"/>
      <w:r w:rsidRPr="006F4E9B">
        <w:rPr>
          <w:rStyle w:val="normaltextrun"/>
          <w:rFonts w:asciiTheme="minorHAnsi" w:eastAsiaTheme="majorEastAsia" w:hAnsiTheme="minorHAnsi" w:cstheme="minorBidi"/>
          <w:sz w:val="20"/>
          <w:szCs w:val="20"/>
          <w:lang w:val="en-US"/>
        </w:rPr>
        <w:t>Yvoir</w:t>
      </w:r>
      <w:proofErr w:type="spellEnd"/>
      <w:r w:rsidRPr="006F4E9B">
        <w:rPr>
          <w:rStyle w:val="normaltextrun"/>
          <w:rFonts w:asciiTheme="minorHAnsi" w:eastAsiaTheme="majorEastAsia" w:hAnsiTheme="minorHAnsi" w:cstheme="minorBidi"/>
          <w:sz w:val="20"/>
          <w:szCs w:val="20"/>
          <w:lang w:val="en-US"/>
        </w:rPr>
        <w:t>, Belgium.</w:t>
      </w:r>
      <w:r w:rsidRPr="006F4E9B">
        <w:rPr>
          <w:rStyle w:val="normaltextrun"/>
          <w:rFonts w:asciiTheme="minorHAnsi" w:eastAsiaTheme="majorEastAsia" w:hAnsiTheme="minorHAnsi" w:cstheme="minorHAnsi"/>
          <w:sz w:val="20"/>
          <w:szCs w:val="20"/>
          <w:lang w:val="en-US"/>
        </w:rPr>
        <w:tab/>
      </w:r>
    </w:p>
    <w:p w14:paraId="0C32F34A" w14:textId="112C0017" w:rsidR="00557FAF" w:rsidRPr="006F4E9B" w:rsidRDefault="00557FAF" w:rsidP="00557FAF">
      <w:pPr>
        <w:spacing w:line="240" w:lineRule="auto"/>
        <w:jc w:val="both"/>
        <w:rPr>
          <w:rStyle w:val="normaltextrun"/>
          <w:sz w:val="20"/>
          <w:szCs w:val="20"/>
          <w:lang w:val="en-US"/>
        </w:rPr>
      </w:pPr>
      <w:r w:rsidRPr="006F4E9B">
        <w:rPr>
          <w:rStyle w:val="normaltextrun"/>
          <w:rFonts w:eastAsia="Times New Roman"/>
          <w:sz w:val="20"/>
          <w:szCs w:val="20"/>
          <w:vertAlign w:val="superscript"/>
          <w:lang w:val="en-US"/>
        </w:rPr>
        <w:t>2</w:t>
      </w:r>
      <w:r w:rsidR="00627443">
        <w:rPr>
          <w:rStyle w:val="normaltextrun"/>
          <w:rFonts w:eastAsia="Times New Roman"/>
          <w:sz w:val="20"/>
          <w:szCs w:val="20"/>
          <w:lang w:val="en-US"/>
        </w:rPr>
        <w:t xml:space="preserve"> P</w:t>
      </w:r>
      <w:r w:rsidRPr="006F4E9B">
        <w:rPr>
          <w:rStyle w:val="normaltextrun"/>
          <w:rFonts w:eastAsia="Times New Roman"/>
          <w:sz w:val="20"/>
          <w:szCs w:val="20"/>
          <w:lang w:val="en-US"/>
        </w:rPr>
        <w:t>ole of Lung, Nose and Skin (LUNS), Institute of Experimental and Clinical Research (IREC),</w:t>
      </w:r>
      <w:r w:rsidRPr="006F4E9B">
        <w:rPr>
          <w:rStyle w:val="normaltextrun"/>
          <w:sz w:val="20"/>
          <w:szCs w:val="20"/>
          <w:lang w:val="en-US"/>
        </w:rPr>
        <w:t xml:space="preserve"> Université </w:t>
      </w:r>
      <w:proofErr w:type="spellStart"/>
      <w:r w:rsidRPr="006F4E9B">
        <w:rPr>
          <w:rStyle w:val="normaltextrun"/>
          <w:sz w:val="20"/>
          <w:szCs w:val="20"/>
          <w:lang w:val="en-US"/>
        </w:rPr>
        <w:t>catholique</w:t>
      </w:r>
      <w:proofErr w:type="spellEnd"/>
      <w:r w:rsidRPr="006F4E9B">
        <w:rPr>
          <w:rStyle w:val="normaltextrun"/>
          <w:sz w:val="20"/>
          <w:szCs w:val="20"/>
          <w:lang w:val="en-US"/>
        </w:rPr>
        <w:t xml:space="preserve"> de Louvain</w:t>
      </w:r>
      <w:r w:rsidRPr="006F4E9B">
        <w:rPr>
          <w:rStyle w:val="normaltextrun"/>
          <w:rFonts w:eastAsia="Times New Roman"/>
          <w:sz w:val="20"/>
          <w:szCs w:val="20"/>
          <w:lang w:val="en-US"/>
        </w:rPr>
        <w:t xml:space="preserve"> (</w:t>
      </w:r>
      <w:proofErr w:type="spellStart"/>
      <w:r w:rsidRPr="006F4E9B">
        <w:rPr>
          <w:rStyle w:val="normaltextrun"/>
          <w:rFonts w:eastAsia="Times New Roman"/>
          <w:sz w:val="20"/>
          <w:szCs w:val="20"/>
          <w:lang w:val="en-US"/>
        </w:rPr>
        <w:t>UCLouvain</w:t>
      </w:r>
      <w:proofErr w:type="spellEnd"/>
      <w:r w:rsidRPr="006F4E9B">
        <w:rPr>
          <w:rStyle w:val="normaltextrun"/>
          <w:rFonts w:eastAsia="Times New Roman"/>
          <w:sz w:val="20"/>
          <w:szCs w:val="20"/>
          <w:lang w:val="en-US"/>
        </w:rPr>
        <w:t>), Brussels, Belgium.</w:t>
      </w:r>
      <w:r w:rsidRPr="006F4E9B">
        <w:rPr>
          <w:rStyle w:val="normaltextrun"/>
          <w:rFonts w:eastAsia="Times New Roman"/>
          <w:sz w:val="20"/>
          <w:szCs w:val="20"/>
          <w:lang w:val="en-US"/>
        </w:rPr>
        <w:tab/>
      </w:r>
      <w:r w:rsidRPr="006F4E9B">
        <w:rPr>
          <w:rStyle w:val="normaltextrun"/>
          <w:rFonts w:eastAsia="Times New Roman"/>
          <w:sz w:val="20"/>
          <w:szCs w:val="20"/>
          <w:lang w:val="en-US"/>
        </w:rPr>
        <w:br/>
      </w:r>
      <w:r w:rsidRPr="006F4E9B">
        <w:rPr>
          <w:sz w:val="20"/>
          <w:szCs w:val="20"/>
          <w:vertAlign w:val="superscript"/>
          <w:lang w:val="en-US"/>
        </w:rPr>
        <w:t>3</w:t>
      </w:r>
      <w:r w:rsidR="00627443">
        <w:rPr>
          <w:sz w:val="20"/>
          <w:szCs w:val="20"/>
          <w:lang w:val="en-US"/>
        </w:rPr>
        <w:t xml:space="preserve"> D</w:t>
      </w:r>
      <w:r w:rsidRPr="006F4E9B">
        <w:rPr>
          <w:sz w:val="20"/>
          <w:szCs w:val="20"/>
          <w:lang w:val="en-US"/>
        </w:rPr>
        <w:t xml:space="preserve">epartment of Pediatrics, </w:t>
      </w:r>
      <w:proofErr w:type="spellStart"/>
      <w:r w:rsidRPr="006F4E9B">
        <w:rPr>
          <w:sz w:val="20"/>
          <w:szCs w:val="20"/>
          <w:lang w:val="en-US"/>
        </w:rPr>
        <w:t>Cliniques</w:t>
      </w:r>
      <w:proofErr w:type="spellEnd"/>
      <w:r w:rsidRPr="006F4E9B">
        <w:rPr>
          <w:sz w:val="20"/>
          <w:szCs w:val="20"/>
          <w:lang w:val="en-US"/>
        </w:rPr>
        <w:t xml:space="preserve"> </w:t>
      </w:r>
      <w:proofErr w:type="spellStart"/>
      <w:r w:rsidRPr="006F4E9B">
        <w:rPr>
          <w:sz w:val="20"/>
          <w:szCs w:val="20"/>
          <w:lang w:val="en-US"/>
        </w:rPr>
        <w:t>universitaires</w:t>
      </w:r>
      <w:proofErr w:type="spellEnd"/>
      <w:r w:rsidRPr="006F4E9B">
        <w:rPr>
          <w:sz w:val="20"/>
          <w:szCs w:val="20"/>
          <w:lang w:val="en-US"/>
        </w:rPr>
        <w:t xml:space="preserve"> Saint-Luc, Brussels, Belgium.</w:t>
      </w:r>
      <w:r w:rsidRPr="006F4E9B">
        <w:rPr>
          <w:sz w:val="20"/>
          <w:szCs w:val="20"/>
          <w:lang w:val="en-US"/>
        </w:rPr>
        <w:tab/>
      </w:r>
      <w:r w:rsidRPr="006F4E9B">
        <w:rPr>
          <w:sz w:val="20"/>
          <w:szCs w:val="20"/>
          <w:lang w:val="en-US"/>
        </w:rPr>
        <w:br/>
      </w:r>
      <w:r w:rsidRPr="006F4E9B">
        <w:rPr>
          <w:rStyle w:val="normaltextrun"/>
          <w:sz w:val="20"/>
          <w:szCs w:val="20"/>
          <w:vertAlign w:val="superscript"/>
          <w:lang w:val="en-US"/>
        </w:rPr>
        <w:t>4</w:t>
      </w:r>
      <w:r w:rsidR="00627443">
        <w:rPr>
          <w:rStyle w:val="normaltextrun"/>
          <w:sz w:val="20"/>
          <w:szCs w:val="20"/>
          <w:lang w:val="en-US"/>
        </w:rPr>
        <w:t xml:space="preserve"> P</w:t>
      </w:r>
      <w:r w:rsidRPr="006F4E9B">
        <w:rPr>
          <w:rStyle w:val="normaltextrun"/>
          <w:sz w:val="20"/>
          <w:szCs w:val="20"/>
          <w:lang w:val="en-US"/>
        </w:rPr>
        <w:t xml:space="preserve">ulmonology </w:t>
      </w:r>
      <w:r w:rsidRPr="006F4E9B">
        <w:rPr>
          <w:color w:val="212121"/>
          <w:sz w:val="20"/>
          <w:szCs w:val="20"/>
          <w:lang w:val="en-US"/>
        </w:rPr>
        <w:t xml:space="preserve">Department, </w:t>
      </w:r>
      <w:proofErr w:type="spellStart"/>
      <w:r w:rsidRPr="006F4E9B">
        <w:rPr>
          <w:rStyle w:val="normaltextrun"/>
          <w:sz w:val="20"/>
          <w:szCs w:val="20"/>
          <w:lang w:val="en-US"/>
        </w:rPr>
        <w:t>Cliniques</w:t>
      </w:r>
      <w:proofErr w:type="spellEnd"/>
      <w:r w:rsidRPr="006F4E9B">
        <w:rPr>
          <w:rStyle w:val="normaltextrun"/>
          <w:sz w:val="20"/>
          <w:szCs w:val="20"/>
          <w:lang w:val="en-US"/>
        </w:rPr>
        <w:t xml:space="preserve"> </w:t>
      </w:r>
      <w:proofErr w:type="spellStart"/>
      <w:r w:rsidRPr="006F4E9B">
        <w:rPr>
          <w:rStyle w:val="normaltextrun"/>
          <w:sz w:val="20"/>
          <w:szCs w:val="20"/>
          <w:lang w:val="en-US"/>
        </w:rPr>
        <w:t>universitaires</w:t>
      </w:r>
      <w:proofErr w:type="spellEnd"/>
      <w:r w:rsidRPr="006F4E9B">
        <w:rPr>
          <w:rStyle w:val="normaltextrun"/>
          <w:sz w:val="20"/>
          <w:szCs w:val="20"/>
          <w:lang w:val="en-US"/>
        </w:rPr>
        <w:t xml:space="preserve"> Saint-Luc, Brussels, Belgium.</w:t>
      </w:r>
      <w:r w:rsidRPr="006F4E9B">
        <w:rPr>
          <w:rStyle w:val="normaltextrun"/>
          <w:sz w:val="20"/>
          <w:szCs w:val="20"/>
          <w:lang w:val="en-US"/>
        </w:rPr>
        <w:tab/>
      </w:r>
      <w:r w:rsidRPr="006F4E9B">
        <w:rPr>
          <w:rStyle w:val="normaltextrun"/>
          <w:sz w:val="20"/>
          <w:szCs w:val="20"/>
          <w:lang w:val="en-US"/>
        </w:rPr>
        <w:br/>
      </w:r>
      <w:r w:rsidRPr="006F4E9B">
        <w:rPr>
          <w:sz w:val="20"/>
          <w:szCs w:val="20"/>
          <w:vertAlign w:val="superscript"/>
          <w:lang w:val="en-US"/>
        </w:rPr>
        <w:t>5</w:t>
      </w:r>
      <w:r w:rsidR="00627443">
        <w:rPr>
          <w:sz w:val="20"/>
          <w:szCs w:val="20"/>
          <w:lang w:val="en-US"/>
        </w:rPr>
        <w:t xml:space="preserve"> P</w:t>
      </w:r>
      <w:r w:rsidRPr="006F4E9B">
        <w:rPr>
          <w:sz w:val="20"/>
          <w:szCs w:val="20"/>
          <w:lang w:val="en-US"/>
        </w:rPr>
        <w:t xml:space="preserve">ulmonology Department, CHU UCL Namur Godinne, </w:t>
      </w:r>
      <w:proofErr w:type="spellStart"/>
      <w:r w:rsidRPr="006F4E9B">
        <w:rPr>
          <w:sz w:val="20"/>
          <w:szCs w:val="20"/>
          <w:lang w:val="en-US"/>
        </w:rPr>
        <w:t>Yvoir</w:t>
      </w:r>
      <w:proofErr w:type="spellEnd"/>
      <w:r w:rsidRPr="006F4E9B">
        <w:rPr>
          <w:sz w:val="20"/>
          <w:szCs w:val="20"/>
          <w:lang w:val="en-US"/>
        </w:rPr>
        <w:t>, Belgium.</w:t>
      </w:r>
    </w:p>
    <w:p w14:paraId="2C90B3E0" w14:textId="77777777" w:rsidR="00A92136" w:rsidRDefault="00FE6C9A" w:rsidP="00A92136">
      <w:pPr>
        <w:spacing w:after="120" w:line="276" w:lineRule="auto"/>
        <w:jc w:val="both"/>
        <w:rPr>
          <w:lang w:val="en-US"/>
        </w:rPr>
      </w:pPr>
      <w:r w:rsidRPr="00FE6C9A">
        <w:rPr>
          <w:u w:val="single"/>
          <w:lang w:val="en-US"/>
        </w:rPr>
        <w:t>Background:</w:t>
      </w:r>
      <w:r w:rsidR="008D5E4D" w:rsidRPr="008D5E4D">
        <w:rPr>
          <w:lang w:val="en-US"/>
        </w:rPr>
        <w:t xml:space="preserve"> </w:t>
      </w:r>
    </w:p>
    <w:p w14:paraId="45971F5E" w14:textId="70F971D4" w:rsidR="00557FAF" w:rsidRDefault="00557FAF" w:rsidP="00A92136">
      <w:pPr>
        <w:spacing w:after="120" w:line="276" w:lineRule="auto"/>
        <w:jc w:val="both"/>
        <w:rPr>
          <w:lang w:val="en-US"/>
        </w:rPr>
      </w:pPr>
      <w:r w:rsidRPr="00D26FEE">
        <w:rPr>
          <w:lang w:val="en-US"/>
        </w:rPr>
        <w:t>Acute eosinophilic pneumonia</w:t>
      </w:r>
      <w:r w:rsidR="00FE6C9A">
        <w:rPr>
          <w:lang w:val="en-US"/>
        </w:rPr>
        <w:t xml:space="preserve"> (AEP)</w:t>
      </w:r>
      <w:r w:rsidRPr="00D26FEE">
        <w:rPr>
          <w:lang w:val="en-US"/>
        </w:rPr>
        <w:t xml:space="preserve"> is a</w:t>
      </w:r>
      <w:r w:rsidR="008D5E4D">
        <w:rPr>
          <w:lang w:val="en-US"/>
        </w:rPr>
        <w:t xml:space="preserve"> </w:t>
      </w:r>
      <w:r w:rsidRPr="00D26FEE">
        <w:rPr>
          <w:lang w:val="en-US"/>
        </w:rPr>
        <w:t>rare, life-threatening disorder</w:t>
      </w:r>
      <w:r w:rsidR="00FE6C9A">
        <w:rPr>
          <w:lang w:val="en-US"/>
        </w:rPr>
        <w:t xml:space="preserve"> in children, </w:t>
      </w:r>
      <w:r w:rsidR="00FE6C9A" w:rsidRPr="00FE6C9A">
        <w:rPr>
          <w:lang w:val="en-US"/>
        </w:rPr>
        <w:t xml:space="preserve">often </w:t>
      </w:r>
      <w:r w:rsidR="00FE6C9A">
        <w:rPr>
          <w:lang w:val="en-US"/>
        </w:rPr>
        <w:t xml:space="preserve">initially </w:t>
      </w:r>
      <w:r w:rsidR="00FE6C9A" w:rsidRPr="00FE6C9A">
        <w:rPr>
          <w:lang w:val="en-US"/>
        </w:rPr>
        <w:t xml:space="preserve">misdiagnosed as infectious pneumonia due to its </w:t>
      </w:r>
      <w:r w:rsidR="00FE6C9A">
        <w:rPr>
          <w:lang w:val="en-US"/>
        </w:rPr>
        <w:t xml:space="preserve">nonspecific </w:t>
      </w:r>
      <w:r w:rsidR="00FE6C9A" w:rsidRPr="00FE6C9A">
        <w:rPr>
          <w:lang w:val="en-US"/>
        </w:rPr>
        <w:t>presentation.</w:t>
      </w:r>
      <w:r w:rsidR="00FE6C9A">
        <w:rPr>
          <w:lang w:val="en-US"/>
        </w:rPr>
        <w:t xml:space="preserve"> </w:t>
      </w:r>
      <w:r w:rsidR="00FE6C9A" w:rsidRPr="00FE6C9A">
        <w:rPr>
          <w:lang w:val="en-US"/>
        </w:rPr>
        <w:t xml:space="preserve">It typically manifests with </w:t>
      </w:r>
      <w:r w:rsidR="00FE6C9A">
        <w:rPr>
          <w:lang w:val="en-US"/>
        </w:rPr>
        <w:t xml:space="preserve">the </w:t>
      </w:r>
      <w:r w:rsidR="00FE6C9A" w:rsidRPr="00FE6C9A">
        <w:rPr>
          <w:lang w:val="en-US"/>
        </w:rPr>
        <w:t>acute onset of fever, nonproductive cough</w:t>
      </w:r>
      <w:r w:rsidR="00FE6C9A">
        <w:rPr>
          <w:lang w:val="en-US"/>
        </w:rPr>
        <w:t>, and</w:t>
      </w:r>
      <w:r w:rsidR="00FE6C9A" w:rsidRPr="00FE6C9A">
        <w:rPr>
          <w:lang w:val="en-US"/>
        </w:rPr>
        <w:t xml:space="preserve"> dyspnea, </w:t>
      </w:r>
      <w:r w:rsidR="00FE6C9A">
        <w:rPr>
          <w:lang w:val="en-US"/>
        </w:rPr>
        <w:t>associated with</w:t>
      </w:r>
      <w:r w:rsidR="00FE6C9A" w:rsidRPr="00FE6C9A">
        <w:rPr>
          <w:lang w:val="en-US"/>
        </w:rPr>
        <w:t xml:space="preserve"> bilateral </w:t>
      </w:r>
      <w:r w:rsidR="00FE6C9A" w:rsidRPr="00D26FEE">
        <w:rPr>
          <w:lang w:val="en-US"/>
        </w:rPr>
        <w:t>alveol</w:t>
      </w:r>
      <w:r w:rsidR="00FE6C9A">
        <w:rPr>
          <w:lang w:val="en-US"/>
        </w:rPr>
        <w:t>o</w:t>
      </w:r>
      <w:r w:rsidR="00FE6C9A" w:rsidRPr="00D26FEE">
        <w:rPr>
          <w:lang w:val="en-US"/>
        </w:rPr>
        <w:t xml:space="preserve">-interstitial </w:t>
      </w:r>
      <w:r w:rsidR="00FE6C9A" w:rsidRPr="00FE6C9A">
        <w:rPr>
          <w:lang w:val="en-US"/>
        </w:rPr>
        <w:t>infiltrates</w:t>
      </w:r>
      <w:r w:rsidR="00FE6C9A">
        <w:rPr>
          <w:lang w:val="en-US"/>
        </w:rPr>
        <w:t xml:space="preserve"> and pleural effusions</w:t>
      </w:r>
      <w:r w:rsidR="00FE6C9A" w:rsidRPr="00FE6C9A">
        <w:rPr>
          <w:lang w:val="en-US"/>
        </w:rPr>
        <w:t xml:space="preserve"> on chest imaging. Although corticosteroid therapy </w:t>
      </w:r>
      <w:r w:rsidR="00FE6C9A" w:rsidRPr="00FE6C9A">
        <w:rPr>
          <w:lang w:val="en-US"/>
        </w:rPr>
        <w:t>usually</w:t>
      </w:r>
      <w:r w:rsidR="00FE6C9A" w:rsidRPr="00FE6C9A">
        <w:rPr>
          <w:lang w:val="en-US"/>
        </w:rPr>
        <w:t xml:space="preserve"> results in rapid and complete recovery, optimal dosing and duration remain debated.</w:t>
      </w:r>
      <w:r w:rsidR="00A35CD7">
        <w:rPr>
          <w:lang w:val="en-US"/>
        </w:rPr>
        <w:t xml:space="preserve"> </w:t>
      </w:r>
      <w:r w:rsidR="008D5E4D">
        <w:rPr>
          <w:lang w:val="en-US"/>
        </w:rPr>
        <w:t>S</w:t>
      </w:r>
      <w:r w:rsidRPr="00D26FEE">
        <w:rPr>
          <w:lang w:val="en-US"/>
        </w:rPr>
        <w:t xml:space="preserve">moking, vaping, inhaled agents, and </w:t>
      </w:r>
      <w:r w:rsidR="008D5E4D">
        <w:rPr>
          <w:lang w:val="en-US"/>
        </w:rPr>
        <w:t xml:space="preserve">certain </w:t>
      </w:r>
      <w:r w:rsidRPr="00D26FEE">
        <w:rPr>
          <w:lang w:val="en-US"/>
        </w:rPr>
        <w:t>medication</w:t>
      </w:r>
      <w:r w:rsidR="008D5E4D">
        <w:rPr>
          <w:lang w:val="en-US"/>
        </w:rPr>
        <w:t>s</w:t>
      </w:r>
      <w:r w:rsidRPr="00D26FEE">
        <w:rPr>
          <w:lang w:val="en-US"/>
        </w:rPr>
        <w:t xml:space="preserve"> </w:t>
      </w:r>
      <w:r w:rsidR="00C60386">
        <w:rPr>
          <w:lang w:val="en-US"/>
        </w:rPr>
        <w:t xml:space="preserve">are </w:t>
      </w:r>
      <w:proofErr w:type="spellStart"/>
      <w:r w:rsidR="008D5E4D" w:rsidRPr="008D5E4D">
        <w:rPr>
          <w:lang w:val="en-US"/>
        </w:rPr>
        <w:t>recognised</w:t>
      </w:r>
      <w:proofErr w:type="spellEnd"/>
      <w:r w:rsidR="008D5E4D" w:rsidRPr="008D5E4D">
        <w:rPr>
          <w:lang w:val="en-US"/>
        </w:rPr>
        <w:t xml:space="preserve"> risk factors</w:t>
      </w:r>
      <w:r w:rsidRPr="00D26FEE">
        <w:rPr>
          <w:lang w:val="en-US"/>
        </w:rPr>
        <w:t xml:space="preserve">, with changes in smoking habits being particularly </w:t>
      </w:r>
      <w:r w:rsidR="008D5E4D">
        <w:rPr>
          <w:lang w:val="en-US"/>
        </w:rPr>
        <w:t>implicated</w:t>
      </w:r>
      <w:r w:rsidRPr="00D26FEE">
        <w:rPr>
          <w:lang w:val="en-US"/>
        </w:rPr>
        <w:t>.</w:t>
      </w:r>
    </w:p>
    <w:p w14:paraId="24EA0143" w14:textId="77777777" w:rsidR="00D3442C" w:rsidRDefault="00A35CD7" w:rsidP="00A92136">
      <w:pPr>
        <w:spacing w:after="120" w:line="276" w:lineRule="auto"/>
        <w:jc w:val="both"/>
        <w:rPr>
          <w:lang w:val="en-US"/>
        </w:rPr>
      </w:pPr>
      <w:r w:rsidRPr="00A35CD7">
        <w:rPr>
          <w:u w:val="single"/>
          <w:lang w:val="en-US"/>
        </w:rPr>
        <w:t>Methods:</w:t>
      </w:r>
      <w:r w:rsidR="008D5E4D" w:rsidRPr="008D5E4D">
        <w:rPr>
          <w:lang w:val="en-US"/>
        </w:rPr>
        <w:t xml:space="preserve"> </w:t>
      </w:r>
    </w:p>
    <w:p w14:paraId="68D8CFCA" w14:textId="6A2BD87E" w:rsidR="00A35CD7" w:rsidRPr="00E725A3" w:rsidRDefault="00A35CD7" w:rsidP="00A92136">
      <w:pPr>
        <w:spacing w:after="120" w:line="276" w:lineRule="auto"/>
        <w:jc w:val="both"/>
        <w:rPr>
          <w:lang w:val="en-US"/>
        </w:rPr>
      </w:pPr>
      <w:r>
        <w:rPr>
          <w:lang w:val="en-US"/>
        </w:rPr>
        <w:t xml:space="preserve">We reviewed all AEP cases diagnosed between 1997 and 2023 </w:t>
      </w:r>
      <w:r w:rsidR="00557FAF" w:rsidRPr="00D26FEE">
        <w:rPr>
          <w:lang w:val="en-US"/>
        </w:rPr>
        <w:t xml:space="preserve">at the </w:t>
      </w:r>
      <w:r w:rsidR="00E725A3">
        <w:rPr>
          <w:lang w:val="en-US"/>
        </w:rPr>
        <w:t>D</w:t>
      </w:r>
      <w:r w:rsidR="00557FAF" w:rsidRPr="00D26FEE">
        <w:rPr>
          <w:lang w:val="en-US"/>
        </w:rPr>
        <w:t xml:space="preserve">epartment of </w:t>
      </w:r>
      <w:proofErr w:type="spellStart"/>
      <w:r w:rsidR="00E725A3">
        <w:rPr>
          <w:lang w:val="en-US"/>
        </w:rPr>
        <w:t>Paediatrics</w:t>
      </w:r>
      <w:proofErr w:type="spellEnd"/>
      <w:r w:rsidR="00E725A3">
        <w:rPr>
          <w:lang w:val="en-US"/>
        </w:rPr>
        <w:t xml:space="preserve">, </w:t>
      </w:r>
      <w:r w:rsidR="00557FAF" w:rsidRPr="00D26FEE">
        <w:rPr>
          <w:lang w:val="en-US"/>
        </w:rPr>
        <w:t>CHU UCL Namur</w:t>
      </w:r>
      <w:r>
        <w:rPr>
          <w:lang w:val="en-US"/>
        </w:rPr>
        <w:t xml:space="preserve">. </w:t>
      </w:r>
      <w:r w:rsidR="008D5E4D">
        <w:rPr>
          <w:lang w:val="en-US"/>
        </w:rPr>
        <w:t>C</w:t>
      </w:r>
      <w:r w:rsidR="00E725A3" w:rsidRPr="00E725A3">
        <w:rPr>
          <w:lang w:val="en-US"/>
        </w:rPr>
        <w:t xml:space="preserve">linical presentation, laboratory and radiological findings, </w:t>
      </w:r>
      <w:r w:rsidR="00E725A3" w:rsidRPr="00E725A3">
        <w:rPr>
          <w:lang w:val="en-US"/>
        </w:rPr>
        <w:t>etiology</w:t>
      </w:r>
      <w:r w:rsidR="00E725A3" w:rsidRPr="00E725A3">
        <w:rPr>
          <w:lang w:val="en-US"/>
        </w:rPr>
        <w:t xml:space="preserve">, treatment, and outcomes were </w:t>
      </w:r>
      <w:proofErr w:type="spellStart"/>
      <w:r w:rsidR="00E725A3" w:rsidRPr="00E725A3">
        <w:rPr>
          <w:lang w:val="en-US"/>
        </w:rPr>
        <w:t>analysed</w:t>
      </w:r>
      <w:proofErr w:type="spellEnd"/>
      <w:r w:rsidR="00E725A3" w:rsidRPr="00E725A3">
        <w:rPr>
          <w:lang w:val="en-US"/>
        </w:rPr>
        <w:t xml:space="preserve">. In addition, a comprehensive review of the </w:t>
      </w:r>
      <w:proofErr w:type="spellStart"/>
      <w:r w:rsidR="00E725A3" w:rsidRPr="00E725A3">
        <w:rPr>
          <w:lang w:val="en-US"/>
        </w:rPr>
        <w:t>paediatric</w:t>
      </w:r>
      <w:proofErr w:type="spellEnd"/>
      <w:r w:rsidR="00E725A3" w:rsidRPr="00E725A3">
        <w:rPr>
          <w:lang w:val="en-US"/>
        </w:rPr>
        <w:t xml:space="preserve"> literature was </w:t>
      </w:r>
      <w:r w:rsidR="008D5E4D">
        <w:rPr>
          <w:lang w:val="en-US"/>
        </w:rPr>
        <w:t>conducted</w:t>
      </w:r>
      <w:r w:rsidR="00E725A3" w:rsidRPr="00E725A3">
        <w:rPr>
          <w:lang w:val="en-US"/>
        </w:rPr>
        <w:t xml:space="preserve"> to identify all previously reported cases. Findings were compared with </w:t>
      </w:r>
      <w:r w:rsidR="008D5E4D">
        <w:rPr>
          <w:lang w:val="en-US"/>
        </w:rPr>
        <w:t xml:space="preserve">adult </w:t>
      </w:r>
      <w:r w:rsidR="00A661CC">
        <w:rPr>
          <w:lang w:val="en-US"/>
        </w:rPr>
        <w:t>cases</w:t>
      </w:r>
      <w:r w:rsidR="00E725A3" w:rsidRPr="00E725A3">
        <w:rPr>
          <w:lang w:val="en-US"/>
        </w:rPr>
        <w:t xml:space="preserve"> to highlight potential age-related differences.</w:t>
      </w:r>
    </w:p>
    <w:p w14:paraId="559A490A" w14:textId="77777777" w:rsidR="00D3442C" w:rsidRDefault="00A35CD7" w:rsidP="00A92136">
      <w:pPr>
        <w:spacing w:after="120" w:line="276" w:lineRule="auto"/>
        <w:jc w:val="both"/>
        <w:rPr>
          <w:lang w:val="en-US"/>
        </w:rPr>
      </w:pPr>
      <w:r w:rsidRPr="00A35CD7">
        <w:rPr>
          <w:u w:val="single"/>
          <w:lang w:val="en-US"/>
        </w:rPr>
        <w:t>Results:</w:t>
      </w:r>
      <w:r w:rsidRPr="008D5E4D">
        <w:rPr>
          <w:lang w:val="en-US"/>
        </w:rPr>
        <w:t xml:space="preserve"> </w:t>
      </w:r>
    </w:p>
    <w:p w14:paraId="13B80271" w14:textId="7C4D90E8" w:rsidR="00E725A3" w:rsidRDefault="00E725A3" w:rsidP="00A92136">
      <w:pPr>
        <w:spacing w:after="120" w:line="276" w:lineRule="auto"/>
        <w:jc w:val="both"/>
        <w:rPr>
          <w:lang w:val="en-US"/>
        </w:rPr>
      </w:pPr>
      <w:r w:rsidRPr="00E725A3">
        <w:rPr>
          <w:lang w:val="en-US"/>
        </w:rPr>
        <w:t>Three patients aged 13</w:t>
      </w:r>
      <w:r w:rsidR="008D5E4D">
        <w:rPr>
          <w:lang w:val="en-US"/>
        </w:rPr>
        <w:t>-</w:t>
      </w:r>
      <w:r w:rsidRPr="00E725A3">
        <w:rPr>
          <w:lang w:val="en-US"/>
        </w:rPr>
        <w:t xml:space="preserve">15 years were identified: one smoke-related, one drug-induced, and one idiopathic. </w:t>
      </w:r>
      <w:r w:rsidR="008D5E4D" w:rsidRPr="008D5E4D">
        <w:rPr>
          <w:lang w:val="en-US"/>
        </w:rPr>
        <w:t xml:space="preserve">Including our cases, 33 </w:t>
      </w:r>
      <w:proofErr w:type="spellStart"/>
      <w:r w:rsidR="008D5E4D" w:rsidRPr="008D5E4D">
        <w:rPr>
          <w:lang w:val="en-US"/>
        </w:rPr>
        <w:t>paediatric</w:t>
      </w:r>
      <w:proofErr w:type="spellEnd"/>
      <w:r w:rsidR="008D5E4D" w:rsidRPr="008D5E4D">
        <w:rPr>
          <w:lang w:val="en-US"/>
        </w:rPr>
        <w:t xml:space="preserve"> AEP cases were found in the literature.</w:t>
      </w:r>
      <w:r w:rsidRPr="00E725A3">
        <w:rPr>
          <w:lang w:val="en-US"/>
        </w:rPr>
        <w:t xml:space="preserve"> </w:t>
      </w:r>
      <w:r w:rsidR="008D5E4D">
        <w:rPr>
          <w:lang w:val="en-US"/>
        </w:rPr>
        <w:t>Unlike</w:t>
      </w:r>
      <w:r w:rsidRPr="00E725A3">
        <w:rPr>
          <w:lang w:val="en-US"/>
        </w:rPr>
        <w:t xml:space="preserve"> adult series, </w:t>
      </w:r>
      <w:proofErr w:type="spellStart"/>
      <w:r w:rsidRPr="00E725A3">
        <w:rPr>
          <w:lang w:val="en-US"/>
        </w:rPr>
        <w:t>paediatric</w:t>
      </w:r>
      <w:proofErr w:type="spellEnd"/>
      <w:r w:rsidRPr="00E725A3">
        <w:rPr>
          <w:lang w:val="en-US"/>
        </w:rPr>
        <w:t xml:space="preserve"> cases demonstrated a slight female predominance (</w:t>
      </w:r>
      <w:r w:rsidR="00D3442C">
        <w:rPr>
          <w:lang w:val="en-US"/>
        </w:rPr>
        <w:t>M/F</w:t>
      </w:r>
      <w:r w:rsidRPr="00E725A3">
        <w:rPr>
          <w:lang w:val="en-US"/>
        </w:rPr>
        <w:t xml:space="preserve"> ratio 0.93). </w:t>
      </w:r>
      <w:r w:rsidR="00627443">
        <w:rPr>
          <w:lang w:val="en-US"/>
        </w:rPr>
        <w:t>M</w:t>
      </w:r>
      <w:r w:rsidRPr="00E725A3">
        <w:rPr>
          <w:lang w:val="en-US"/>
        </w:rPr>
        <w:t xml:space="preserve">ost cases occurred in adolescents, </w:t>
      </w:r>
      <w:r w:rsidR="00627443">
        <w:rPr>
          <w:lang w:val="en-US"/>
        </w:rPr>
        <w:t xml:space="preserve">with </w:t>
      </w:r>
      <w:r w:rsidR="000F7C5A">
        <w:rPr>
          <w:lang w:val="en-US"/>
        </w:rPr>
        <w:t>some cases</w:t>
      </w:r>
      <w:r w:rsidRPr="00E725A3">
        <w:rPr>
          <w:lang w:val="en-US"/>
        </w:rPr>
        <w:t xml:space="preserve"> reported in </w:t>
      </w:r>
      <w:r w:rsidR="000F7C5A">
        <w:rPr>
          <w:lang w:val="en-US"/>
        </w:rPr>
        <w:t xml:space="preserve">infants and </w:t>
      </w:r>
      <w:r w:rsidRPr="00E725A3">
        <w:rPr>
          <w:lang w:val="en-US"/>
        </w:rPr>
        <w:t>young children.</w:t>
      </w:r>
      <w:r>
        <w:rPr>
          <w:lang w:val="en-US"/>
        </w:rPr>
        <w:tab/>
      </w:r>
      <w:r>
        <w:rPr>
          <w:lang w:val="en-US"/>
        </w:rPr>
        <w:br/>
      </w:r>
      <w:r w:rsidRPr="00E725A3">
        <w:rPr>
          <w:lang w:val="en-US"/>
        </w:rPr>
        <w:t xml:space="preserve">The clinical </w:t>
      </w:r>
      <w:proofErr w:type="spellStart"/>
      <w:r w:rsidRPr="00E725A3">
        <w:rPr>
          <w:lang w:val="en-US"/>
        </w:rPr>
        <w:t>triad</w:t>
      </w:r>
      <w:proofErr w:type="spellEnd"/>
      <w:r w:rsidRPr="00E725A3">
        <w:rPr>
          <w:lang w:val="en-US"/>
        </w:rPr>
        <w:t xml:space="preserve"> of tachypnoea (100%), tachycardia (100%), and </w:t>
      </w:r>
      <w:proofErr w:type="spellStart"/>
      <w:r w:rsidRPr="00E725A3">
        <w:rPr>
          <w:lang w:val="en-US"/>
        </w:rPr>
        <w:t>dyspnoea</w:t>
      </w:r>
      <w:proofErr w:type="spellEnd"/>
      <w:r w:rsidRPr="00E725A3">
        <w:rPr>
          <w:lang w:val="en-US"/>
        </w:rPr>
        <w:t xml:space="preserve"> (97%) was consistently observed across all </w:t>
      </w:r>
      <w:proofErr w:type="spellStart"/>
      <w:r w:rsidRPr="00E725A3">
        <w:rPr>
          <w:lang w:val="en-US"/>
        </w:rPr>
        <w:t>paediatric</w:t>
      </w:r>
      <w:proofErr w:type="spellEnd"/>
      <w:r w:rsidRPr="00E725A3">
        <w:rPr>
          <w:lang w:val="en-US"/>
        </w:rPr>
        <w:t xml:space="preserve"> cases. </w:t>
      </w:r>
      <w:r w:rsidR="00D3442C">
        <w:rPr>
          <w:lang w:val="en-US"/>
        </w:rPr>
        <w:t>Similar to</w:t>
      </w:r>
      <w:r w:rsidRPr="00E725A3">
        <w:rPr>
          <w:lang w:val="en-US"/>
        </w:rPr>
        <w:t xml:space="preserve"> adults, smoking-related AEP was frequently associated with normal initial eosinophil counts and more severe </w:t>
      </w:r>
      <w:r w:rsidR="00C60386" w:rsidRPr="00E725A3">
        <w:rPr>
          <w:lang w:val="en-US"/>
        </w:rPr>
        <w:t>disease</w:t>
      </w:r>
      <w:r w:rsidR="00627443">
        <w:rPr>
          <w:lang w:val="en-US"/>
        </w:rPr>
        <w:t>, whereas i</w:t>
      </w:r>
      <w:r w:rsidRPr="00E725A3">
        <w:rPr>
          <w:lang w:val="en-US"/>
        </w:rPr>
        <w:t xml:space="preserve">diopathic and drug-induced cases more </w:t>
      </w:r>
      <w:r w:rsidR="00627443">
        <w:rPr>
          <w:lang w:val="en-US"/>
        </w:rPr>
        <w:t xml:space="preserve">frequently </w:t>
      </w:r>
      <w:r w:rsidRPr="00E725A3">
        <w:rPr>
          <w:lang w:val="en-US"/>
        </w:rPr>
        <w:t>showed peripheral eosinophilia.</w:t>
      </w:r>
      <w:r w:rsidR="00C60386">
        <w:rPr>
          <w:lang w:val="en-US"/>
        </w:rPr>
        <w:t xml:space="preserve"> </w:t>
      </w:r>
      <w:r w:rsidRPr="00E725A3">
        <w:rPr>
          <w:lang w:val="en-US"/>
        </w:rPr>
        <w:t>Treatment duration varied widely (2 days to 7 months)</w:t>
      </w:r>
      <w:r>
        <w:rPr>
          <w:lang w:val="en-US"/>
        </w:rPr>
        <w:t xml:space="preserve">, </w:t>
      </w:r>
      <w:r w:rsidRPr="00E725A3">
        <w:rPr>
          <w:lang w:val="en-US"/>
        </w:rPr>
        <w:t>generally longer than in adults</w:t>
      </w:r>
      <w:r w:rsidR="00627443">
        <w:rPr>
          <w:lang w:val="en-US"/>
        </w:rPr>
        <w:t>.</w:t>
      </w:r>
      <w:r w:rsidR="00D3442C">
        <w:rPr>
          <w:lang w:val="en-US"/>
        </w:rPr>
        <w:t xml:space="preserve"> N</w:t>
      </w:r>
      <w:r w:rsidRPr="00E725A3">
        <w:rPr>
          <w:lang w:val="en-US"/>
        </w:rPr>
        <w:t>o relapse after corticosteroid withdrawal was reported, except for one case of steroid resistance.</w:t>
      </w:r>
    </w:p>
    <w:p w14:paraId="725BC341" w14:textId="77777777" w:rsidR="00D3442C" w:rsidRDefault="00E725A3" w:rsidP="00A92136">
      <w:pPr>
        <w:spacing w:after="120" w:line="276" w:lineRule="auto"/>
        <w:jc w:val="both"/>
        <w:rPr>
          <w:lang w:val="en-US"/>
        </w:rPr>
      </w:pPr>
      <w:r w:rsidRPr="00E725A3">
        <w:rPr>
          <w:u w:val="single"/>
          <w:lang w:val="en-US"/>
        </w:rPr>
        <w:t>Conclusions:</w:t>
      </w:r>
      <w:r w:rsidR="008D5E4D" w:rsidRPr="008D5E4D">
        <w:rPr>
          <w:lang w:val="en-US"/>
        </w:rPr>
        <w:t xml:space="preserve"> </w:t>
      </w:r>
    </w:p>
    <w:p w14:paraId="3DA3B436" w14:textId="27EDB640" w:rsidR="00C60386" w:rsidRPr="00D26FEE" w:rsidRDefault="00E725A3" w:rsidP="00A92136">
      <w:pPr>
        <w:spacing w:after="120" w:line="276" w:lineRule="auto"/>
        <w:jc w:val="both"/>
        <w:rPr>
          <w:lang w:val="en-US"/>
        </w:rPr>
      </w:pPr>
      <w:r w:rsidRPr="00E725A3">
        <w:rPr>
          <w:lang w:val="en-US"/>
        </w:rPr>
        <w:t xml:space="preserve">AEP </w:t>
      </w:r>
      <w:r w:rsidR="00C60386" w:rsidRPr="00C60386">
        <w:rPr>
          <w:lang w:val="en-US"/>
        </w:rPr>
        <w:t>likely arises from the interaction between environmental triggers and individual predisposition.</w:t>
      </w:r>
      <w:r w:rsidRPr="00E725A3">
        <w:rPr>
          <w:lang w:val="en-US"/>
        </w:rPr>
        <w:t xml:space="preserve"> Because it</w:t>
      </w:r>
      <w:r w:rsidR="000F7C5A">
        <w:rPr>
          <w:lang w:val="en-US"/>
        </w:rPr>
        <w:t xml:space="preserve"> i</w:t>
      </w:r>
      <w:r w:rsidR="00D7212B">
        <w:rPr>
          <w:lang w:val="en-US"/>
        </w:rPr>
        <w:t>s</w:t>
      </w:r>
      <w:r w:rsidRPr="00E725A3">
        <w:rPr>
          <w:lang w:val="en-US"/>
        </w:rPr>
        <w:t xml:space="preserve"> frequently misdiagnosed, </w:t>
      </w:r>
      <w:proofErr w:type="spellStart"/>
      <w:r w:rsidRPr="00E725A3">
        <w:rPr>
          <w:lang w:val="en-US"/>
        </w:rPr>
        <w:t>p</w:t>
      </w:r>
      <w:r>
        <w:rPr>
          <w:lang w:val="en-US"/>
        </w:rPr>
        <w:t>a</w:t>
      </w:r>
      <w:r w:rsidRPr="00E725A3">
        <w:rPr>
          <w:lang w:val="en-US"/>
        </w:rPr>
        <w:t>ediatricians</w:t>
      </w:r>
      <w:proofErr w:type="spellEnd"/>
      <w:r w:rsidRPr="00E725A3">
        <w:rPr>
          <w:lang w:val="en-US"/>
        </w:rPr>
        <w:t xml:space="preserve"> should suspect </w:t>
      </w:r>
      <w:r>
        <w:rPr>
          <w:lang w:val="en-US"/>
        </w:rPr>
        <w:t>it</w:t>
      </w:r>
      <w:r w:rsidRPr="00E725A3">
        <w:rPr>
          <w:lang w:val="en-US"/>
        </w:rPr>
        <w:t xml:space="preserve"> in children with acute respiratory distress unresponsive to antibiotics</w:t>
      </w:r>
      <w:r w:rsidR="00C60386">
        <w:rPr>
          <w:lang w:val="en-US"/>
        </w:rPr>
        <w:t>, particularly when known risk factors are present</w:t>
      </w:r>
      <w:r w:rsidRPr="00E725A3">
        <w:rPr>
          <w:lang w:val="en-US"/>
        </w:rPr>
        <w:t>. A detailed environmental and medication history, along with bronchoalveolar lavage</w:t>
      </w:r>
      <w:r>
        <w:rPr>
          <w:lang w:val="en-US"/>
        </w:rPr>
        <w:t xml:space="preserve">, </w:t>
      </w:r>
      <w:r w:rsidRPr="00E725A3">
        <w:rPr>
          <w:lang w:val="en-US"/>
        </w:rPr>
        <w:t xml:space="preserve">even in the absence of </w:t>
      </w:r>
      <w:r w:rsidR="000F7C5A">
        <w:rPr>
          <w:lang w:val="en-US"/>
        </w:rPr>
        <w:t>periphe</w:t>
      </w:r>
      <w:r w:rsidR="00A70652">
        <w:rPr>
          <w:lang w:val="en-US"/>
        </w:rPr>
        <w:t xml:space="preserve">ral </w:t>
      </w:r>
      <w:r w:rsidRPr="00E725A3">
        <w:rPr>
          <w:lang w:val="en-US"/>
        </w:rPr>
        <w:t>eosinophilia</w:t>
      </w:r>
      <w:r>
        <w:rPr>
          <w:lang w:val="en-US"/>
        </w:rPr>
        <w:t xml:space="preserve">, </w:t>
      </w:r>
      <w:r w:rsidRPr="00E725A3">
        <w:rPr>
          <w:lang w:val="en-US"/>
        </w:rPr>
        <w:t>is essential for timely diagnosis.</w:t>
      </w:r>
      <w:r w:rsidR="00C60386">
        <w:rPr>
          <w:lang w:val="en-US"/>
        </w:rPr>
        <w:t xml:space="preserve"> </w:t>
      </w:r>
      <w:r w:rsidR="00C60386" w:rsidRPr="00D26FEE">
        <w:rPr>
          <w:lang w:val="en-US"/>
        </w:rPr>
        <w:t>Further studies are needed to better understand the characteristics of AEP in children and to refine treatment protocols for this rare but serious condition.</w:t>
      </w:r>
    </w:p>
    <w:sectPr w:rsidR="00C60386" w:rsidRPr="00D26F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B8F8" w14:textId="77777777" w:rsidR="00F4719E" w:rsidRDefault="00F4719E" w:rsidP="00557FAF">
      <w:pPr>
        <w:spacing w:after="0" w:line="240" w:lineRule="auto"/>
      </w:pPr>
      <w:r>
        <w:separator/>
      </w:r>
    </w:p>
  </w:endnote>
  <w:endnote w:type="continuationSeparator" w:id="0">
    <w:p w14:paraId="2D226872" w14:textId="77777777" w:rsidR="00F4719E" w:rsidRDefault="00F4719E" w:rsidP="00557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B5326" w14:textId="77777777" w:rsidR="00F4719E" w:rsidRDefault="00F4719E" w:rsidP="00557FAF">
      <w:pPr>
        <w:spacing w:after="0" w:line="240" w:lineRule="auto"/>
      </w:pPr>
      <w:r>
        <w:separator/>
      </w:r>
    </w:p>
  </w:footnote>
  <w:footnote w:type="continuationSeparator" w:id="0">
    <w:p w14:paraId="56294C43" w14:textId="77777777" w:rsidR="00F4719E" w:rsidRDefault="00F4719E" w:rsidP="00557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0885" w14:textId="36A762FF" w:rsidR="00557FAF" w:rsidRDefault="00557FAF">
    <w:pPr>
      <w:pStyle w:val="En-tte"/>
    </w:pPr>
    <w:r w:rsidRPr="00764595">
      <w:rPr>
        <w:noProof/>
      </w:rPr>
      <w:drawing>
        <wp:inline distT="0" distB="0" distL="0" distR="0" wp14:anchorId="73885F29" wp14:editId="51B79271">
          <wp:extent cx="664615" cy="432000"/>
          <wp:effectExtent l="0" t="0" r="2540" b="6350"/>
          <wp:docPr id="2050" name="Picture 2" descr="FRS-FNRS ros vert transp">
            <a:extLst xmlns:a="http://schemas.openxmlformats.org/drawingml/2006/main">
              <a:ext uri="{FF2B5EF4-FFF2-40B4-BE49-F238E27FC236}">
                <a16:creationId xmlns:a16="http://schemas.microsoft.com/office/drawing/2014/main" id="{F55EED98-4D09-0829-3032-96FB18847B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 descr="FRS-FNRS ros vert transp">
                    <a:extLst>
                      <a:ext uri="{FF2B5EF4-FFF2-40B4-BE49-F238E27FC236}">
                        <a16:creationId xmlns:a16="http://schemas.microsoft.com/office/drawing/2014/main" id="{F55EED98-4D09-0829-3032-96FB18847BB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615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BA5476">
      <w:rPr>
        <w:noProof/>
      </w:rPr>
      <w:drawing>
        <wp:inline distT="0" distB="0" distL="0" distR="0" wp14:anchorId="0A79DE48" wp14:editId="005132D9">
          <wp:extent cx="1107692" cy="432000"/>
          <wp:effectExtent l="0" t="0" r="0" b="6350"/>
          <wp:docPr id="7" name="Picture 6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8884E2F-11DC-40BB-464F-6404D1409B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38884E2F-11DC-40BB-464F-6404D1409B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AF"/>
    <w:rsid w:val="000B0F8C"/>
    <w:rsid w:val="000F7C5A"/>
    <w:rsid w:val="0011226B"/>
    <w:rsid w:val="002C70A2"/>
    <w:rsid w:val="00541A90"/>
    <w:rsid w:val="00557FAF"/>
    <w:rsid w:val="00627443"/>
    <w:rsid w:val="00832386"/>
    <w:rsid w:val="008D5E4D"/>
    <w:rsid w:val="009977FE"/>
    <w:rsid w:val="00A35CD7"/>
    <w:rsid w:val="00A661CC"/>
    <w:rsid w:val="00A70652"/>
    <w:rsid w:val="00A92136"/>
    <w:rsid w:val="00AE5A00"/>
    <w:rsid w:val="00C60386"/>
    <w:rsid w:val="00D3442C"/>
    <w:rsid w:val="00D7212B"/>
    <w:rsid w:val="00E725A3"/>
    <w:rsid w:val="00F4719E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23D3"/>
  <w15:chartTrackingRefBased/>
  <w15:docId w15:val="{A8CFC951-F8EE-49D8-9CF1-87AA4AE4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7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7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7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7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7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7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7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7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7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7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57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57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57FA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57FA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7F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57F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57F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57F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7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57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7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57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7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57F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7F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57FA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7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7FA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7FA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57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7FAF"/>
  </w:style>
  <w:style w:type="paragraph" w:styleId="Pieddepage">
    <w:name w:val="footer"/>
    <w:basedOn w:val="Normal"/>
    <w:link w:val="PieddepageCar"/>
    <w:uiPriority w:val="99"/>
    <w:unhideWhenUsed/>
    <w:rsid w:val="00557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7FAF"/>
  </w:style>
  <w:style w:type="paragraph" w:customStyle="1" w:styleId="paragraph">
    <w:name w:val="paragraph"/>
    <w:basedOn w:val="Normal"/>
    <w:rsid w:val="00557FA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character" w:customStyle="1" w:styleId="normaltextrun">
    <w:name w:val="normaltextrun"/>
    <w:basedOn w:val="Policepardfaut"/>
    <w:rsid w:val="0055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UCLouvain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Stavart</dc:creator>
  <cp:keywords/>
  <dc:description/>
  <cp:lastModifiedBy>Corentin Stavart</cp:lastModifiedBy>
  <cp:revision>6</cp:revision>
  <dcterms:created xsi:type="dcterms:W3CDTF">2025-11-03T14:39:00Z</dcterms:created>
  <dcterms:modified xsi:type="dcterms:W3CDTF">2025-11-03T16:44:00Z</dcterms:modified>
</cp:coreProperties>
</file>