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B8EE85" w14:textId="12CD0471" w:rsidR="0013102E" w:rsidRPr="007E4C86" w:rsidRDefault="0013102E" w:rsidP="007E4C86">
      <w:pPr>
        <w:pStyle w:val="NormalWeb"/>
        <w:contextualSpacing/>
        <w:jc w:val="both"/>
        <w:rPr>
          <w:b/>
          <w:bCs/>
          <w:lang w:val="en-US"/>
        </w:rPr>
      </w:pPr>
      <w:r w:rsidRPr="007E4C86">
        <w:rPr>
          <w:b/>
          <w:bCs/>
          <w:i/>
          <w:iCs/>
          <w:lang w:val="en-US"/>
        </w:rPr>
        <w:t>Bildung</w:t>
      </w:r>
      <w:r w:rsidR="007E4C86">
        <w:rPr>
          <w:b/>
          <w:bCs/>
          <w:lang w:val="en-US"/>
        </w:rPr>
        <w:t xml:space="preserve"> –</w:t>
      </w:r>
      <w:r w:rsidRPr="007E4C86">
        <w:rPr>
          <w:b/>
          <w:bCs/>
          <w:lang w:val="en-US"/>
        </w:rPr>
        <w:t xml:space="preserve"> </w:t>
      </w:r>
      <w:r w:rsidR="000339FA">
        <w:rPr>
          <w:b/>
          <w:bCs/>
          <w:lang w:val="en-US"/>
        </w:rPr>
        <w:t xml:space="preserve">Figures of an Untimely Modern Ideal </w:t>
      </w:r>
    </w:p>
    <w:p w14:paraId="2701E27C" w14:textId="2CB95ACF" w:rsidR="007E4C86" w:rsidRPr="007244D0" w:rsidRDefault="00D84519" w:rsidP="007E4C86">
      <w:pPr>
        <w:pStyle w:val="NormalWeb"/>
        <w:contextualSpacing/>
        <w:jc w:val="both"/>
        <w:rPr>
          <w:b/>
          <w:bCs/>
        </w:rPr>
      </w:pPr>
      <w:r w:rsidRPr="007244D0">
        <w:rPr>
          <w:b/>
          <w:bCs/>
        </w:rPr>
        <w:t>An i</w:t>
      </w:r>
      <w:r w:rsidR="00951D33" w:rsidRPr="007244D0">
        <w:rPr>
          <w:b/>
          <w:bCs/>
        </w:rPr>
        <w:t>ntroduction</w:t>
      </w:r>
    </w:p>
    <w:p w14:paraId="0E5A8392" w14:textId="77777777" w:rsidR="007E4C86" w:rsidRDefault="007E4C86" w:rsidP="007E4C86">
      <w:pPr>
        <w:spacing w:line="360" w:lineRule="auto"/>
        <w:rPr>
          <w:rFonts w:ascii="Times New Roman" w:hAnsi="Times New Roman" w:cs="Times New Roman"/>
        </w:rPr>
      </w:pPr>
      <w:r>
        <w:rPr>
          <w:rFonts w:ascii="Times New Roman" w:hAnsi="Times New Roman" w:cs="Times New Roman"/>
        </w:rPr>
        <w:t>Quentin Landenne, FNRS/</w:t>
      </w:r>
      <w:proofErr w:type="spellStart"/>
      <w:r>
        <w:rPr>
          <w:rFonts w:ascii="Times New Roman" w:hAnsi="Times New Roman" w:cs="Times New Roman"/>
        </w:rPr>
        <w:t>UCLouvain</w:t>
      </w:r>
      <w:proofErr w:type="spellEnd"/>
      <w:r>
        <w:rPr>
          <w:rFonts w:ascii="Times New Roman" w:hAnsi="Times New Roman" w:cs="Times New Roman"/>
        </w:rPr>
        <w:t xml:space="preserve"> Saint-Louis – Bruxelles</w:t>
      </w:r>
      <w:r>
        <w:rPr>
          <w:rStyle w:val="Appelnotedebasdep"/>
          <w:rFonts w:ascii="Times New Roman" w:hAnsi="Times New Roman" w:cs="Times New Roman"/>
        </w:rPr>
        <w:footnoteReference w:id="1"/>
      </w:r>
    </w:p>
    <w:p w14:paraId="52BB7AFE" w14:textId="77777777" w:rsidR="007E4C86" w:rsidRPr="007E4C86" w:rsidRDefault="007E4C86" w:rsidP="00C73087">
      <w:pPr>
        <w:pStyle w:val="NormalWeb"/>
        <w:ind w:firstLine="567"/>
        <w:contextualSpacing/>
        <w:jc w:val="center"/>
      </w:pPr>
    </w:p>
    <w:p w14:paraId="3B89502D" w14:textId="036AC2C1" w:rsidR="00EF3260" w:rsidRPr="00EF3260" w:rsidRDefault="00EF3260" w:rsidP="00EF3260">
      <w:pPr>
        <w:ind w:firstLine="567"/>
        <w:contextualSpacing/>
        <w:jc w:val="both"/>
        <w:rPr>
          <w:rFonts w:ascii="Times New Roman" w:hAnsi="Times New Roman" w:cs="Times New Roman"/>
          <w:lang w:val="en-US"/>
        </w:rPr>
      </w:pPr>
      <w:r>
        <w:rPr>
          <w:rFonts w:ascii="Times New Roman" w:hAnsi="Times New Roman" w:cs="Times New Roman"/>
          <w:iCs/>
          <w:lang w:val="en-US"/>
        </w:rPr>
        <w:t xml:space="preserve">The present volume is the first step of </w:t>
      </w:r>
      <w:r w:rsidRPr="00EF3260">
        <w:rPr>
          <w:rFonts w:ascii="Times New Roman" w:hAnsi="Times New Roman" w:cs="Times New Roman"/>
          <w:iCs/>
          <w:lang w:val="en-US"/>
        </w:rPr>
        <w:t xml:space="preserve">a research project led in the framework of </w:t>
      </w:r>
      <w:r w:rsidR="00E26A34">
        <w:rPr>
          <w:rFonts w:ascii="Times New Roman" w:hAnsi="Times New Roman" w:cs="Times New Roman"/>
          <w:iCs/>
          <w:lang w:val="en-US"/>
        </w:rPr>
        <w:t>the</w:t>
      </w:r>
      <w:r w:rsidRPr="00EF3260">
        <w:rPr>
          <w:rFonts w:ascii="Times New Roman" w:hAnsi="Times New Roman" w:cs="Times New Roman"/>
          <w:iCs/>
          <w:lang w:val="en-US"/>
        </w:rPr>
        <w:t xml:space="preserve"> ERC Consolidator Grant</w:t>
      </w:r>
      <w:r w:rsidR="00E26A34" w:rsidRPr="00E26A34">
        <w:rPr>
          <w:rFonts w:ascii="Times New Roman" w:hAnsi="Times New Roman" w:cs="Times New Roman"/>
          <w:i/>
          <w:lang w:val="en-US"/>
        </w:rPr>
        <w:t xml:space="preserve"> </w:t>
      </w:r>
      <w:proofErr w:type="spellStart"/>
      <w:r w:rsidR="00E26A34" w:rsidRPr="00EF3260">
        <w:rPr>
          <w:rFonts w:ascii="Times New Roman" w:hAnsi="Times New Roman" w:cs="Times New Roman"/>
          <w:i/>
          <w:lang w:val="en-US"/>
        </w:rPr>
        <w:t>BildungLearning</w:t>
      </w:r>
      <w:proofErr w:type="spellEnd"/>
      <w:r w:rsidRPr="00EF3260">
        <w:rPr>
          <w:rFonts w:ascii="Times New Roman" w:hAnsi="Times New Roman" w:cs="Times New Roman"/>
          <w:iCs/>
          <w:lang w:val="en-US"/>
        </w:rPr>
        <w:t xml:space="preserve">. </w:t>
      </w:r>
      <w:r w:rsidRPr="00EF3260">
        <w:rPr>
          <w:rFonts w:ascii="Times New Roman" w:hAnsi="Times New Roman" w:cs="Times New Roman"/>
          <w:lang w:val="en-US"/>
        </w:rPr>
        <w:t xml:space="preserve">The main objective of this project is to compare the modern philosophy of </w:t>
      </w:r>
      <w:r w:rsidRPr="00EF3260">
        <w:rPr>
          <w:rFonts w:ascii="Times New Roman" w:hAnsi="Times New Roman" w:cs="Times New Roman"/>
          <w:i/>
          <w:lang w:val="en-US"/>
        </w:rPr>
        <w:t>Bildung</w:t>
      </w:r>
      <w:r w:rsidRPr="00EF3260">
        <w:rPr>
          <w:rFonts w:ascii="Times New Roman" w:hAnsi="Times New Roman" w:cs="Times New Roman"/>
          <w:lang w:val="en-US"/>
        </w:rPr>
        <w:t xml:space="preserve"> and the contemporary paradigm of the </w:t>
      </w:r>
      <w:r w:rsidRPr="00CA619F">
        <w:rPr>
          <w:rFonts w:ascii="Times New Roman" w:hAnsi="Times New Roman" w:cs="Times New Roman"/>
          <w:i/>
          <w:iCs/>
          <w:lang w:val="en-US"/>
        </w:rPr>
        <w:t xml:space="preserve">Learning Society </w:t>
      </w:r>
      <w:r w:rsidRPr="00EF3260">
        <w:rPr>
          <w:rFonts w:ascii="Times New Roman" w:hAnsi="Times New Roman" w:cs="Times New Roman"/>
          <w:lang w:val="en-US"/>
        </w:rPr>
        <w:t xml:space="preserve">by systematically analyzing their homological structures. Through this comparison, we aim to </w:t>
      </w:r>
      <w:r w:rsidR="00E26A34">
        <w:rPr>
          <w:rFonts w:ascii="Times New Roman" w:hAnsi="Times New Roman" w:cs="Times New Roman"/>
          <w:lang w:val="en-US"/>
        </w:rPr>
        <w:t>reveal</w:t>
      </w:r>
      <w:r w:rsidRPr="00EF3260">
        <w:rPr>
          <w:rFonts w:ascii="Times New Roman" w:hAnsi="Times New Roman" w:cs="Times New Roman"/>
          <w:lang w:val="en-US"/>
        </w:rPr>
        <w:t xml:space="preserve"> the important conceptual mutations of the ideal of educational autonomy </w:t>
      </w:r>
      <w:r w:rsidR="00E26A34">
        <w:rPr>
          <w:rFonts w:ascii="Times New Roman" w:hAnsi="Times New Roman" w:cs="Times New Roman"/>
          <w:lang w:val="en-US"/>
        </w:rPr>
        <w:t>that occur</w:t>
      </w:r>
      <w:r w:rsidRPr="00EF3260">
        <w:rPr>
          <w:rFonts w:ascii="Times New Roman" w:hAnsi="Times New Roman" w:cs="Times New Roman"/>
          <w:lang w:val="en-US"/>
        </w:rPr>
        <w:t xml:space="preserve"> from the first paradigm to the latter. Through an analysis of political-educational narratives, we want to examine </w:t>
      </w:r>
      <w:r w:rsidR="00E26A34">
        <w:rPr>
          <w:rFonts w:ascii="Times New Roman" w:hAnsi="Times New Roman" w:cs="Times New Roman"/>
          <w:lang w:val="en-US"/>
        </w:rPr>
        <w:t>whether</w:t>
      </w:r>
      <w:r w:rsidRPr="00EF3260">
        <w:rPr>
          <w:rFonts w:ascii="Times New Roman" w:hAnsi="Times New Roman" w:cs="Times New Roman"/>
          <w:lang w:val="en-US"/>
        </w:rPr>
        <w:t xml:space="preserve"> the great narratives of the philosophical modernity – such as emancipation through self-cultivation – have become totally obsolete or ineffective, or </w:t>
      </w:r>
      <w:r w:rsidR="00E26A34">
        <w:rPr>
          <w:rFonts w:ascii="Times New Roman" w:hAnsi="Times New Roman" w:cs="Times New Roman"/>
          <w:lang w:val="en-US"/>
        </w:rPr>
        <w:t>whether</w:t>
      </w:r>
      <w:r w:rsidRPr="00EF3260">
        <w:rPr>
          <w:rFonts w:ascii="Times New Roman" w:hAnsi="Times New Roman" w:cs="Times New Roman"/>
          <w:lang w:val="en-US"/>
        </w:rPr>
        <w:t xml:space="preserve"> and </w:t>
      </w:r>
      <w:r w:rsidR="00E26A34">
        <w:rPr>
          <w:rFonts w:ascii="Times New Roman" w:hAnsi="Times New Roman" w:cs="Times New Roman"/>
          <w:lang w:val="en-US"/>
        </w:rPr>
        <w:t>in what extent</w:t>
      </w:r>
      <w:r w:rsidRPr="00EF3260">
        <w:rPr>
          <w:rFonts w:ascii="Times New Roman" w:hAnsi="Times New Roman" w:cs="Times New Roman"/>
          <w:lang w:val="en-US"/>
        </w:rPr>
        <w:t xml:space="preserve"> they continue to </w:t>
      </w:r>
      <w:r w:rsidR="00E26A34">
        <w:rPr>
          <w:rFonts w:ascii="Times New Roman" w:hAnsi="Times New Roman" w:cs="Times New Roman"/>
          <w:lang w:val="en-US"/>
        </w:rPr>
        <w:t>operate</w:t>
      </w:r>
      <w:r w:rsidRPr="00EF3260">
        <w:rPr>
          <w:rFonts w:ascii="Times New Roman" w:hAnsi="Times New Roman" w:cs="Times New Roman"/>
          <w:lang w:val="en-US"/>
        </w:rPr>
        <w:t xml:space="preserve"> in current discourses </w:t>
      </w:r>
      <w:r w:rsidR="00E26A34">
        <w:rPr>
          <w:rFonts w:ascii="Times New Roman" w:hAnsi="Times New Roman" w:cs="Times New Roman"/>
          <w:lang w:val="en-US"/>
        </w:rPr>
        <w:t>in</w:t>
      </w:r>
      <w:r w:rsidRPr="00EF3260">
        <w:rPr>
          <w:rFonts w:ascii="Times New Roman" w:hAnsi="Times New Roman" w:cs="Times New Roman"/>
          <w:lang w:val="en-US"/>
        </w:rPr>
        <w:t xml:space="preserve"> critical and fragmented forms.</w:t>
      </w:r>
    </w:p>
    <w:p w14:paraId="02DE9B9C" w14:textId="575D9CA7" w:rsidR="00951D33" w:rsidRPr="004A1E34" w:rsidRDefault="00F8101B" w:rsidP="004A1E34">
      <w:pPr>
        <w:ind w:firstLine="567"/>
        <w:contextualSpacing/>
        <w:jc w:val="both"/>
        <w:rPr>
          <w:rFonts w:ascii="Times New Roman" w:hAnsi="Times New Roman" w:cs="Times New Roman"/>
          <w:lang w:val="en-US"/>
        </w:rPr>
      </w:pPr>
      <w:r w:rsidRPr="00EF3260">
        <w:rPr>
          <w:rFonts w:ascii="Times New Roman" w:hAnsi="Times New Roman" w:cs="Times New Roman"/>
          <w:iCs/>
          <w:lang w:val="en-US"/>
        </w:rPr>
        <w:t xml:space="preserve">The </w:t>
      </w:r>
      <w:r w:rsidR="00C73797" w:rsidRPr="00EF3260">
        <w:rPr>
          <w:rFonts w:ascii="Times New Roman" w:hAnsi="Times New Roman" w:cs="Times New Roman"/>
          <w:iCs/>
          <w:lang w:val="en-US"/>
        </w:rPr>
        <w:t xml:space="preserve">modern </w:t>
      </w:r>
      <w:r w:rsidRPr="00EF3260">
        <w:rPr>
          <w:rFonts w:ascii="Times New Roman" w:hAnsi="Times New Roman" w:cs="Times New Roman"/>
          <w:iCs/>
          <w:lang w:val="en-US"/>
        </w:rPr>
        <w:t xml:space="preserve">idea of </w:t>
      </w:r>
      <w:r w:rsidR="00951D33" w:rsidRPr="00EF3260">
        <w:rPr>
          <w:rFonts w:ascii="Times New Roman" w:hAnsi="Times New Roman" w:cs="Times New Roman"/>
          <w:i/>
          <w:lang w:val="en-US"/>
        </w:rPr>
        <w:t>Bildung</w:t>
      </w:r>
      <w:r w:rsidR="00951D33" w:rsidRPr="00EF3260">
        <w:rPr>
          <w:rFonts w:ascii="Times New Roman" w:hAnsi="Times New Roman" w:cs="Times New Roman"/>
          <w:lang w:val="en-US"/>
        </w:rPr>
        <w:t xml:space="preserve"> and the</w:t>
      </w:r>
      <w:r w:rsidR="00C73797" w:rsidRPr="00EF3260">
        <w:rPr>
          <w:rFonts w:ascii="Times New Roman" w:hAnsi="Times New Roman" w:cs="Times New Roman"/>
          <w:lang w:val="en-US"/>
        </w:rPr>
        <w:t xml:space="preserve"> contemporary</w:t>
      </w:r>
      <w:r w:rsidR="00951D33" w:rsidRPr="00EF3260">
        <w:rPr>
          <w:rFonts w:ascii="Times New Roman" w:hAnsi="Times New Roman" w:cs="Times New Roman"/>
          <w:lang w:val="en-US"/>
        </w:rPr>
        <w:t xml:space="preserve"> </w:t>
      </w:r>
      <w:r w:rsidRPr="00EF3260">
        <w:rPr>
          <w:rFonts w:ascii="Times New Roman" w:hAnsi="Times New Roman" w:cs="Times New Roman"/>
          <w:lang w:val="en-US"/>
        </w:rPr>
        <w:t xml:space="preserve">concept of </w:t>
      </w:r>
      <w:r w:rsidR="00951D33" w:rsidRPr="00EF3260">
        <w:rPr>
          <w:rFonts w:ascii="Times New Roman" w:hAnsi="Times New Roman" w:cs="Times New Roman"/>
          <w:i/>
          <w:iCs/>
          <w:lang w:val="en-US"/>
        </w:rPr>
        <w:t>Learning Society</w:t>
      </w:r>
      <w:r w:rsidR="00951D33" w:rsidRPr="00EF3260">
        <w:rPr>
          <w:rFonts w:ascii="Times New Roman" w:hAnsi="Times New Roman" w:cs="Times New Roman"/>
          <w:lang w:val="en-US"/>
        </w:rPr>
        <w:t xml:space="preserve"> are two major paradigms of the Western political and</w:t>
      </w:r>
      <w:r w:rsidR="00951D33" w:rsidRPr="004A1E34">
        <w:rPr>
          <w:rFonts w:ascii="Times New Roman" w:hAnsi="Times New Roman" w:cs="Times New Roman"/>
          <w:lang w:val="en-US"/>
        </w:rPr>
        <w:t xml:space="preserve"> educational thought. They refer to very distinct historical moments, which can be situated by identifying one of their respective most symbolic texts: In 1810, Wilhelm von Humboldt was elaborating his plan of foundation and organization of the new University of Berlin, in which a vivid debate in classical German philosophy was culminating around the Idea of University as an institution devoted to produce science for promoting the ideal of </w:t>
      </w:r>
      <w:r w:rsidR="00951D33" w:rsidRPr="004A1E34">
        <w:rPr>
          <w:rFonts w:ascii="Times New Roman" w:hAnsi="Times New Roman" w:cs="Times New Roman"/>
          <w:i/>
          <w:lang w:val="en-US"/>
        </w:rPr>
        <w:t>Bildung</w:t>
      </w:r>
      <w:r w:rsidR="00951D33" w:rsidRPr="004A1E34">
        <w:rPr>
          <w:rFonts w:ascii="Times New Roman" w:hAnsi="Times New Roman" w:cs="Times New Roman"/>
          <w:lang w:val="en-US"/>
        </w:rPr>
        <w:t xml:space="preserve">, </w:t>
      </w:r>
      <w:r w:rsidR="00951D33" w:rsidRPr="004A1E34">
        <w:rPr>
          <w:rFonts w:ascii="Times New Roman" w:hAnsi="Times New Roman" w:cs="Times New Roman"/>
          <w:i/>
          <w:lang w:val="en-US"/>
        </w:rPr>
        <w:t>i.e.</w:t>
      </w:r>
      <w:r w:rsidR="00951D33" w:rsidRPr="004A1E34">
        <w:rPr>
          <w:rFonts w:ascii="Times New Roman" w:hAnsi="Times New Roman" w:cs="Times New Roman"/>
          <w:lang w:val="en-US"/>
        </w:rPr>
        <w:t xml:space="preserve"> the personal and collective integral self-cultivation and self-education of human beings. Two centuries later, in 1995, the European Commission published a White paper entitled “</w:t>
      </w:r>
      <w:r w:rsidR="00951D33" w:rsidRPr="004A1E34">
        <w:rPr>
          <w:rFonts w:ascii="Times New Roman" w:hAnsi="Times New Roman" w:cs="Times New Roman"/>
          <w:i/>
          <w:lang w:val="en-US"/>
        </w:rPr>
        <w:t>Towards the Learning Society</w:t>
      </w:r>
      <w:r w:rsidR="00951D33" w:rsidRPr="004A1E34">
        <w:rPr>
          <w:rFonts w:ascii="Times New Roman" w:hAnsi="Times New Roman" w:cs="Times New Roman"/>
          <w:lang w:val="en-US"/>
        </w:rPr>
        <w:t xml:space="preserve">”, calling all social actors to learn “lifelong and </w:t>
      </w:r>
      <w:proofErr w:type="spellStart"/>
      <w:r w:rsidR="00951D33" w:rsidRPr="004A1E34">
        <w:rPr>
          <w:rFonts w:ascii="Times New Roman" w:hAnsi="Times New Roman" w:cs="Times New Roman"/>
          <w:lang w:val="en-US"/>
        </w:rPr>
        <w:t>lifewide</w:t>
      </w:r>
      <w:proofErr w:type="spellEnd"/>
      <w:r w:rsidR="00951D33" w:rsidRPr="004A1E34">
        <w:rPr>
          <w:rFonts w:ascii="Times New Roman" w:hAnsi="Times New Roman" w:cs="Times New Roman"/>
          <w:lang w:val="en-US"/>
        </w:rPr>
        <w:t>”, thereby opening the way to the so-called Strategy of Lisbon, which lays the foundations for a European Knowledge Economy, and consequently to the Bologna Process, which aims to reform the European Higher Education area by putting Universities at the center of a “Europe of Knowledge”</w:t>
      </w:r>
      <w:r w:rsidR="000339FA">
        <w:rPr>
          <w:rStyle w:val="Appelnotedebasdep"/>
          <w:rFonts w:ascii="Times New Roman" w:hAnsi="Times New Roman" w:cs="Times New Roman"/>
          <w:lang w:val="en-US"/>
        </w:rPr>
        <w:footnoteReference w:id="2"/>
      </w:r>
      <w:r w:rsidR="00951D33" w:rsidRPr="004A1E34">
        <w:rPr>
          <w:rFonts w:ascii="Times New Roman" w:hAnsi="Times New Roman" w:cs="Times New Roman"/>
          <w:lang w:val="en-US"/>
        </w:rPr>
        <w:t>.</w:t>
      </w:r>
    </w:p>
    <w:p w14:paraId="31046C4A" w14:textId="05905049" w:rsidR="00951D33" w:rsidRPr="00D84519" w:rsidRDefault="00951D33" w:rsidP="004A1E34">
      <w:pPr>
        <w:ind w:firstLine="567"/>
        <w:contextualSpacing/>
        <w:jc w:val="both"/>
        <w:rPr>
          <w:rFonts w:ascii="Times New Roman" w:hAnsi="Times New Roman" w:cs="Times New Roman"/>
          <w:lang w:val="en-US"/>
        </w:rPr>
      </w:pPr>
      <w:r w:rsidRPr="004A1E34">
        <w:rPr>
          <w:rFonts w:ascii="Times New Roman" w:hAnsi="Times New Roman" w:cs="Times New Roman"/>
          <w:lang w:val="en-US"/>
        </w:rPr>
        <w:t>However different</w:t>
      </w:r>
      <w:r w:rsidR="009A118A" w:rsidRPr="004A1E34">
        <w:rPr>
          <w:rFonts w:ascii="Times New Roman" w:hAnsi="Times New Roman" w:cs="Times New Roman"/>
          <w:lang w:val="en-US"/>
        </w:rPr>
        <w:t xml:space="preserve"> and divergent</w:t>
      </w:r>
      <w:r w:rsidRPr="004A1E34">
        <w:rPr>
          <w:rFonts w:ascii="Times New Roman" w:hAnsi="Times New Roman" w:cs="Times New Roman"/>
          <w:lang w:val="en-US"/>
        </w:rPr>
        <w:t xml:space="preserve"> these two texts may appear, they imply an analogous issue: both aim to reform the Idea of University and the normative model of Higher Education </w:t>
      </w:r>
      <w:proofErr w:type="gramStart"/>
      <w:r w:rsidRPr="004A1E34">
        <w:rPr>
          <w:rFonts w:ascii="Times New Roman" w:hAnsi="Times New Roman" w:cs="Times New Roman"/>
          <w:lang w:val="en-US"/>
        </w:rPr>
        <w:t>on the basis of</w:t>
      </w:r>
      <w:proofErr w:type="gramEnd"/>
      <w:r w:rsidRPr="004A1E34">
        <w:rPr>
          <w:rFonts w:ascii="Times New Roman" w:hAnsi="Times New Roman" w:cs="Times New Roman"/>
          <w:lang w:val="en-US"/>
        </w:rPr>
        <w:t xml:space="preserve"> a fully renewed political-educational paradigm, moving towards a society wholly centered on education and learning. Such an analogy would be of pure historical interest if it were not used so widely, explicitly or implicitly, in the current discourses on the mutations of </w:t>
      </w:r>
      <w:r w:rsidR="009A118A" w:rsidRPr="004A1E34">
        <w:rPr>
          <w:rFonts w:ascii="Times New Roman" w:hAnsi="Times New Roman" w:cs="Times New Roman"/>
          <w:lang w:val="en-US"/>
        </w:rPr>
        <w:t>u</w:t>
      </w:r>
      <w:r w:rsidRPr="004A1E34">
        <w:rPr>
          <w:rFonts w:ascii="Times New Roman" w:hAnsi="Times New Roman" w:cs="Times New Roman"/>
          <w:lang w:val="en-US"/>
        </w:rPr>
        <w:t>niversity. Indeed, in spite of the historical and cultural distance, in the last decades reference is made again and again to the figure of Humboldt and to this “Berlin moment” in the academic literature, across the disciplines, whether positively or negatively, as the counter-model of the Bologna model, and more generally of the academic model induced by the Knowledge Economy: “Joyful Good-bye to Humboldt”</w:t>
      </w:r>
      <w:r w:rsidR="00D84519">
        <w:rPr>
          <w:rStyle w:val="Appelnotedebasdep"/>
          <w:rFonts w:ascii="Times New Roman" w:hAnsi="Times New Roman" w:cs="Times New Roman"/>
          <w:lang w:val="en-US"/>
        </w:rPr>
        <w:footnoteReference w:id="3"/>
      </w:r>
      <w:r w:rsidRPr="00D84519">
        <w:rPr>
          <w:rFonts w:ascii="Times New Roman" w:hAnsi="Times New Roman" w:cs="Times New Roman"/>
          <w:lang w:val="en-US"/>
        </w:rPr>
        <w:t>, “Le cauchemar de Humboldt”</w:t>
      </w:r>
      <w:r w:rsidR="00D84519">
        <w:rPr>
          <w:rStyle w:val="Appelnotedebasdep"/>
          <w:rFonts w:ascii="Times New Roman" w:hAnsi="Times New Roman" w:cs="Times New Roman"/>
          <w:lang w:val="en-US"/>
        </w:rPr>
        <w:footnoteReference w:id="4"/>
      </w:r>
      <w:r w:rsidRPr="00D84519">
        <w:rPr>
          <w:rFonts w:ascii="Times New Roman" w:hAnsi="Times New Roman" w:cs="Times New Roman"/>
          <w:lang w:val="en-US"/>
        </w:rPr>
        <w:t>, “Humboldt meets Bologna</w:t>
      </w:r>
      <w:r w:rsidR="00D84519">
        <w:rPr>
          <w:rFonts w:ascii="Times New Roman" w:hAnsi="Times New Roman" w:cs="Times New Roman"/>
          <w:lang w:val="en-US"/>
        </w:rPr>
        <w:t>”</w:t>
      </w:r>
      <w:r w:rsidR="00D84519">
        <w:rPr>
          <w:rStyle w:val="Appelnotedebasdep"/>
          <w:rFonts w:ascii="Times New Roman" w:hAnsi="Times New Roman" w:cs="Times New Roman"/>
          <w:lang w:val="en-US"/>
        </w:rPr>
        <w:footnoteReference w:id="5"/>
      </w:r>
      <w:r w:rsidRPr="00D84519">
        <w:rPr>
          <w:rFonts w:ascii="Times New Roman" w:hAnsi="Times New Roman" w:cs="Times New Roman"/>
          <w:lang w:val="en-US"/>
        </w:rPr>
        <w:t>, “Humboldt International”</w:t>
      </w:r>
      <w:r w:rsidR="00D84519">
        <w:rPr>
          <w:rStyle w:val="Appelnotedebasdep"/>
          <w:rFonts w:ascii="Times New Roman" w:hAnsi="Times New Roman" w:cs="Times New Roman"/>
          <w:lang w:val="en-US"/>
        </w:rPr>
        <w:footnoteReference w:id="6"/>
      </w:r>
      <w:r w:rsidRPr="00D84519">
        <w:rPr>
          <w:rFonts w:ascii="Times New Roman" w:hAnsi="Times New Roman" w:cs="Times New Roman"/>
          <w:lang w:val="en-US"/>
        </w:rPr>
        <w:t>, etc.</w:t>
      </w:r>
    </w:p>
    <w:p w14:paraId="11BB2AB4" w14:textId="6547E532" w:rsidR="00951D33" w:rsidRPr="004A1E34" w:rsidRDefault="00951D33" w:rsidP="004A1E34">
      <w:pPr>
        <w:ind w:firstLine="567"/>
        <w:contextualSpacing/>
        <w:jc w:val="both"/>
        <w:rPr>
          <w:rFonts w:ascii="Times New Roman" w:hAnsi="Times New Roman" w:cs="Times New Roman"/>
          <w:lang w:val="en-US"/>
        </w:rPr>
      </w:pPr>
      <w:r w:rsidRPr="00D84519">
        <w:rPr>
          <w:rFonts w:ascii="Times New Roman" w:hAnsi="Times New Roman" w:cs="Times New Roman"/>
          <w:lang w:val="en-US"/>
        </w:rPr>
        <w:lastRenderedPageBreak/>
        <w:t xml:space="preserve">This “spectral” presence of Humboldt and the persistent power of attraction of its model of </w:t>
      </w:r>
      <w:proofErr w:type="gramStart"/>
      <w:r w:rsidRPr="00D84519">
        <w:rPr>
          <w:rFonts w:ascii="Times New Roman" w:hAnsi="Times New Roman" w:cs="Times New Roman"/>
          <w:lang w:val="en-US"/>
        </w:rPr>
        <w:t>University</w:t>
      </w:r>
      <w:proofErr w:type="gramEnd"/>
      <w:r w:rsidRPr="00D84519">
        <w:rPr>
          <w:rFonts w:ascii="Times New Roman" w:hAnsi="Times New Roman" w:cs="Times New Roman"/>
          <w:lang w:val="en-US"/>
        </w:rPr>
        <w:t xml:space="preserve"> is a cultural fact of our time</w:t>
      </w:r>
      <w:r w:rsidR="00D84519">
        <w:rPr>
          <w:rStyle w:val="Appelnotedebasdep"/>
          <w:rFonts w:ascii="Times New Roman" w:hAnsi="Times New Roman" w:cs="Times New Roman"/>
          <w:lang w:val="en-US"/>
        </w:rPr>
        <w:footnoteReference w:id="7"/>
      </w:r>
      <w:r w:rsidRPr="00D84519">
        <w:rPr>
          <w:rFonts w:ascii="Times New Roman" w:hAnsi="Times New Roman" w:cs="Times New Roman"/>
          <w:lang w:val="en-US"/>
        </w:rPr>
        <w:t xml:space="preserve">. This model, providing a kind of synthesis of the German philosophy of </w:t>
      </w:r>
      <w:r w:rsidRPr="00D84519">
        <w:rPr>
          <w:rFonts w:ascii="Times New Roman" w:hAnsi="Times New Roman" w:cs="Times New Roman"/>
          <w:i/>
          <w:lang w:val="en-US"/>
        </w:rPr>
        <w:t>Bildung</w:t>
      </w:r>
      <w:r w:rsidRPr="00D84519">
        <w:rPr>
          <w:rFonts w:ascii="Times New Roman" w:hAnsi="Times New Roman" w:cs="Times New Roman"/>
          <w:lang w:val="en-US"/>
        </w:rPr>
        <w:t xml:space="preserve"> (Anderson 2000) in four normative principles – </w:t>
      </w:r>
      <w:r w:rsidR="009A118A" w:rsidRPr="00D84519">
        <w:rPr>
          <w:rFonts w:ascii="Times New Roman" w:hAnsi="Times New Roman" w:cs="Times New Roman"/>
          <w:lang w:val="en-US"/>
        </w:rPr>
        <w:t>cultural mission of science (</w:t>
      </w:r>
      <w:r w:rsidR="009A118A" w:rsidRPr="00D84519">
        <w:rPr>
          <w:rFonts w:ascii="Times New Roman" w:hAnsi="Times New Roman" w:cs="Times New Roman"/>
          <w:i/>
          <w:lang w:val="en-US"/>
        </w:rPr>
        <w:t xml:space="preserve">Bildung </w:t>
      </w:r>
      <w:proofErr w:type="spellStart"/>
      <w:r w:rsidR="009A118A" w:rsidRPr="00D84519">
        <w:rPr>
          <w:rFonts w:ascii="Times New Roman" w:hAnsi="Times New Roman" w:cs="Times New Roman"/>
          <w:i/>
          <w:lang w:val="en-US"/>
        </w:rPr>
        <w:t>durch</w:t>
      </w:r>
      <w:proofErr w:type="spellEnd"/>
      <w:r w:rsidR="009A118A" w:rsidRPr="00D84519">
        <w:rPr>
          <w:rFonts w:ascii="Times New Roman" w:hAnsi="Times New Roman" w:cs="Times New Roman"/>
          <w:i/>
          <w:lang w:val="en-US"/>
        </w:rPr>
        <w:t xml:space="preserve"> Wissenschaft</w:t>
      </w:r>
      <w:r w:rsidR="009A118A" w:rsidRPr="00D84519">
        <w:rPr>
          <w:rFonts w:ascii="Times New Roman" w:hAnsi="Times New Roman" w:cs="Times New Roman"/>
          <w:lang w:val="en-US"/>
        </w:rPr>
        <w:t>), unity</w:t>
      </w:r>
      <w:r w:rsidR="009A118A" w:rsidRPr="004A1E34">
        <w:rPr>
          <w:rFonts w:ascii="Times New Roman" w:hAnsi="Times New Roman" w:cs="Times New Roman"/>
          <w:lang w:val="en-US"/>
        </w:rPr>
        <w:t xml:space="preserve"> of research and teaching, </w:t>
      </w:r>
      <w:r w:rsidRPr="004A1E34">
        <w:rPr>
          <w:rFonts w:ascii="Times New Roman" w:hAnsi="Times New Roman" w:cs="Times New Roman"/>
          <w:lang w:val="en-US"/>
        </w:rPr>
        <w:t>freedom and independence (</w:t>
      </w:r>
      <w:r w:rsidRPr="004A1E34">
        <w:rPr>
          <w:rFonts w:ascii="Times New Roman" w:hAnsi="Times New Roman" w:cs="Times New Roman"/>
          <w:i/>
          <w:lang w:val="en-US"/>
        </w:rPr>
        <w:t xml:space="preserve">Freiheit und </w:t>
      </w:r>
      <w:proofErr w:type="spellStart"/>
      <w:r w:rsidRPr="004A1E34">
        <w:rPr>
          <w:rFonts w:ascii="Times New Roman" w:hAnsi="Times New Roman" w:cs="Times New Roman"/>
          <w:i/>
          <w:lang w:val="en-US"/>
        </w:rPr>
        <w:t>Einsamkeit</w:t>
      </w:r>
      <w:proofErr w:type="spellEnd"/>
      <w:r w:rsidRPr="004A1E34">
        <w:rPr>
          <w:rFonts w:ascii="Times New Roman" w:hAnsi="Times New Roman" w:cs="Times New Roman"/>
          <w:lang w:val="en-US"/>
        </w:rPr>
        <w:t>) of the researcher, institutional autonomy of University</w:t>
      </w:r>
      <w:r w:rsidR="009A118A" w:rsidRPr="004A1E34">
        <w:rPr>
          <w:rFonts w:ascii="Times New Roman" w:hAnsi="Times New Roman" w:cs="Times New Roman"/>
          <w:lang w:val="en-US"/>
        </w:rPr>
        <w:t xml:space="preserve"> </w:t>
      </w:r>
      <w:r w:rsidRPr="004A1E34">
        <w:rPr>
          <w:rFonts w:ascii="Times New Roman" w:hAnsi="Times New Roman" w:cs="Times New Roman"/>
          <w:lang w:val="en-US"/>
        </w:rPr>
        <w:t>– has been exported worldwide in the 19</w:t>
      </w:r>
      <w:r w:rsidRPr="004A1E34">
        <w:rPr>
          <w:rFonts w:ascii="Times New Roman" w:hAnsi="Times New Roman" w:cs="Times New Roman"/>
          <w:vertAlign w:val="superscript"/>
          <w:lang w:val="en-US"/>
        </w:rPr>
        <w:t>th</w:t>
      </w:r>
      <w:r w:rsidRPr="004A1E34">
        <w:rPr>
          <w:rFonts w:ascii="Times New Roman" w:hAnsi="Times New Roman" w:cs="Times New Roman"/>
          <w:lang w:val="en-US"/>
        </w:rPr>
        <w:t xml:space="preserve"> and 20</w:t>
      </w:r>
      <w:r w:rsidRPr="004A1E34">
        <w:rPr>
          <w:rFonts w:ascii="Times New Roman" w:hAnsi="Times New Roman" w:cs="Times New Roman"/>
          <w:vertAlign w:val="superscript"/>
          <w:lang w:val="en-US"/>
        </w:rPr>
        <w:t>th</w:t>
      </w:r>
      <w:r w:rsidRPr="004A1E34">
        <w:rPr>
          <w:rFonts w:ascii="Times New Roman" w:hAnsi="Times New Roman" w:cs="Times New Roman"/>
          <w:lang w:val="en-US"/>
        </w:rPr>
        <w:t xml:space="preserve"> century</w:t>
      </w:r>
      <w:r w:rsidR="00D84519">
        <w:rPr>
          <w:rStyle w:val="Appelnotedebasdep"/>
          <w:rFonts w:ascii="Times New Roman" w:hAnsi="Times New Roman" w:cs="Times New Roman"/>
          <w:lang w:val="en-US"/>
        </w:rPr>
        <w:footnoteReference w:id="8"/>
      </w:r>
      <w:r w:rsidRPr="004A1E34">
        <w:rPr>
          <w:rFonts w:ascii="Times New Roman" w:hAnsi="Times New Roman" w:cs="Times New Roman"/>
          <w:lang w:val="en-US"/>
        </w:rPr>
        <w:t xml:space="preserve">, and is fully recognizable until in the </w:t>
      </w:r>
      <w:r w:rsidRPr="004A1E34">
        <w:rPr>
          <w:rFonts w:ascii="Times New Roman" w:hAnsi="Times New Roman" w:cs="Times New Roman"/>
          <w:i/>
          <w:lang w:val="en-US"/>
        </w:rPr>
        <w:t xml:space="preserve">Magna Charta </w:t>
      </w:r>
      <w:proofErr w:type="spellStart"/>
      <w:r w:rsidRPr="004A1E34">
        <w:rPr>
          <w:rFonts w:ascii="Times New Roman" w:hAnsi="Times New Roman" w:cs="Times New Roman"/>
          <w:i/>
          <w:lang w:val="en-US"/>
        </w:rPr>
        <w:t>Universitatum</w:t>
      </w:r>
      <w:proofErr w:type="spellEnd"/>
      <w:r w:rsidRPr="004A1E34">
        <w:rPr>
          <w:rFonts w:ascii="Times New Roman" w:hAnsi="Times New Roman" w:cs="Times New Roman"/>
          <w:i/>
          <w:lang w:val="en-US"/>
        </w:rPr>
        <w:t xml:space="preserve"> </w:t>
      </w:r>
      <w:r w:rsidRPr="004A1E34">
        <w:rPr>
          <w:rFonts w:ascii="Times New Roman" w:hAnsi="Times New Roman" w:cs="Times New Roman"/>
          <w:lang w:val="en-US"/>
        </w:rPr>
        <w:t xml:space="preserve">of 1988. Although this Humboldtian genealogy may be partly “mythological”, it is still an efficient shared narrative. </w:t>
      </w:r>
    </w:p>
    <w:p w14:paraId="10A5A803" w14:textId="77777777" w:rsidR="00951D33" w:rsidRPr="004A1E34" w:rsidRDefault="00951D33" w:rsidP="004A1E34">
      <w:pPr>
        <w:ind w:firstLine="567"/>
        <w:contextualSpacing/>
        <w:jc w:val="both"/>
        <w:rPr>
          <w:rFonts w:ascii="Times New Roman" w:hAnsi="Times New Roman" w:cs="Times New Roman"/>
          <w:lang w:val="en-US"/>
        </w:rPr>
      </w:pPr>
      <w:r w:rsidRPr="004A1E34">
        <w:rPr>
          <w:rFonts w:ascii="Times New Roman" w:hAnsi="Times New Roman" w:cs="Times New Roman"/>
          <w:lang w:val="en-US"/>
        </w:rPr>
        <w:t xml:space="preserve">Now, the Humboldtian narrative is conflicting with the dominant narrative of the Knowledge Economy, especially in Europe since the Bologna reforms, but also in North America. The analogy between the two models is then the nexus of profound normative and conceptual tensions between alternative conceptions and attitudes: Entrepreneurial University </w:t>
      </w:r>
      <w:r w:rsidRPr="004A1E34">
        <w:rPr>
          <w:rFonts w:ascii="Times New Roman" w:hAnsi="Times New Roman" w:cs="Times New Roman"/>
          <w:i/>
          <w:lang w:val="en-US"/>
        </w:rPr>
        <w:t>vs.</w:t>
      </w:r>
      <w:r w:rsidRPr="004A1E34">
        <w:rPr>
          <w:rFonts w:ascii="Times New Roman" w:hAnsi="Times New Roman" w:cs="Times New Roman"/>
          <w:lang w:val="en-US"/>
        </w:rPr>
        <w:t xml:space="preserve"> “ivory tower”, adaptation </w:t>
      </w:r>
      <w:r w:rsidRPr="004A1E34">
        <w:rPr>
          <w:rFonts w:ascii="Times New Roman" w:hAnsi="Times New Roman" w:cs="Times New Roman"/>
          <w:i/>
          <w:lang w:val="en-US"/>
        </w:rPr>
        <w:t>vs.</w:t>
      </w:r>
      <w:r w:rsidRPr="004A1E34">
        <w:rPr>
          <w:rFonts w:ascii="Times New Roman" w:hAnsi="Times New Roman" w:cs="Times New Roman"/>
          <w:lang w:val="en-US"/>
        </w:rPr>
        <w:t xml:space="preserve"> resistance. In this context, the Humboldtian analogy may be used to criticize and refuse the reforms, or on the contrary to justify them, by showing how obsolete the old model has become. Yet this ubiquitous analogy is largely used in an argumentation which is defective since the two models are mostly separated from their complex philosophical matrix, </w:t>
      </w:r>
      <w:r w:rsidRPr="004A1E34">
        <w:rPr>
          <w:rFonts w:ascii="Times New Roman" w:hAnsi="Times New Roman" w:cs="Times New Roman"/>
          <w:i/>
          <w:lang w:val="en-US"/>
        </w:rPr>
        <w:t xml:space="preserve">i.e. </w:t>
      </w:r>
      <w:r w:rsidRPr="004A1E34">
        <w:rPr>
          <w:rFonts w:ascii="Times New Roman" w:hAnsi="Times New Roman" w:cs="Times New Roman"/>
          <w:lang w:val="en-US"/>
        </w:rPr>
        <w:t xml:space="preserve">from the political-educational paradigms they are rooted in, which are either lacking and not theorized, or falsely presented as conceptually homogenous. </w:t>
      </w:r>
    </w:p>
    <w:p w14:paraId="2638F4C4" w14:textId="37F17022" w:rsidR="00951D33" w:rsidRPr="004A1E34" w:rsidRDefault="00951D33" w:rsidP="004A1E34">
      <w:pPr>
        <w:ind w:firstLine="567"/>
        <w:contextualSpacing/>
        <w:jc w:val="both"/>
        <w:rPr>
          <w:rFonts w:ascii="Times New Roman" w:hAnsi="Times New Roman" w:cs="Times New Roman"/>
          <w:lang w:val="en-US"/>
        </w:rPr>
      </w:pPr>
      <w:r w:rsidRPr="004A1E34">
        <w:rPr>
          <w:rFonts w:ascii="Times New Roman" w:hAnsi="Times New Roman" w:cs="Times New Roman"/>
          <w:lang w:val="en-US"/>
        </w:rPr>
        <w:t>In order to assess the conceptual scope and</w:t>
      </w:r>
      <w:r w:rsidR="009A118A" w:rsidRPr="004A1E34">
        <w:rPr>
          <w:rFonts w:ascii="Times New Roman" w:hAnsi="Times New Roman" w:cs="Times New Roman"/>
          <w:lang w:val="en-US"/>
        </w:rPr>
        <w:t xml:space="preserve"> philosophical</w:t>
      </w:r>
      <w:r w:rsidRPr="004A1E34">
        <w:rPr>
          <w:rFonts w:ascii="Times New Roman" w:hAnsi="Times New Roman" w:cs="Times New Roman"/>
          <w:lang w:val="en-US"/>
        </w:rPr>
        <w:t xml:space="preserve"> relevance of such an analogy, </w:t>
      </w:r>
      <w:r w:rsidR="00C73797" w:rsidRPr="004A1E34">
        <w:rPr>
          <w:rFonts w:ascii="Times New Roman" w:hAnsi="Times New Roman" w:cs="Times New Roman"/>
          <w:lang w:val="en-US"/>
        </w:rPr>
        <w:t xml:space="preserve">the </w:t>
      </w:r>
      <w:proofErr w:type="spellStart"/>
      <w:r w:rsidR="00C73797" w:rsidRPr="004A1E34">
        <w:rPr>
          <w:rFonts w:ascii="Times New Roman" w:hAnsi="Times New Roman" w:cs="Times New Roman"/>
          <w:i/>
          <w:iCs/>
          <w:lang w:val="en-US"/>
        </w:rPr>
        <w:t>BildungLearning</w:t>
      </w:r>
      <w:proofErr w:type="spellEnd"/>
      <w:r w:rsidR="00C73797" w:rsidRPr="004A1E34">
        <w:rPr>
          <w:rFonts w:ascii="Times New Roman" w:hAnsi="Times New Roman" w:cs="Times New Roman"/>
          <w:lang w:val="en-US"/>
        </w:rPr>
        <w:t xml:space="preserve"> project aims</w:t>
      </w:r>
      <w:r w:rsidRPr="004A1E34">
        <w:rPr>
          <w:rFonts w:ascii="Times New Roman" w:hAnsi="Times New Roman" w:cs="Times New Roman"/>
          <w:lang w:val="en-US"/>
        </w:rPr>
        <w:t xml:space="preserve"> </w:t>
      </w:r>
      <w:r w:rsidR="00F8101B" w:rsidRPr="004A1E34">
        <w:rPr>
          <w:rFonts w:ascii="Times New Roman" w:hAnsi="Times New Roman" w:cs="Times New Roman"/>
          <w:lang w:val="en-US"/>
        </w:rPr>
        <w:t xml:space="preserve">to </w:t>
      </w:r>
      <w:r w:rsidRPr="004A1E34">
        <w:rPr>
          <w:rFonts w:ascii="Times New Roman" w:hAnsi="Times New Roman" w:cs="Times New Roman"/>
          <w:lang w:val="en-US"/>
        </w:rPr>
        <w:t>undertak</w:t>
      </w:r>
      <w:r w:rsidR="00F8101B" w:rsidRPr="004A1E34">
        <w:rPr>
          <w:rFonts w:ascii="Times New Roman" w:hAnsi="Times New Roman" w:cs="Times New Roman"/>
          <w:lang w:val="en-US"/>
        </w:rPr>
        <w:t>e</w:t>
      </w:r>
      <w:r w:rsidRPr="004A1E34">
        <w:rPr>
          <w:rFonts w:ascii="Times New Roman" w:hAnsi="Times New Roman" w:cs="Times New Roman"/>
          <w:lang w:val="en-US"/>
        </w:rPr>
        <w:t xml:space="preserve"> a historical and systematic reconstruction of the texts formed around the concept of </w:t>
      </w:r>
      <w:r w:rsidRPr="004A1E34">
        <w:rPr>
          <w:rFonts w:ascii="Times New Roman" w:hAnsi="Times New Roman" w:cs="Times New Roman"/>
          <w:i/>
          <w:lang w:val="en-US"/>
        </w:rPr>
        <w:t>Bildung</w:t>
      </w:r>
      <w:r w:rsidRPr="004A1E34">
        <w:rPr>
          <w:rFonts w:ascii="Times New Roman" w:hAnsi="Times New Roman" w:cs="Times New Roman"/>
          <w:lang w:val="en-US"/>
        </w:rPr>
        <w:t xml:space="preserve"> in classical German philosophy, through an original typology of the various and contrasting positions of the main authors of this period, according to how they conceptualize the dialectics of educational autonomy and, in particular, how they theorize the political and cultural missions of University in their conceptions of the emancipating project of the </w:t>
      </w:r>
      <w:r w:rsidRPr="004A1E34">
        <w:rPr>
          <w:rFonts w:ascii="Times New Roman" w:hAnsi="Times New Roman" w:cs="Times New Roman"/>
          <w:i/>
          <w:lang w:val="en-US"/>
        </w:rPr>
        <w:t>Bildung</w:t>
      </w:r>
      <w:r w:rsidRPr="004A1E34">
        <w:rPr>
          <w:rFonts w:ascii="Times New Roman" w:hAnsi="Times New Roman" w:cs="Times New Roman"/>
          <w:lang w:val="en-US"/>
        </w:rPr>
        <w:t>.</w:t>
      </w:r>
    </w:p>
    <w:p w14:paraId="5ACE2F28" w14:textId="2E5AB9C3" w:rsidR="00951D33" w:rsidRPr="004A1E34" w:rsidRDefault="004E18A9" w:rsidP="004A1E34">
      <w:pPr>
        <w:pStyle w:val="NormalWeb"/>
        <w:ind w:firstLine="567"/>
        <w:contextualSpacing/>
        <w:jc w:val="both"/>
        <w:rPr>
          <w:i/>
          <w:iCs/>
          <w:lang w:val="en-US"/>
        </w:rPr>
      </w:pPr>
      <w:r w:rsidRPr="004A1E34">
        <w:rPr>
          <w:i/>
          <w:iCs/>
          <w:lang w:val="en-US"/>
        </w:rPr>
        <w:t xml:space="preserve">I. Reconstructing the systematic function of the concept of </w:t>
      </w:r>
      <w:r w:rsidRPr="004A1E34">
        <w:rPr>
          <w:lang w:val="en-US"/>
        </w:rPr>
        <w:t>Bildung</w:t>
      </w:r>
      <w:r w:rsidRPr="004A1E34">
        <w:rPr>
          <w:i/>
          <w:iCs/>
          <w:lang w:val="en-US"/>
        </w:rPr>
        <w:t xml:space="preserve"> in </w:t>
      </w:r>
      <w:r w:rsidR="00CA619F">
        <w:rPr>
          <w:i/>
          <w:iCs/>
          <w:lang w:val="en-US"/>
        </w:rPr>
        <w:t>c</w:t>
      </w:r>
      <w:r w:rsidRPr="004A1E34">
        <w:rPr>
          <w:i/>
          <w:iCs/>
          <w:lang w:val="en-US"/>
        </w:rPr>
        <w:t>lassical German philosophy</w:t>
      </w:r>
    </w:p>
    <w:p w14:paraId="5EB63720" w14:textId="4E69DA75" w:rsidR="004E18A9" w:rsidRPr="004A1E34" w:rsidRDefault="004E18A9" w:rsidP="004A1E34">
      <w:pPr>
        <w:pStyle w:val="NormalWeb"/>
        <w:ind w:firstLine="567"/>
        <w:contextualSpacing/>
        <w:jc w:val="both"/>
        <w:rPr>
          <w:i/>
          <w:iCs/>
          <w:lang w:val="en-US"/>
        </w:rPr>
      </w:pPr>
      <w:r w:rsidRPr="004A1E34">
        <w:rPr>
          <w:lang w:val="en-US"/>
        </w:rPr>
        <w:t xml:space="preserve">In the history of classical German philosophy, the concept of </w:t>
      </w:r>
      <w:r w:rsidRPr="004A1E34">
        <w:rPr>
          <w:i/>
          <w:iCs/>
          <w:lang w:val="en-US"/>
        </w:rPr>
        <w:t>Bildung</w:t>
      </w:r>
      <w:r w:rsidR="00C73797" w:rsidRPr="004A1E34">
        <w:rPr>
          <w:lang w:val="en-US"/>
        </w:rPr>
        <w:t xml:space="preserve">, which has been identified </w:t>
      </w:r>
      <w:r w:rsidR="009A118A" w:rsidRPr="004A1E34">
        <w:rPr>
          <w:lang w:val="en-US"/>
        </w:rPr>
        <w:t xml:space="preserve">by </w:t>
      </w:r>
      <w:r w:rsidR="009A118A" w:rsidRPr="00D84519">
        <w:rPr>
          <w:lang w:val="en-US"/>
        </w:rPr>
        <w:t>Gadamer</w:t>
      </w:r>
      <w:r w:rsidR="009A118A" w:rsidRPr="004A1E34">
        <w:rPr>
          <w:i/>
          <w:iCs/>
          <w:lang w:val="en-US"/>
        </w:rPr>
        <w:t xml:space="preserve"> </w:t>
      </w:r>
      <w:r w:rsidR="00C73797" w:rsidRPr="004A1E34">
        <w:rPr>
          <w:lang w:val="en-US"/>
        </w:rPr>
        <w:t>as “the most important thought of the eighteenth century”</w:t>
      </w:r>
      <w:r w:rsidR="00D84519">
        <w:rPr>
          <w:rStyle w:val="Appelnotedebasdep"/>
          <w:lang w:val="en-US"/>
        </w:rPr>
        <w:footnoteReference w:id="9"/>
      </w:r>
      <w:r w:rsidR="009A118A" w:rsidRPr="004A1E34">
        <w:rPr>
          <w:lang w:val="en-US"/>
        </w:rPr>
        <w:t>,</w:t>
      </w:r>
      <w:r w:rsidR="00C73797" w:rsidRPr="004A1E34">
        <w:rPr>
          <w:lang w:val="en-US"/>
        </w:rPr>
        <w:t xml:space="preserve"> </w:t>
      </w:r>
      <w:r w:rsidRPr="004A1E34">
        <w:rPr>
          <w:lang w:val="en-US"/>
        </w:rPr>
        <w:t xml:space="preserve">cannot be reduced to a mere theory of education </w:t>
      </w:r>
      <w:r w:rsidRPr="004A1E34">
        <w:rPr>
          <w:i/>
          <w:iCs/>
          <w:lang w:val="en-US"/>
        </w:rPr>
        <w:t>stricto sensu</w:t>
      </w:r>
      <w:r w:rsidRPr="004A1E34">
        <w:rPr>
          <w:lang w:val="en-US"/>
        </w:rPr>
        <w:t xml:space="preserve">. It refers far more broadly to a rich and complex epistemological, anthropological and socio-political paradigm, following which the educational process of </w:t>
      </w:r>
      <w:r w:rsidRPr="004A1E34">
        <w:rPr>
          <w:i/>
          <w:iCs/>
          <w:lang w:val="en-US"/>
        </w:rPr>
        <w:t xml:space="preserve">Bildung </w:t>
      </w:r>
      <w:r w:rsidRPr="004A1E34">
        <w:rPr>
          <w:lang w:val="en-US"/>
        </w:rPr>
        <w:t>must be conceived as an ethical operator for personal self-cultivation, as well as a central function for emancipating people and communities and as a political lever for critically questioning institutions and reversing power relations.</w:t>
      </w:r>
    </w:p>
    <w:p w14:paraId="0F6DB945" w14:textId="7E6BA2F9" w:rsidR="004E18A9" w:rsidRPr="004A1E34" w:rsidRDefault="004E18A9" w:rsidP="004A1E34">
      <w:pPr>
        <w:pStyle w:val="NormalWeb"/>
        <w:ind w:firstLine="567"/>
        <w:contextualSpacing/>
        <w:jc w:val="both"/>
        <w:rPr>
          <w:lang w:val="en-US"/>
        </w:rPr>
      </w:pPr>
      <w:r w:rsidRPr="004A1E34">
        <w:rPr>
          <w:lang w:val="en-US"/>
        </w:rPr>
        <w:t xml:space="preserve">In the articulation of these essential features, the educational and the political dimensions are so closely interconnected that </w:t>
      </w:r>
      <w:r w:rsidRPr="004A1E34">
        <w:rPr>
          <w:i/>
          <w:iCs/>
          <w:lang w:val="en-US"/>
        </w:rPr>
        <w:t xml:space="preserve">Bildung </w:t>
      </w:r>
      <w:r w:rsidRPr="004A1E34">
        <w:rPr>
          <w:lang w:val="en-US"/>
        </w:rPr>
        <w:t xml:space="preserve">can be considered as the modern paradigm </w:t>
      </w:r>
      <w:r w:rsidRPr="004A1E34">
        <w:rPr>
          <w:i/>
          <w:iCs/>
          <w:lang w:val="en-US"/>
        </w:rPr>
        <w:t xml:space="preserve">par excellence </w:t>
      </w:r>
      <w:r w:rsidRPr="004A1E34">
        <w:rPr>
          <w:lang w:val="en-US"/>
        </w:rPr>
        <w:t xml:space="preserve">of the political-educational interface. Moreover, in this essential reciprocal determination of educational and political dimensions, the realization of the formation process is inseparably individual and collective. Following this double interconnection (political/educational and individual/collective), the notion of </w:t>
      </w:r>
      <w:r w:rsidRPr="004A1E34">
        <w:rPr>
          <w:i/>
          <w:iCs/>
          <w:lang w:val="en-US"/>
        </w:rPr>
        <w:t xml:space="preserve">Bildung </w:t>
      </w:r>
      <w:r w:rsidRPr="004A1E34">
        <w:rPr>
          <w:lang w:val="en-US"/>
        </w:rPr>
        <w:t xml:space="preserve">sums up the original conceptualization of the modern ideal of educational autonomy in German Idealism. In the context of the philosophy of </w:t>
      </w:r>
      <w:r w:rsidRPr="004A1E34">
        <w:rPr>
          <w:i/>
          <w:iCs/>
          <w:lang w:val="en-US"/>
        </w:rPr>
        <w:t>Bildung</w:t>
      </w:r>
      <w:r w:rsidRPr="004A1E34">
        <w:rPr>
          <w:lang w:val="en-US"/>
        </w:rPr>
        <w:t>, the ideal of educational autonomy refers thus to the modern project of transforming</w:t>
      </w:r>
      <w:r w:rsidR="00C73797" w:rsidRPr="004A1E34">
        <w:rPr>
          <w:lang w:val="en-US"/>
        </w:rPr>
        <w:t xml:space="preserve"> nature,</w:t>
      </w:r>
      <w:r w:rsidRPr="004A1E34">
        <w:rPr>
          <w:lang w:val="en-US"/>
        </w:rPr>
        <w:t xml:space="preserve"> societies and institutions through the free process of personal self-cultivation, which should be seen as a goal </w:t>
      </w:r>
      <w:proofErr w:type="gramStart"/>
      <w:r w:rsidRPr="004A1E34">
        <w:rPr>
          <w:lang w:val="en-US"/>
        </w:rPr>
        <w:t>in itself and</w:t>
      </w:r>
      <w:proofErr w:type="gramEnd"/>
      <w:r w:rsidRPr="004A1E34">
        <w:rPr>
          <w:lang w:val="en-US"/>
        </w:rPr>
        <w:t xml:space="preserve"> not as an instrument for an external pre-determined goal. </w:t>
      </w:r>
    </w:p>
    <w:p w14:paraId="7F693C18" w14:textId="77777777" w:rsidR="004E18A9" w:rsidRPr="004A1E34" w:rsidRDefault="004E18A9" w:rsidP="004A1E34">
      <w:pPr>
        <w:pStyle w:val="NormalWeb"/>
        <w:ind w:firstLine="567"/>
        <w:contextualSpacing/>
        <w:jc w:val="both"/>
        <w:rPr>
          <w:lang w:val="en-US"/>
        </w:rPr>
      </w:pPr>
      <w:r w:rsidRPr="004A1E34">
        <w:rPr>
          <w:lang w:val="en-US"/>
        </w:rPr>
        <w:lastRenderedPageBreak/>
        <w:t xml:space="preserve">Starting from this general work definition, a systematic reconstruction of the philosophical theorizations and interpretations of the </w:t>
      </w:r>
      <w:r w:rsidRPr="004A1E34">
        <w:rPr>
          <w:i/>
          <w:iCs/>
          <w:lang w:val="en-US"/>
        </w:rPr>
        <w:t xml:space="preserve">Bildung </w:t>
      </w:r>
      <w:r w:rsidRPr="004A1E34">
        <w:rPr>
          <w:lang w:val="en-US"/>
        </w:rPr>
        <w:t xml:space="preserve">concept in classical German philosophy – from Herder to Humboldt, through Mendelssohn, Kant, Fichte, Hegel, Schelling, Goethe, Schiller, Schleiermacher – can be structured around four thematic axes. Each of these thematic axes is focused on a particular group of normative and conceptual tensions related to the emancipative vocation of </w:t>
      </w:r>
      <w:r w:rsidRPr="004A1E34">
        <w:rPr>
          <w:i/>
          <w:iCs/>
          <w:lang w:val="en-US"/>
        </w:rPr>
        <w:t xml:space="preserve">Bildung </w:t>
      </w:r>
      <w:r w:rsidRPr="004A1E34">
        <w:rPr>
          <w:lang w:val="en-US"/>
        </w:rPr>
        <w:t xml:space="preserve">and to the contrastive ways of realizing the ideal of an educational autonomy. </w:t>
      </w:r>
    </w:p>
    <w:p w14:paraId="03334F1F" w14:textId="77777777" w:rsidR="004E18A9" w:rsidRPr="004A1E34" w:rsidRDefault="004E18A9" w:rsidP="004A1E34">
      <w:pPr>
        <w:pStyle w:val="NormalWeb"/>
        <w:ind w:firstLine="567"/>
        <w:contextualSpacing/>
        <w:jc w:val="both"/>
        <w:rPr>
          <w:i/>
          <w:iCs/>
          <w:lang w:val="en-US"/>
        </w:rPr>
      </w:pPr>
      <w:r w:rsidRPr="004A1E34">
        <w:rPr>
          <w:i/>
          <w:iCs/>
          <w:lang w:val="en-US"/>
        </w:rPr>
        <w:t xml:space="preserve">Four axes of conceptual tensions in the concept of </w:t>
      </w:r>
      <w:r w:rsidRPr="004A1E34">
        <w:rPr>
          <w:lang w:val="en-US"/>
        </w:rPr>
        <w:t xml:space="preserve">Bildung </w:t>
      </w:r>
      <w:r w:rsidRPr="004A1E34">
        <w:rPr>
          <w:i/>
          <w:iCs/>
          <w:lang w:val="en-US"/>
        </w:rPr>
        <w:t>in classical German philosophy</w:t>
      </w:r>
    </w:p>
    <w:p w14:paraId="626F090A" w14:textId="686DD6C3" w:rsidR="004E18A9" w:rsidRPr="004A1E34" w:rsidRDefault="004E18A9" w:rsidP="004A1E34">
      <w:pPr>
        <w:pStyle w:val="NormalWeb"/>
        <w:ind w:firstLine="567"/>
        <w:contextualSpacing/>
        <w:jc w:val="both"/>
        <w:rPr>
          <w:lang w:val="en-US"/>
        </w:rPr>
      </w:pPr>
      <w:r w:rsidRPr="004A1E34">
        <w:rPr>
          <w:lang w:val="en-US"/>
        </w:rPr>
        <w:t xml:space="preserve">a. The first thematic axis of tensions is based on the anthropological meaning of the ideal of </w:t>
      </w:r>
      <w:r w:rsidRPr="004A1E34">
        <w:rPr>
          <w:i/>
          <w:iCs/>
          <w:lang w:val="en-US"/>
        </w:rPr>
        <w:t>Bildung</w:t>
      </w:r>
      <w:r w:rsidRPr="004A1E34">
        <w:rPr>
          <w:lang w:val="en-US"/>
        </w:rPr>
        <w:t>. Indeed, from the 1770’s, the concept of</w:t>
      </w:r>
      <w:r w:rsidRPr="004A1E34">
        <w:rPr>
          <w:i/>
          <w:iCs/>
          <w:lang w:val="en-US"/>
        </w:rPr>
        <w:t xml:space="preserve"> Bildung</w:t>
      </w:r>
      <w:r w:rsidRPr="004A1E34">
        <w:rPr>
          <w:lang w:val="en-US"/>
        </w:rPr>
        <w:t xml:space="preserve"> has been identified and mobilized by German-speaking philosophers to think the </w:t>
      </w:r>
      <w:r w:rsidRPr="004A1E34">
        <w:rPr>
          <w:i/>
          <w:iCs/>
          <w:lang w:val="en-US"/>
        </w:rPr>
        <w:t>radical anthropological project</w:t>
      </w:r>
      <w:r w:rsidRPr="004A1E34">
        <w:rPr>
          <w:lang w:val="en-US"/>
        </w:rPr>
        <w:t xml:space="preserve"> of modernity: since human beings are not pre-determined by essence or by nature, they must continually and freely form themselves and cultivate by themselves what they are meant to be. For the same reason, this concept is also the expression of a fundamental crisis of this project: since human beings are the only measure of their being, they tend to lose all relation to an original common nature from which they could draw their own forming tendencies (</w:t>
      </w:r>
      <w:proofErr w:type="spellStart"/>
      <w:r w:rsidRPr="004A1E34">
        <w:rPr>
          <w:i/>
          <w:iCs/>
          <w:lang w:val="en-US"/>
        </w:rPr>
        <w:t>Bildungstriebe</w:t>
      </w:r>
      <w:proofErr w:type="spellEnd"/>
      <w:r w:rsidRPr="004A1E34">
        <w:rPr>
          <w:lang w:val="en-US"/>
        </w:rPr>
        <w:t xml:space="preserve">). Nature is at the same time the external reality from which humanity </w:t>
      </w:r>
      <w:r w:rsidR="00C73797" w:rsidRPr="004A1E34">
        <w:rPr>
          <w:lang w:val="en-US"/>
        </w:rPr>
        <w:t>must</w:t>
      </w:r>
      <w:r w:rsidRPr="004A1E34">
        <w:rPr>
          <w:lang w:val="en-US"/>
        </w:rPr>
        <w:t xml:space="preserve"> liberate itself by the process of</w:t>
      </w:r>
      <w:r w:rsidRPr="004A1E34">
        <w:rPr>
          <w:i/>
          <w:iCs/>
          <w:lang w:val="en-US"/>
        </w:rPr>
        <w:t xml:space="preserve"> Bildung</w:t>
      </w:r>
      <w:r w:rsidRPr="004A1E34">
        <w:rPr>
          <w:lang w:val="en-US"/>
        </w:rPr>
        <w:t xml:space="preserve"> </w:t>
      </w:r>
      <w:r w:rsidRPr="004A1E34">
        <w:rPr>
          <w:i/>
          <w:iCs/>
          <w:lang w:val="en-US"/>
        </w:rPr>
        <w:t xml:space="preserve">and </w:t>
      </w:r>
      <w:r w:rsidRPr="004A1E34">
        <w:rPr>
          <w:lang w:val="en-US"/>
        </w:rPr>
        <w:t xml:space="preserve">the medium by which this emancipative process can be realized, </w:t>
      </w:r>
      <w:r w:rsidR="00C73797" w:rsidRPr="004A1E34">
        <w:rPr>
          <w:lang w:val="en-US"/>
        </w:rPr>
        <w:t xml:space="preserve">it is </w:t>
      </w:r>
      <w:r w:rsidRPr="004A1E34">
        <w:rPr>
          <w:lang w:val="en-US"/>
        </w:rPr>
        <w:t xml:space="preserve">an objective matter for the human formation </w:t>
      </w:r>
      <w:r w:rsidRPr="004A1E34">
        <w:rPr>
          <w:i/>
          <w:iCs/>
          <w:lang w:val="en-US"/>
        </w:rPr>
        <w:t>and</w:t>
      </w:r>
      <w:r w:rsidRPr="004A1E34">
        <w:rPr>
          <w:lang w:val="en-US"/>
        </w:rPr>
        <w:t xml:space="preserve"> the original source of diverse forces of formation.</w:t>
      </w:r>
    </w:p>
    <w:p w14:paraId="58BAA7FD" w14:textId="338BA818" w:rsidR="004E18A9" w:rsidRPr="004A1E34" w:rsidRDefault="004E18A9" w:rsidP="004A1E34">
      <w:pPr>
        <w:pStyle w:val="NormalWeb"/>
        <w:ind w:firstLine="567"/>
        <w:contextualSpacing/>
        <w:jc w:val="both"/>
        <w:rPr>
          <w:lang w:val="en-US"/>
        </w:rPr>
      </w:pPr>
      <w:r w:rsidRPr="004A1E34">
        <w:rPr>
          <w:lang w:val="en-US"/>
        </w:rPr>
        <w:t xml:space="preserve">b. The second thematic axis consists in the effects of the fundamental duality between individualistic aspects of the self-cultivation of the person and holistic dimensions of the </w:t>
      </w:r>
      <w:r w:rsidRPr="004A1E34">
        <w:rPr>
          <w:i/>
          <w:iCs/>
          <w:lang w:val="en-US"/>
        </w:rPr>
        <w:t>Bildung</w:t>
      </w:r>
      <w:r w:rsidRPr="004A1E34">
        <w:rPr>
          <w:lang w:val="en-US"/>
        </w:rPr>
        <w:t xml:space="preserve"> as a historical-anthropological process, necessarily rooted in communities and cultural collective entities. One can consider the </w:t>
      </w:r>
      <w:r w:rsidRPr="004A1E34">
        <w:rPr>
          <w:i/>
          <w:iCs/>
          <w:lang w:val="en-US"/>
        </w:rPr>
        <w:t>original personality</w:t>
      </w:r>
      <w:r w:rsidRPr="004A1E34">
        <w:rPr>
          <w:lang w:val="en-US"/>
        </w:rPr>
        <w:t xml:space="preserve"> and the </w:t>
      </w:r>
      <w:r w:rsidRPr="004A1E34">
        <w:rPr>
          <w:i/>
          <w:iCs/>
          <w:lang w:val="en-US"/>
        </w:rPr>
        <w:t>organic whole</w:t>
      </w:r>
      <w:r w:rsidRPr="004A1E34">
        <w:rPr>
          <w:lang w:val="en-US"/>
        </w:rPr>
        <w:t xml:space="preserve"> as two necessary and intertwined poles of the </w:t>
      </w:r>
      <w:r w:rsidRPr="004A1E34">
        <w:rPr>
          <w:i/>
          <w:iCs/>
          <w:lang w:val="en-US"/>
        </w:rPr>
        <w:t>Bildung</w:t>
      </w:r>
      <w:r w:rsidRPr="004A1E34">
        <w:rPr>
          <w:lang w:val="en-US"/>
        </w:rPr>
        <w:t xml:space="preserve">. From this impassable duality, emerges a series of tensions between diverse aspects of the concept of </w:t>
      </w:r>
      <w:r w:rsidRPr="004A1E34">
        <w:rPr>
          <w:i/>
          <w:iCs/>
          <w:lang w:val="en-US"/>
        </w:rPr>
        <w:t>Bildung</w:t>
      </w:r>
      <w:r w:rsidRPr="004A1E34">
        <w:rPr>
          <w:lang w:val="en-US"/>
        </w:rPr>
        <w:t xml:space="preserve"> – epistemological, ethical, aesthetic, political, cultural and religious – among which the tension between socio-politically engaged conceptions of the educational autonomy as collective emancipation, on the one hand, and aesthetic conceptions of the process of </w:t>
      </w:r>
      <w:r w:rsidRPr="004A1E34">
        <w:rPr>
          <w:i/>
          <w:iCs/>
          <w:lang w:val="en-US"/>
        </w:rPr>
        <w:t xml:space="preserve">Bildung </w:t>
      </w:r>
      <w:r w:rsidRPr="004A1E34">
        <w:rPr>
          <w:lang w:val="en-US"/>
        </w:rPr>
        <w:t>as an intimate and personal culture of the self (</w:t>
      </w:r>
      <w:proofErr w:type="spellStart"/>
      <w:r w:rsidRPr="004A1E34">
        <w:rPr>
          <w:i/>
          <w:iCs/>
          <w:lang w:val="en-US"/>
        </w:rPr>
        <w:t>ästhetische</w:t>
      </w:r>
      <w:proofErr w:type="spellEnd"/>
      <w:r w:rsidRPr="004A1E34">
        <w:rPr>
          <w:i/>
          <w:iCs/>
          <w:lang w:val="en-US"/>
        </w:rPr>
        <w:t xml:space="preserve"> </w:t>
      </w:r>
      <w:proofErr w:type="spellStart"/>
      <w:r w:rsidRPr="004A1E34">
        <w:rPr>
          <w:i/>
          <w:iCs/>
          <w:lang w:val="en-US"/>
        </w:rPr>
        <w:t>Erziehung</w:t>
      </w:r>
      <w:proofErr w:type="spellEnd"/>
      <w:r w:rsidRPr="004A1E34">
        <w:rPr>
          <w:lang w:val="en-US"/>
        </w:rPr>
        <w:t xml:space="preserve">), on the other hand. We can also mention the tension between the theological and religious roots of the spiritual ideal of </w:t>
      </w:r>
      <w:r w:rsidRPr="004A1E34">
        <w:rPr>
          <w:i/>
          <w:iCs/>
          <w:lang w:val="en-US"/>
        </w:rPr>
        <w:t>Bildung</w:t>
      </w:r>
      <w:r w:rsidRPr="004A1E34">
        <w:rPr>
          <w:lang w:val="en-US"/>
        </w:rPr>
        <w:t xml:space="preserve"> and its more secular interpretation as part of the humanistic and rationalist process of the </w:t>
      </w:r>
      <w:r w:rsidRPr="004A1E34">
        <w:rPr>
          <w:i/>
          <w:iCs/>
          <w:lang w:val="en-US"/>
        </w:rPr>
        <w:t>Aufklärung</w:t>
      </w:r>
      <w:r w:rsidRPr="004A1E34">
        <w:rPr>
          <w:lang w:val="en-US"/>
        </w:rPr>
        <w:t>.</w:t>
      </w:r>
    </w:p>
    <w:p w14:paraId="0BCB8036" w14:textId="61B861D5" w:rsidR="004E18A9" w:rsidRPr="004A1E34" w:rsidRDefault="004E18A9" w:rsidP="004A1E34">
      <w:pPr>
        <w:pStyle w:val="NormalWeb"/>
        <w:ind w:firstLine="567"/>
        <w:contextualSpacing/>
        <w:jc w:val="both"/>
        <w:rPr>
          <w:lang w:val="en-US"/>
        </w:rPr>
      </w:pPr>
      <w:r w:rsidRPr="004A1E34">
        <w:rPr>
          <w:lang w:val="en-US"/>
        </w:rPr>
        <w:t xml:space="preserve">c. The third axis brings to light the tensions throughout the whole philosophy of </w:t>
      </w:r>
      <w:r w:rsidRPr="004A1E34">
        <w:rPr>
          <w:i/>
          <w:iCs/>
          <w:lang w:val="en-US"/>
        </w:rPr>
        <w:t xml:space="preserve">Bildung </w:t>
      </w:r>
      <w:r w:rsidRPr="004A1E34">
        <w:rPr>
          <w:lang w:val="en-US"/>
        </w:rPr>
        <w:t xml:space="preserve">between theory and practice, between theoretical Enlightenment and active life, </w:t>
      </w:r>
      <w:r w:rsidR="009A118A" w:rsidRPr="004A1E34">
        <w:rPr>
          <w:lang w:val="en-US"/>
        </w:rPr>
        <w:t>but also</w:t>
      </w:r>
      <w:r w:rsidRPr="004A1E34">
        <w:rPr>
          <w:lang w:val="en-US"/>
        </w:rPr>
        <w:t xml:space="preserve"> between the tendency towards a scientific and cultural elitism and the ambition of initiating and fostering the project of a popular and national education. These tensions lead to the need of rethinking the political and educational role of the scholar (</w:t>
      </w:r>
      <w:proofErr w:type="spellStart"/>
      <w:r w:rsidRPr="004A1E34">
        <w:rPr>
          <w:i/>
          <w:iCs/>
          <w:lang w:val="en-US"/>
        </w:rPr>
        <w:t>Gelehrter</w:t>
      </w:r>
      <w:proofErr w:type="spellEnd"/>
      <w:r w:rsidRPr="004A1E34">
        <w:rPr>
          <w:lang w:val="en-US"/>
        </w:rPr>
        <w:t>) in the communication between cultural and scientific elites and popular classes, by inventing new ways of writing discourses and new kinds of rhetorical means (</w:t>
      </w:r>
      <w:r w:rsidRPr="004A1E34">
        <w:rPr>
          <w:i/>
          <w:iCs/>
          <w:lang w:val="en-US"/>
        </w:rPr>
        <w:t>e.g.</w:t>
      </w:r>
      <w:r w:rsidRPr="004A1E34">
        <w:rPr>
          <w:lang w:val="en-US"/>
        </w:rPr>
        <w:t>,</w:t>
      </w:r>
      <w:r w:rsidRPr="004A1E34">
        <w:rPr>
          <w:i/>
          <w:iCs/>
          <w:lang w:val="en-US"/>
        </w:rPr>
        <w:t xml:space="preserve"> </w:t>
      </w:r>
      <w:r w:rsidRPr="004A1E34">
        <w:rPr>
          <w:lang w:val="en-US"/>
        </w:rPr>
        <w:t xml:space="preserve">the so-called </w:t>
      </w:r>
      <w:proofErr w:type="spellStart"/>
      <w:r w:rsidRPr="004A1E34">
        <w:rPr>
          <w:i/>
          <w:iCs/>
          <w:lang w:val="en-US"/>
        </w:rPr>
        <w:t>Popularphilosophie</w:t>
      </w:r>
      <w:proofErr w:type="spellEnd"/>
      <w:r w:rsidRPr="004A1E34">
        <w:rPr>
          <w:lang w:val="en-US"/>
        </w:rPr>
        <w:t xml:space="preserve">), which aim at structuring and cultivating the emerging public space. More particularly, a tension appears here, from </w:t>
      </w:r>
      <w:r w:rsidR="009A118A" w:rsidRPr="004A1E34">
        <w:rPr>
          <w:lang w:val="en-US"/>
        </w:rPr>
        <w:t xml:space="preserve">Kant and </w:t>
      </w:r>
      <w:r w:rsidRPr="004A1E34">
        <w:rPr>
          <w:lang w:val="en-US"/>
        </w:rPr>
        <w:t xml:space="preserve">Fichte to Nietzsche and Adorno, between the promotion of the democratization of modern societies by the formation </w:t>
      </w:r>
      <w:r w:rsidR="009A118A" w:rsidRPr="004A1E34">
        <w:rPr>
          <w:lang w:val="en-US"/>
        </w:rPr>
        <w:t>of collective autonomy</w:t>
      </w:r>
      <w:r w:rsidRPr="004A1E34">
        <w:rPr>
          <w:lang w:val="en-US"/>
        </w:rPr>
        <w:t xml:space="preserve">, and the criticism of the democratic tendencies, perceived as </w:t>
      </w:r>
      <w:r w:rsidR="009A118A" w:rsidRPr="004A1E34">
        <w:rPr>
          <w:lang w:val="en-US"/>
        </w:rPr>
        <w:t>leading to</w:t>
      </w:r>
      <w:r w:rsidRPr="004A1E34">
        <w:rPr>
          <w:lang w:val="en-US"/>
        </w:rPr>
        <w:t xml:space="preserve"> the levelling of culture by its massification.</w:t>
      </w:r>
    </w:p>
    <w:p w14:paraId="19024F4B" w14:textId="67856585" w:rsidR="004E18A9" w:rsidRPr="004A1E34" w:rsidRDefault="004E18A9" w:rsidP="004A1E34">
      <w:pPr>
        <w:pStyle w:val="NormalWeb"/>
        <w:ind w:firstLine="567"/>
        <w:contextualSpacing/>
        <w:jc w:val="both"/>
        <w:rPr>
          <w:lang w:val="en-US"/>
        </w:rPr>
      </w:pPr>
      <w:r w:rsidRPr="004A1E34">
        <w:rPr>
          <w:lang w:val="en-US"/>
        </w:rPr>
        <w:t xml:space="preserve">d. The fourth thematic axis concerns the political and institutional tensions between liberal visions and authoritative or interventionist conceptions of the self-organization of university. These tensions give rise to various syntheses aiming at justifying the socio-cultural mission of the scholar and the political function of university, as a central institution of </w:t>
      </w:r>
      <w:r w:rsidRPr="004A1E34">
        <w:rPr>
          <w:i/>
          <w:iCs/>
          <w:lang w:val="en-US"/>
        </w:rPr>
        <w:t>Bildung</w:t>
      </w:r>
      <w:r w:rsidRPr="004A1E34">
        <w:rPr>
          <w:lang w:val="en-US"/>
        </w:rPr>
        <w:t xml:space="preserve">, by proposing different ways of conceiving academic freedom and of building a new institutional </w:t>
      </w:r>
      <w:r w:rsidRPr="004A1E34">
        <w:rPr>
          <w:lang w:val="en-US"/>
        </w:rPr>
        <w:lastRenderedPageBreak/>
        <w:t xml:space="preserve">autonomy for university in its articulation with the major poles of power – the state and the church – and with </w:t>
      </w:r>
      <w:r w:rsidR="009A118A" w:rsidRPr="004A1E34">
        <w:rPr>
          <w:lang w:val="en-US"/>
        </w:rPr>
        <w:t>the</w:t>
      </w:r>
      <w:r w:rsidRPr="004A1E34">
        <w:rPr>
          <w:lang w:val="en-US"/>
        </w:rPr>
        <w:t xml:space="preserve"> emerging civil society. </w:t>
      </w:r>
    </w:p>
    <w:p w14:paraId="08A8A227" w14:textId="74211300" w:rsidR="004E18A9" w:rsidRPr="004A1E34" w:rsidRDefault="004E18A9" w:rsidP="004A1E34">
      <w:pPr>
        <w:pStyle w:val="NormalWeb"/>
        <w:ind w:firstLine="567"/>
        <w:contextualSpacing/>
        <w:jc w:val="both"/>
        <w:rPr>
          <w:lang w:val="en-US"/>
        </w:rPr>
      </w:pPr>
      <w:r w:rsidRPr="004A1E34">
        <w:rPr>
          <w:lang w:val="en-US"/>
        </w:rPr>
        <w:t xml:space="preserve">Following this analytical grid, it is possible to reconstruct a typology of the </w:t>
      </w:r>
      <w:r w:rsidRPr="004A1E34">
        <w:rPr>
          <w:i/>
          <w:iCs/>
          <w:lang w:val="en-US"/>
        </w:rPr>
        <w:t xml:space="preserve">Bildung </w:t>
      </w:r>
      <w:r w:rsidRPr="004A1E34">
        <w:rPr>
          <w:lang w:val="en-US"/>
        </w:rPr>
        <w:t xml:space="preserve">theories in classical German philosophy, according to how the authors are positioned on these </w:t>
      </w:r>
      <w:r w:rsidR="009A118A" w:rsidRPr="004A1E34">
        <w:rPr>
          <w:lang w:val="en-US"/>
        </w:rPr>
        <w:t>four</w:t>
      </w:r>
      <w:r w:rsidRPr="004A1E34">
        <w:rPr>
          <w:lang w:val="en-US"/>
        </w:rPr>
        <w:t xml:space="preserve"> axes (most of them having a quite hybrid position related to these coordinates), but also to establish a specific set of hypotheses concerning the systematic function of the concept of </w:t>
      </w:r>
      <w:r w:rsidRPr="004A1E34">
        <w:rPr>
          <w:i/>
          <w:iCs/>
          <w:lang w:val="en-US"/>
        </w:rPr>
        <w:t xml:space="preserve">Bildung </w:t>
      </w:r>
      <w:r w:rsidRPr="004A1E34">
        <w:rPr>
          <w:lang w:val="en-US"/>
        </w:rPr>
        <w:t>in classical German philosophy. We can sum up our first general hypotheses concerning the systematic function of the concept of</w:t>
      </w:r>
      <w:r w:rsidRPr="004A1E34">
        <w:rPr>
          <w:i/>
          <w:iCs/>
          <w:lang w:val="en-US"/>
        </w:rPr>
        <w:t xml:space="preserve"> Bildung</w:t>
      </w:r>
      <w:r w:rsidRPr="004A1E34">
        <w:rPr>
          <w:lang w:val="en-US"/>
        </w:rPr>
        <w:t xml:space="preserve"> in this period:</w:t>
      </w:r>
    </w:p>
    <w:p w14:paraId="48616498" w14:textId="77777777" w:rsidR="004E18A9" w:rsidRPr="004A1E34" w:rsidRDefault="004E18A9" w:rsidP="004A1E34">
      <w:pPr>
        <w:pStyle w:val="NormalWeb"/>
        <w:ind w:firstLine="567"/>
        <w:contextualSpacing/>
        <w:jc w:val="both"/>
        <w:rPr>
          <w:lang w:val="en-US"/>
        </w:rPr>
      </w:pPr>
      <w:r w:rsidRPr="004A1E34">
        <w:rPr>
          <w:lang w:val="en-US"/>
        </w:rPr>
        <w:t xml:space="preserve">1. At the turn of the eighteenth and the nineteenth centuries, the concept of </w:t>
      </w:r>
      <w:r w:rsidRPr="004A1E34">
        <w:rPr>
          <w:i/>
          <w:iCs/>
          <w:lang w:val="en-US"/>
        </w:rPr>
        <w:t>Bildung</w:t>
      </w:r>
      <w:r w:rsidRPr="004A1E34">
        <w:rPr>
          <w:lang w:val="en-US"/>
        </w:rPr>
        <w:t xml:space="preserve"> symbolizes a common anthropological vision and a shared political project in classical German philosophy. </w:t>
      </w:r>
    </w:p>
    <w:p w14:paraId="5B5CFE6C" w14:textId="77777777" w:rsidR="004E18A9" w:rsidRPr="004A1E34" w:rsidRDefault="004E18A9" w:rsidP="004A1E34">
      <w:pPr>
        <w:pStyle w:val="NormalWeb"/>
        <w:ind w:firstLine="567"/>
        <w:contextualSpacing/>
        <w:jc w:val="both"/>
        <w:rPr>
          <w:lang w:val="en-US"/>
        </w:rPr>
      </w:pPr>
      <w:r w:rsidRPr="004A1E34">
        <w:rPr>
          <w:lang w:val="en-US"/>
        </w:rPr>
        <w:t xml:space="preserve">2. At the same time, this concept must be identified as the expression of a fundamental crisis of this project and as the crossroad of divergent philosophical positions throughout a complex cluster of texts in this period. The idea </w:t>
      </w:r>
      <w:r w:rsidRPr="004A1E34">
        <w:rPr>
          <w:i/>
          <w:iCs/>
          <w:lang w:val="en-US"/>
        </w:rPr>
        <w:t>Bildung</w:t>
      </w:r>
      <w:r w:rsidRPr="004A1E34">
        <w:rPr>
          <w:lang w:val="en-US"/>
        </w:rPr>
        <w:t xml:space="preserve"> is at the center of a field of conflicting interpretive perspectives.</w:t>
      </w:r>
    </w:p>
    <w:p w14:paraId="199961F5" w14:textId="074F7CB8" w:rsidR="004E18A9" w:rsidRPr="004A1E34" w:rsidRDefault="004E18A9" w:rsidP="004A1E34">
      <w:pPr>
        <w:pStyle w:val="NormalWeb"/>
        <w:ind w:firstLine="567"/>
        <w:contextualSpacing/>
        <w:jc w:val="both"/>
        <w:rPr>
          <w:lang w:val="en-US"/>
        </w:rPr>
      </w:pPr>
      <w:r w:rsidRPr="004A1E34">
        <w:rPr>
          <w:lang w:val="en-US"/>
        </w:rPr>
        <w:t xml:space="preserve">3. Therefore, the philosophical concept of </w:t>
      </w:r>
      <w:r w:rsidRPr="004A1E34">
        <w:rPr>
          <w:i/>
          <w:iCs/>
          <w:lang w:val="en-US"/>
        </w:rPr>
        <w:t>Bildung</w:t>
      </w:r>
      <w:r w:rsidRPr="004A1E34">
        <w:rPr>
          <w:lang w:val="en-US"/>
        </w:rPr>
        <w:t xml:space="preserve"> in classical German philosophy must be understood as an eminently synthetic –</w:t>
      </w:r>
      <w:r w:rsidR="009A118A" w:rsidRPr="004A1E34">
        <w:rPr>
          <w:lang w:val="en-US"/>
        </w:rPr>
        <w:t xml:space="preserve"> or </w:t>
      </w:r>
      <w:r w:rsidRPr="004A1E34">
        <w:rPr>
          <w:lang w:val="en-US"/>
        </w:rPr>
        <w:t>even dialectical – concept. Indeed, it is used not only to articulate opposite poles and interpretations, but further on to keep their tensions alive and make them fruitful (</w:t>
      </w:r>
      <w:r w:rsidRPr="004A1E34">
        <w:rPr>
          <w:i/>
          <w:iCs/>
          <w:lang w:val="en-US"/>
        </w:rPr>
        <w:t>i.e.</w:t>
      </w:r>
      <w:r w:rsidRPr="004A1E34">
        <w:rPr>
          <w:lang w:val="en-US"/>
        </w:rPr>
        <w:t xml:space="preserve"> the axes of tensions mentioned above, </w:t>
      </w:r>
      <w:proofErr w:type="gramStart"/>
      <w:r w:rsidRPr="004A1E34">
        <w:rPr>
          <w:lang w:val="en-US"/>
        </w:rPr>
        <w:t>and also</w:t>
      </w:r>
      <w:proofErr w:type="gramEnd"/>
      <w:r w:rsidRPr="004A1E34">
        <w:rPr>
          <w:lang w:val="en-US"/>
        </w:rPr>
        <w:t xml:space="preserve"> the tension between the project and its crisis, or the tension between system and fragment, which is internal to the need of an organic totality). </w:t>
      </w:r>
    </w:p>
    <w:p w14:paraId="2C4FBCFC" w14:textId="77777777" w:rsidR="004E18A9" w:rsidRPr="004A1E34" w:rsidRDefault="004E18A9" w:rsidP="004A1E34">
      <w:pPr>
        <w:pStyle w:val="NormalWeb"/>
        <w:ind w:firstLine="567"/>
        <w:contextualSpacing/>
        <w:jc w:val="both"/>
        <w:rPr>
          <w:lang w:val="en-US"/>
        </w:rPr>
      </w:pPr>
      <w:r w:rsidRPr="004A1E34">
        <w:rPr>
          <w:lang w:val="en-US"/>
        </w:rPr>
        <w:t xml:space="preserve">Moreover, we can add a more particular hypothesis concerning the relation between the ideal of </w:t>
      </w:r>
      <w:r w:rsidRPr="004A1E34">
        <w:rPr>
          <w:i/>
          <w:iCs/>
          <w:lang w:val="en-US"/>
        </w:rPr>
        <w:t>Bildung</w:t>
      </w:r>
      <w:r w:rsidRPr="004A1E34">
        <w:rPr>
          <w:lang w:val="en-US"/>
        </w:rPr>
        <w:t xml:space="preserve"> and the institution of university:</w:t>
      </w:r>
    </w:p>
    <w:p w14:paraId="79736048" w14:textId="23593380" w:rsidR="00951D33" w:rsidRPr="004A1E34" w:rsidRDefault="004E18A9" w:rsidP="004A1E34">
      <w:pPr>
        <w:pStyle w:val="NormalWeb"/>
        <w:ind w:firstLine="567"/>
        <w:contextualSpacing/>
        <w:jc w:val="both"/>
        <w:rPr>
          <w:lang w:val="en-US"/>
        </w:rPr>
      </w:pPr>
      <w:r w:rsidRPr="004A1E34">
        <w:rPr>
          <w:lang w:val="en-US"/>
        </w:rPr>
        <w:t xml:space="preserve">4. In classical German philosophy, while the Athenian ideal of direct democracy is mostly rejected to the benefit of the modern representation, the ideal of </w:t>
      </w:r>
      <w:r w:rsidRPr="004A1E34">
        <w:rPr>
          <w:i/>
          <w:iCs/>
          <w:lang w:val="en-US"/>
        </w:rPr>
        <w:t xml:space="preserve">Bildung </w:t>
      </w:r>
      <w:r w:rsidRPr="004A1E34">
        <w:rPr>
          <w:lang w:val="en-US"/>
        </w:rPr>
        <w:t xml:space="preserve">is mobilized to think and foster the process of a democratic formation of collective will and civic autonomy, and university is meant to be the matrix institution of this process. </w:t>
      </w:r>
    </w:p>
    <w:p w14:paraId="57FDB42E" w14:textId="77777777" w:rsidR="009A118A" w:rsidRPr="004A1E34" w:rsidRDefault="009A118A" w:rsidP="004A1E34">
      <w:pPr>
        <w:pStyle w:val="NormalWeb"/>
        <w:ind w:firstLine="567"/>
        <w:contextualSpacing/>
        <w:jc w:val="both"/>
        <w:rPr>
          <w:lang w:val="en-US"/>
        </w:rPr>
      </w:pPr>
    </w:p>
    <w:p w14:paraId="7135729B" w14:textId="6279AB41" w:rsidR="004E18A9" w:rsidRPr="004A1E34" w:rsidRDefault="004E18A9" w:rsidP="004A1E34">
      <w:pPr>
        <w:pStyle w:val="NormalWeb"/>
        <w:ind w:firstLine="567"/>
        <w:contextualSpacing/>
        <w:jc w:val="both"/>
        <w:rPr>
          <w:i/>
          <w:iCs/>
          <w:lang w:val="en-US"/>
        </w:rPr>
      </w:pPr>
      <w:r w:rsidRPr="004A1E34">
        <w:rPr>
          <w:i/>
          <w:iCs/>
          <w:lang w:val="en-US"/>
        </w:rPr>
        <w:t>II. T</w:t>
      </w:r>
      <w:r w:rsidR="00263973">
        <w:rPr>
          <w:i/>
          <w:iCs/>
          <w:lang w:val="en-US"/>
        </w:rPr>
        <w:t>he t</w:t>
      </w:r>
      <w:r w:rsidRPr="004A1E34">
        <w:rPr>
          <w:i/>
          <w:iCs/>
          <w:lang w:val="en-US"/>
        </w:rPr>
        <w:t xml:space="preserve">opical relevance </w:t>
      </w:r>
      <w:r w:rsidR="00263973">
        <w:rPr>
          <w:i/>
          <w:iCs/>
          <w:lang w:val="en-US"/>
        </w:rPr>
        <w:t>of an untimely</w:t>
      </w:r>
      <w:r w:rsidRPr="004A1E34">
        <w:rPr>
          <w:i/>
          <w:iCs/>
          <w:lang w:val="en-US"/>
        </w:rPr>
        <w:t xml:space="preserve"> modern </w:t>
      </w:r>
      <w:r w:rsidR="00263973">
        <w:rPr>
          <w:i/>
          <w:iCs/>
          <w:lang w:val="en-US"/>
        </w:rPr>
        <w:t>ideal</w:t>
      </w:r>
    </w:p>
    <w:p w14:paraId="75511D44" w14:textId="39F85906" w:rsidR="00F8101B" w:rsidRPr="004A1E34" w:rsidRDefault="00E26A34" w:rsidP="004A1E34">
      <w:pPr>
        <w:pStyle w:val="NormalWeb"/>
        <w:ind w:firstLine="567"/>
        <w:contextualSpacing/>
        <w:jc w:val="both"/>
        <w:rPr>
          <w:lang w:val="en-US"/>
        </w:rPr>
      </w:pPr>
      <w:r>
        <w:rPr>
          <w:lang w:val="en-US"/>
        </w:rPr>
        <w:t>After</w:t>
      </w:r>
      <w:r w:rsidR="002A0DE5" w:rsidRPr="004A1E34">
        <w:rPr>
          <w:lang w:val="en-US"/>
        </w:rPr>
        <w:t xml:space="preserve"> </w:t>
      </w:r>
      <w:r w:rsidR="009A118A" w:rsidRPr="004A1E34">
        <w:rPr>
          <w:lang w:val="en-US"/>
        </w:rPr>
        <w:t>this provisional</w:t>
      </w:r>
      <w:r w:rsidR="002A0DE5" w:rsidRPr="004A1E34">
        <w:rPr>
          <w:lang w:val="en-US"/>
        </w:rPr>
        <w:t xml:space="preserve"> </w:t>
      </w:r>
      <w:r w:rsidR="009A118A" w:rsidRPr="004A1E34">
        <w:rPr>
          <w:lang w:val="en-US"/>
        </w:rPr>
        <w:t>reconstruction</w:t>
      </w:r>
      <w:r w:rsidR="002A0DE5" w:rsidRPr="004A1E34">
        <w:rPr>
          <w:lang w:val="en-US"/>
        </w:rPr>
        <w:t xml:space="preserve"> of the </w:t>
      </w:r>
      <w:r w:rsidR="002A0DE5" w:rsidRPr="004A1E34">
        <w:rPr>
          <w:i/>
          <w:iCs/>
          <w:lang w:val="en-US"/>
        </w:rPr>
        <w:t>Bildung</w:t>
      </w:r>
      <w:r w:rsidR="002A0DE5" w:rsidRPr="004A1E34">
        <w:rPr>
          <w:lang w:val="en-US"/>
        </w:rPr>
        <w:t xml:space="preserve"> constellation in classical German </w:t>
      </w:r>
      <w:r w:rsidR="009A118A" w:rsidRPr="004A1E34">
        <w:rPr>
          <w:lang w:val="en-US"/>
        </w:rPr>
        <w:t>p</w:t>
      </w:r>
      <w:r w:rsidR="002A0DE5" w:rsidRPr="004A1E34">
        <w:rPr>
          <w:lang w:val="en-US"/>
        </w:rPr>
        <w:t>hilosophy</w:t>
      </w:r>
      <w:r w:rsidR="00C73797" w:rsidRPr="004A1E34">
        <w:rPr>
          <w:lang w:val="en-US"/>
        </w:rPr>
        <w:t>,</w:t>
      </w:r>
      <w:r w:rsidR="002A0DE5" w:rsidRPr="004A1E34">
        <w:rPr>
          <w:lang w:val="en-US"/>
        </w:rPr>
        <w:t xml:space="preserve"> one can </w:t>
      </w:r>
      <w:r w:rsidR="009A118A" w:rsidRPr="004A1E34">
        <w:rPr>
          <w:lang w:val="en-US"/>
        </w:rPr>
        <w:t xml:space="preserve">already </w:t>
      </w:r>
      <w:r w:rsidR="002A0DE5" w:rsidRPr="004A1E34">
        <w:rPr>
          <w:lang w:val="en-US"/>
        </w:rPr>
        <w:t>feel the</w:t>
      </w:r>
      <w:r w:rsidR="00C73797" w:rsidRPr="004A1E34">
        <w:rPr>
          <w:lang w:val="en-US"/>
        </w:rPr>
        <w:t xml:space="preserve"> </w:t>
      </w:r>
      <w:r>
        <w:rPr>
          <w:lang w:val="en-US"/>
        </w:rPr>
        <w:t xml:space="preserve">great </w:t>
      </w:r>
      <w:r w:rsidR="00C73797" w:rsidRPr="004A1E34">
        <w:rPr>
          <w:lang w:val="en-US"/>
        </w:rPr>
        <w:t>distance</w:t>
      </w:r>
      <w:r w:rsidR="002A0DE5" w:rsidRPr="004A1E34">
        <w:rPr>
          <w:lang w:val="en-US"/>
        </w:rPr>
        <w:t xml:space="preserve"> that separates</w:t>
      </w:r>
      <w:r w:rsidR="00C73797" w:rsidRPr="004A1E34">
        <w:rPr>
          <w:lang w:val="en-US"/>
        </w:rPr>
        <w:t xml:space="preserve"> </w:t>
      </w:r>
      <w:r w:rsidR="002A0DE5" w:rsidRPr="004A1E34">
        <w:rPr>
          <w:lang w:val="en-US"/>
        </w:rPr>
        <w:t xml:space="preserve">the </w:t>
      </w:r>
      <w:r w:rsidR="004B209F" w:rsidRPr="004A1E34">
        <w:rPr>
          <w:lang w:val="en-US"/>
        </w:rPr>
        <w:t>brilliant</w:t>
      </w:r>
      <w:r w:rsidR="002A0DE5" w:rsidRPr="004A1E34">
        <w:rPr>
          <w:lang w:val="en-US"/>
        </w:rPr>
        <w:t xml:space="preserve"> epoch of</w:t>
      </w:r>
      <w:r w:rsidR="00C73797" w:rsidRPr="004A1E34">
        <w:rPr>
          <w:lang w:val="en-US"/>
        </w:rPr>
        <w:t xml:space="preserve"> </w:t>
      </w:r>
      <w:r w:rsidR="00C73797" w:rsidRPr="004A1E34">
        <w:rPr>
          <w:i/>
          <w:iCs/>
          <w:lang w:val="en-US"/>
        </w:rPr>
        <w:t>Bildung</w:t>
      </w:r>
      <w:r w:rsidR="00C73797" w:rsidRPr="004A1E34">
        <w:rPr>
          <w:lang w:val="en-US"/>
        </w:rPr>
        <w:t xml:space="preserve"> </w:t>
      </w:r>
      <w:r w:rsidR="002A0DE5" w:rsidRPr="004A1E34">
        <w:rPr>
          <w:lang w:val="en-US"/>
        </w:rPr>
        <w:t xml:space="preserve">from </w:t>
      </w:r>
      <w:r w:rsidR="00C73797" w:rsidRPr="004A1E34">
        <w:rPr>
          <w:lang w:val="en-US"/>
        </w:rPr>
        <w:t>the current context of the</w:t>
      </w:r>
      <w:r w:rsidR="002A0DE5" w:rsidRPr="004A1E34">
        <w:rPr>
          <w:lang w:val="en-US"/>
        </w:rPr>
        <w:t xml:space="preserve"> </w:t>
      </w:r>
      <w:r w:rsidR="002A0DE5" w:rsidRPr="00CA619F">
        <w:rPr>
          <w:i/>
          <w:iCs/>
          <w:lang w:val="en-US"/>
        </w:rPr>
        <w:t>Knowledge economy</w:t>
      </w:r>
      <w:r w:rsidR="002A0DE5" w:rsidRPr="004A1E34">
        <w:rPr>
          <w:lang w:val="en-US"/>
        </w:rPr>
        <w:t xml:space="preserve"> and the</w:t>
      </w:r>
      <w:r w:rsidR="00C73797" w:rsidRPr="004A1E34">
        <w:rPr>
          <w:lang w:val="en-US"/>
        </w:rPr>
        <w:t xml:space="preserve"> </w:t>
      </w:r>
      <w:r w:rsidR="00C73797" w:rsidRPr="00CA619F">
        <w:rPr>
          <w:i/>
          <w:iCs/>
          <w:lang w:val="en-US"/>
        </w:rPr>
        <w:t xml:space="preserve">Learning </w:t>
      </w:r>
      <w:r w:rsidR="00A436B1">
        <w:rPr>
          <w:i/>
          <w:iCs/>
          <w:lang w:val="en-US"/>
        </w:rPr>
        <w:t>S</w:t>
      </w:r>
      <w:r w:rsidR="00C73797" w:rsidRPr="00CA619F">
        <w:rPr>
          <w:i/>
          <w:iCs/>
          <w:lang w:val="en-US"/>
        </w:rPr>
        <w:t>ociety</w:t>
      </w:r>
      <w:r w:rsidR="002A0DE5" w:rsidRPr="004A1E34">
        <w:rPr>
          <w:lang w:val="en-US"/>
        </w:rPr>
        <w:t>.</w:t>
      </w:r>
      <w:r w:rsidR="00C73797" w:rsidRPr="004A1E34">
        <w:rPr>
          <w:lang w:val="en-US"/>
        </w:rPr>
        <w:t xml:space="preserve"> </w:t>
      </w:r>
      <w:r w:rsidR="002A0DE5" w:rsidRPr="004A1E34">
        <w:rPr>
          <w:lang w:val="en-US"/>
        </w:rPr>
        <w:t xml:space="preserve">Regarding the profound mutations </w:t>
      </w:r>
      <w:r>
        <w:rPr>
          <w:lang w:val="en-US"/>
        </w:rPr>
        <w:t>that have affected</w:t>
      </w:r>
      <w:r w:rsidR="002A0DE5" w:rsidRPr="004A1E34">
        <w:rPr>
          <w:lang w:val="en-US"/>
        </w:rPr>
        <w:t xml:space="preserve"> the </w:t>
      </w:r>
      <w:r w:rsidR="009A118A" w:rsidRPr="004A1E34">
        <w:rPr>
          <w:lang w:val="en-US"/>
        </w:rPr>
        <w:t>u</w:t>
      </w:r>
      <w:r w:rsidR="002A0DE5" w:rsidRPr="004A1E34">
        <w:rPr>
          <w:lang w:val="en-US"/>
        </w:rPr>
        <w:t>niversity from the second half of the twentieth century, especially</w:t>
      </w:r>
      <w:r w:rsidR="00C73797" w:rsidRPr="004A1E34">
        <w:rPr>
          <w:lang w:val="en-US"/>
        </w:rPr>
        <w:t xml:space="preserve"> </w:t>
      </w:r>
      <w:r w:rsidR="002A0DE5" w:rsidRPr="004A1E34">
        <w:rPr>
          <w:lang w:val="en-US"/>
        </w:rPr>
        <w:t>the major shifts to g</w:t>
      </w:r>
      <w:r w:rsidR="00C73797" w:rsidRPr="004A1E34">
        <w:rPr>
          <w:lang w:val="en-US"/>
        </w:rPr>
        <w:t>lobalization, massification and commodification</w:t>
      </w:r>
      <w:r w:rsidR="002A0DE5" w:rsidRPr="004A1E34">
        <w:rPr>
          <w:lang w:val="en-US"/>
        </w:rPr>
        <w:t xml:space="preserve"> of </w:t>
      </w:r>
      <w:r w:rsidR="009A118A" w:rsidRPr="004A1E34">
        <w:rPr>
          <w:lang w:val="en-US"/>
        </w:rPr>
        <w:t>h</w:t>
      </w:r>
      <w:r w:rsidR="002A0DE5" w:rsidRPr="004A1E34">
        <w:rPr>
          <w:lang w:val="en-US"/>
        </w:rPr>
        <w:t>igher education all around the world</w:t>
      </w:r>
      <w:r w:rsidR="00C73797" w:rsidRPr="004A1E34">
        <w:rPr>
          <w:lang w:val="en-US"/>
        </w:rPr>
        <w:t xml:space="preserve">, </w:t>
      </w:r>
      <w:r>
        <w:rPr>
          <w:lang w:val="en-US"/>
        </w:rPr>
        <w:t>the</w:t>
      </w:r>
      <w:r w:rsidR="009A118A" w:rsidRPr="004A1E34">
        <w:rPr>
          <w:lang w:val="en-US"/>
        </w:rPr>
        <w:t xml:space="preserve"> call</w:t>
      </w:r>
      <w:r w:rsidR="00C73797" w:rsidRPr="004A1E34">
        <w:rPr>
          <w:lang w:val="en-US"/>
        </w:rPr>
        <w:t xml:space="preserve"> to </w:t>
      </w:r>
      <w:r w:rsidR="002A0DE5" w:rsidRPr="004A1E34">
        <w:rPr>
          <w:lang w:val="en-US"/>
        </w:rPr>
        <w:t xml:space="preserve">somehow </w:t>
      </w:r>
      <w:r>
        <w:rPr>
          <w:lang w:val="en-US"/>
        </w:rPr>
        <w:t>return</w:t>
      </w:r>
      <w:r w:rsidR="00C73797" w:rsidRPr="004A1E34">
        <w:rPr>
          <w:lang w:val="en-US"/>
        </w:rPr>
        <w:t xml:space="preserve"> to the </w:t>
      </w:r>
      <w:r w:rsidR="000C563E" w:rsidRPr="004A1E34">
        <w:rPr>
          <w:lang w:val="en-US"/>
        </w:rPr>
        <w:t xml:space="preserve">modern ideal of </w:t>
      </w:r>
      <w:r w:rsidR="00C73797" w:rsidRPr="004A1E34">
        <w:rPr>
          <w:i/>
          <w:iCs/>
          <w:lang w:val="en-US"/>
        </w:rPr>
        <w:t>Bildung</w:t>
      </w:r>
      <w:r w:rsidR="000C563E" w:rsidRPr="004A1E34">
        <w:rPr>
          <w:lang w:val="en-US"/>
        </w:rPr>
        <w:t xml:space="preserve"> (“</w:t>
      </w:r>
      <w:proofErr w:type="spellStart"/>
      <w:r w:rsidR="000C563E" w:rsidRPr="004A1E34">
        <w:rPr>
          <w:i/>
          <w:iCs/>
          <w:lang w:val="en-US"/>
        </w:rPr>
        <w:t>zurück</w:t>
      </w:r>
      <w:proofErr w:type="spellEnd"/>
      <w:r w:rsidR="000C563E" w:rsidRPr="004A1E34">
        <w:rPr>
          <w:i/>
          <w:iCs/>
          <w:lang w:val="en-US"/>
        </w:rPr>
        <w:t xml:space="preserve"> </w:t>
      </w:r>
      <w:proofErr w:type="spellStart"/>
      <w:r w:rsidR="000C563E" w:rsidRPr="004A1E34">
        <w:rPr>
          <w:i/>
          <w:iCs/>
          <w:lang w:val="en-US"/>
        </w:rPr>
        <w:t>zu</w:t>
      </w:r>
      <w:r w:rsidR="004B209F" w:rsidRPr="004A1E34">
        <w:rPr>
          <w:i/>
          <w:iCs/>
          <w:lang w:val="en-US"/>
        </w:rPr>
        <w:t>r</w:t>
      </w:r>
      <w:proofErr w:type="spellEnd"/>
      <w:r w:rsidR="000C563E" w:rsidRPr="004A1E34">
        <w:rPr>
          <w:i/>
          <w:iCs/>
          <w:lang w:val="en-US"/>
        </w:rPr>
        <w:t xml:space="preserve"> Bildung</w:t>
      </w:r>
      <w:r w:rsidR="000C563E" w:rsidRPr="004A1E34">
        <w:rPr>
          <w:lang w:val="en-US"/>
        </w:rPr>
        <w:t>!”)</w:t>
      </w:r>
      <w:r w:rsidR="00C73797" w:rsidRPr="004A1E34">
        <w:rPr>
          <w:lang w:val="en-US"/>
        </w:rPr>
        <w:t xml:space="preserve"> can be seen either as a utopian</w:t>
      </w:r>
      <w:r w:rsidR="000C563E" w:rsidRPr="004A1E34">
        <w:rPr>
          <w:lang w:val="en-US"/>
        </w:rPr>
        <w:t xml:space="preserve"> </w:t>
      </w:r>
      <w:r w:rsidR="002A0DE5" w:rsidRPr="004A1E34">
        <w:rPr>
          <w:lang w:val="en-US"/>
        </w:rPr>
        <w:t>and old-fashioned</w:t>
      </w:r>
      <w:r w:rsidR="00C73797" w:rsidRPr="004A1E34">
        <w:rPr>
          <w:lang w:val="en-US"/>
        </w:rPr>
        <w:t xml:space="preserve"> aspiration to</w:t>
      </w:r>
      <w:r w:rsidR="000C563E" w:rsidRPr="004A1E34">
        <w:rPr>
          <w:lang w:val="en-US"/>
        </w:rPr>
        <w:t xml:space="preserve"> foster</w:t>
      </w:r>
      <w:r w:rsidR="00C73797" w:rsidRPr="004A1E34">
        <w:rPr>
          <w:lang w:val="en-US"/>
        </w:rPr>
        <w:t xml:space="preserve"> emancipation through education, knowledge and self-</w:t>
      </w:r>
      <w:r w:rsidR="00CA619F">
        <w:rPr>
          <w:lang w:val="en-US"/>
        </w:rPr>
        <w:t>cultivation</w:t>
      </w:r>
      <w:r w:rsidR="00C73797" w:rsidRPr="004A1E34">
        <w:rPr>
          <w:lang w:val="en-US"/>
        </w:rPr>
        <w:t xml:space="preserve"> or</w:t>
      </w:r>
      <w:r w:rsidR="002A0DE5" w:rsidRPr="004A1E34">
        <w:rPr>
          <w:lang w:val="en-US"/>
        </w:rPr>
        <w:t>, worse,</w:t>
      </w:r>
      <w:r w:rsidR="00C73797" w:rsidRPr="004A1E34">
        <w:rPr>
          <w:lang w:val="en-US"/>
        </w:rPr>
        <w:t xml:space="preserve"> as</w:t>
      </w:r>
      <w:r w:rsidR="002A0DE5" w:rsidRPr="004A1E34">
        <w:rPr>
          <w:lang w:val="en-US"/>
        </w:rPr>
        <w:t xml:space="preserve"> forms of</w:t>
      </w:r>
      <w:r w:rsidR="00C73797" w:rsidRPr="004A1E34">
        <w:rPr>
          <w:lang w:val="en-US"/>
        </w:rPr>
        <w:t xml:space="preserve"> elitism,</w:t>
      </w:r>
      <w:r w:rsidR="002A0DE5" w:rsidRPr="004A1E34">
        <w:rPr>
          <w:lang w:val="en-US"/>
        </w:rPr>
        <w:t xml:space="preserve"> </w:t>
      </w:r>
      <w:r w:rsidR="00C73797" w:rsidRPr="004A1E34">
        <w:rPr>
          <w:lang w:val="en-US"/>
        </w:rPr>
        <w:t>conservatism,</w:t>
      </w:r>
      <w:r w:rsidR="002A0DE5" w:rsidRPr="004A1E34">
        <w:rPr>
          <w:lang w:val="en-US"/>
        </w:rPr>
        <w:t xml:space="preserve"> if not</w:t>
      </w:r>
      <w:r w:rsidR="00C73797" w:rsidRPr="004A1E34">
        <w:rPr>
          <w:lang w:val="en-US"/>
        </w:rPr>
        <w:t xml:space="preserve"> authoritarianism</w:t>
      </w:r>
      <w:r w:rsidR="002A0DE5" w:rsidRPr="004A1E34">
        <w:rPr>
          <w:lang w:val="en-US"/>
        </w:rPr>
        <w:t xml:space="preserve"> and</w:t>
      </w:r>
      <w:r w:rsidR="00C73797" w:rsidRPr="004A1E34">
        <w:rPr>
          <w:lang w:val="en-US"/>
        </w:rPr>
        <w:t xml:space="preserve"> </w:t>
      </w:r>
      <w:r w:rsidR="004B209F" w:rsidRPr="004A1E34">
        <w:rPr>
          <w:lang w:val="en-US"/>
        </w:rPr>
        <w:t>neo-</w:t>
      </w:r>
      <w:r w:rsidR="00C73797" w:rsidRPr="004A1E34">
        <w:rPr>
          <w:lang w:val="en-US"/>
        </w:rPr>
        <w:t>colonialism</w:t>
      </w:r>
      <w:r w:rsidR="009A118A" w:rsidRPr="004A1E34">
        <w:rPr>
          <w:lang w:val="en-US"/>
        </w:rPr>
        <w:t xml:space="preserve"> –</w:t>
      </w:r>
      <w:r w:rsidR="002A0DE5" w:rsidRPr="004A1E34">
        <w:rPr>
          <w:lang w:val="en-US"/>
        </w:rPr>
        <w:t xml:space="preserve"> that is to say, as forms of reversal of the emancipat</w:t>
      </w:r>
      <w:r>
        <w:rPr>
          <w:lang w:val="en-US"/>
        </w:rPr>
        <w:t>ory</w:t>
      </w:r>
      <w:r w:rsidR="002A0DE5" w:rsidRPr="004A1E34">
        <w:rPr>
          <w:lang w:val="en-US"/>
        </w:rPr>
        <w:t xml:space="preserve"> promises of the </w:t>
      </w:r>
      <w:r w:rsidR="002A0DE5" w:rsidRPr="004A1E34">
        <w:rPr>
          <w:i/>
          <w:iCs/>
          <w:lang w:val="en-US"/>
        </w:rPr>
        <w:t xml:space="preserve">Bildung </w:t>
      </w:r>
      <w:r w:rsidR="002A0DE5" w:rsidRPr="004A1E34">
        <w:rPr>
          <w:lang w:val="en-US"/>
        </w:rPr>
        <w:t>project. What</w:t>
      </w:r>
      <w:r>
        <w:rPr>
          <w:lang w:val="en-US"/>
        </w:rPr>
        <w:t xml:space="preserve"> then</w:t>
      </w:r>
      <w:r w:rsidR="002A0DE5" w:rsidRPr="004A1E34">
        <w:rPr>
          <w:lang w:val="en-US"/>
        </w:rPr>
        <w:t xml:space="preserve"> makes the difference between </w:t>
      </w:r>
      <w:r>
        <w:rPr>
          <w:lang w:val="en-US"/>
        </w:rPr>
        <w:t>the</w:t>
      </w:r>
      <w:r w:rsidR="002A0DE5" w:rsidRPr="004A1E34">
        <w:rPr>
          <w:lang w:val="en-US"/>
        </w:rPr>
        <w:t xml:space="preserve"> promising actualization of a philosophical concept of the past and the nostalgic reactivation of an outdated model? Wh</w:t>
      </w:r>
      <w:r>
        <w:rPr>
          <w:lang w:val="en-US"/>
        </w:rPr>
        <w:t>at</w:t>
      </w:r>
      <w:r w:rsidR="002A0DE5" w:rsidRPr="004A1E34">
        <w:rPr>
          <w:lang w:val="en-US"/>
        </w:rPr>
        <w:t xml:space="preserve"> epistemological </w:t>
      </w:r>
      <w:r w:rsidR="009A118A" w:rsidRPr="004A1E34">
        <w:rPr>
          <w:lang w:val="en-US"/>
        </w:rPr>
        <w:t>justification</w:t>
      </w:r>
      <w:r w:rsidR="002A0DE5" w:rsidRPr="004A1E34">
        <w:rPr>
          <w:lang w:val="en-US"/>
        </w:rPr>
        <w:t xml:space="preserve"> could allow the researcher in</w:t>
      </w:r>
      <w:r w:rsidR="009A118A" w:rsidRPr="004A1E34">
        <w:rPr>
          <w:lang w:val="en-US"/>
        </w:rPr>
        <w:t xml:space="preserve"> philosophy and</w:t>
      </w:r>
      <w:r w:rsidR="002A0DE5" w:rsidRPr="004A1E34">
        <w:rPr>
          <w:lang w:val="en-US"/>
        </w:rPr>
        <w:t xml:space="preserve"> history of philosophy to make a meaningful use of a philosophical concept or idea by highlighting its supposed</w:t>
      </w:r>
      <w:r>
        <w:rPr>
          <w:lang w:val="en-US"/>
        </w:rPr>
        <w:t>ly</w:t>
      </w:r>
      <w:r w:rsidR="002A0DE5" w:rsidRPr="004A1E34">
        <w:rPr>
          <w:lang w:val="en-US"/>
        </w:rPr>
        <w:t xml:space="preserve"> “untimely actuality” (</w:t>
      </w:r>
      <w:proofErr w:type="spellStart"/>
      <w:r w:rsidR="002A0DE5" w:rsidRPr="004A1E34">
        <w:rPr>
          <w:i/>
          <w:iCs/>
          <w:lang w:val="en-US"/>
        </w:rPr>
        <w:t>unzeitgemäße</w:t>
      </w:r>
      <w:proofErr w:type="spellEnd"/>
      <w:r w:rsidR="002A0DE5" w:rsidRPr="004A1E34">
        <w:rPr>
          <w:i/>
          <w:iCs/>
          <w:lang w:val="en-US"/>
        </w:rPr>
        <w:t xml:space="preserve"> </w:t>
      </w:r>
      <w:proofErr w:type="spellStart"/>
      <w:r w:rsidR="002A0DE5" w:rsidRPr="004A1E34">
        <w:rPr>
          <w:i/>
          <w:iCs/>
          <w:lang w:val="en-US"/>
        </w:rPr>
        <w:t>Aktualität</w:t>
      </w:r>
      <w:proofErr w:type="spellEnd"/>
      <w:r w:rsidR="00CA619F">
        <w:rPr>
          <w:i/>
          <w:iCs/>
          <w:lang w:val="en-US"/>
        </w:rPr>
        <w:t xml:space="preserve">, </w:t>
      </w:r>
      <w:proofErr w:type="spellStart"/>
      <w:r w:rsidR="00CA619F">
        <w:rPr>
          <w:i/>
          <w:iCs/>
          <w:lang w:val="en-US"/>
        </w:rPr>
        <w:t>actualité</w:t>
      </w:r>
      <w:proofErr w:type="spellEnd"/>
      <w:r w:rsidR="00CA619F">
        <w:rPr>
          <w:i/>
          <w:iCs/>
          <w:lang w:val="en-US"/>
        </w:rPr>
        <w:t xml:space="preserve"> </w:t>
      </w:r>
      <w:proofErr w:type="spellStart"/>
      <w:r w:rsidR="00CA619F">
        <w:rPr>
          <w:i/>
          <w:iCs/>
          <w:lang w:val="en-US"/>
        </w:rPr>
        <w:t>intempestive</w:t>
      </w:r>
      <w:proofErr w:type="spellEnd"/>
      <w:r w:rsidR="002A0DE5" w:rsidRPr="004A1E34">
        <w:rPr>
          <w:lang w:val="en-US"/>
        </w:rPr>
        <w:t>)?</w:t>
      </w:r>
    </w:p>
    <w:p w14:paraId="3CA4772B" w14:textId="68764F86" w:rsidR="004E18A9" w:rsidRPr="004A1E34" w:rsidRDefault="00E26A34" w:rsidP="004A1E34">
      <w:pPr>
        <w:pStyle w:val="NormalWeb"/>
        <w:ind w:firstLine="567"/>
        <w:contextualSpacing/>
        <w:jc w:val="both"/>
        <w:rPr>
          <w:lang w:val="en-US"/>
        </w:rPr>
      </w:pPr>
      <w:r w:rsidRPr="00E26A34">
        <w:rPr>
          <w:lang w:val="en-US"/>
        </w:rPr>
        <w:t>From a methodological point of view, since the debates between</w:t>
      </w:r>
      <w:r w:rsidR="00D84519">
        <w:rPr>
          <w:lang w:val="en-US"/>
        </w:rPr>
        <w:t xml:space="preserve"> authors like</w:t>
      </w:r>
      <w:r w:rsidRPr="00E26A34">
        <w:rPr>
          <w:lang w:val="en-US"/>
        </w:rPr>
        <w:t xml:space="preserve"> </w:t>
      </w:r>
      <w:r w:rsidRPr="00D84519">
        <w:rPr>
          <w:lang w:val="en-US"/>
        </w:rPr>
        <w:t xml:space="preserve">Quentin Skinner and Richard </w:t>
      </w:r>
      <w:proofErr w:type="spellStart"/>
      <w:r w:rsidRPr="00D84519">
        <w:rPr>
          <w:lang w:val="en-US"/>
        </w:rPr>
        <w:t>Rorty</w:t>
      </w:r>
      <w:proofErr w:type="spellEnd"/>
      <w:r w:rsidRPr="00D84519">
        <w:rPr>
          <w:lang w:val="en-US"/>
        </w:rPr>
        <w:t xml:space="preserve"> in the 1980s</w:t>
      </w:r>
      <w:r w:rsidR="00D84519" w:rsidRPr="00D84519">
        <w:rPr>
          <w:rStyle w:val="Appelnotedebasdep"/>
          <w:lang w:val="en-US"/>
        </w:rPr>
        <w:footnoteReference w:id="10"/>
      </w:r>
      <w:r w:rsidRPr="00E26A34">
        <w:rPr>
          <w:lang w:val="en-US"/>
        </w:rPr>
        <w:t>, it is possible to identify two diametrically opposed trends or orientations in the history of philosophy, dominated respectively by a historical and a philosophical knowledg</w:t>
      </w:r>
      <w:r w:rsidR="00C73087">
        <w:rPr>
          <w:lang w:val="en-US"/>
        </w:rPr>
        <w:t xml:space="preserve">e </w:t>
      </w:r>
      <w:proofErr w:type="gramStart"/>
      <w:r w:rsidR="00C73087">
        <w:rPr>
          <w:lang w:val="en-US"/>
        </w:rPr>
        <w:t>interests</w:t>
      </w:r>
      <w:proofErr w:type="gramEnd"/>
      <w:r w:rsidRPr="00E26A34">
        <w:rPr>
          <w:lang w:val="en-US"/>
        </w:rPr>
        <w:t xml:space="preserve">. The first orientation has been labelled </w:t>
      </w:r>
      <w:r>
        <w:rPr>
          <w:lang w:val="en-US"/>
        </w:rPr>
        <w:t>“</w:t>
      </w:r>
      <w:r w:rsidRPr="00E26A34">
        <w:rPr>
          <w:lang w:val="en-US"/>
        </w:rPr>
        <w:t>contextualism</w:t>
      </w:r>
      <w:r>
        <w:rPr>
          <w:lang w:val="en-US"/>
        </w:rPr>
        <w:t>”</w:t>
      </w:r>
      <w:r w:rsidRPr="00E26A34">
        <w:rPr>
          <w:lang w:val="en-US"/>
        </w:rPr>
        <w:t xml:space="preserve"> </w:t>
      </w:r>
      <w:r w:rsidRPr="00E26A34">
        <w:rPr>
          <w:lang w:val="en-US"/>
        </w:rPr>
        <w:lastRenderedPageBreak/>
        <w:t xml:space="preserve">(following Skinner) or even </w:t>
      </w:r>
      <w:r>
        <w:rPr>
          <w:lang w:val="en-US"/>
        </w:rPr>
        <w:t>“</w:t>
      </w:r>
      <w:r w:rsidRPr="00E26A34">
        <w:rPr>
          <w:lang w:val="en-US"/>
        </w:rPr>
        <w:t>antiquarianism</w:t>
      </w:r>
      <w:r>
        <w:rPr>
          <w:lang w:val="en-US"/>
        </w:rPr>
        <w:t>”</w:t>
      </w:r>
      <w:r w:rsidRPr="00E26A34">
        <w:rPr>
          <w:lang w:val="en-US"/>
        </w:rPr>
        <w:t xml:space="preserve"> (to quote</w:t>
      </w:r>
      <w:r w:rsidRPr="00D84519">
        <w:rPr>
          <w:lang w:val="en-US"/>
        </w:rPr>
        <w:t xml:space="preserve"> </w:t>
      </w:r>
      <w:r w:rsidR="00D84519">
        <w:rPr>
          <w:lang w:val="en-US"/>
        </w:rPr>
        <w:t>Garber</w:t>
      </w:r>
      <w:r w:rsidR="00D84519">
        <w:rPr>
          <w:rStyle w:val="Appelnotedebasdep"/>
          <w:lang w:val="en-US"/>
        </w:rPr>
        <w:footnoteReference w:id="11"/>
      </w:r>
      <w:r w:rsidRPr="00E26A34">
        <w:rPr>
          <w:lang w:val="en-US"/>
        </w:rPr>
        <w:t>), because it is mainly characteri</w:t>
      </w:r>
      <w:r>
        <w:rPr>
          <w:lang w:val="en-US"/>
        </w:rPr>
        <w:t>z</w:t>
      </w:r>
      <w:r w:rsidRPr="00E26A34">
        <w:rPr>
          <w:lang w:val="en-US"/>
        </w:rPr>
        <w:t xml:space="preserve">ed by the conservative effort to restore the integrity of a philosophical theory by focusing on the sum of the internal perspectives of that philosophy, without transcending its historical context. The second orientation has been called </w:t>
      </w:r>
      <w:r>
        <w:rPr>
          <w:lang w:val="en-US"/>
        </w:rPr>
        <w:t>“</w:t>
      </w:r>
      <w:r w:rsidRPr="00E26A34">
        <w:rPr>
          <w:lang w:val="en-US"/>
        </w:rPr>
        <w:t>rational reconstruction</w:t>
      </w:r>
      <w:r>
        <w:rPr>
          <w:lang w:val="en-US"/>
        </w:rPr>
        <w:t>”</w:t>
      </w:r>
      <w:r w:rsidRPr="00E26A34">
        <w:rPr>
          <w:lang w:val="en-US"/>
        </w:rPr>
        <w:t xml:space="preserve"> by </w:t>
      </w:r>
      <w:proofErr w:type="spellStart"/>
      <w:r w:rsidRPr="00E26A34">
        <w:rPr>
          <w:lang w:val="en-US"/>
        </w:rPr>
        <w:t>Rorty</w:t>
      </w:r>
      <w:proofErr w:type="spellEnd"/>
      <w:r w:rsidRPr="00E26A34">
        <w:rPr>
          <w:lang w:val="en-US"/>
        </w:rPr>
        <w:t xml:space="preserve">, but it would be preferable to call it </w:t>
      </w:r>
      <w:r>
        <w:rPr>
          <w:lang w:val="en-US"/>
        </w:rPr>
        <w:t>“</w:t>
      </w:r>
      <w:proofErr w:type="spellStart"/>
      <w:r w:rsidRPr="00E26A34">
        <w:rPr>
          <w:lang w:val="en-US"/>
        </w:rPr>
        <w:t>appropriationism</w:t>
      </w:r>
      <w:proofErr w:type="spellEnd"/>
      <w:r>
        <w:rPr>
          <w:lang w:val="en-US"/>
        </w:rPr>
        <w:t>”</w:t>
      </w:r>
      <w:r w:rsidRPr="00E26A34">
        <w:rPr>
          <w:lang w:val="en-US"/>
        </w:rPr>
        <w:t xml:space="preserve"> or even </w:t>
      </w:r>
      <w:r>
        <w:rPr>
          <w:lang w:val="en-US"/>
        </w:rPr>
        <w:t>“</w:t>
      </w:r>
      <w:proofErr w:type="spellStart"/>
      <w:r w:rsidRPr="00E26A34">
        <w:rPr>
          <w:lang w:val="en-US"/>
        </w:rPr>
        <w:t>extractivism</w:t>
      </w:r>
      <w:proofErr w:type="spellEnd"/>
      <w:r>
        <w:rPr>
          <w:lang w:val="en-US"/>
        </w:rPr>
        <w:t>”</w:t>
      </w:r>
      <w:r w:rsidRPr="00E26A34">
        <w:rPr>
          <w:lang w:val="en-US"/>
        </w:rPr>
        <w:t>, to express the tendency to turn dead philosophers into some kind of contemporary colleagues, by appropriating, extracting or mining their philosophical arguments, concepts or ideas, as if they were some kind of minerals that would retain their value and meaning undiminished after being taken out of their context of origin and brought into current contexts of reception, no matter how historically and culturally distant the two contexts may be. The problem with such an extractive method is that most philosophical entities are not mineral but rather</w:t>
      </w:r>
      <w:r>
        <w:rPr>
          <w:lang w:val="en-US"/>
        </w:rPr>
        <w:t xml:space="preserve"> like plants</w:t>
      </w:r>
      <w:r w:rsidRPr="00E26A34">
        <w:rPr>
          <w:lang w:val="en-US"/>
        </w:rPr>
        <w:t xml:space="preserve">, whose conditions of life </w:t>
      </w:r>
      <w:r>
        <w:rPr>
          <w:lang w:val="en-US"/>
        </w:rPr>
        <w:t>–</w:t>
      </w:r>
      <w:r w:rsidRPr="00E26A34">
        <w:rPr>
          <w:lang w:val="en-US"/>
        </w:rPr>
        <w:t xml:space="preserve"> or of meaning </w:t>
      </w:r>
      <w:r>
        <w:rPr>
          <w:lang w:val="en-US"/>
        </w:rPr>
        <w:t>–</w:t>
      </w:r>
      <w:r w:rsidRPr="00E26A34">
        <w:rPr>
          <w:lang w:val="en-US"/>
        </w:rPr>
        <w:t xml:space="preserve"> are tied to a specific cultural, historical and linguistic environment. On the other hand, the symmetrical error of contextualism or antiquarianism is that it tends to interpret such an environment in a naturalistic and rigid way, as if the history of philosophy were objectively given once and for all and subjectively oriented only towards the past.</w:t>
      </w:r>
      <w:r>
        <w:rPr>
          <w:lang w:val="en-US"/>
        </w:rPr>
        <w:t xml:space="preserve"> </w:t>
      </w:r>
      <w:r w:rsidR="00C73797" w:rsidRPr="004A1E34">
        <w:rPr>
          <w:lang w:val="en-US"/>
        </w:rPr>
        <w:t xml:space="preserve">Antiquarianism and </w:t>
      </w:r>
      <w:proofErr w:type="spellStart"/>
      <w:r w:rsidR="00C73797" w:rsidRPr="004A1E34">
        <w:rPr>
          <w:lang w:val="en-US"/>
        </w:rPr>
        <w:t>extractivism</w:t>
      </w:r>
      <w:proofErr w:type="spellEnd"/>
      <w:r w:rsidR="004E18A9" w:rsidRPr="004A1E34">
        <w:rPr>
          <w:lang w:val="en-US"/>
        </w:rPr>
        <w:t xml:space="preserve"> represent</w:t>
      </w:r>
      <w:r w:rsidR="00C73797" w:rsidRPr="004A1E34">
        <w:rPr>
          <w:lang w:val="en-US"/>
        </w:rPr>
        <w:t xml:space="preserve"> in fact</w:t>
      </w:r>
      <w:r w:rsidR="004E18A9" w:rsidRPr="004A1E34">
        <w:rPr>
          <w:lang w:val="en-US"/>
        </w:rPr>
        <w:t xml:space="preserve"> two extreme ideal types</w:t>
      </w:r>
      <w:r w:rsidR="00CA619F">
        <w:rPr>
          <w:lang w:val="en-US"/>
        </w:rPr>
        <w:t xml:space="preserve"> (in a Weberian sense)</w:t>
      </w:r>
      <w:r w:rsidR="004E18A9" w:rsidRPr="004A1E34">
        <w:rPr>
          <w:lang w:val="en-US"/>
        </w:rPr>
        <w:t xml:space="preserve"> </w:t>
      </w:r>
      <w:r w:rsidR="00C73797" w:rsidRPr="004A1E34">
        <w:rPr>
          <w:lang w:val="en-US"/>
        </w:rPr>
        <w:t xml:space="preserve">in a rich and complex spectrum within </w:t>
      </w:r>
      <w:r w:rsidR="004E18A9" w:rsidRPr="004A1E34">
        <w:rPr>
          <w:lang w:val="en-US"/>
        </w:rPr>
        <w:t xml:space="preserve">which </w:t>
      </w:r>
      <w:r w:rsidR="00CA4E0A" w:rsidRPr="004A1E34">
        <w:rPr>
          <w:lang w:val="en-US"/>
        </w:rPr>
        <w:t>real</w:t>
      </w:r>
      <w:r w:rsidR="004E18A9" w:rsidRPr="004A1E34">
        <w:rPr>
          <w:lang w:val="en-US"/>
        </w:rPr>
        <w:t xml:space="preserve"> practices are </w:t>
      </w:r>
      <w:r w:rsidR="00C73797" w:rsidRPr="004A1E34">
        <w:rPr>
          <w:lang w:val="en-US"/>
        </w:rPr>
        <w:t>moving</w:t>
      </w:r>
      <w:r w:rsidR="004E18A9" w:rsidRPr="004A1E34">
        <w:rPr>
          <w:lang w:val="en-US"/>
        </w:rPr>
        <w:t xml:space="preserve">. As such they have their own epistemological legitimacy and philosophical utility – despite the pejorative accent of these </w:t>
      </w:r>
      <w:r w:rsidR="00C73797" w:rsidRPr="004A1E34">
        <w:rPr>
          <w:lang w:val="en-US"/>
        </w:rPr>
        <w:t>label</w:t>
      </w:r>
      <w:r w:rsidR="004E18A9" w:rsidRPr="004A1E34">
        <w:rPr>
          <w:lang w:val="en-US"/>
        </w:rPr>
        <w:t>s. But they also represent two</w:t>
      </w:r>
      <w:r w:rsidR="004B209F" w:rsidRPr="004A1E34">
        <w:rPr>
          <w:lang w:val="en-US"/>
        </w:rPr>
        <w:t xml:space="preserve"> opposite</w:t>
      </w:r>
      <w:r w:rsidR="004E18A9" w:rsidRPr="004A1E34">
        <w:rPr>
          <w:lang w:val="en-US"/>
        </w:rPr>
        <w:t xml:space="preserve"> ways of avoiding the dialectical tensions between the philosophical and the historical </w:t>
      </w:r>
      <w:r w:rsidR="009A118A" w:rsidRPr="004A1E34">
        <w:rPr>
          <w:lang w:val="en-US"/>
        </w:rPr>
        <w:t>perspectives</w:t>
      </w:r>
      <w:r w:rsidR="004E18A9" w:rsidRPr="004A1E34">
        <w:rPr>
          <w:lang w:val="en-US"/>
        </w:rPr>
        <w:t xml:space="preserve"> of history of philosophy</w:t>
      </w:r>
      <w:r w:rsidR="004B209F" w:rsidRPr="004A1E34">
        <w:rPr>
          <w:lang w:val="en-US"/>
        </w:rPr>
        <w:t>. Indeed, they tend to</w:t>
      </w:r>
      <w:r w:rsidR="004E18A9" w:rsidRPr="004A1E34">
        <w:rPr>
          <w:lang w:val="en-US"/>
        </w:rPr>
        <w:t xml:space="preserve"> abolish the distance between our historic</w:t>
      </w:r>
      <w:r w:rsidR="00F8101B" w:rsidRPr="004A1E34">
        <w:rPr>
          <w:lang w:val="en-US"/>
        </w:rPr>
        <w:t>al</w:t>
      </w:r>
      <w:r w:rsidR="004E18A9" w:rsidRPr="004A1E34">
        <w:rPr>
          <w:lang w:val="en-US"/>
        </w:rPr>
        <w:t>-philosophical present epoch and the diverse philosophical periods of the past</w:t>
      </w:r>
      <w:r w:rsidR="009A118A" w:rsidRPr="004A1E34">
        <w:rPr>
          <w:lang w:val="en-US"/>
        </w:rPr>
        <w:t xml:space="preserve"> either</w:t>
      </w:r>
      <w:r w:rsidR="004E18A9" w:rsidRPr="004A1E34">
        <w:rPr>
          <w:lang w:val="en-US"/>
        </w:rPr>
        <w:t xml:space="preserve"> by strictly separating the historical periods from each other, as if they were closed worlds</w:t>
      </w:r>
      <w:r w:rsidR="00C73797" w:rsidRPr="004A1E34">
        <w:rPr>
          <w:lang w:val="en-US"/>
        </w:rPr>
        <w:t>,</w:t>
      </w:r>
      <w:r w:rsidR="004E18A9" w:rsidRPr="004A1E34">
        <w:rPr>
          <w:lang w:val="en-US"/>
        </w:rPr>
        <w:t xml:space="preserve"> or by reducing the philosophical past to a certain </w:t>
      </w:r>
      <w:r w:rsidR="009A118A" w:rsidRPr="004A1E34">
        <w:rPr>
          <w:lang w:val="en-US"/>
        </w:rPr>
        <w:t>self-</w:t>
      </w:r>
      <w:r w:rsidR="004E18A9" w:rsidRPr="004A1E34">
        <w:rPr>
          <w:lang w:val="en-US"/>
        </w:rPr>
        <w:t>interpretation of the present.</w:t>
      </w:r>
    </w:p>
    <w:p w14:paraId="0F55768E" w14:textId="252D9F74" w:rsidR="00E26A34" w:rsidRDefault="00E26A34" w:rsidP="004A1E34">
      <w:pPr>
        <w:pStyle w:val="NormalWeb"/>
        <w:ind w:firstLine="567"/>
        <w:contextualSpacing/>
        <w:jc w:val="both"/>
        <w:rPr>
          <w:lang w:val="en-US"/>
        </w:rPr>
      </w:pPr>
      <w:r w:rsidRPr="00E26A34">
        <w:rPr>
          <w:lang w:val="en-US"/>
        </w:rPr>
        <w:t xml:space="preserve">But these epistemological tensions and this historical-philosophical distance are not only the conditions of any practice in the history of philosophy. They can also be seen as the very object of it, since they constitute the fundamental questions that explicitly or implicitly drive any investigation in the history of philosophy. There may be a kind of methodological division of </w:t>
      </w:r>
      <w:proofErr w:type="spellStart"/>
      <w:r w:rsidRPr="00E26A34">
        <w:rPr>
          <w:lang w:val="en-US"/>
        </w:rPr>
        <w:t>labour</w:t>
      </w:r>
      <w:proofErr w:type="spellEnd"/>
      <w:r w:rsidRPr="00E26A34">
        <w:rPr>
          <w:lang w:val="en-US"/>
        </w:rPr>
        <w:t xml:space="preserve"> in research between the two tendencies: antiquarianism and </w:t>
      </w:r>
      <w:proofErr w:type="spellStart"/>
      <w:r w:rsidRPr="00E26A34">
        <w:rPr>
          <w:lang w:val="en-US"/>
        </w:rPr>
        <w:t>extractivism</w:t>
      </w:r>
      <w:proofErr w:type="spellEnd"/>
      <w:r w:rsidRPr="00E26A34">
        <w:rPr>
          <w:lang w:val="en-US"/>
        </w:rPr>
        <w:t xml:space="preserve"> are indeed necessary poles in the history of philosophy, and they contribute to </w:t>
      </w:r>
      <w:proofErr w:type="gramStart"/>
      <w:r w:rsidRPr="00E26A34">
        <w:rPr>
          <w:lang w:val="en-US"/>
        </w:rPr>
        <w:t>opening up</w:t>
      </w:r>
      <w:proofErr w:type="gramEnd"/>
      <w:r w:rsidRPr="00E26A34">
        <w:rPr>
          <w:lang w:val="en-US"/>
        </w:rPr>
        <w:t xml:space="preserve"> new fields for the discipline and to progressively defining its boundaries. At the same time, however, they are only poles in a large field in which the historical-philosophical distance must be taken seriously and carefully interpreted, rather than abolished. Too strict a division of </w:t>
      </w:r>
      <w:proofErr w:type="spellStart"/>
      <w:r w:rsidRPr="00E26A34">
        <w:rPr>
          <w:lang w:val="en-US"/>
        </w:rPr>
        <w:t>labour</w:t>
      </w:r>
      <w:proofErr w:type="spellEnd"/>
      <w:r w:rsidRPr="00E26A34">
        <w:rPr>
          <w:lang w:val="en-US"/>
        </w:rPr>
        <w:t xml:space="preserve"> would be fatal for the discipline, if there were no longer a common place to articulate philosophical and historical knowledge</w:t>
      </w:r>
      <w:r w:rsidR="00C73087" w:rsidRPr="00C73087">
        <w:rPr>
          <w:lang w:val="en-US"/>
        </w:rPr>
        <w:t xml:space="preserve"> </w:t>
      </w:r>
      <w:r w:rsidR="00C73087" w:rsidRPr="00E26A34">
        <w:rPr>
          <w:lang w:val="en-US"/>
        </w:rPr>
        <w:t>interes</w:t>
      </w:r>
      <w:r w:rsidR="00C73087">
        <w:rPr>
          <w:lang w:val="en-US"/>
        </w:rPr>
        <w:t>ts</w:t>
      </w:r>
      <w:r w:rsidRPr="00E26A34">
        <w:rPr>
          <w:lang w:val="en-US"/>
        </w:rPr>
        <w:t>, to combine distance and proximity, the significant strangeness of the past and the strange familiarity of its thought for us.</w:t>
      </w:r>
    </w:p>
    <w:p w14:paraId="113DD844" w14:textId="16C0EEF6" w:rsidR="004E18A9" w:rsidRPr="004A1E34" w:rsidRDefault="00E26A34" w:rsidP="004A1E34">
      <w:pPr>
        <w:pStyle w:val="NormalWeb"/>
        <w:ind w:firstLine="567"/>
        <w:contextualSpacing/>
        <w:jc w:val="both"/>
        <w:rPr>
          <w:lang w:val="en-US"/>
        </w:rPr>
      </w:pPr>
      <w:r w:rsidRPr="00E26A34">
        <w:rPr>
          <w:lang w:val="en-US"/>
        </w:rPr>
        <w:t>There may be different kinds of figures to articulate distance and proximity in the history of philosophy. One of the most common figures is the scheme of continuity: by reconstituting genealogical filiations (</w:t>
      </w:r>
      <w:r>
        <w:rPr>
          <w:lang w:val="en-US"/>
        </w:rPr>
        <w:t>“</w:t>
      </w:r>
      <w:r w:rsidRPr="00E26A34">
        <w:rPr>
          <w:lang w:val="en-US"/>
        </w:rPr>
        <w:t>genealogical</w:t>
      </w:r>
      <w:r>
        <w:rPr>
          <w:lang w:val="en-US"/>
        </w:rPr>
        <w:t>”</w:t>
      </w:r>
      <w:r w:rsidRPr="00E26A34">
        <w:rPr>
          <w:lang w:val="en-US"/>
        </w:rPr>
        <w:t>, not in the sense of Nietzsche or even Foucault</w:t>
      </w:r>
      <w:r w:rsidR="00A436B1">
        <w:rPr>
          <w:lang w:val="en-US"/>
        </w:rPr>
        <w:t>, but in a common understanding</w:t>
      </w:r>
      <w:r w:rsidRPr="00E26A34">
        <w:rPr>
          <w:lang w:val="en-US"/>
        </w:rPr>
        <w:t xml:space="preserve">), direct or indirect inspirations and progressive developments of a tradition, or by showing revivals, recurrences or remanences of concepts, arguments or ideas, it is possible to reveal continuous lines that bring our present context closer to distant past contexts. Such genealogical lines can be found between the philosophical tradition of </w:t>
      </w:r>
      <w:r w:rsidRPr="00E26A34">
        <w:rPr>
          <w:i/>
          <w:iCs/>
          <w:lang w:val="en-US"/>
        </w:rPr>
        <w:t>Bildung</w:t>
      </w:r>
      <w:r w:rsidRPr="00E26A34">
        <w:rPr>
          <w:lang w:val="en-US"/>
        </w:rPr>
        <w:t xml:space="preserve"> and twentieth-century liberal educational thought, as well as in the constant revival of the Humboldtian model in contemporary debates about the current mutation of the university. Another important figure in the positive articulation of distance and proximity is the analogy: without assuming any continuity or inspiration between two moments in the history of philosophy, a conceptual relationship can be established by analogy, be it in local parallels or </w:t>
      </w:r>
      <w:r w:rsidRPr="00E26A34">
        <w:rPr>
          <w:lang w:val="en-US"/>
        </w:rPr>
        <w:lastRenderedPageBreak/>
        <w:t>in global homologies. Despite the great cultural and historical distance between two paradigms, they can share some relational or functional equivalents that in turn shed new light on the</w:t>
      </w:r>
      <w:r w:rsidR="00A436B1">
        <w:rPr>
          <w:lang w:val="en-US"/>
        </w:rPr>
        <w:t>ir</w:t>
      </w:r>
      <w:r w:rsidRPr="00E26A34">
        <w:rPr>
          <w:lang w:val="en-US"/>
        </w:rPr>
        <w:t xml:space="preserve"> </w:t>
      </w:r>
      <w:r w:rsidR="00A436B1">
        <w:rPr>
          <w:lang w:val="en-US"/>
        </w:rPr>
        <w:t>respective</w:t>
      </w:r>
      <w:r w:rsidRPr="00E26A34">
        <w:rPr>
          <w:lang w:val="en-US"/>
        </w:rPr>
        <w:t xml:space="preserve"> contexts. In our case, between </w:t>
      </w:r>
      <w:r w:rsidR="00D91ECE" w:rsidRPr="00D91ECE">
        <w:rPr>
          <w:i/>
          <w:iCs/>
          <w:lang w:val="en-US"/>
        </w:rPr>
        <w:t>Bildung</w:t>
      </w:r>
      <w:r w:rsidRPr="00E26A34">
        <w:rPr>
          <w:lang w:val="en-US"/>
        </w:rPr>
        <w:t xml:space="preserve"> and the </w:t>
      </w:r>
      <w:r w:rsidR="00A436B1">
        <w:rPr>
          <w:lang w:val="en-US"/>
        </w:rPr>
        <w:t>L</w:t>
      </w:r>
      <w:r w:rsidRPr="00E26A34">
        <w:rPr>
          <w:lang w:val="en-US"/>
        </w:rPr>
        <w:t xml:space="preserve">earning </w:t>
      </w:r>
      <w:r w:rsidR="00A436B1">
        <w:rPr>
          <w:lang w:val="en-US"/>
        </w:rPr>
        <w:t>S</w:t>
      </w:r>
      <w:r w:rsidRPr="00E26A34">
        <w:rPr>
          <w:lang w:val="en-US"/>
        </w:rPr>
        <w:t>ociety, there are some analogies, as I suggested earlier, in the way they both conceive of education as a</w:t>
      </w:r>
      <w:r w:rsidRPr="00D91ECE">
        <w:rPr>
          <w:i/>
          <w:iCs/>
          <w:lang w:val="en-US"/>
        </w:rPr>
        <w:t xml:space="preserve"> lifelong </w:t>
      </w:r>
      <w:r w:rsidRPr="00E26A34">
        <w:rPr>
          <w:lang w:val="en-US"/>
        </w:rPr>
        <w:t xml:space="preserve">and </w:t>
      </w:r>
      <w:proofErr w:type="spellStart"/>
      <w:r w:rsidRPr="00D91ECE">
        <w:rPr>
          <w:i/>
          <w:iCs/>
          <w:lang w:val="en-US"/>
        </w:rPr>
        <w:t>lifewide</w:t>
      </w:r>
      <w:proofErr w:type="spellEnd"/>
      <w:r w:rsidRPr="00E26A34">
        <w:rPr>
          <w:lang w:val="en-US"/>
        </w:rPr>
        <w:t xml:space="preserve"> function for </w:t>
      </w:r>
      <w:r w:rsidRPr="00D91ECE">
        <w:rPr>
          <w:i/>
          <w:iCs/>
          <w:lang w:val="en-US"/>
        </w:rPr>
        <w:t xml:space="preserve">every </w:t>
      </w:r>
      <w:r w:rsidRPr="00E26A34">
        <w:rPr>
          <w:lang w:val="en-US"/>
        </w:rPr>
        <w:t>social actor</w:t>
      </w:r>
      <w:r w:rsidR="00D91ECE">
        <w:rPr>
          <w:lang w:val="en-US"/>
        </w:rPr>
        <w:t xml:space="preserve"> in </w:t>
      </w:r>
      <w:r w:rsidR="00D91ECE" w:rsidRPr="00D91ECE">
        <w:rPr>
          <w:i/>
          <w:iCs/>
          <w:lang w:val="en-US"/>
        </w:rPr>
        <w:t>every</w:t>
      </w:r>
      <w:r w:rsidR="00D91ECE">
        <w:rPr>
          <w:lang w:val="en-US"/>
        </w:rPr>
        <w:t xml:space="preserve"> social domain</w:t>
      </w:r>
      <w:r w:rsidRPr="00E26A34">
        <w:rPr>
          <w:lang w:val="en-US"/>
        </w:rPr>
        <w:t>.</w:t>
      </w:r>
    </w:p>
    <w:p w14:paraId="6949DFCB" w14:textId="0078C47C" w:rsidR="00E26A34" w:rsidRDefault="00E26A34" w:rsidP="004A1E34">
      <w:pPr>
        <w:pStyle w:val="NormalWeb"/>
        <w:ind w:firstLine="567"/>
        <w:contextualSpacing/>
        <w:jc w:val="both"/>
        <w:rPr>
          <w:lang w:val="en-US"/>
        </w:rPr>
      </w:pPr>
      <w:r w:rsidRPr="00E26A34">
        <w:rPr>
          <w:lang w:val="en-US"/>
        </w:rPr>
        <w:t xml:space="preserve">Continuity and analogy are figures that show a </w:t>
      </w:r>
      <w:r w:rsidRPr="00936931">
        <w:rPr>
          <w:i/>
          <w:iCs/>
          <w:lang w:val="en-US"/>
        </w:rPr>
        <w:t xml:space="preserve">positive </w:t>
      </w:r>
      <w:r w:rsidRPr="00E26A34">
        <w:rPr>
          <w:lang w:val="en-US"/>
        </w:rPr>
        <w:t xml:space="preserve">connection between a distant past context and our present. They point to positive signs of actuality in a philosophy of the past. But there is also a </w:t>
      </w:r>
      <w:r w:rsidRPr="00936931">
        <w:rPr>
          <w:i/>
          <w:iCs/>
          <w:lang w:val="en-US"/>
        </w:rPr>
        <w:t xml:space="preserve">negative </w:t>
      </w:r>
      <w:r w:rsidRPr="00E26A34">
        <w:rPr>
          <w:lang w:val="en-US"/>
        </w:rPr>
        <w:t>way of connecting and articulating distance and proximity, by underlying interesting contrasts and intriguing divergences. Certainly, some contrasts are only the expression of an incompressible distance; but well-chosen contrasts can also help to reveal a lack, a problem or a need in our present time, and they can even be a sign of a possible actuality or a potential of actualization of a philosophical model from the past. These revealing contrasts are heuristic effects of what we</w:t>
      </w:r>
      <w:r w:rsidR="004A7298">
        <w:rPr>
          <w:lang w:val="en-US"/>
        </w:rPr>
        <w:t xml:space="preserve"> can</w:t>
      </w:r>
      <w:r w:rsidRPr="00E26A34">
        <w:rPr>
          <w:lang w:val="en-US"/>
        </w:rPr>
        <w:t xml:space="preserve"> call the </w:t>
      </w:r>
      <w:r w:rsidRPr="004A7298">
        <w:rPr>
          <w:i/>
          <w:iCs/>
          <w:lang w:val="en-US"/>
        </w:rPr>
        <w:t xml:space="preserve">untimely </w:t>
      </w:r>
      <w:r w:rsidR="00263973">
        <w:rPr>
          <w:i/>
          <w:iCs/>
          <w:lang w:val="en-US"/>
        </w:rPr>
        <w:t>topicality</w:t>
      </w:r>
      <w:r w:rsidRPr="00E26A34">
        <w:rPr>
          <w:lang w:val="en-US"/>
        </w:rPr>
        <w:t xml:space="preserve"> of a philosophical idea or concept. In our case, it may be illuminating to suggest an analogy about a contrast: the modern concept of </w:t>
      </w:r>
      <w:r w:rsidRPr="00E26A34">
        <w:rPr>
          <w:i/>
          <w:iCs/>
          <w:lang w:val="en-US"/>
        </w:rPr>
        <w:t>Bildung</w:t>
      </w:r>
      <w:r w:rsidRPr="00E26A34">
        <w:rPr>
          <w:lang w:val="en-US"/>
        </w:rPr>
        <w:t xml:space="preserve"> can be seen to have the same function for us today as the ideal of </w:t>
      </w:r>
      <w:r w:rsidRPr="00E26A34">
        <w:rPr>
          <w:i/>
          <w:iCs/>
          <w:lang w:val="en-US"/>
        </w:rPr>
        <w:t>paideia</w:t>
      </w:r>
      <w:r w:rsidRPr="00E26A34">
        <w:rPr>
          <w:lang w:val="en-US"/>
        </w:rPr>
        <w:t xml:space="preserve"> and, more generally, the classical model of the ancient Greeks had for German thinkers of the late eighteenth and nineteenth centuries, from Schiller to Nietzsche: </w:t>
      </w:r>
      <w:r w:rsidR="002628D6">
        <w:rPr>
          <w:lang w:val="en-US"/>
        </w:rPr>
        <w:t xml:space="preserve">the function of a </w:t>
      </w:r>
      <w:r w:rsidRPr="00E26A34">
        <w:rPr>
          <w:lang w:val="en-US"/>
        </w:rPr>
        <w:t>distant</w:t>
      </w:r>
      <w:r w:rsidR="002628D6">
        <w:rPr>
          <w:lang w:val="en-US"/>
        </w:rPr>
        <w:t xml:space="preserve"> and untimely</w:t>
      </w:r>
      <w:r w:rsidRPr="00E26A34">
        <w:rPr>
          <w:lang w:val="en-US"/>
        </w:rPr>
        <w:t xml:space="preserve"> model </w:t>
      </w:r>
      <w:r w:rsidR="002628D6">
        <w:rPr>
          <w:lang w:val="en-US"/>
        </w:rPr>
        <w:t>from the past revealing</w:t>
      </w:r>
      <w:r w:rsidRPr="00E26A34">
        <w:rPr>
          <w:lang w:val="en-US"/>
        </w:rPr>
        <w:t xml:space="preserve"> </w:t>
      </w:r>
      <w:r w:rsidR="002628D6">
        <w:rPr>
          <w:lang w:val="en-US"/>
        </w:rPr>
        <w:t xml:space="preserve">vivid and fruitful </w:t>
      </w:r>
      <w:r w:rsidRPr="00E26A34">
        <w:rPr>
          <w:lang w:val="en-US"/>
        </w:rPr>
        <w:t>contrast</w:t>
      </w:r>
      <w:r w:rsidR="002628D6">
        <w:rPr>
          <w:lang w:val="en-US"/>
        </w:rPr>
        <w:t>s</w:t>
      </w:r>
      <w:r w:rsidRPr="00E26A34">
        <w:rPr>
          <w:lang w:val="en-US"/>
        </w:rPr>
        <w:t xml:space="preserve"> </w:t>
      </w:r>
      <w:r w:rsidR="002628D6">
        <w:rPr>
          <w:lang w:val="en-US"/>
        </w:rPr>
        <w:t>with</w:t>
      </w:r>
      <w:r w:rsidRPr="00E26A34">
        <w:rPr>
          <w:lang w:val="en-US"/>
        </w:rPr>
        <w:t xml:space="preserve"> the present</w:t>
      </w:r>
      <w:r w:rsidR="002628D6">
        <w:rPr>
          <w:lang w:val="en-US"/>
        </w:rPr>
        <w:t xml:space="preserve"> time</w:t>
      </w:r>
      <w:r w:rsidRPr="00E26A34">
        <w:rPr>
          <w:lang w:val="en-US"/>
        </w:rPr>
        <w:t xml:space="preserve">. </w:t>
      </w:r>
    </w:p>
    <w:p w14:paraId="303559E3" w14:textId="02F4D7B3" w:rsidR="004E18A9" w:rsidRDefault="00C73087" w:rsidP="004A1E34">
      <w:pPr>
        <w:pStyle w:val="NormalWeb"/>
        <w:ind w:firstLine="567"/>
        <w:contextualSpacing/>
        <w:jc w:val="both"/>
        <w:rPr>
          <w:lang w:val="en-US"/>
        </w:rPr>
      </w:pPr>
      <w:r w:rsidRPr="00C73087">
        <w:rPr>
          <w:lang w:val="en-US"/>
        </w:rPr>
        <w:t xml:space="preserve">Therefore, our aim in this project, and </w:t>
      </w:r>
      <w:proofErr w:type="gramStart"/>
      <w:r w:rsidRPr="00C73087">
        <w:rPr>
          <w:lang w:val="en-US"/>
        </w:rPr>
        <w:t>in particular in</w:t>
      </w:r>
      <w:proofErr w:type="gramEnd"/>
      <w:r w:rsidRPr="00C73087">
        <w:rPr>
          <w:lang w:val="en-US"/>
        </w:rPr>
        <w:t xml:space="preserve"> this volume, is not only to reconstruct the constellation of the philosophy of education by shedding new light on its structural features, its internal tensions, its diversity of forms, and thereby helping to establish some typologies in this diversity. We also want to draw interesting and revealing contrasts with contemporary models of political philosophy of education. In particular, the organic character of the concept of </w:t>
      </w:r>
      <w:r w:rsidRPr="00C73087">
        <w:rPr>
          <w:i/>
          <w:iCs/>
          <w:lang w:val="en-US"/>
        </w:rPr>
        <w:t>Bildung</w:t>
      </w:r>
      <w:r w:rsidRPr="00C73087">
        <w:rPr>
          <w:lang w:val="en-US"/>
        </w:rPr>
        <w:t xml:space="preserve">, its internal teleology, its dialectical dimension and the constructivist aspect of its concept of freedom or educational autonomy offer a vivid contrast with the main features of the paradigm of the </w:t>
      </w:r>
      <w:r w:rsidR="00A436B1">
        <w:rPr>
          <w:lang w:val="en-US"/>
        </w:rPr>
        <w:t>Learning</w:t>
      </w:r>
      <w:r w:rsidRPr="00C73087">
        <w:rPr>
          <w:lang w:val="en-US"/>
        </w:rPr>
        <w:t xml:space="preserve"> Society, which tends to assume that learning subjects have a pre-given freedom and that their learning activities can or even should be segmented and fragmented, since their main objective is to constantly adapt to external constraints. </w:t>
      </w:r>
    </w:p>
    <w:p w14:paraId="68A5E509" w14:textId="7465DBF4" w:rsidR="00254976" w:rsidRPr="00254976" w:rsidRDefault="00254976" w:rsidP="004A1E34">
      <w:pPr>
        <w:pStyle w:val="NormalWeb"/>
        <w:ind w:firstLine="567"/>
        <w:contextualSpacing/>
        <w:jc w:val="both"/>
        <w:rPr>
          <w:lang w:val="en-US"/>
        </w:rPr>
      </w:pPr>
      <w:r>
        <w:rPr>
          <w:rStyle w:val="normaltextrun"/>
          <w:lang w:val="en-US"/>
        </w:rPr>
        <w:t>The different studies of this volume contribute</w:t>
      </w:r>
      <w:r>
        <w:rPr>
          <w:rStyle w:val="normaltextrun"/>
          <w:lang w:val="en-US"/>
        </w:rPr>
        <w:t xml:space="preserve"> also in this way</w:t>
      </w:r>
      <w:r>
        <w:rPr>
          <w:rStyle w:val="normaltextrun"/>
          <w:lang w:val="en-US"/>
        </w:rPr>
        <w:t xml:space="preserve"> to show how this untimely actuality of the modern </w:t>
      </w:r>
      <w:r>
        <w:rPr>
          <w:rStyle w:val="normaltextrun"/>
          <w:lang w:val="en-US"/>
        </w:rPr>
        <w:t>ideal</w:t>
      </w:r>
      <w:r>
        <w:rPr>
          <w:rStyle w:val="normaltextrun"/>
          <w:lang w:val="en-US"/>
        </w:rPr>
        <w:t xml:space="preserve"> of </w:t>
      </w:r>
      <w:r w:rsidRPr="00254976">
        <w:rPr>
          <w:rStyle w:val="normaltextrun"/>
          <w:i/>
          <w:iCs/>
          <w:lang w:val="en-US"/>
        </w:rPr>
        <w:t>Bildung </w:t>
      </w:r>
      <w:r>
        <w:rPr>
          <w:rStyle w:val="normaltextrun"/>
          <w:lang w:val="en-US"/>
        </w:rPr>
        <w:t>may help us to better understand and perhaps to cope with the current mutations of educational practices and theories, especially the critical mutations of the idea of the university.</w:t>
      </w:r>
      <w:r w:rsidRPr="00254976">
        <w:rPr>
          <w:rStyle w:val="eop"/>
          <w:lang w:val="en-US"/>
        </w:rPr>
        <w:t> </w:t>
      </w:r>
    </w:p>
    <w:p w14:paraId="0BBDD490" w14:textId="77777777" w:rsidR="00D84519" w:rsidRDefault="00D84519" w:rsidP="00EF3260">
      <w:pPr>
        <w:contextualSpacing/>
        <w:rPr>
          <w:rFonts w:ascii="Times New Roman" w:hAnsi="Times New Roman" w:cs="Times New Roman"/>
          <w:lang w:val="en-US"/>
        </w:rPr>
      </w:pPr>
    </w:p>
    <w:p w14:paraId="19E011B7" w14:textId="77777777" w:rsidR="00D84519" w:rsidRDefault="00D84519" w:rsidP="00EF3260">
      <w:pPr>
        <w:contextualSpacing/>
        <w:rPr>
          <w:rFonts w:ascii="Times New Roman" w:hAnsi="Times New Roman" w:cs="Times New Roman"/>
          <w:lang w:val="en-US"/>
        </w:rPr>
      </w:pPr>
    </w:p>
    <w:p w14:paraId="4133BEE7" w14:textId="77777777" w:rsidR="00D84519" w:rsidRPr="00D84519" w:rsidRDefault="00D84519" w:rsidP="00EF3260">
      <w:pPr>
        <w:contextualSpacing/>
        <w:rPr>
          <w:rFonts w:ascii="Times New Roman" w:hAnsi="Times New Roman" w:cs="Times New Roman"/>
          <w:lang w:val="en-US"/>
        </w:rPr>
      </w:pPr>
    </w:p>
    <w:p w14:paraId="5E768F85" w14:textId="4B631F28" w:rsidR="00D84519" w:rsidRPr="00D84519" w:rsidRDefault="00D84519" w:rsidP="00EF3260">
      <w:pPr>
        <w:contextualSpacing/>
        <w:rPr>
          <w:rFonts w:ascii="Times New Roman" w:hAnsi="Times New Roman" w:cs="Times New Roman"/>
          <w:b/>
          <w:bCs/>
          <w:lang w:val="en-US"/>
        </w:rPr>
      </w:pPr>
      <w:r w:rsidRPr="00D84519">
        <w:rPr>
          <w:rFonts w:ascii="Times New Roman" w:hAnsi="Times New Roman" w:cs="Times New Roman"/>
          <w:b/>
          <w:bCs/>
          <w:lang w:val="en-US"/>
        </w:rPr>
        <w:t>Literature</w:t>
      </w:r>
    </w:p>
    <w:p w14:paraId="3F7FDD3E" w14:textId="77777777" w:rsidR="00D84519" w:rsidRDefault="00D84519" w:rsidP="00EF3260">
      <w:pPr>
        <w:contextualSpacing/>
        <w:rPr>
          <w:rFonts w:ascii="Times New Roman" w:hAnsi="Times New Roman" w:cs="Times New Roman"/>
          <w:lang w:val="en-US"/>
        </w:rPr>
      </w:pPr>
    </w:p>
    <w:p w14:paraId="60298B4B" w14:textId="5B13499F" w:rsidR="000339FA" w:rsidRDefault="000339FA" w:rsidP="000339FA">
      <w:pPr>
        <w:tabs>
          <w:tab w:val="left" w:pos="9066"/>
        </w:tabs>
        <w:ind w:right="-6"/>
        <w:jc w:val="both"/>
        <w:rPr>
          <w:rFonts w:ascii="Times New Roman" w:hAnsi="Times New Roman" w:cs="Times New Roman"/>
          <w:lang w:val="en-US"/>
        </w:rPr>
      </w:pPr>
      <w:r w:rsidRPr="000339FA">
        <w:rPr>
          <w:rFonts w:ascii="Times New Roman" w:hAnsi="Times New Roman" w:cs="Times New Roman"/>
          <w:lang w:val="en-US"/>
        </w:rPr>
        <w:t>European Commission 1995</w:t>
      </w:r>
    </w:p>
    <w:p w14:paraId="1BE2533D" w14:textId="320D7E04" w:rsidR="000339FA" w:rsidRDefault="000339FA" w:rsidP="000339FA">
      <w:pPr>
        <w:tabs>
          <w:tab w:val="left" w:pos="9066"/>
        </w:tabs>
        <w:ind w:right="-6"/>
        <w:jc w:val="both"/>
        <w:rPr>
          <w:rFonts w:ascii="Times New Roman" w:hAnsi="Times New Roman" w:cs="Times New Roman"/>
          <w:lang w:val="en-US"/>
        </w:rPr>
      </w:pPr>
      <w:r w:rsidRPr="000339FA">
        <w:rPr>
          <w:rFonts w:ascii="Times New Roman" w:hAnsi="Times New Roman" w:cs="Times New Roman"/>
          <w:lang w:val="en-US"/>
        </w:rPr>
        <w:t>European Commission</w:t>
      </w:r>
      <w:r>
        <w:rPr>
          <w:rFonts w:ascii="Times New Roman" w:hAnsi="Times New Roman" w:cs="Times New Roman"/>
          <w:lang w:val="en-US"/>
        </w:rPr>
        <w:t>,</w:t>
      </w:r>
      <w:r w:rsidRPr="000339FA">
        <w:rPr>
          <w:rFonts w:ascii="Times New Roman" w:hAnsi="Times New Roman" w:cs="Times New Roman"/>
          <w:lang w:val="en-US"/>
        </w:rPr>
        <w:t xml:space="preserve"> </w:t>
      </w:r>
      <w:r w:rsidRPr="000339FA">
        <w:rPr>
          <w:rFonts w:ascii="Times New Roman" w:hAnsi="Times New Roman" w:cs="Times New Roman"/>
          <w:i/>
          <w:lang w:val="en-US"/>
        </w:rPr>
        <w:t>Teaching and Learning.</w:t>
      </w:r>
      <w:r w:rsidRPr="000339FA">
        <w:rPr>
          <w:rFonts w:ascii="Times New Roman" w:hAnsi="Times New Roman" w:cs="Times New Roman"/>
          <w:lang w:val="en-US"/>
        </w:rPr>
        <w:t xml:space="preserve"> </w:t>
      </w:r>
      <w:r w:rsidRPr="000339FA">
        <w:rPr>
          <w:rFonts w:ascii="Times New Roman" w:hAnsi="Times New Roman" w:cs="Times New Roman"/>
          <w:i/>
          <w:lang w:val="en-US"/>
        </w:rPr>
        <w:t>Towards the Learning Society,</w:t>
      </w:r>
      <w:r w:rsidRPr="000339FA">
        <w:rPr>
          <w:rFonts w:ascii="Times New Roman" w:hAnsi="Times New Roman" w:cs="Times New Roman"/>
          <w:lang w:val="en-US"/>
        </w:rPr>
        <w:t xml:space="preserve"> Brussels</w:t>
      </w:r>
      <w:r>
        <w:rPr>
          <w:rFonts w:ascii="Times New Roman" w:hAnsi="Times New Roman" w:cs="Times New Roman"/>
          <w:lang w:val="en-US"/>
        </w:rPr>
        <w:t>, 1995</w:t>
      </w:r>
      <w:r w:rsidR="002D21DC">
        <w:rPr>
          <w:rFonts w:ascii="Times New Roman" w:hAnsi="Times New Roman" w:cs="Times New Roman"/>
          <w:lang w:val="en-US"/>
        </w:rPr>
        <w:t>.</w:t>
      </w:r>
    </w:p>
    <w:p w14:paraId="53E0BE77" w14:textId="77777777" w:rsidR="000339FA" w:rsidRDefault="000339FA" w:rsidP="000339FA">
      <w:pPr>
        <w:tabs>
          <w:tab w:val="left" w:pos="9066"/>
        </w:tabs>
        <w:ind w:right="-6"/>
        <w:jc w:val="both"/>
        <w:rPr>
          <w:rFonts w:ascii="Times New Roman" w:hAnsi="Times New Roman" w:cs="Times New Roman"/>
          <w:lang w:val="en-US"/>
        </w:rPr>
      </w:pPr>
    </w:p>
    <w:p w14:paraId="764344A8" w14:textId="4AE9FBCF" w:rsidR="000339FA" w:rsidRPr="000339FA" w:rsidRDefault="000339FA" w:rsidP="000339FA">
      <w:pPr>
        <w:tabs>
          <w:tab w:val="left" w:pos="9066"/>
        </w:tabs>
        <w:ind w:right="-6"/>
        <w:jc w:val="both"/>
        <w:rPr>
          <w:rFonts w:ascii="Times New Roman" w:hAnsi="Times New Roman" w:cs="Times New Roman"/>
          <w:lang w:val="en-US"/>
        </w:rPr>
      </w:pPr>
      <w:r w:rsidRPr="000339FA">
        <w:rPr>
          <w:rFonts w:ascii="Times New Roman" w:hAnsi="Times New Roman" w:cs="Times New Roman"/>
          <w:lang w:val="en-US"/>
        </w:rPr>
        <w:t>European Commission 2000</w:t>
      </w:r>
    </w:p>
    <w:p w14:paraId="6204879A" w14:textId="4AE555A4" w:rsidR="000339FA" w:rsidRPr="000339FA" w:rsidRDefault="000339FA" w:rsidP="000339FA">
      <w:pPr>
        <w:tabs>
          <w:tab w:val="left" w:pos="9066"/>
        </w:tabs>
        <w:ind w:right="-6"/>
        <w:jc w:val="both"/>
        <w:rPr>
          <w:rFonts w:ascii="Times New Roman" w:hAnsi="Times New Roman" w:cs="Times New Roman"/>
          <w:lang w:val="en-US"/>
        </w:rPr>
      </w:pPr>
      <w:r w:rsidRPr="000339FA">
        <w:rPr>
          <w:rFonts w:ascii="Times New Roman" w:hAnsi="Times New Roman" w:cs="Times New Roman"/>
          <w:lang w:val="en-US"/>
        </w:rPr>
        <w:t xml:space="preserve">European Commission, </w:t>
      </w:r>
      <w:r w:rsidRPr="000339FA">
        <w:rPr>
          <w:rFonts w:ascii="Times New Roman" w:hAnsi="Times New Roman" w:cs="Times New Roman"/>
          <w:i/>
          <w:lang w:val="en-US"/>
        </w:rPr>
        <w:t>A Memorandum on Lifelong Learning</w:t>
      </w:r>
      <w:r w:rsidRPr="000339FA">
        <w:rPr>
          <w:rFonts w:ascii="Times New Roman" w:hAnsi="Times New Roman" w:cs="Times New Roman"/>
          <w:lang w:val="en-US"/>
        </w:rPr>
        <w:t>, Brussels</w:t>
      </w:r>
      <w:r>
        <w:rPr>
          <w:rFonts w:ascii="Times New Roman" w:hAnsi="Times New Roman" w:cs="Times New Roman"/>
          <w:lang w:val="en-US"/>
        </w:rPr>
        <w:t>, 2000</w:t>
      </w:r>
      <w:r w:rsidRPr="000339FA">
        <w:rPr>
          <w:rFonts w:ascii="Times New Roman" w:hAnsi="Times New Roman" w:cs="Times New Roman"/>
          <w:lang w:val="en-US"/>
        </w:rPr>
        <w:t>.</w:t>
      </w:r>
    </w:p>
    <w:p w14:paraId="56C698D7" w14:textId="77777777" w:rsidR="000339FA" w:rsidRPr="00D84519" w:rsidRDefault="000339FA" w:rsidP="00EF3260">
      <w:pPr>
        <w:contextualSpacing/>
        <w:rPr>
          <w:rFonts w:ascii="Times New Roman" w:hAnsi="Times New Roman" w:cs="Times New Roman"/>
          <w:lang w:val="en-US"/>
        </w:rPr>
      </w:pPr>
    </w:p>
    <w:p w14:paraId="5CE95E8A" w14:textId="31812E0B" w:rsidR="00D84519" w:rsidRPr="00D84519" w:rsidRDefault="00D84519" w:rsidP="00D84519">
      <w:pPr>
        <w:contextualSpacing/>
        <w:rPr>
          <w:rFonts w:ascii="Times New Roman" w:hAnsi="Times New Roman" w:cs="Times New Roman"/>
          <w:lang w:val="en-US"/>
        </w:rPr>
      </w:pPr>
      <w:r w:rsidRPr="00D84519">
        <w:rPr>
          <w:rFonts w:ascii="Times New Roman" w:hAnsi="Times New Roman" w:cs="Times New Roman"/>
          <w:lang w:val="en-US"/>
        </w:rPr>
        <w:t>Gadamer 1960</w:t>
      </w:r>
    </w:p>
    <w:p w14:paraId="24D96DFC" w14:textId="44848E47" w:rsidR="00D84519" w:rsidRPr="00D84519" w:rsidRDefault="00D84519" w:rsidP="00D84519">
      <w:pPr>
        <w:contextualSpacing/>
        <w:rPr>
          <w:rFonts w:ascii="Times New Roman" w:hAnsi="Times New Roman" w:cs="Times New Roman"/>
          <w:lang w:val="en-US"/>
        </w:rPr>
      </w:pPr>
      <w:r w:rsidRPr="00D84519">
        <w:rPr>
          <w:rFonts w:ascii="Times New Roman" w:hAnsi="Times New Roman" w:cs="Times New Roman"/>
          <w:lang w:val="en-US"/>
        </w:rPr>
        <w:t xml:space="preserve">Hans Georg Gadamer, </w:t>
      </w:r>
      <w:proofErr w:type="spellStart"/>
      <w:r w:rsidRPr="00D84519">
        <w:rPr>
          <w:rFonts w:ascii="Times New Roman" w:hAnsi="Times New Roman" w:cs="Times New Roman"/>
          <w:i/>
          <w:iCs/>
          <w:lang w:val="en-US"/>
        </w:rPr>
        <w:t>Wahrheit</w:t>
      </w:r>
      <w:proofErr w:type="spellEnd"/>
      <w:r w:rsidRPr="00D84519">
        <w:rPr>
          <w:rFonts w:ascii="Times New Roman" w:hAnsi="Times New Roman" w:cs="Times New Roman"/>
          <w:i/>
          <w:iCs/>
          <w:lang w:val="en-US"/>
        </w:rPr>
        <w:t xml:space="preserve"> und Methode</w:t>
      </w:r>
      <w:r w:rsidRPr="00D84519">
        <w:rPr>
          <w:rFonts w:ascii="Times New Roman" w:hAnsi="Times New Roman" w:cs="Times New Roman"/>
          <w:lang w:val="en-US"/>
        </w:rPr>
        <w:t>, Tübingen, Mohr, 1960.</w:t>
      </w:r>
    </w:p>
    <w:p w14:paraId="03E0159F" w14:textId="77777777" w:rsidR="00D84519" w:rsidRDefault="00D84519" w:rsidP="00D84519">
      <w:pPr>
        <w:contextualSpacing/>
        <w:rPr>
          <w:rFonts w:ascii="Times New Roman" w:hAnsi="Times New Roman" w:cs="Times New Roman"/>
          <w:lang w:val="en-US"/>
        </w:rPr>
      </w:pPr>
    </w:p>
    <w:p w14:paraId="21CE03F3" w14:textId="5C806696" w:rsidR="00D84519" w:rsidRDefault="00D84519" w:rsidP="00D84519">
      <w:pPr>
        <w:contextualSpacing/>
        <w:rPr>
          <w:rFonts w:ascii="Times New Roman" w:hAnsi="Times New Roman" w:cs="Times New Roman"/>
          <w:lang w:val="en-US"/>
        </w:rPr>
      </w:pPr>
      <w:r>
        <w:rPr>
          <w:rFonts w:ascii="Times New Roman" w:hAnsi="Times New Roman" w:cs="Times New Roman"/>
          <w:lang w:val="en-US"/>
        </w:rPr>
        <w:t>Garber 1993</w:t>
      </w:r>
    </w:p>
    <w:p w14:paraId="3DC6EE8F" w14:textId="3D963FB9" w:rsidR="00D84519" w:rsidRDefault="00D84519" w:rsidP="00D84519">
      <w:pPr>
        <w:contextualSpacing/>
        <w:rPr>
          <w:rFonts w:ascii="Times New Roman" w:hAnsi="Times New Roman" w:cs="Times New Roman"/>
          <w:lang w:val="en-US"/>
        </w:rPr>
      </w:pPr>
      <w:r>
        <w:rPr>
          <w:rFonts w:ascii="Times New Roman" w:hAnsi="Times New Roman" w:cs="Times New Roman"/>
          <w:lang w:val="en-US"/>
        </w:rPr>
        <w:t xml:space="preserve">Daniel Garber, “Towards an Antiquarian History of Philosophy, in </w:t>
      </w:r>
      <w:r w:rsidRPr="00D84519">
        <w:rPr>
          <w:rFonts w:ascii="Times New Roman" w:hAnsi="Times New Roman" w:cs="Times New Roman"/>
          <w:i/>
          <w:iCs/>
          <w:lang w:val="en-US"/>
        </w:rPr>
        <w:t xml:space="preserve">Rivista di </w:t>
      </w:r>
      <w:proofErr w:type="spellStart"/>
      <w:r w:rsidRPr="00D84519">
        <w:rPr>
          <w:rFonts w:ascii="Times New Roman" w:hAnsi="Times New Roman" w:cs="Times New Roman"/>
          <w:i/>
          <w:iCs/>
          <w:lang w:val="en-US"/>
        </w:rPr>
        <w:t>storia</w:t>
      </w:r>
      <w:proofErr w:type="spellEnd"/>
      <w:r w:rsidRPr="00D84519">
        <w:rPr>
          <w:rFonts w:ascii="Times New Roman" w:hAnsi="Times New Roman" w:cs="Times New Roman"/>
          <w:i/>
          <w:iCs/>
          <w:lang w:val="en-US"/>
        </w:rPr>
        <w:t xml:space="preserve"> di </w:t>
      </w:r>
      <w:proofErr w:type="spellStart"/>
      <w:r w:rsidRPr="00D84519">
        <w:rPr>
          <w:rFonts w:ascii="Times New Roman" w:hAnsi="Times New Roman" w:cs="Times New Roman"/>
          <w:i/>
          <w:iCs/>
          <w:lang w:val="en-US"/>
        </w:rPr>
        <w:t>filosofia</w:t>
      </w:r>
      <w:proofErr w:type="spellEnd"/>
      <w:r>
        <w:rPr>
          <w:rFonts w:ascii="Times New Roman" w:hAnsi="Times New Roman" w:cs="Times New Roman"/>
          <w:lang w:val="en-US"/>
        </w:rPr>
        <w:t>, n°58, 1993, p. 207-217.</w:t>
      </w:r>
    </w:p>
    <w:p w14:paraId="476058CC" w14:textId="77777777" w:rsidR="00D84519" w:rsidRPr="00D84519" w:rsidRDefault="00D84519" w:rsidP="00D84519">
      <w:pPr>
        <w:contextualSpacing/>
        <w:rPr>
          <w:rFonts w:ascii="Times New Roman" w:hAnsi="Times New Roman" w:cs="Times New Roman"/>
          <w:lang w:val="en-US"/>
        </w:rPr>
      </w:pPr>
    </w:p>
    <w:p w14:paraId="0C75A984" w14:textId="44721246" w:rsidR="00D84519" w:rsidRDefault="00D84519" w:rsidP="00D84519">
      <w:pPr>
        <w:contextualSpacing/>
        <w:rPr>
          <w:rFonts w:ascii="Times New Roman" w:hAnsi="Times New Roman" w:cs="Times New Roman"/>
          <w:lang w:val="en-US"/>
        </w:rPr>
      </w:pPr>
      <w:r w:rsidRPr="00D84519">
        <w:rPr>
          <w:rFonts w:ascii="Times New Roman" w:hAnsi="Times New Roman" w:cs="Times New Roman"/>
          <w:lang w:val="en-US"/>
        </w:rPr>
        <w:t>Henningsen</w:t>
      </w:r>
      <w:r>
        <w:rPr>
          <w:rFonts w:ascii="Times New Roman" w:hAnsi="Times New Roman" w:cs="Times New Roman"/>
          <w:lang w:val="en-US"/>
        </w:rPr>
        <w:t xml:space="preserve"> </w:t>
      </w:r>
      <w:r w:rsidRPr="00D84519">
        <w:rPr>
          <w:rFonts w:ascii="Times New Roman" w:hAnsi="Times New Roman" w:cs="Times New Roman"/>
          <w:lang w:val="en-US"/>
        </w:rPr>
        <w:t xml:space="preserve">2006, </w:t>
      </w:r>
    </w:p>
    <w:p w14:paraId="3B4D79E6" w14:textId="097BD080" w:rsidR="00D84519" w:rsidRPr="00D84519" w:rsidRDefault="00D84519" w:rsidP="00D84519">
      <w:pPr>
        <w:contextualSpacing/>
        <w:rPr>
          <w:rFonts w:ascii="Times New Roman" w:hAnsi="Times New Roman" w:cs="Times New Roman"/>
          <w:lang w:val="en-US"/>
        </w:rPr>
      </w:pPr>
      <w:r>
        <w:rPr>
          <w:rFonts w:ascii="Times New Roman" w:hAnsi="Times New Roman" w:cs="Times New Roman"/>
          <w:lang w:val="en-US"/>
        </w:rPr>
        <w:t xml:space="preserve">Bernd </w:t>
      </w:r>
      <w:proofErr w:type="spellStart"/>
      <w:r>
        <w:rPr>
          <w:rFonts w:ascii="Times New Roman" w:hAnsi="Times New Roman" w:cs="Times New Roman"/>
          <w:lang w:val="en-US"/>
        </w:rPr>
        <w:t>Hennigsen</w:t>
      </w:r>
      <w:proofErr w:type="spellEnd"/>
      <w:r>
        <w:rPr>
          <w:rFonts w:ascii="Times New Roman" w:hAnsi="Times New Roman" w:cs="Times New Roman"/>
          <w:lang w:val="en-US"/>
        </w:rPr>
        <w:t xml:space="preserve">, </w:t>
      </w:r>
      <w:r w:rsidRPr="00D84519">
        <w:rPr>
          <w:rFonts w:ascii="Times New Roman" w:hAnsi="Times New Roman" w:cs="Times New Roman"/>
          <w:lang w:val="en-US"/>
        </w:rPr>
        <w:t xml:space="preserve">“A </w:t>
      </w:r>
      <w:r w:rsidR="002D21DC">
        <w:rPr>
          <w:rFonts w:ascii="Times New Roman" w:hAnsi="Times New Roman" w:cs="Times New Roman"/>
          <w:lang w:val="en-US"/>
        </w:rPr>
        <w:t>J</w:t>
      </w:r>
      <w:r w:rsidRPr="00D84519">
        <w:rPr>
          <w:rFonts w:ascii="Times New Roman" w:hAnsi="Times New Roman" w:cs="Times New Roman"/>
          <w:lang w:val="en-US"/>
        </w:rPr>
        <w:t xml:space="preserve">oyful </w:t>
      </w:r>
      <w:r w:rsidR="002D21DC">
        <w:rPr>
          <w:rFonts w:ascii="Times New Roman" w:hAnsi="Times New Roman" w:cs="Times New Roman"/>
          <w:lang w:val="en-US"/>
        </w:rPr>
        <w:t>G</w:t>
      </w:r>
      <w:r w:rsidRPr="00D84519">
        <w:rPr>
          <w:rFonts w:ascii="Times New Roman" w:hAnsi="Times New Roman" w:cs="Times New Roman"/>
          <w:lang w:val="en-US"/>
        </w:rPr>
        <w:t>ood-bye to Wilhelm von Humboldt: the German university and the Humboldtian ideals of ‘</w:t>
      </w:r>
      <w:proofErr w:type="spellStart"/>
      <w:r w:rsidRPr="00D84519">
        <w:rPr>
          <w:rFonts w:ascii="Times New Roman" w:hAnsi="Times New Roman" w:cs="Times New Roman"/>
          <w:lang w:val="en-US"/>
        </w:rPr>
        <w:t>Einsamkeit</w:t>
      </w:r>
      <w:proofErr w:type="spellEnd"/>
      <w:r w:rsidRPr="00D84519">
        <w:rPr>
          <w:rFonts w:ascii="Times New Roman" w:hAnsi="Times New Roman" w:cs="Times New Roman"/>
          <w:lang w:val="en-US"/>
        </w:rPr>
        <w:t xml:space="preserve"> and Freiheit’”, in K. </w:t>
      </w:r>
      <w:proofErr w:type="spellStart"/>
      <w:r w:rsidRPr="00D84519">
        <w:rPr>
          <w:rFonts w:ascii="Times New Roman" w:hAnsi="Times New Roman" w:cs="Times New Roman"/>
          <w:lang w:val="en-US"/>
        </w:rPr>
        <w:t>Blückert</w:t>
      </w:r>
      <w:proofErr w:type="spellEnd"/>
      <w:r w:rsidRPr="00D84519">
        <w:rPr>
          <w:rFonts w:ascii="Times New Roman" w:hAnsi="Times New Roman" w:cs="Times New Roman"/>
          <w:lang w:val="en-US"/>
        </w:rPr>
        <w:t xml:space="preserve"> et al. (eds), </w:t>
      </w:r>
      <w:r w:rsidRPr="00D84519">
        <w:rPr>
          <w:rFonts w:ascii="Times New Roman" w:hAnsi="Times New Roman" w:cs="Times New Roman"/>
          <w:i/>
          <w:lang w:val="en-US"/>
        </w:rPr>
        <w:t>The European Research University</w:t>
      </w:r>
      <w:r w:rsidRPr="00D84519">
        <w:rPr>
          <w:rFonts w:ascii="Times New Roman" w:hAnsi="Times New Roman" w:cs="Times New Roman"/>
          <w:lang w:val="en-US"/>
        </w:rPr>
        <w:t>, New York, Palgrave Macmillan,</w:t>
      </w:r>
      <w:r>
        <w:rPr>
          <w:rFonts w:ascii="Times New Roman" w:hAnsi="Times New Roman" w:cs="Times New Roman"/>
          <w:lang w:val="en-US"/>
        </w:rPr>
        <w:t xml:space="preserve"> 2006,</w:t>
      </w:r>
      <w:r w:rsidRPr="00D84519">
        <w:rPr>
          <w:rFonts w:ascii="Times New Roman" w:hAnsi="Times New Roman" w:cs="Times New Roman"/>
          <w:lang w:val="en-US"/>
        </w:rPr>
        <w:t xml:space="preserve"> p. 91-107.</w:t>
      </w:r>
    </w:p>
    <w:p w14:paraId="069D6E71" w14:textId="77777777" w:rsidR="00D84519" w:rsidRPr="00D84519" w:rsidRDefault="00D84519" w:rsidP="00D84519">
      <w:pPr>
        <w:contextualSpacing/>
        <w:rPr>
          <w:rFonts w:ascii="Times New Roman" w:hAnsi="Times New Roman" w:cs="Times New Roman"/>
          <w:lang w:val="en-US"/>
        </w:rPr>
      </w:pPr>
    </w:p>
    <w:p w14:paraId="5E225ED9" w14:textId="77777777" w:rsidR="00D84519" w:rsidRDefault="00D84519" w:rsidP="00D84519">
      <w:pPr>
        <w:widowControl w:val="0"/>
        <w:tabs>
          <w:tab w:val="left" w:pos="9066"/>
        </w:tabs>
        <w:autoSpaceDE w:val="0"/>
        <w:autoSpaceDN w:val="0"/>
        <w:adjustRightInd w:val="0"/>
        <w:spacing w:after="240"/>
        <w:ind w:right="-6"/>
        <w:contextualSpacing/>
        <w:jc w:val="both"/>
        <w:rPr>
          <w:rFonts w:ascii="Times New Roman" w:hAnsi="Times New Roman" w:cs="Times New Roman"/>
          <w:lang w:val="en-US"/>
        </w:rPr>
      </w:pPr>
      <w:r w:rsidRPr="00D84519">
        <w:rPr>
          <w:rFonts w:ascii="Times New Roman" w:hAnsi="Times New Roman" w:cs="Times New Roman"/>
          <w:lang w:val="en-US"/>
        </w:rPr>
        <w:t>Michelsen</w:t>
      </w:r>
      <w:r>
        <w:rPr>
          <w:rFonts w:ascii="Times New Roman" w:hAnsi="Times New Roman" w:cs="Times New Roman"/>
          <w:lang w:val="en-US"/>
        </w:rPr>
        <w:t xml:space="preserve"> </w:t>
      </w:r>
      <w:r w:rsidRPr="00D84519">
        <w:rPr>
          <w:rFonts w:ascii="Times New Roman" w:hAnsi="Times New Roman" w:cs="Times New Roman"/>
          <w:lang w:val="en-US"/>
        </w:rPr>
        <w:t>2010</w:t>
      </w:r>
    </w:p>
    <w:p w14:paraId="706AB7E9" w14:textId="2D1F67B3" w:rsidR="00D84519" w:rsidRPr="00D84519" w:rsidRDefault="00D84519" w:rsidP="00D84519">
      <w:pPr>
        <w:widowControl w:val="0"/>
        <w:tabs>
          <w:tab w:val="left" w:pos="9066"/>
        </w:tabs>
        <w:autoSpaceDE w:val="0"/>
        <w:autoSpaceDN w:val="0"/>
        <w:adjustRightInd w:val="0"/>
        <w:spacing w:after="240"/>
        <w:ind w:right="-6"/>
        <w:contextualSpacing/>
        <w:jc w:val="both"/>
        <w:rPr>
          <w:rFonts w:ascii="Times New Roman" w:hAnsi="Times New Roman" w:cs="Times New Roman"/>
          <w:lang w:val="en-US"/>
        </w:rPr>
      </w:pPr>
      <w:proofErr w:type="spellStart"/>
      <w:r>
        <w:rPr>
          <w:rFonts w:ascii="Times New Roman" w:hAnsi="Times New Roman" w:cs="Times New Roman"/>
          <w:lang w:val="en-US"/>
        </w:rPr>
        <w:t>Svein</w:t>
      </w:r>
      <w:proofErr w:type="spellEnd"/>
      <w:r>
        <w:rPr>
          <w:rFonts w:ascii="Times New Roman" w:hAnsi="Times New Roman" w:cs="Times New Roman"/>
          <w:lang w:val="en-US"/>
        </w:rPr>
        <w:t>, Michelsen</w:t>
      </w:r>
      <w:r w:rsidRPr="00D84519">
        <w:rPr>
          <w:rFonts w:ascii="Times New Roman" w:hAnsi="Times New Roman" w:cs="Times New Roman"/>
          <w:lang w:val="en-US"/>
        </w:rPr>
        <w:t xml:space="preserve"> “Humboldt meets Bologna”, in </w:t>
      </w:r>
      <w:r w:rsidRPr="00D84519">
        <w:rPr>
          <w:rFonts w:ascii="Times New Roman" w:hAnsi="Times New Roman" w:cs="Times New Roman"/>
          <w:i/>
          <w:lang w:val="en-US"/>
        </w:rPr>
        <w:t>Higher Education Policy,</w:t>
      </w:r>
      <w:r w:rsidRPr="00D84519">
        <w:rPr>
          <w:rFonts w:ascii="Times New Roman" w:hAnsi="Times New Roman" w:cs="Times New Roman"/>
          <w:lang w:val="en-US"/>
        </w:rPr>
        <w:t xml:space="preserve"> n°23, </w:t>
      </w:r>
      <w:r>
        <w:rPr>
          <w:rFonts w:ascii="Times New Roman" w:hAnsi="Times New Roman" w:cs="Times New Roman"/>
          <w:lang w:val="en-US"/>
        </w:rPr>
        <w:t xml:space="preserve">2010, </w:t>
      </w:r>
      <w:r w:rsidRPr="00D84519">
        <w:rPr>
          <w:rFonts w:ascii="Times New Roman" w:hAnsi="Times New Roman" w:cs="Times New Roman"/>
          <w:lang w:val="en-US"/>
        </w:rPr>
        <w:t>p. 151-172.</w:t>
      </w:r>
    </w:p>
    <w:p w14:paraId="2598C282" w14:textId="77777777" w:rsidR="00D84519" w:rsidRPr="00D84519" w:rsidRDefault="00D84519" w:rsidP="00D84519">
      <w:pPr>
        <w:contextualSpacing/>
        <w:rPr>
          <w:rFonts w:ascii="Times New Roman" w:hAnsi="Times New Roman" w:cs="Times New Roman"/>
          <w:lang w:val="en-US"/>
        </w:rPr>
      </w:pPr>
    </w:p>
    <w:p w14:paraId="51F7CFA3" w14:textId="5582A268" w:rsidR="00D84519" w:rsidRDefault="00D84519" w:rsidP="00D84519">
      <w:pPr>
        <w:contextualSpacing/>
        <w:rPr>
          <w:rFonts w:ascii="Times New Roman" w:hAnsi="Times New Roman" w:cs="Times New Roman"/>
          <w:lang w:val="en-US"/>
        </w:rPr>
      </w:pPr>
      <w:proofErr w:type="spellStart"/>
      <w:r w:rsidRPr="00D84519">
        <w:rPr>
          <w:rFonts w:ascii="Times New Roman" w:hAnsi="Times New Roman" w:cs="Times New Roman"/>
          <w:lang w:val="en-US"/>
        </w:rPr>
        <w:t>Östling</w:t>
      </w:r>
      <w:proofErr w:type="spellEnd"/>
      <w:r>
        <w:rPr>
          <w:rFonts w:ascii="Times New Roman" w:hAnsi="Times New Roman" w:cs="Times New Roman"/>
          <w:lang w:val="en-US"/>
        </w:rPr>
        <w:t xml:space="preserve"> </w:t>
      </w:r>
      <w:r w:rsidRPr="00D84519">
        <w:rPr>
          <w:rFonts w:ascii="Times New Roman" w:hAnsi="Times New Roman" w:cs="Times New Roman"/>
          <w:lang w:val="en-US"/>
        </w:rPr>
        <w:t>2018</w:t>
      </w:r>
    </w:p>
    <w:p w14:paraId="06E94B7E" w14:textId="6AAA1C98" w:rsidR="00D84519" w:rsidRPr="00D84519" w:rsidRDefault="00D84519" w:rsidP="00D84519">
      <w:pPr>
        <w:contextualSpacing/>
        <w:rPr>
          <w:rFonts w:ascii="Times New Roman" w:hAnsi="Times New Roman" w:cs="Times New Roman"/>
          <w:lang w:val="en-US"/>
        </w:rPr>
      </w:pPr>
      <w:r>
        <w:rPr>
          <w:rFonts w:ascii="Times New Roman" w:hAnsi="Times New Roman" w:cs="Times New Roman"/>
          <w:lang w:val="en-US"/>
        </w:rPr>
        <w:t xml:space="preserve">Johan </w:t>
      </w:r>
      <w:proofErr w:type="spellStart"/>
      <w:r w:rsidRPr="00D84519">
        <w:rPr>
          <w:rFonts w:ascii="Times New Roman" w:hAnsi="Times New Roman" w:cs="Times New Roman"/>
          <w:lang w:val="en-US"/>
        </w:rPr>
        <w:t>Östling</w:t>
      </w:r>
      <w:proofErr w:type="spellEnd"/>
      <w:r>
        <w:rPr>
          <w:rFonts w:ascii="Times New Roman" w:hAnsi="Times New Roman" w:cs="Times New Roman"/>
          <w:lang w:val="en-US"/>
        </w:rPr>
        <w:t>,</w:t>
      </w:r>
      <w:r w:rsidRPr="00D84519">
        <w:rPr>
          <w:rFonts w:ascii="Times New Roman" w:hAnsi="Times New Roman" w:cs="Times New Roman"/>
          <w:i/>
          <w:lang w:val="en-US"/>
        </w:rPr>
        <w:t xml:space="preserve"> Humboldt and the Modern German University</w:t>
      </w:r>
      <w:r w:rsidRPr="00D84519">
        <w:rPr>
          <w:rFonts w:ascii="Times New Roman" w:hAnsi="Times New Roman" w:cs="Times New Roman"/>
          <w:lang w:val="en-US"/>
        </w:rPr>
        <w:t>, Lund, Lund University Press</w:t>
      </w:r>
      <w:r>
        <w:rPr>
          <w:rFonts w:ascii="Times New Roman" w:hAnsi="Times New Roman" w:cs="Times New Roman"/>
          <w:lang w:val="en-US"/>
        </w:rPr>
        <w:t>, 2018.</w:t>
      </w:r>
    </w:p>
    <w:p w14:paraId="1232C7C4" w14:textId="77777777" w:rsidR="00D84519" w:rsidRPr="00D84519" w:rsidRDefault="00D84519" w:rsidP="00D84519">
      <w:pPr>
        <w:contextualSpacing/>
        <w:rPr>
          <w:rFonts w:ascii="Times New Roman" w:hAnsi="Times New Roman" w:cs="Times New Roman"/>
          <w:lang w:val="en-US"/>
        </w:rPr>
      </w:pPr>
    </w:p>
    <w:p w14:paraId="45FDD239" w14:textId="3AA2B812" w:rsidR="00D84519" w:rsidRPr="00D84519" w:rsidRDefault="00D84519" w:rsidP="00D84519">
      <w:pPr>
        <w:contextualSpacing/>
        <w:rPr>
          <w:rFonts w:ascii="Times New Roman" w:hAnsi="Times New Roman" w:cs="Times New Roman"/>
          <w:lang w:val="en-US"/>
        </w:rPr>
      </w:pPr>
      <w:proofErr w:type="spellStart"/>
      <w:r w:rsidRPr="00D84519">
        <w:rPr>
          <w:rFonts w:ascii="Times New Roman" w:hAnsi="Times New Roman" w:cs="Times New Roman"/>
          <w:lang w:val="en-US"/>
        </w:rPr>
        <w:t>Rorty</w:t>
      </w:r>
      <w:proofErr w:type="spellEnd"/>
      <w:r w:rsidRPr="00D84519">
        <w:rPr>
          <w:rFonts w:ascii="Times New Roman" w:hAnsi="Times New Roman" w:cs="Times New Roman"/>
          <w:lang w:val="en-US"/>
        </w:rPr>
        <w:t xml:space="preserve"> 1984</w:t>
      </w:r>
    </w:p>
    <w:p w14:paraId="4512E318" w14:textId="6F0372B4" w:rsidR="00D84519" w:rsidRPr="00D84519" w:rsidRDefault="00D84519" w:rsidP="00D84519">
      <w:pPr>
        <w:contextualSpacing/>
        <w:rPr>
          <w:rFonts w:ascii="Times New Roman" w:hAnsi="Times New Roman" w:cs="Times New Roman"/>
          <w:lang w:val="en-US"/>
        </w:rPr>
      </w:pPr>
      <w:r w:rsidRPr="00D84519">
        <w:rPr>
          <w:rFonts w:ascii="Times New Roman" w:hAnsi="Times New Roman" w:cs="Times New Roman"/>
          <w:lang w:val="en-US"/>
        </w:rPr>
        <w:t xml:space="preserve">Richard </w:t>
      </w:r>
      <w:proofErr w:type="spellStart"/>
      <w:r w:rsidRPr="00D84519">
        <w:rPr>
          <w:rFonts w:ascii="Times New Roman" w:hAnsi="Times New Roman" w:cs="Times New Roman"/>
          <w:lang w:val="en-US"/>
        </w:rPr>
        <w:t>Rorty</w:t>
      </w:r>
      <w:proofErr w:type="spellEnd"/>
      <w:r w:rsidRPr="00D84519">
        <w:rPr>
          <w:rFonts w:ascii="Times New Roman" w:hAnsi="Times New Roman" w:cs="Times New Roman"/>
          <w:lang w:val="en-US"/>
        </w:rPr>
        <w:t xml:space="preserve">, “The historiography of Philosophy: Four Genres”, in R. </w:t>
      </w:r>
      <w:proofErr w:type="spellStart"/>
      <w:r w:rsidRPr="00D84519">
        <w:rPr>
          <w:rFonts w:ascii="Times New Roman" w:hAnsi="Times New Roman" w:cs="Times New Roman"/>
          <w:lang w:val="en-US"/>
        </w:rPr>
        <w:t>Rorty</w:t>
      </w:r>
      <w:proofErr w:type="spellEnd"/>
      <w:r w:rsidRPr="00D84519">
        <w:rPr>
          <w:rFonts w:ascii="Times New Roman" w:hAnsi="Times New Roman" w:cs="Times New Roman"/>
          <w:lang w:val="en-US"/>
        </w:rPr>
        <w:t xml:space="preserve">, et al. (eds), </w:t>
      </w:r>
      <w:r w:rsidRPr="00D84519">
        <w:rPr>
          <w:rFonts w:ascii="Times New Roman" w:hAnsi="Times New Roman" w:cs="Times New Roman"/>
          <w:i/>
          <w:lang w:val="en-US"/>
        </w:rPr>
        <w:t>Philosophy in History</w:t>
      </w:r>
      <w:r w:rsidRPr="00D84519">
        <w:rPr>
          <w:rFonts w:ascii="Times New Roman" w:hAnsi="Times New Roman" w:cs="Times New Roman"/>
          <w:lang w:val="en-US"/>
        </w:rPr>
        <w:t>, Cambridge, Cambridge University Press, 1984, p. 49-76.</w:t>
      </w:r>
    </w:p>
    <w:p w14:paraId="61182637" w14:textId="77777777" w:rsidR="00D84519" w:rsidRPr="00D84519" w:rsidRDefault="00D84519" w:rsidP="00D84519">
      <w:pPr>
        <w:contextualSpacing/>
        <w:rPr>
          <w:rFonts w:ascii="Times New Roman" w:hAnsi="Times New Roman" w:cs="Times New Roman"/>
          <w:lang w:val="en-US"/>
        </w:rPr>
      </w:pPr>
    </w:p>
    <w:p w14:paraId="36791D08" w14:textId="77777777" w:rsidR="00D84519" w:rsidRPr="00254976" w:rsidRDefault="00D84519" w:rsidP="00D84519">
      <w:pPr>
        <w:contextualSpacing/>
        <w:rPr>
          <w:rFonts w:ascii="Times New Roman" w:hAnsi="Times New Roman" w:cs="Times New Roman"/>
        </w:rPr>
      </w:pPr>
      <w:proofErr w:type="spellStart"/>
      <w:r w:rsidRPr="00254976">
        <w:rPr>
          <w:rFonts w:ascii="Times New Roman" w:hAnsi="Times New Roman" w:cs="Times New Roman"/>
        </w:rPr>
        <w:t>Schultheis</w:t>
      </w:r>
      <w:proofErr w:type="spellEnd"/>
      <w:r w:rsidRPr="00254976">
        <w:rPr>
          <w:rFonts w:ascii="Times New Roman" w:hAnsi="Times New Roman" w:cs="Times New Roman"/>
        </w:rPr>
        <w:t xml:space="preserve"> 2008</w:t>
      </w:r>
    </w:p>
    <w:p w14:paraId="735ABC32" w14:textId="1B706706" w:rsidR="00D84519" w:rsidRPr="00D84519" w:rsidRDefault="00D84519" w:rsidP="00D84519">
      <w:pPr>
        <w:contextualSpacing/>
        <w:rPr>
          <w:rFonts w:ascii="Times New Roman" w:hAnsi="Times New Roman" w:cs="Times New Roman"/>
        </w:rPr>
      </w:pPr>
      <w:r>
        <w:rPr>
          <w:rFonts w:ascii="Times New Roman" w:hAnsi="Times New Roman" w:cs="Times New Roman"/>
        </w:rPr>
        <w:t xml:space="preserve">Franz </w:t>
      </w:r>
      <w:proofErr w:type="spellStart"/>
      <w:r>
        <w:rPr>
          <w:rFonts w:ascii="Times New Roman" w:hAnsi="Times New Roman" w:cs="Times New Roman"/>
        </w:rPr>
        <w:t>Schultheis</w:t>
      </w:r>
      <w:proofErr w:type="spellEnd"/>
      <w:r>
        <w:rPr>
          <w:rFonts w:ascii="Times New Roman" w:hAnsi="Times New Roman" w:cs="Times New Roman"/>
        </w:rPr>
        <w:t xml:space="preserve"> et al. (</w:t>
      </w:r>
      <w:proofErr w:type="spellStart"/>
      <w:r>
        <w:rPr>
          <w:rFonts w:ascii="Times New Roman" w:hAnsi="Times New Roman" w:cs="Times New Roman"/>
        </w:rPr>
        <w:t>ed</w:t>
      </w:r>
      <w:proofErr w:type="spellEnd"/>
      <w:r>
        <w:rPr>
          <w:rFonts w:ascii="Times New Roman" w:hAnsi="Times New Roman" w:cs="Times New Roman"/>
        </w:rPr>
        <w:t>.)</w:t>
      </w:r>
      <w:r w:rsidRPr="00D84519">
        <w:rPr>
          <w:rFonts w:ascii="Times New Roman" w:hAnsi="Times New Roman" w:cs="Times New Roman"/>
        </w:rPr>
        <w:t xml:space="preserve">, </w:t>
      </w:r>
      <w:r w:rsidRPr="00D84519">
        <w:rPr>
          <w:rFonts w:ascii="Times New Roman" w:hAnsi="Times New Roman" w:cs="Times New Roman"/>
          <w:i/>
        </w:rPr>
        <w:t>Le cauchemar de Humboldt. Les réformes de l’enseignement supérieur européen</w:t>
      </w:r>
      <w:r w:rsidRPr="00D84519">
        <w:rPr>
          <w:rFonts w:ascii="Times New Roman" w:hAnsi="Times New Roman" w:cs="Times New Roman"/>
        </w:rPr>
        <w:t>, Paris, Raisons d’agir</w:t>
      </w:r>
      <w:r>
        <w:rPr>
          <w:rFonts w:ascii="Times New Roman" w:hAnsi="Times New Roman" w:cs="Times New Roman"/>
        </w:rPr>
        <w:t>, 2008.</w:t>
      </w:r>
    </w:p>
    <w:p w14:paraId="4B733620" w14:textId="77777777" w:rsidR="00D84519" w:rsidRPr="00D84519" w:rsidRDefault="00D84519" w:rsidP="00D84519">
      <w:pPr>
        <w:contextualSpacing/>
        <w:rPr>
          <w:rFonts w:ascii="Times New Roman" w:hAnsi="Times New Roman" w:cs="Times New Roman"/>
        </w:rPr>
      </w:pPr>
    </w:p>
    <w:p w14:paraId="173D4040" w14:textId="7290939A" w:rsidR="00D84519" w:rsidRPr="007244D0" w:rsidRDefault="00D84519" w:rsidP="00D84519">
      <w:pPr>
        <w:tabs>
          <w:tab w:val="left" w:pos="9066"/>
        </w:tabs>
        <w:ind w:right="-6"/>
        <w:jc w:val="both"/>
        <w:rPr>
          <w:rFonts w:ascii="Times New Roman" w:hAnsi="Times New Roman" w:cs="Times New Roman"/>
        </w:rPr>
      </w:pPr>
      <w:proofErr w:type="spellStart"/>
      <w:r w:rsidRPr="007244D0">
        <w:rPr>
          <w:rFonts w:ascii="Times New Roman" w:hAnsi="Times New Roman" w:cs="Times New Roman"/>
        </w:rPr>
        <w:t>Schwinges</w:t>
      </w:r>
      <w:proofErr w:type="spellEnd"/>
      <w:r w:rsidRPr="007244D0">
        <w:rPr>
          <w:rFonts w:ascii="Times New Roman" w:hAnsi="Times New Roman" w:cs="Times New Roman"/>
        </w:rPr>
        <w:t xml:space="preserve"> 2001, </w:t>
      </w:r>
    </w:p>
    <w:p w14:paraId="7251655E" w14:textId="2DE78C6D" w:rsidR="00D84519" w:rsidRPr="007244D0" w:rsidRDefault="00D84519" w:rsidP="00D84519">
      <w:pPr>
        <w:tabs>
          <w:tab w:val="left" w:pos="9066"/>
        </w:tabs>
        <w:ind w:right="-6"/>
        <w:jc w:val="both"/>
        <w:rPr>
          <w:rFonts w:ascii="Times New Roman" w:hAnsi="Times New Roman" w:cs="Times New Roman"/>
        </w:rPr>
      </w:pPr>
      <w:r w:rsidRPr="007244D0">
        <w:rPr>
          <w:rFonts w:ascii="Times New Roman" w:hAnsi="Times New Roman" w:cs="Times New Roman"/>
        </w:rPr>
        <w:t xml:space="preserve">Rainer Christoph </w:t>
      </w:r>
      <w:proofErr w:type="spellStart"/>
      <w:r w:rsidRPr="007244D0">
        <w:rPr>
          <w:rFonts w:ascii="Times New Roman" w:hAnsi="Times New Roman" w:cs="Times New Roman"/>
        </w:rPr>
        <w:t>Schwinges</w:t>
      </w:r>
      <w:proofErr w:type="spellEnd"/>
      <w:r w:rsidRPr="007244D0">
        <w:rPr>
          <w:rFonts w:ascii="Times New Roman" w:hAnsi="Times New Roman" w:cs="Times New Roman"/>
        </w:rPr>
        <w:t xml:space="preserve"> et al. (</w:t>
      </w:r>
      <w:proofErr w:type="spellStart"/>
      <w:r w:rsidRPr="007244D0">
        <w:rPr>
          <w:rFonts w:ascii="Times New Roman" w:hAnsi="Times New Roman" w:cs="Times New Roman"/>
        </w:rPr>
        <w:t>ed</w:t>
      </w:r>
      <w:proofErr w:type="spellEnd"/>
      <w:r w:rsidRPr="007244D0">
        <w:rPr>
          <w:rFonts w:ascii="Times New Roman" w:hAnsi="Times New Roman" w:cs="Times New Roman"/>
        </w:rPr>
        <w:t>.),</w:t>
      </w:r>
      <w:r w:rsidRPr="007244D0">
        <w:rPr>
          <w:rFonts w:ascii="Times New Roman" w:hAnsi="Times New Roman" w:cs="Times New Roman"/>
          <w:i/>
        </w:rPr>
        <w:t xml:space="preserve"> Humboldt international. Der Export des </w:t>
      </w:r>
      <w:proofErr w:type="spellStart"/>
      <w:r w:rsidRPr="007244D0">
        <w:rPr>
          <w:rFonts w:ascii="Times New Roman" w:hAnsi="Times New Roman" w:cs="Times New Roman"/>
          <w:i/>
        </w:rPr>
        <w:t>Universitätsmodells</w:t>
      </w:r>
      <w:proofErr w:type="spellEnd"/>
      <w:r w:rsidRPr="007244D0">
        <w:rPr>
          <w:rFonts w:ascii="Times New Roman" w:hAnsi="Times New Roman" w:cs="Times New Roman"/>
          <w:i/>
        </w:rPr>
        <w:t xml:space="preserve"> </w:t>
      </w:r>
      <w:proofErr w:type="spellStart"/>
      <w:r w:rsidRPr="007244D0">
        <w:rPr>
          <w:rFonts w:ascii="Times New Roman" w:hAnsi="Times New Roman" w:cs="Times New Roman"/>
          <w:i/>
        </w:rPr>
        <w:t>im</w:t>
      </w:r>
      <w:proofErr w:type="spellEnd"/>
      <w:r w:rsidRPr="007244D0">
        <w:rPr>
          <w:rFonts w:ascii="Times New Roman" w:hAnsi="Times New Roman" w:cs="Times New Roman"/>
          <w:i/>
        </w:rPr>
        <w:t xml:space="preserve"> 19. </w:t>
      </w:r>
      <w:proofErr w:type="spellStart"/>
      <w:r w:rsidRPr="007244D0">
        <w:rPr>
          <w:rFonts w:ascii="Times New Roman" w:hAnsi="Times New Roman" w:cs="Times New Roman"/>
          <w:i/>
        </w:rPr>
        <w:t>und</w:t>
      </w:r>
      <w:proofErr w:type="spellEnd"/>
      <w:r w:rsidRPr="007244D0">
        <w:rPr>
          <w:rFonts w:ascii="Times New Roman" w:hAnsi="Times New Roman" w:cs="Times New Roman"/>
          <w:i/>
        </w:rPr>
        <w:t xml:space="preserve"> 20. </w:t>
      </w:r>
      <w:proofErr w:type="spellStart"/>
      <w:r w:rsidRPr="007244D0">
        <w:rPr>
          <w:rFonts w:ascii="Times New Roman" w:hAnsi="Times New Roman" w:cs="Times New Roman"/>
          <w:i/>
        </w:rPr>
        <w:t>Jahrhundert</w:t>
      </w:r>
      <w:proofErr w:type="spellEnd"/>
      <w:r w:rsidRPr="007244D0">
        <w:rPr>
          <w:rFonts w:ascii="Times New Roman" w:hAnsi="Times New Roman" w:cs="Times New Roman"/>
        </w:rPr>
        <w:t xml:space="preserve">, Basel, </w:t>
      </w:r>
      <w:proofErr w:type="spellStart"/>
      <w:r w:rsidRPr="007244D0">
        <w:rPr>
          <w:rFonts w:ascii="Times New Roman" w:hAnsi="Times New Roman" w:cs="Times New Roman"/>
        </w:rPr>
        <w:t>Schwabe</w:t>
      </w:r>
      <w:proofErr w:type="spellEnd"/>
      <w:r w:rsidRPr="007244D0">
        <w:rPr>
          <w:rFonts w:ascii="Times New Roman" w:hAnsi="Times New Roman" w:cs="Times New Roman"/>
        </w:rPr>
        <w:t xml:space="preserve"> </w:t>
      </w:r>
      <w:proofErr w:type="spellStart"/>
      <w:r w:rsidRPr="007244D0">
        <w:rPr>
          <w:rFonts w:ascii="Times New Roman" w:hAnsi="Times New Roman" w:cs="Times New Roman"/>
        </w:rPr>
        <w:t>Verlag</w:t>
      </w:r>
      <w:proofErr w:type="spellEnd"/>
      <w:r w:rsidRPr="007244D0">
        <w:rPr>
          <w:rFonts w:ascii="Times New Roman" w:hAnsi="Times New Roman" w:cs="Times New Roman"/>
        </w:rPr>
        <w:t>, 2009.</w:t>
      </w:r>
    </w:p>
    <w:p w14:paraId="11A4976A" w14:textId="77777777" w:rsidR="00D84519" w:rsidRPr="00D84519" w:rsidRDefault="00D84519" w:rsidP="00D84519">
      <w:pPr>
        <w:contextualSpacing/>
        <w:rPr>
          <w:rFonts w:ascii="Times New Roman" w:hAnsi="Times New Roman" w:cs="Times New Roman"/>
        </w:rPr>
      </w:pPr>
    </w:p>
    <w:p w14:paraId="10B8F24D" w14:textId="36C0CB97" w:rsidR="00D84519" w:rsidRPr="007244D0" w:rsidRDefault="00D84519" w:rsidP="00D84519">
      <w:pPr>
        <w:contextualSpacing/>
        <w:rPr>
          <w:rFonts w:ascii="Times New Roman" w:hAnsi="Times New Roman" w:cs="Times New Roman"/>
        </w:rPr>
      </w:pPr>
      <w:r w:rsidRPr="007244D0">
        <w:rPr>
          <w:rFonts w:ascii="Times New Roman" w:hAnsi="Times New Roman" w:cs="Times New Roman"/>
        </w:rPr>
        <w:t>Skinner 1969</w:t>
      </w:r>
    </w:p>
    <w:p w14:paraId="7DDEB3F9" w14:textId="621C3133" w:rsidR="00D84519" w:rsidRPr="00D84519" w:rsidRDefault="00D84519" w:rsidP="00D84519">
      <w:pPr>
        <w:contextualSpacing/>
        <w:rPr>
          <w:rFonts w:ascii="Times New Roman" w:hAnsi="Times New Roman" w:cs="Times New Roman"/>
          <w:lang w:val="en-US"/>
        </w:rPr>
      </w:pPr>
      <w:r w:rsidRPr="00D84519">
        <w:rPr>
          <w:rFonts w:ascii="Times New Roman" w:hAnsi="Times New Roman" w:cs="Times New Roman"/>
          <w:lang w:val="en-US"/>
        </w:rPr>
        <w:t xml:space="preserve">Quentin Skinner, “Meaning and Understanding in the History of Ideas”, in </w:t>
      </w:r>
      <w:r w:rsidRPr="00D84519">
        <w:rPr>
          <w:rFonts w:ascii="Times New Roman" w:hAnsi="Times New Roman" w:cs="Times New Roman"/>
          <w:i/>
          <w:lang w:val="en-US"/>
        </w:rPr>
        <w:t>History and Theory</w:t>
      </w:r>
      <w:r w:rsidRPr="00D84519">
        <w:rPr>
          <w:rFonts w:ascii="Times New Roman" w:hAnsi="Times New Roman" w:cs="Times New Roman"/>
          <w:lang w:val="en-US"/>
        </w:rPr>
        <w:t>, Vol. 8/1, 1969, p. 3-53.</w:t>
      </w:r>
    </w:p>
    <w:sectPr w:rsidR="00D84519" w:rsidRPr="00D845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CC2342" w14:textId="77777777" w:rsidR="00A768CB" w:rsidRDefault="00A768CB" w:rsidP="007E4C86">
      <w:r>
        <w:separator/>
      </w:r>
    </w:p>
  </w:endnote>
  <w:endnote w:type="continuationSeparator" w:id="0">
    <w:p w14:paraId="17E07002" w14:textId="77777777" w:rsidR="00A768CB" w:rsidRDefault="00A768CB" w:rsidP="007E4C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9B29BD" w14:textId="77777777" w:rsidR="00A768CB" w:rsidRDefault="00A768CB" w:rsidP="007E4C86">
      <w:r>
        <w:separator/>
      </w:r>
    </w:p>
  </w:footnote>
  <w:footnote w:type="continuationSeparator" w:id="0">
    <w:p w14:paraId="779C27E2" w14:textId="77777777" w:rsidR="00A768CB" w:rsidRDefault="00A768CB" w:rsidP="007E4C86">
      <w:r>
        <w:continuationSeparator/>
      </w:r>
    </w:p>
  </w:footnote>
  <w:footnote w:id="1">
    <w:p w14:paraId="41762752" w14:textId="1E9EC873" w:rsidR="007E4C86" w:rsidRPr="00D84519" w:rsidRDefault="007E4C86" w:rsidP="007E4C86">
      <w:pPr>
        <w:pStyle w:val="Notedebasdepage"/>
        <w:rPr>
          <w:rFonts w:ascii="Times New Roman" w:hAnsi="Times New Roman" w:cs="Times New Roman"/>
          <w:lang w:val="en-US"/>
        </w:rPr>
      </w:pPr>
      <w:r w:rsidRPr="00D84519">
        <w:rPr>
          <w:rStyle w:val="Appelnotedebasdep"/>
          <w:rFonts w:ascii="Times New Roman" w:hAnsi="Times New Roman" w:cs="Times New Roman"/>
        </w:rPr>
        <w:footnoteRef/>
      </w:r>
      <w:r w:rsidRPr="00D84519">
        <w:rPr>
          <w:rFonts w:ascii="Times New Roman" w:hAnsi="Times New Roman" w:cs="Times New Roman"/>
          <w:lang w:val="en-US"/>
        </w:rPr>
        <w:t xml:space="preserve"> </w:t>
      </w:r>
      <w:r w:rsidRPr="00D84519">
        <w:rPr>
          <w:rFonts w:ascii="Times New Roman" w:hAnsi="Times New Roman" w:cs="Times New Roman"/>
          <w:i/>
          <w:iCs/>
          <w:lang w:val="en-US"/>
        </w:rPr>
        <w:t xml:space="preserve">This article has been </w:t>
      </w:r>
      <w:r w:rsidRPr="00D84519">
        <w:rPr>
          <w:rFonts w:ascii="Times New Roman" w:hAnsi="Times New Roman" w:cs="Times New Roman"/>
          <w:i/>
          <w:iCs/>
          <w:lang w:val="en-GB"/>
        </w:rPr>
        <w:t>funded by the European Union (</w:t>
      </w:r>
      <w:proofErr w:type="spellStart"/>
      <w:r w:rsidRPr="00D84519">
        <w:rPr>
          <w:rFonts w:ascii="Times New Roman" w:hAnsi="Times New Roman" w:cs="Times New Roman"/>
          <w:i/>
          <w:iCs/>
          <w:lang w:val="en-GB"/>
        </w:rPr>
        <w:t>BildungLearning</w:t>
      </w:r>
      <w:proofErr w:type="spellEnd"/>
      <w:r w:rsidRPr="00D84519">
        <w:rPr>
          <w:rFonts w:ascii="Times New Roman" w:hAnsi="Times New Roman" w:cs="Times New Roman"/>
          <w:i/>
          <w:iCs/>
          <w:lang w:val="en-GB"/>
        </w:rPr>
        <w:t>, ERC project No. 101043433). Views and opinions expressed are however those of the author only and do not necessarily reflect those of the European Union or the European Research Council Executive Agency. Neither the European Union nor the granting authority can be held responsible for them</w:t>
      </w:r>
      <w:r w:rsidRPr="00D84519">
        <w:rPr>
          <w:rFonts w:ascii="Times New Roman" w:hAnsi="Times New Roman" w:cs="Times New Roman"/>
          <w:i/>
          <w:iCs/>
          <w:lang w:val="en-US"/>
        </w:rPr>
        <w:t>.</w:t>
      </w:r>
    </w:p>
  </w:footnote>
  <w:footnote w:id="2">
    <w:p w14:paraId="3D4FA77B" w14:textId="033D2FAC" w:rsidR="000339FA" w:rsidRPr="007244D0" w:rsidRDefault="000339FA">
      <w:pPr>
        <w:pStyle w:val="Notedebasdepage"/>
        <w:rPr>
          <w:lang w:val="en-US"/>
        </w:rPr>
      </w:pPr>
      <w:r>
        <w:rPr>
          <w:rStyle w:val="Appelnotedebasdep"/>
        </w:rPr>
        <w:footnoteRef/>
      </w:r>
      <w:r w:rsidRPr="007244D0">
        <w:rPr>
          <w:lang w:val="en-US"/>
        </w:rPr>
        <w:t xml:space="preserve"> </w:t>
      </w:r>
      <w:r w:rsidRPr="000339FA">
        <w:rPr>
          <w:rFonts w:ascii="Times New Roman" w:hAnsi="Times New Roman" w:cs="Times New Roman"/>
          <w:lang w:val="en-US"/>
        </w:rPr>
        <w:t>European Commission 1995, 2000</w:t>
      </w:r>
      <w:r>
        <w:rPr>
          <w:rFonts w:ascii="Times New Roman" w:hAnsi="Times New Roman" w:cs="Times New Roman"/>
          <w:lang w:val="en-US"/>
        </w:rPr>
        <w:t>.</w:t>
      </w:r>
    </w:p>
  </w:footnote>
  <w:footnote w:id="3">
    <w:p w14:paraId="2934F8CC" w14:textId="42CAA107" w:rsidR="00D84519" w:rsidRPr="007244D0" w:rsidRDefault="00D84519">
      <w:pPr>
        <w:pStyle w:val="Notedebasdepage"/>
        <w:rPr>
          <w:rFonts w:ascii="Times New Roman" w:hAnsi="Times New Roman" w:cs="Times New Roman"/>
          <w:lang w:val="en-US"/>
        </w:rPr>
      </w:pPr>
      <w:r w:rsidRPr="00D84519">
        <w:rPr>
          <w:rStyle w:val="Appelnotedebasdep"/>
          <w:rFonts w:ascii="Times New Roman" w:hAnsi="Times New Roman" w:cs="Times New Roman"/>
        </w:rPr>
        <w:footnoteRef/>
      </w:r>
      <w:r w:rsidRPr="007244D0">
        <w:rPr>
          <w:rFonts w:ascii="Times New Roman" w:hAnsi="Times New Roman" w:cs="Times New Roman"/>
          <w:lang w:val="en-US"/>
        </w:rPr>
        <w:t xml:space="preserve"> </w:t>
      </w:r>
      <w:r w:rsidRPr="00D84519">
        <w:rPr>
          <w:rFonts w:ascii="Times New Roman" w:hAnsi="Times New Roman" w:cs="Times New Roman"/>
          <w:lang w:val="en-US"/>
        </w:rPr>
        <w:t>Henningsen 2006.</w:t>
      </w:r>
    </w:p>
  </w:footnote>
  <w:footnote w:id="4">
    <w:p w14:paraId="19DB9D85" w14:textId="5D835214" w:rsidR="00D84519" w:rsidRPr="007244D0" w:rsidRDefault="00D84519">
      <w:pPr>
        <w:pStyle w:val="Notedebasdepage"/>
        <w:rPr>
          <w:rFonts w:ascii="Times New Roman" w:hAnsi="Times New Roman" w:cs="Times New Roman"/>
          <w:lang w:val="en-US"/>
        </w:rPr>
      </w:pPr>
      <w:r w:rsidRPr="00D84519">
        <w:rPr>
          <w:rStyle w:val="Appelnotedebasdep"/>
          <w:rFonts w:ascii="Times New Roman" w:hAnsi="Times New Roman" w:cs="Times New Roman"/>
        </w:rPr>
        <w:footnoteRef/>
      </w:r>
      <w:r w:rsidRPr="007244D0">
        <w:rPr>
          <w:rFonts w:ascii="Times New Roman" w:hAnsi="Times New Roman" w:cs="Times New Roman"/>
          <w:lang w:val="en-US"/>
        </w:rPr>
        <w:t xml:space="preserve"> </w:t>
      </w:r>
      <w:r w:rsidRPr="00D84519">
        <w:rPr>
          <w:rFonts w:ascii="Times New Roman" w:hAnsi="Times New Roman" w:cs="Times New Roman"/>
          <w:lang w:val="en-US"/>
        </w:rPr>
        <w:t>Schultheis et al. 2008.</w:t>
      </w:r>
    </w:p>
  </w:footnote>
  <w:footnote w:id="5">
    <w:p w14:paraId="470BDFCE" w14:textId="7C3544A7" w:rsidR="00D84519" w:rsidRPr="00D84519" w:rsidRDefault="00D84519">
      <w:pPr>
        <w:pStyle w:val="Notedebasdepage"/>
        <w:rPr>
          <w:rFonts w:ascii="Times New Roman" w:hAnsi="Times New Roman" w:cs="Times New Roman"/>
          <w:lang w:val="en-US"/>
        </w:rPr>
      </w:pPr>
      <w:r w:rsidRPr="00D84519">
        <w:rPr>
          <w:rStyle w:val="Appelnotedebasdep"/>
          <w:rFonts w:ascii="Times New Roman" w:hAnsi="Times New Roman" w:cs="Times New Roman"/>
        </w:rPr>
        <w:footnoteRef/>
      </w:r>
      <w:r w:rsidRPr="00D84519">
        <w:rPr>
          <w:rFonts w:ascii="Times New Roman" w:hAnsi="Times New Roman" w:cs="Times New Roman"/>
          <w:lang w:val="en-US"/>
        </w:rPr>
        <w:t xml:space="preserve"> Michelsen 2010.</w:t>
      </w:r>
    </w:p>
  </w:footnote>
  <w:footnote w:id="6">
    <w:p w14:paraId="0C64C5FB" w14:textId="277C283F" w:rsidR="00D84519" w:rsidRPr="00D84519" w:rsidRDefault="00D84519">
      <w:pPr>
        <w:pStyle w:val="Notedebasdepage"/>
        <w:rPr>
          <w:rFonts w:ascii="Times New Roman" w:hAnsi="Times New Roman" w:cs="Times New Roman"/>
          <w:lang w:val="en-US"/>
        </w:rPr>
      </w:pPr>
      <w:r w:rsidRPr="00D84519">
        <w:rPr>
          <w:rStyle w:val="Appelnotedebasdep"/>
          <w:rFonts w:ascii="Times New Roman" w:hAnsi="Times New Roman" w:cs="Times New Roman"/>
        </w:rPr>
        <w:footnoteRef/>
      </w:r>
      <w:r w:rsidRPr="00D84519">
        <w:rPr>
          <w:rFonts w:ascii="Times New Roman" w:hAnsi="Times New Roman" w:cs="Times New Roman"/>
          <w:lang w:val="en-US"/>
        </w:rPr>
        <w:t xml:space="preserve"> </w:t>
      </w:r>
      <w:proofErr w:type="spellStart"/>
      <w:r w:rsidRPr="00D84519">
        <w:rPr>
          <w:rFonts w:ascii="Times New Roman" w:hAnsi="Times New Roman" w:cs="Times New Roman"/>
          <w:lang w:val="en-US"/>
        </w:rPr>
        <w:t>Schwinges</w:t>
      </w:r>
      <w:proofErr w:type="spellEnd"/>
      <w:r w:rsidRPr="00D84519">
        <w:rPr>
          <w:rFonts w:ascii="Times New Roman" w:hAnsi="Times New Roman" w:cs="Times New Roman"/>
          <w:lang w:val="en-US"/>
        </w:rPr>
        <w:t xml:space="preserve"> 2001.</w:t>
      </w:r>
    </w:p>
  </w:footnote>
  <w:footnote w:id="7">
    <w:p w14:paraId="58F4E959" w14:textId="2312D0DB" w:rsidR="00D84519" w:rsidRPr="00D84519" w:rsidRDefault="00D84519">
      <w:pPr>
        <w:pStyle w:val="Notedebasdepage"/>
        <w:rPr>
          <w:rFonts w:ascii="Times New Roman" w:hAnsi="Times New Roman" w:cs="Times New Roman"/>
          <w:lang w:val="en-US"/>
        </w:rPr>
      </w:pPr>
      <w:r w:rsidRPr="00D84519">
        <w:rPr>
          <w:rStyle w:val="Appelnotedebasdep"/>
          <w:rFonts w:ascii="Times New Roman" w:hAnsi="Times New Roman" w:cs="Times New Roman"/>
        </w:rPr>
        <w:footnoteRef/>
      </w:r>
      <w:r w:rsidRPr="00D84519">
        <w:rPr>
          <w:rFonts w:ascii="Times New Roman" w:hAnsi="Times New Roman" w:cs="Times New Roman"/>
          <w:lang w:val="en-US"/>
        </w:rPr>
        <w:t xml:space="preserve"> </w:t>
      </w:r>
      <w:proofErr w:type="spellStart"/>
      <w:r w:rsidRPr="00D84519">
        <w:rPr>
          <w:rFonts w:ascii="Times New Roman" w:hAnsi="Times New Roman" w:cs="Times New Roman"/>
          <w:lang w:val="en-US"/>
        </w:rPr>
        <w:t>Östling</w:t>
      </w:r>
      <w:proofErr w:type="spellEnd"/>
      <w:r w:rsidRPr="00D84519">
        <w:rPr>
          <w:rFonts w:ascii="Times New Roman" w:hAnsi="Times New Roman" w:cs="Times New Roman"/>
          <w:lang w:val="en-US"/>
        </w:rPr>
        <w:t xml:space="preserve"> 2018.</w:t>
      </w:r>
    </w:p>
  </w:footnote>
  <w:footnote w:id="8">
    <w:p w14:paraId="1230A09C" w14:textId="619C90BF" w:rsidR="00D84519" w:rsidRPr="00D84519" w:rsidRDefault="00D84519">
      <w:pPr>
        <w:pStyle w:val="Notedebasdepage"/>
        <w:rPr>
          <w:rFonts w:ascii="Times New Roman" w:hAnsi="Times New Roman" w:cs="Times New Roman"/>
          <w:lang w:val="en-US"/>
        </w:rPr>
      </w:pPr>
      <w:r w:rsidRPr="00D84519">
        <w:rPr>
          <w:rStyle w:val="Appelnotedebasdep"/>
          <w:rFonts w:ascii="Times New Roman" w:hAnsi="Times New Roman" w:cs="Times New Roman"/>
        </w:rPr>
        <w:footnoteRef/>
      </w:r>
      <w:r w:rsidRPr="00D84519">
        <w:rPr>
          <w:rFonts w:ascii="Times New Roman" w:hAnsi="Times New Roman" w:cs="Times New Roman"/>
          <w:lang w:val="en-US"/>
        </w:rPr>
        <w:t xml:space="preserve"> </w:t>
      </w:r>
      <w:proofErr w:type="spellStart"/>
      <w:r w:rsidRPr="00D84519">
        <w:rPr>
          <w:rFonts w:ascii="Times New Roman" w:hAnsi="Times New Roman" w:cs="Times New Roman"/>
          <w:lang w:val="en-US"/>
        </w:rPr>
        <w:t>Schwinges</w:t>
      </w:r>
      <w:proofErr w:type="spellEnd"/>
      <w:r w:rsidRPr="00D84519">
        <w:rPr>
          <w:rFonts w:ascii="Times New Roman" w:hAnsi="Times New Roman" w:cs="Times New Roman"/>
          <w:lang w:val="en-US"/>
        </w:rPr>
        <w:t xml:space="preserve"> 2001.</w:t>
      </w:r>
    </w:p>
  </w:footnote>
  <w:footnote w:id="9">
    <w:p w14:paraId="4DEEA9FF" w14:textId="63AB2315" w:rsidR="00D84519" w:rsidRPr="00D84519" w:rsidRDefault="00D84519">
      <w:pPr>
        <w:pStyle w:val="Notedebasdepage"/>
        <w:rPr>
          <w:rFonts w:ascii="Times New Roman" w:hAnsi="Times New Roman" w:cs="Times New Roman"/>
          <w:lang w:val="en-US"/>
        </w:rPr>
      </w:pPr>
      <w:r w:rsidRPr="00D84519">
        <w:rPr>
          <w:rStyle w:val="Appelnotedebasdep"/>
          <w:rFonts w:ascii="Times New Roman" w:hAnsi="Times New Roman" w:cs="Times New Roman"/>
        </w:rPr>
        <w:footnoteRef/>
      </w:r>
      <w:r w:rsidRPr="00D84519">
        <w:rPr>
          <w:rFonts w:ascii="Times New Roman" w:hAnsi="Times New Roman" w:cs="Times New Roman"/>
          <w:lang w:val="en-US"/>
        </w:rPr>
        <w:t xml:space="preserve"> Gadamer 1960, p. 15.</w:t>
      </w:r>
    </w:p>
  </w:footnote>
  <w:footnote w:id="10">
    <w:p w14:paraId="13D97550" w14:textId="778A122F" w:rsidR="00D84519" w:rsidRPr="007244D0" w:rsidRDefault="00D84519">
      <w:pPr>
        <w:pStyle w:val="Notedebasdepage"/>
        <w:rPr>
          <w:rFonts w:ascii="Times New Roman" w:hAnsi="Times New Roman" w:cs="Times New Roman"/>
          <w:lang w:val="en-US"/>
        </w:rPr>
      </w:pPr>
      <w:r w:rsidRPr="00D84519">
        <w:rPr>
          <w:rStyle w:val="Appelnotedebasdep"/>
          <w:rFonts w:ascii="Times New Roman" w:hAnsi="Times New Roman" w:cs="Times New Roman"/>
        </w:rPr>
        <w:footnoteRef/>
      </w:r>
      <w:r w:rsidRPr="007244D0">
        <w:rPr>
          <w:rFonts w:ascii="Times New Roman" w:hAnsi="Times New Roman" w:cs="Times New Roman"/>
          <w:lang w:val="en-US"/>
        </w:rPr>
        <w:t xml:space="preserve"> Skinner 1969, </w:t>
      </w:r>
      <w:proofErr w:type="spellStart"/>
      <w:r w:rsidRPr="007244D0">
        <w:rPr>
          <w:rFonts w:ascii="Times New Roman" w:hAnsi="Times New Roman" w:cs="Times New Roman"/>
          <w:lang w:val="en-US"/>
        </w:rPr>
        <w:t>Rorty</w:t>
      </w:r>
      <w:proofErr w:type="spellEnd"/>
      <w:r w:rsidRPr="007244D0">
        <w:rPr>
          <w:rFonts w:ascii="Times New Roman" w:hAnsi="Times New Roman" w:cs="Times New Roman"/>
          <w:lang w:val="en-US"/>
        </w:rPr>
        <w:t xml:space="preserve"> 1984.</w:t>
      </w:r>
    </w:p>
  </w:footnote>
  <w:footnote w:id="11">
    <w:p w14:paraId="1AF0AFA4" w14:textId="33AAED4C" w:rsidR="00D84519" w:rsidRPr="00D84519" w:rsidRDefault="00D84519">
      <w:pPr>
        <w:pStyle w:val="Notedebasdepage"/>
        <w:rPr>
          <w:rFonts w:ascii="Times New Roman" w:hAnsi="Times New Roman" w:cs="Times New Roman"/>
          <w:lang w:val="fr-FR"/>
        </w:rPr>
      </w:pPr>
      <w:r w:rsidRPr="00D84519">
        <w:rPr>
          <w:rStyle w:val="Appelnotedebasdep"/>
          <w:rFonts w:ascii="Times New Roman" w:hAnsi="Times New Roman" w:cs="Times New Roman"/>
        </w:rPr>
        <w:footnoteRef/>
      </w:r>
      <w:r w:rsidRPr="00D84519">
        <w:rPr>
          <w:rFonts w:ascii="Times New Roman" w:hAnsi="Times New Roman" w:cs="Times New Roman"/>
        </w:rPr>
        <w:t xml:space="preserve"> </w:t>
      </w:r>
      <w:r>
        <w:rPr>
          <w:rFonts w:ascii="Times New Roman" w:hAnsi="Times New Roman" w:cs="Times New Roman"/>
        </w:rPr>
        <w:t>Garber 2003.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8"/>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02E"/>
    <w:rsid w:val="000170A4"/>
    <w:rsid w:val="000339FA"/>
    <w:rsid w:val="000C563E"/>
    <w:rsid w:val="0010780F"/>
    <w:rsid w:val="0013102E"/>
    <w:rsid w:val="00154ED6"/>
    <w:rsid w:val="00254976"/>
    <w:rsid w:val="002628D6"/>
    <w:rsid w:val="002629A0"/>
    <w:rsid w:val="00263973"/>
    <w:rsid w:val="002A0DE5"/>
    <w:rsid w:val="002B575B"/>
    <w:rsid w:val="002D21DC"/>
    <w:rsid w:val="002F04F0"/>
    <w:rsid w:val="002F16F7"/>
    <w:rsid w:val="003422C1"/>
    <w:rsid w:val="00376393"/>
    <w:rsid w:val="003F5C2D"/>
    <w:rsid w:val="004A1E34"/>
    <w:rsid w:val="004A7298"/>
    <w:rsid w:val="004B209F"/>
    <w:rsid w:val="004E18A9"/>
    <w:rsid w:val="0060042E"/>
    <w:rsid w:val="00641D48"/>
    <w:rsid w:val="007244D0"/>
    <w:rsid w:val="007E4C86"/>
    <w:rsid w:val="00936931"/>
    <w:rsid w:val="00951D33"/>
    <w:rsid w:val="009A118A"/>
    <w:rsid w:val="00A436B1"/>
    <w:rsid w:val="00A768CB"/>
    <w:rsid w:val="00B423EF"/>
    <w:rsid w:val="00C73087"/>
    <w:rsid w:val="00C7326D"/>
    <w:rsid w:val="00C73797"/>
    <w:rsid w:val="00C857D1"/>
    <w:rsid w:val="00C865DC"/>
    <w:rsid w:val="00CA4E0A"/>
    <w:rsid w:val="00CA619F"/>
    <w:rsid w:val="00D7040F"/>
    <w:rsid w:val="00D84519"/>
    <w:rsid w:val="00D91ECE"/>
    <w:rsid w:val="00E028BB"/>
    <w:rsid w:val="00E26A34"/>
    <w:rsid w:val="00EF3260"/>
    <w:rsid w:val="00F8101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0E655873"/>
  <w15:chartTrackingRefBased/>
  <w15:docId w15:val="{B5F5E9D5-4D1A-B344-B86D-EEE5464B2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13102E"/>
    <w:pPr>
      <w:spacing w:before="100" w:beforeAutospacing="1" w:after="100" w:afterAutospacing="1"/>
    </w:pPr>
    <w:rPr>
      <w:rFonts w:ascii="Times New Roman" w:eastAsia="Times New Roman" w:hAnsi="Times New Roman" w:cs="Times New Roman"/>
      <w:lang w:eastAsia="fr-FR"/>
    </w:rPr>
  </w:style>
  <w:style w:type="paragraph" w:styleId="Notedebasdepage">
    <w:name w:val="footnote text"/>
    <w:aliases w:val=" Car Car, Car Car Car Car Car, Car Car Car"/>
    <w:basedOn w:val="Normal"/>
    <w:link w:val="NotedebasdepageCar"/>
    <w:uiPriority w:val="99"/>
    <w:unhideWhenUsed/>
    <w:rsid w:val="007E4C86"/>
    <w:rPr>
      <w:kern w:val="2"/>
      <w:sz w:val="20"/>
      <w:szCs w:val="20"/>
      <w14:ligatures w14:val="standardContextual"/>
    </w:rPr>
  </w:style>
  <w:style w:type="character" w:customStyle="1" w:styleId="NotedebasdepageCar">
    <w:name w:val="Note de bas de page Car"/>
    <w:aliases w:val=" Car Car Car1, Car Car Car Car Car Car, Car Car Car Car"/>
    <w:basedOn w:val="Policepardfaut"/>
    <w:link w:val="Notedebasdepage"/>
    <w:uiPriority w:val="99"/>
    <w:rsid w:val="007E4C86"/>
    <w:rPr>
      <w:kern w:val="2"/>
      <w:sz w:val="20"/>
      <w:szCs w:val="20"/>
      <w14:ligatures w14:val="standardContextual"/>
    </w:rPr>
  </w:style>
  <w:style w:type="character" w:styleId="Appelnotedebasdep">
    <w:name w:val="footnote reference"/>
    <w:basedOn w:val="Policepardfaut"/>
    <w:uiPriority w:val="99"/>
    <w:unhideWhenUsed/>
    <w:rsid w:val="007E4C86"/>
    <w:rPr>
      <w:vertAlign w:val="superscript"/>
    </w:rPr>
  </w:style>
  <w:style w:type="character" w:customStyle="1" w:styleId="normaltextrun">
    <w:name w:val="normaltextrun"/>
    <w:basedOn w:val="Policepardfaut"/>
    <w:rsid w:val="00254976"/>
  </w:style>
  <w:style w:type="character" w:customStyle="1" w:styleId="eop">
    <w:name w:val="eop"/>
    <w:basedOn w:val="Policepardfaut"/>
    <w:rsid w:val="002549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177</TotalTime>
  <Pages>7</Pages>
  <Words>3491</Words>
  <Characters>20563</Characters>
  <Application>Microsoft Office Word</Application>
  <DocSecurity>0</DocSecurity>
  <Lines>321</Lines>
  <Paragraphs>98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Quentin Landenne</dc:creator>
  <cp:keywords/>
  <dc:description/>
  <cp:lastModifiedBy>Quentin Landenne</cp:lastModifiedBy>
  <cp:revision>9</cp:revision>
  <dcterms:created xsi:type="dcterms:W3CDTF">2025-03-01T17:58:00Z</dcterms:created>
  <dcterms:modified xsi:type="dcterms:W3CDTF">2025-03-27T09:30:00Z</dcterms:modified>
</cp:coreProperties>
</file>