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E56" w:rsidRPr="00426FC9" w:rsidRDefault="00727E56" w:rsidP="00727E56">
      <w:pPr>
        <w:spacing w:line="360" w:lineRule="auto"/>
        <w:jc w:val="both"/>
        <w:rPr>
          <w:b/>
          <w:spacing w:val="30"/>
          <w:kern w:val="16"/>
          <w:lang w:val="en-GB"/>
        </w:rPr>
      </w:pPr>
      <w:bookmarkStart w:id="0" w:name="_GoBack"/>
      <w:bookmarkEnd w:id="0"/>
      <w:r>
        <w:rPr>
          <w:b/>
          <w:spacing w:val="30"/>
          <w:kern w:val="16"/>
          <w:lang w:val="en-GB"/>
        </w:rPr>
        <w:t>Evaluation of Fluorotype MTB</w:t>
      </w:r>
      <w:r w:rsidRPr="00426FC9">
        <w:rPr>
          <w:b/>
          <w:spacing w:val="30"/>
          <w:kern w:val="16"/>
          <w:lang w:val="en-GB"/>
        </w:rPr>
        <w:t xml:space="preserve"> assay</w:t>
      </w:r>
      <w:r w:rsidRPr="002C33DE">
        <w:t xml:space="preserve"> </w:t>
      </w:r>
      <w:r w:rsidRPr="002C33DE">
        <w:rPr>
          <w:b/>
          <w:spacing w:val="30"/>
          <w:kern w:val="16"/>
          <w:lang w:val="en-GB"/>
        </w:rPr>
        <w:t>®</w:t>
      </w:r>
      <w:r w:rsidRPr="00426FC9">
        <w:rPr>
          <w:b/>
          <w:spacing w:val="30"/>
          <w:kern w:val="16"/>
          <w:lang w:val="en-GB"/>
        </w:rPr>
        <w:t xml:space="preserve"> for diagnosis of extrapulmonary tuberculosis </w:t>
      </w:r>
    </w:p>
    <w:p w:rsidR="00727E56" w:rsidRDefault="00727E56" w:rsidP="00727E56">
      <w:pPr>
        <w:spacing w:line="360" w:lineRule="auto"/>
        <w:jc w:val="both"/>
        <w:rPr>
          <w:spacing w:val="30"/>
          <w:kern w:val="16"/>
          <w:lang w:val="en-GB"/>
        </w:rPr>
      </w:pPr>
    </w:p>
    <w:p w:rsidR="00727E56" w:rsidRPr="00426FC9" w:rsidRDefault="00727E56" w:rsidP="00727E56">
      <w:pPr>
        <w:spacing w:line="360" w:lineRule="auto"/>
        <w:jc w:val="both"/>
        <w:rPr>
          <w:spacing w:val="30"/>
          <w:kern w:val="16"/>
          <w:lang w:val="en-GB"/>
        </w:rPr>
      </w:pPr>
      <w:proofErr w:type="spellStart"/>
      <w:r>
        <w:rPr>
          <w:spacing w:val="30"/>
          <w:kern w:val="16"/>
          <w:lang w:val="en-GB"/>
        </w:rPr>
        <w:t>Dewulf</w:t>
      </w:r>
      <w:proofErr w:type="spellEnd"/>
      <w:r>
        <w:rPr>
          <w:spacing w:val="30"/>
          <w:kern w:val="16"/>
          <w:lang w:val="en-GB"/>
        </w:rPr>
        <w:t xml:space="preserve"> J (1), </w:t>
      </w:r>
      <w:proofErr w:type="spellStart"/>
      <w:r>
        <w:rPr>
          <w:spacing w:val="30"/>
          <w:kern w:val="16"/>
          <w:lang w:val="en-GB"/>
        </w:rPr>
        <w:t>Tancre</w:t>
      </w:r>
      <w:proofErr w:type="spellEnd"/>
      <w:r>
        <w:rPr>
          <w:spacing w:val="30"/>
          <w:kern w:val="16"/>
          <w:lang w:val="en-GB"/>
        </w:rPr>
        <w:t xml:space="preserve"> A-</w:t>
      </w:r>
      <w:proofErr w:type="gramStart"/>
      <w:r>
        <w:rPr>
          <w:spacing w:val="30"/>
          <w:kern w:val="16"/>
          <w:lang w:val="en-GB"/>
        </w:rPr>
        <w:t>S(</w:t>
      </w:r>
      <w:proofErr w:type="gramEnd"/>
      <w:r>
        <w:rPr>
          <w:spacing w:val="30"/>
          <w:kern w:val="16"/>
          <w:lang w:val="en-GB"/>
        </w:rPr>
        <w:t xml:space="preserve">1), </w:t>
      </w:r>
      <w:proofErr w:type="spellStart"/>
      <w:r>
        <w:rPr>
          <w:spacing w:val="30"/>
          <w:kern w:val="16"/>
          <w:lang w:val="en-GB"/>
        </w:rPr>
        <w:t>Bressant</w:t>
      </w:r>
      <w:proofErr w:type="spellEnd"/>
      <w:r>
        <w:rPr>
          <w:spacing w:val="30"/>
          <w:kern w:val="16"/>
          <w:lang w:val="en-GB"/>
        </w:rPr>
        <w:t xml:space="preserve"> F(1), </w:t>
      </w:r>
      <w:proofErr w:type="spellStart"/>
      <w:r>
        <w:rPr>
          <w:spacing w:val="30"/>
          <w:kern w:val="16"/>
          <w:lang w:val="en-GB"/>
        </w:rPr>
        <w:t>Colmant</w:t>
      </w:r>
      <w:proofErr w:type="spellEnd"/>
      <w:r>
        <w:rPr>
          <w:spacing w:val="30"/>
          <w:kern w:val="16"/>
          <w:lang w:val="en-GB"/>
        </w:rPr>
        <w:t xml:space="preserve"> A(1), </w:t>
      </w:r>
      <w:proofErr w:type="spellStart"/>
      <w:r>
        <w:rPr>
          <w:spacing w:val="30"/>
          <w:kern w:val="16"/>
          <w:lang w:val="en-GB"/>
        </w:rPr>
        <w:t>Kabamba-Mukadi</w:t>
      </w:r>
      <w:proofErr w:type="spellEnd"/>
      <w:r>
        <w:rPr>
          <w:spacing w:val="30"/>
          <w:kern w:val="16"/>
          <w:lang w:val="en-GB"/>
        </w:rPr>
        <w:t xml:space="preserve"> B(1,2), André E(1,2)</w:t>
      </w:r>
    </w:p>
    <w:p w:rsidR="00727E56" w:rsidRDefault="00727E56" w:rsidP="00727E56">
      <w:pPr>
        <w:spacing w:line="360" w:lineRule="auto"/>
        <w:jc w:val="both"/>
        <w:rPr>
          <w:spacing w:val="30"/>
          <w:kern w:val="16"/>
          <w:lang w:val="en-GB"/>
        </w:rPr>
      </w:pPr>
    </w:p>
    <w:p w:rsidR="00727E56" w:rsidRDefault="00727E56" w:rsidP="00727E56">
      <w:pPr>
        <w:spacing w:line="360" w:lineRule="auto"/>
        <w:jc w:val="both"/>
        <w:rPr>
          <w:spacing w:val="30"/>
          <w:kern w:val="16"/>
          <w:lang w:val="en-GB"/>
        </w:rPr>
      </w:pPr>
    </w:p>
    <w:p w:rsidR="00727E56" w:rsidRDefault="00727E56" w:rsidP="00727E56">
      <w:pPr>
        <w:spacing w:line="360" w:lineRule="auto"/>
        <w:jc w:val="both"/>
        <w:rPr>
          <w:spacing w:val="30"/>
          <w:kern w:val="16"/>
          <w:lang w:val="en-GB"/>
        </w:rPr>
      </w:pPr>
      <w:r>
        <w:rPr>
          <w:spacing w:val="30"/>
          <w:kern w:val="16"/>
          <w:lang w:val="en-GB"/>
        </w:rPr>
        <w:t xml:space="preserve">(1) </w:t>
      </w:r>
      <w:proofErr w:type="spellStart"/>
      <w:r>
        <w:rPr>
          <w:spacing w:val="30"/>
          <w:kern w:val="16"/>
          <w:lang w:val="en-GB"/>
        </w:rPr>
        <w:t>Unité</w:t>
      </w:r>
      <w:proofErr w:type="spellEnd"/>
      <w:r>
        <w:rPr>
          <w:spacing w:val="30"/>
          <w:kern w:val="16"/>
          <w:lang w:val="en-GB"/>
        </w:rPr>
        <w:t xml:space="preserve"> de </w:t>
      </w:r>
      <w:proofErr w:type="spellStart"/>
      <w:r>
        <w:rPr>
          <w:spacing w:val="30"/>
          <w:kern w:val="16"/>
          <w:lang w:val="en-GB"/>
        </w:rPr>
        <w:t>Microbiologie</w:t>
      </w:r>
      <w:proofErr w:type="spellEnd"/>
      <w:r>
        <w:rPr>
          <w:spacing w:val="30"/>
          <w:kern w:val="16"/>
          <w:lang w:val="en-GB"/>
        </w:rPr>
        <w:t xml:space="preserve">, </w:t>
      </w:r>
      <w:proofErr w:type="spellStart"/>
      <w:r>
        <w:rPr>
          <w:spacing w:val="30"/>
          <w:kern w:val="16"/>
          <w:lang w:val="en-GB"/>
        </w:rPr>
        <w:t>Département</w:t>
      </w:r>
      <w:proofErr w:type="spellEnd"/>
      <w:r>
        <w:rPr>
          <w:spacing w:val="30"/>
          <w:kern w:val="16"/>
          <w:lang w:val="en-GB"/>
        </w:rPr>
        <w:t xml:space="preserve"> de </w:t>
      </w:r>
      <w:proofErr w:type="spellStart"/>
      <w:r>
        <w:rPr>
          <w:spacing w:val="30"/>
          <w:kern w:val="16"/>
          <w:lang w:val="en-GB"/>
        </w:rPr>
        <w:t>Biologie</w:t>
      </w:r>
      <w:proofErr w:type="spellEnd"/>
      <w:r>
        <w:rPr>
          <w:spacing w:val="30"/>
          <w:kern w:val="16"/>
          <w:lang w:val="en-GB"/>
        </w:rPr>
        <w:t xml:space="preserve"> Clinique, Cliniques Universitaires Saint-Luc, Brussels, Belgium</w:t>
      </w:r>
    </w:p>
    <w:p w:rsidR="00727E56" w:rsidRDefault="00727E56" w:rsidP="00727E56">
      <w:pPr>
        <w:spacing w:line="360" w:lineRule="auto"/>
        <w:jc w:val="both"/>
        <w:rPr>
          <w:spacing w:val="30"/>
          <w:kern w:val="16"/>
          <w:lang w:val="en-GB"/>
        </w:rPr>
      </w:pPr>
      <w:r>
        <w:rPr>
          <w:spacing w:val="30"/>
          <w:kern w:val="16"/>
          <w:lang w:val="en-GB"/>
        </w:rPr>
        <w:t xml:space="preserve">(2) </w:t>
      </w:r>
      <w:proofErr w:type="spellStart"/>
      <w:r>
        <w:rPr>
          <w:spacing w:val="30"/>
          <w:kern w:val="16"/>
          <w:lang w:val="en-GB"/>
        </w:rPr>
        <w:t>Pôle</w:t>
      </w:r>
      <w:proofErr w:type="spellEnd"/>
      <w:r>
        <w:rPr>
          <w:spacing w:val="30"/>
          <w:kern w:val="16"/>
          <w:lang w:val="en-GB"/>
        </w:rPr>
        <w:t xml:space="preserve"> de </w:t>
      </w:r>
      <w:proofErr w:type="spellStart"/>
      <w:r>
        <w:rPr>
          <w:spacing w:val="30"/>
          <w:kern w:val="16"/>
          <w:lang w:val="en-GB"/>
        </w:rPr>
        <w:t>Microbiologie</w:t>
      </w:r>
      <w:proofErr w:type="spellEnd"/>
      <w:r>
        <w:rPr>
          <w:spacing w:val="30"/>
          <w:kern w:val="16"/>
          <w:lang w:val="en-GB"/>
        </w:rPr>
        <w:t xml:space="preserve">, </w:t>
      </w:r>
      <w:proofErr w:type="spellStart"/>
      <w:r>
        <w:rPr>
          <w:spacing w:val="30"/>
          <w:kern w:val="16"/>
          <w:lang w:val="en-GB"/>
        </w:rPr>
        <w:t>Institut</w:t>
      </w:r>
      <w:proofErr w:type="spellEnd"/>
      <w:r>
        <w:rPr>
          <w:spacing w:val="30"/>
          <w:kern w:val="16"/>
          <w:lang w:val="en-GB"/>
        </w:rPr>
        <w:t xml:space="preserve"> de </w:t>
      </w:r>
      <w:proofErr w:type="spellStart"/>
      <w:r>
        <w:rPr>
          <w:spacing w:val="30"/>
          <w:kern w:val="16"/>
          <w:lang w:val="en-GB"/>
        </w:rPr>
        <w:t>Recherche</w:t>
      </w:r>
      <w:proofErr w:type="spellEnd"/>
      <w:r>
        <w:rPr>
          <w:spacing w:val="30"/>
          <w:kern w:val="16"/>
          <w:lang w:val="en-GB"/>
        </w:rPr>
        <w:t xml:space="preserve"> </w:t>
      </w:r>
      <w:proofErr w:type="spellStart"/>
      <w:r>
        <w:rPr>
          <w:spacing w:val="30"/>
          <w:kern w:val="16"/>
          <w:lang w:val="en-GB"/>
        </w:rPr>
        <w:t>Expérimentale</w:t>
      </w:r>
      <w:proofErr w:type="spellEnd"/>
      <w:r>
        <w:rPr>
          <w:spacing w:val="30"/>
          <w:kern w:val="16"/>
          <w:lang w:val="en-GB"/>
        </w:rPr>
        <w:t xml:space="preserve"> </w:t>
      </w:r>
      <w:proofErr w:type="gramStart"/>
      <w:r>
        <w:rPr>
          <w:spacing w:val="30"/>
          <w:kern w:val="16"/>
          <w:lang w:val="en-GB"/>
        </w:rPr>
        <w:t>et</w:t>
      </w:r>
      <w:proofErr w:type="gramEnd"/>
      <w:r>
        <w:rPr>
          <w:spacing w:val="30"/>
          <w:kern w:val="16"/>
          <w:lang w:val="en-GB"/>
        </w:rPr>
        <w:t xml:space="preserve"> Clinique, </w:t>
      </w:r>
      <w:proofErr w:type="spellStart"/>
      <w:r>
        <w:rPr>
          <w:spacing w:val="30"/>
          <w:kern w:val="16"/>
          <w:lang w:val="en-GB"/>
        </w:rPr>
        <w:t>Université</w:t>
      </w:r>
      <w:proofErr w:type="spellEnd"/>
      <w:r>
        <w:rPr>
          <w:spacing w:val="30"/>
          <w:kern w:val="16"/>
          <w:lang w:val="en-GB"/>
        </w:rPr>
        <w:t xml:space="preserve"> </w:t>
      </w:r>
      <w:proofErr w:type="spellStart"/>
      <w:r>
        <w:rPr>
          <w:spacing w:val="30"/>
          <w:kern w:val="16"/>
          <w:lang w:val="en-GB"/>
        </w:rPr>
        <w:t>Catholique</w:t>
      </w:r>
      <w:proofErr w:type="spellEnd"/>
      <w:r>
        <w:rPr>
          <w:spacing w:val="30"/>
          <w:kern w:val="16"/>
          <w:lang w:val="en-GB"/>
        </w:rPr>
        <w:t xml:space="preserve"> de Louvain, Brussels, Belgium</w:t>
      </w:r>
    </w:p>
    <w:p w:rsidR="00727E56" w:rsidRDefault="00727E56" w:rsidP="00727E56">
      <w:pPr>
        <w:spacing w:line="360" w:lineRule="auto"/>
        <w:jc w:val="both"/>
        <w:rPr>
          <w:b/>
          <w:spacing w:val="30"/>
          <w:kern w:val="16"/>
          <w:lang w:val="en-GB"/>
        </w:rPr>
      </w:pPr>
    </w:p>
    <w:p w:rsidR="00727E56" w:rsidRPr="006F4CE3" w:rsidRDefault="00727E56" w:rsidP="00727E56">
      <w:pPr>
        <w:spacing w:line="360" w:lineRule="auto"/>
        <w:jc w:val="both"/>
        <w:rPr>
          <w:spacing w:val="30"/>
          <w:kern w:val="16"/>
          <w:lang w:val="en-GB"/>
        </w:rPr>
      </w:pPr>
      <w:r>
        <w:rPr>
          <w:b/>
          <w:spacing w:val="30"/>
          <w:kern w:val="16"/>
          <w:lang w:val="en-GB"/>
        </w:rPr>
        <w:t xml:space="preserve">Background. </w:t>
      </w:r>
      <w:r w:rsidRPr="006F4CE3">
        <w:rPr>
          <w:spacing w:val="30"/>
          <w:kern w:val="16"/>
          <w:lang w:val="en-GB"/>
        </w:rPr>
        <w:t>Extrapulmonary</w:t>
      </w:r>
      <w:r>
        <w:rPr>
          <w:b/>
          <w:spacing w:val="30"/>
          <w:kern w:val="16"/>
          <w:lang w:val="en-GB"/>
        </w:rPr>
        <w:t xml:space="preserve"> </w:t>
      </w:r>
      <w:r>
        <w:rPr>
          <w:spacing w:val="30"/>
          <w:kern w:val="16"/>
          <w:lang w:val="en-GB"/>
        </w:rPr>
        <w:t>tuberculosis (EPTB) represents 22% of all TB cases in the European Union.</w:t>
      </w:r>
      <w:r>
        <w:rPr>
          <w:b/>
          <w:spacing w:val="30"/>
          <w:kern w:val="16"/>
          <w:lang w:val="en-GB"/>
        </w:rPr>
        <w:t xml:space="preserve"> </w:t>
      </w:r>
      <w:r>
        <w:rPr>
          <w:spacing w:val="30"/>
          <w:kern w:val="16"/>
          <w:lang w:val="en-GB"/>
        </w:rPr>
        <w:t xml:space="preserve">Its diagnosis is challenged by the poor specificity of clinical symptoms, the difficulty to obtain targeted specimens and the poor performance of conventional bacteriological tests. The World Health Organization has recently recommended </w:t>
      </w:r>
      <w:proofErr w:type="spellStart"/>
      <w:r>
        <w:rPr>
          <w:spacing w:val="30"/>
          <w:kern w:val="16"/>
          <w:lang w:val="en-GB"/>
        </w:rPr>
        <w:t>GeneXpert</w:t>
      </w:r>
      <w:proofErr w:type="spellEnd"/>
      <w:r>
        <w:rPr>
          <w:spacing w:val="30"/>
          <w:kern w:val="16"/>
          <w:lang w:val="en-GB"/>
        </w:rPr>
        <w:t xml:space="preserve"> MTB/Rif assay, a nucleic acid amplification test (NAAT) for the diagnosis of lymph node TB and TB meningitis. </w:t>
      </w:r>
      <w:proofErr w:type="gramStart"/>
      <w:r w:rsidRPr="00D1211E">
        <w:rPr>
          <w:b/>
          <w:spacing w:val="30"/>
          <w:kern w:val="16"/>
          <w:lang w:val="en-GB"/>
        </w:rPr>
        <w:t>Material and methods</w:t>
      </w:r>
      <w:r>
        <w:rPr>
          <w:spacing w:val="30"/>
          <w:kern w:val="16"/>
          <w:lang w:val="en-GB"/>
        </w:rPr>
        <w:t>.</w:t>
      </w:r>
      <w:proofErr w:type="gramEnd"/>
      <w:r>
        <w:rPr>
          <w:spacing w:val="30"/>
          <w:kern w:val="16"/>
          <w:lang w:val="en-GB"/>
        </w:rPr>
        <w:t xml:space="preserve"> In this study, we evaluated the Fluorotype MTB assay (FMTB), a NAAT for the diagnosis of EPTB. We performed FMTB in parallel with fluorescence microscopy and liquid culture on 54 respiratory and non-respiratory samples from 42 patients. Solid tissues were homogenized by sonication prior to DNA extraction. </w:t>
      </w:r>
      <w:r w:rsidRPr="00CC013F">
        <w:rPr>
          <w:b/>
          <w:spacing w:val="30"/>
          <w:kern w:val="16"/>
          <w:lang w:val="en-GB"/>
        </w:rPr>
        <w:t>Results</w:t>
      </w:r>
      <w:r>
        <w:rPr>
          <w:spacing w:val="30"/>
          <w:kern w:val="16"/>
          <w:lang w:val="en-GB"/>
        </w:rPr>
        <w:t xml:space="preserve">. All FMTB tests gave a valid result. We could show complementarity in terms of specificity between microscopy and FMTB due to the presence of </w:t>
      </w:r>
      <w:r w:rsidRPr="00351290">
        <w:rPr>
          <w:spacing w:val="30"/>
          <w:kern w:val="16"/>
          <w:lang w:val="en-GB"/>
        </w:rPr>
        <w:t>Non Tuberculosis Mycobacteria</w:t>
      </w:r>
      <w:r>
        <w:rPr>
          <w:spacing w:val="30"/>
          <w:kern w:val="16"/>
          <w:lang w:val="en-GB"/>
        </w:rPr>
        <w:t xml:space="preserve"> (NTM) among tested samples. Additional complementarity was found in terms of sensitivity between FMTB and liquid culture. Turn-around time was 3 hours per run. Up to 10 samples could be tested in the same </w:t>
      </w:r>
      <w:r>
        <w:rPr>
          <w:spacing w:val="30"/>
          <w:kern w:val="16"/>
          <w:lang w:val="en-GB"/>
        </w:rPr>
        <w:lastRenderedPageBreak/>
        <w:t xml:space="preserve">run. </w:t>
      </w:r>
      <w:r w:rsidRPr="00CC013F">
        <w:rPr>
          <w:b/>
          <w:spacing w:val="30"/>
          <w:kern w:val="16"/>
          <w:lang w:val="en-GB"/>
        </w:rPr>
        <w:t>Conclusion</w:t>
      </w:r>
      <w:r>
        <w:rPr>
          <w:spacing w:val="30"/>
          <w:kern w:val="16"/>
          <w:lang w:val="en-GB"/>
        </w:rPr>
        <w:t xml:space="preserve">. FMTB permitted to increase the quality of EPTB diagnosis in complementarity with fluorescence microscopy and liquid culture. Systematic screening of drug resistance concomitantly with TB screening is not justified in most situations, as MDR-TB is less frequent among EPTB than PTB and due to the fact that MDR-TB is still relatively infrequent outside patients with specific risk factors. </w:t>
      </w:r>
    </w:p>
    <w:p w:rsidR="00A234A4" w:rsidRDefault="00A234A4"/>
    <w:sectPr w:rsidR="00A234A4" w:rsidSect="00A234A4">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MS Mincho">
    <w:altName w:val="?l?r ??fc"/>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E56"/>
    <w:rsid w:val="00727E56"/>
    <w:rsid w:val="00A234A4"/>
    <w:rsid w:val="00F8777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7E56"/>
    <w:rPr>
      <w:rFonts w:ascii="Cambria" w:eastAsia="MS Mincho" w:hAnsi="Cambria" w:cs="Times New Roman"/>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rsid w:val="00727E56"/>
    <w:rPr>
      <w:rFonts w:cs="Times New Roman"/>
      <w:sz w:val="16"/>
      <w:szCs w:val="16"/>
    </w:rPr>
  </w:style>
  <w:style w:type="paragraph" w:styleId="CommentText">
    <w:name w:val="annotation text"/>
    <w:basedOn w:val="Normal"/>
    <w:link w:val="CommentTextChar"/>
    <w:uiPriority w:val="99"/>
    <w:semiHidden/>
    <w:rsid w:val="00727E56"/>
    <w:rPr>
      <w:sz w:val="20"/>
      <w:szCs w:val="20"/>
    </w:rPr>
  </w:style>
  <w:style w:type="character" w:customStyle="1" w:styleId="CommentTextChar">
    <w:name w:val="Comment Text Char"/>
    <w:basedOn w:val="DefaultParagraphFont"/>
    <w:link w:val="CommentText"/>
    <w:uiPriority w:val="99"/>
    <w:semiHidden/>
    <w:rsid w:val="00727E56"/>
    <w:rPr>
      <w:rFonts w:ascii="Cambria" w:eastAsia="MS Mincho" w:hAnsi="Cambria" w:cs="Times New Roman"/>
      <w:sz w:val="20"/>
      <w:szCs w:val="20"/>
      <w:lang w:val="fr-FR"/>
    </w:rPr>
  </w:style>
  <w:style w:type="paragraph" w:styleId="BalloonText">
    <w:name w:val="Balloon Text"/>
    <w:basedOn w:val="Normal"/>
    <w:link w:val="BalloonTextChar"/>
    <w:uiPriority w:val="99"/>
    <w:semiHidden/>
    <w:unhideWhenUsed/>
    <w:rsid w:val="00727E5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27E56"/>
    <w:rPr>
      <w:rFonts w:ascii="Lucida Grande" w:eastAsia="MS Mincho" w:hAnsi="Lucida Grande" w:cs="Lucida Grande"/>
      <w:sz w:val="18"/>
      <w:szCs w:val="18"/>
      <w:lang w:val="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7E56"/>
    <w:rPr>
      <w:rFonts w:ascii="Cambria" w:eastAsia="MS Mincho" w:hAnsi="Cambria" w:cs="Times New Roman"/>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rsid w:val="00727E56"/>
    <w:rPr>
      <w:rFonts w:cs="Times New Roman"/>
      <w:sz w:val="16"/>
      <w:szCs w:val="16"/>
    </w:rPr>
  </w:style>
  <w:style w:type="paragraph" w:styleId="CommentText">
    <w:name w:val="annotation text"/>
    <w:basedOn w:val="Normal"/>
    <w:link w:val="CommentTextChar"/>
    <w:uiPriority w:val="99"/>
    <w:semiHidden/>
    <w:rsid w:val="00727E56"/>
    <w:rPr>
      <w:sz w:val="20"/>
      <w:szCs w:val="20"/>
    </w:rPr>
  </w:style>
  <w:style w:type="character" w:customStyle="1" w:styleId="CommentTextChar">
    <w:name w:val="Comment Text Char"/>
    <w:basedOn w:val="DefaultParagraphFont"/>
    <w:link w:val="CommentText"/>
    <w:uiPriority w:val="99"/>
    <w:semiHidden/>
    <w:rsid w:val="00727E56"/>
    <w:rPr>
      <w:rFonts w:ascii="Cambria" w:eastAsia="MS Mincho" w:hAnsi="Cambria" w:cs="Times New Roman"/>
      <w:sz w:val="20"/>
      <w:szCs w:val="20"/>
      <w:lang w:val="fr-FR"/>
    </w:rPr>
  </w:style>
  <w:style w:type="paragraph" w:styleId="BalloonText">
    <w:name w:val="Balloon Text"/>
    <w:basedOn w:val="Normal"/>
    <w:link w:val="BalloonTextChar"/>
    <w:uiPriority w:val="99"/>
    <w:semiHidden/>
    <w:unhideWhenUsed/>
    <w:rsid w:val="00727E5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27E56"/>
    <w:rPr>
      <w:rFonts w:ascii="Lucida Grande" w:eastAsia="MS Mincho" w:hAnsi="Lucida Grande" w:cs="Lucida Grande"/>
      <w:sz w:val="18"/>
      <w:szCs w:val="1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299</Words>
  <Characters>1706</Characters>
  <Application>Microsoft Macintosh Word</Application>
  <DocSecurity>0</DocSecurity>
  <Lines>14</Lines>
  <Paragraphs>4</Paragraphs>
  <ScaleCrop>false</ScaleCrop>
  <Company>Cliniques Universitaires Saint-Luc</Company>
  <LinksUpToDate>false</LinksUpToDate>
  <CharactersWithSpaces>2001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Emmanuel Andre</dc:creator>
  <cp:keywords/>
  <dc:description/>
  <cp:lastModifiedBy>Emmanuel Andre</cp:lastModifiedBy>
  <cp:revision>2</cp:revision>
  <dcterms:created xsi:type="dcterms:W3CDTF">2015-03-05T10:47:00Z</dcterms:created>
  <dcterms:modified xsi:type="dcterms:W3CDTF">2015-03-05T10:47:00Z</dcterms:modified>
</cp:coreProperties>
</file>