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210E" w:rsidRPr="00715A66" w:rsidRDefault="000E5712">
      <w:pPr>
        <w:rPr>
          <w:rFonts w:asciiTheme="majorHAnsi" w:hAnsiTheme="majorHAnsi"/>
          <w:b/>
          <w:sz w:val="24"/>
          <w:szCs w:val="24"/>
          <w:lang w:val="en-US"/>
        </w:rPr>
      </w:pPr>
      <w:r>
        <w:rPr>
          <w:rFonts w:asciiTheme="majorHAnsi" w:hAnsiTheme="majorHAnsi"/>
          <w:b/>
          <w:sz w:val="24"/>
          <w:szCs w:val="24"/>
          <w:lang w:val="en-US"/>
        </w:rPr>
        <w:t>The impact of genre on</w:t>
      </w:r>
      <w:r w:rsidR="0094210E" w:rsidRPr="00715A66">
        <w:rPr>
          <w:rFonts w:asciiTheme="majorHAnsi" w:hAnsiTheme="majorHAnsi"/>
          <w:b/>
          <w:sz w:val="24"/>
          <w:szCs w:val="24"/>
          <w:lang w:val="en-US"/>
        </w:rPr>
        <w:t xml:space="preserve"> EFL learner writing: A Multi-Dimensional Analysis</w:t>
      </w:r>
      <w:r w:rsidR="00B34C99">
        <w:rPr>
          <w:rFonts w:asciiTheme="majorHAnsi" w:hAnsiTheme="majorHAnsi"/>
          <w:b/>
          <w:sz w:val="24"/>
          <w:szCs w:val="24"/>
          <w:lang w:val="en-US"/>
        </w:rPr>
        <w:t xml:space="preserve"> Perspective</w:t>
      </w:r>
    </w:p>
    <w:p w:rsidR="00A90DF2" w:rsidRDefault="009B458A" w:rsidP="0094210E">
      <w:pPr>
        <w:rPr>
          <w:rFonts w:asciiTheme="majorHAnsi" w:eastAsia="MS Mincho" w:hAnsiTheme="majorHAnsi" w:cs="Times New Roman"/>
          <w:sz w:val="24"/>
          <w:szCs w:val="24"/>
          <w:lang w:val="en-US" w:eastAsia="fr-FR"/>
        </w:rPr>
      </w:pPr>
      <w:bookmarkStart w:id="0" w:name="_GoBack"/>
      <w:r>
        <w:rPr>
          <w:rFonts w:asciiTheme="majorHAnsi" w:hAnsiTheme="majorHAnsi"/>
          <w:sz w:val="24"/>
          <w:szCs w:val="24"/>
          <w:lang w:val="en-GB"/>
        </w:rPr>
        <w:t xml:space="preserve">Previous </w:t>
      </w:r>
      <w:r w:rsidR="001E1227">
        <w:rPr>
          <w:rFonts w:asciiTheme="majorHAnsi" w:hAnsiTheme="majorHAnsi"/>
          <w:sz w:val="24"/>
          <w:szCs w:val="24"/>
          <w:lang w:val="en-GB"/>
        </w:rPr>
        <w:t>learner corpus</w:t>
      </w:r>
      <w:r w:rsidR="00CC32DA">
        <w:rPr>
          <w:rFonts w:asciiTheme="majorHAnsi" w:hAnsiTheme="majorHAnsi"/>
          <w:sz w:val="24"/>
          <w:szCs w:val="24"/>
          <w:lang w:val="en-GB"/>
        </w:rPr>
        <w:t xml:space="preserve">-based </w:t>
      </w:r>
      <w:r>
        <w:rPr>
          <w:rFonts w:asciiTheme="majorHAnsi" w:hAnsiTheme="majorHAnsi"/>
          <w:sz w:val="24"/>
          <w:szCs w:val="24"/>
          <w:lang w:val="en-GB"/>
        </w:rPr>
        <w:t xml:space="preserve">studies have shown that </w:t>
      </w:r>
      <w:r w:rsidR="00CC32DA">
        <w:rPr>
          <w:rFonts w:asciiTheme="majorHAnsi" w:hAnsiTheme="majorHAnsi"/>
          <w:sz w:val="24"/>
          <w:szCs w:val="24"/>
          <w:lang w:val="en-GB"/>
        </w:rPr>
        <w:t>EFL</w:t>
      </w:r>
      <w:r w:rsidR="00602B82" w:rsidRPr="00715A66">
        <w:rPr>
          <w:rFonts w:asciiTheme="majorHAnsi" w:hAnsiTheme="majorHAnsi"/>
          <w:sz w:val="24"/>
          <w:szCs w:val="24"/>
          <w:lang w:val="en-GB"/>
        </w:rPr>
        <w:t xml:space="preserve"> learner</w:t>
      </w:r>
      <w:r w:rsidR="000E5712">
        <w:rPr>
          <w:rFonts w:asciiTheme="majorHAnsi" w:hAnsiTheme="majorHAnsi"/>
          <w:sz w:val="24"/>
          <w:szCs w:val="24"/>
          <w:lang w:val="en-GB"/>
        </w:rPr>
        <w:t xml:space="preserve"> languages </w:t>
      </w:r>
      <w:r w:rsidR="00602B82" w:rsidRPr="00715A66">
        <w:rPr>
          <w:rFonts w:asciiTheme="majorHAnsi" w:hAnsiTheme="majorHAnsi"/>
          <w:sz w:val="24"/>
          <w:szCs w:val="24"/>
          <w:lang w:val="en-GB"/>
        </w:rPr>
        <w:t>exhibit</w:t>
      </w:r>
      <w:r w:rsidR="0094210E" w:rsidRPr="00715A66">
        <w:rPr>
          <w:rFonts w:asciiTheme="majorHAnsi" w:hAnsiTheme="majorHAnsi"/>
          <w:sz w:val="24"/>
          <w:szCs w:val="24"/>
          <w:lang w:val="en-GB"/>
        </w:rPr>
        <w:t xml:space="preserve"> </w:t>
      </w:r>
      <w:r w:rsidR="00602B82" w:rsidRPr="00715A66">
        <w:rPr>
          <w:rFonts w:asciiTheme="majorHAnsi" w:hAnsiTheme="majorHAnsi"/>
          <w:sz w:val="24"/>
          <w:szCs w:val="24"/>
          <w:lang w:val="en-GB"/>
        </w:rPr>
        <w:t>shared linguistic features</w:t>
      </w:r>
      <w:r w:rsidR="001458EE" w:rsidRPr="00715A66">
        <w:rPr>
          <w:rFonts w:asciiTheme="majorHAnsi" w:hAnsiTheme="majorHAnsi"/>
          <w:sz w:val="24"/>
          <w:szCs w:val="24"/>
          <w:lang w:val="en-GB"/>
        </w:rPr>
        <w:t xml:space="preserve"> irrespective of the learners’ first language</w:t>
      </w:r>
      <w:r w:rsidR="000E5712">
        <w:rPr>
          <w:rFonts w:asciiTheme="majorHAnsi" w:hAnsiTheme="majorHAnsi"/>
          <w:sz w:val="24"/>
          <w:szCs w:val="24"/>
          <w:lang w:val="en-GB"/>
        </w:rPr>
        <w:t>s. For example, it has repeatedly been reported that</w:t>
      </w:r>
      <w:r w:rsidR="001E5D5C">
        <w:rPr>
          <w:rFonts w:asciiTheme="majorHAnsi" w:hAnsiTheme="majorHAnsi"/>
          <w:sz w:val="24"/>
          <w:szCs w:val="24"/>
          <w:lang w:val="en-GB"/>
        </w:rPr>
        <w:t xml:space="preserve"> EFL</w:t>
      </w:r>
      <w:r w:rsidR="000E5712">
        <w:rPr>
          <w:rFonts w:asciiTheme="majorHAnsi" w:hAnsiTheme="majorHAnsi"/>
          <w:sz w:val="24"/>
          <w:szCs w:val="24"/>
          <w:lang w:val="en-GB"/>
        </w:rPr>
        <w:t xml:space="preserve"> learner writing is </w:t>
      </w:r>
      <w:r w:rsidR="00A90DF2" w:rsidRPr="00715A66">
        <w:rPr>
          <w:rFonts w:asciiTheme="majorHAnsi" w:eastAsia="MS Mincho" w:hAnsiTheme="majorHAnsi" w:cs="Times New Roman"/>
          <w:sz w:val="24"/>
          <w:szCs w:val="24"/>
          <w:lang w:val="en-US" w:eastAsia="fr-FR"/>
        </w:rPr>
        <w:t xml:space="preserve">characterized by a more involved style than the writing of their native peers, as evidenced by a high number of writer/reader (W/R) visibility features such as </w:t>
      </w:r>
      <w:r w:rsidR="00A90DF2" w:rsidRPr="00715A66">
        <w:rPr>
          <w:rFonts w:asciiTheme="majorHAnsi" w:eastAsia="MS Mincho" w:hAnsiTheme="majorHAnsi" w:cs="Times New Roman"/>
          <w:sz w:val="24"/>
          <w:szCs w:val="24"/>
          <w:lang w:val="en-US"/>
        </w:rPr>
        <w:t xml:space="preserve">first and second person pronouns, </w:t>
      </w:r>
      <w:r w:rsidR="00A90DF2" w:rsidRPr="00715A66">
        <w:rPr>
          <w:rFonts w:asciiTheme="majorHAnsi" w:eastAsia="MS Mincho" w:hAnsiTheme="majorHAnsi" w:cs="Times New Roman"/>
          <w:i/>
          <w:sz w:val="24"/>
          <w:szCs w:val="24"/>
          <w:lang w:val="en-US"/>
        </w:rPr>
        <w:t>let’s</w:t>
      </w:r>
      <w:r w:rsidR="00A90DF2" w:rsidRPr="00715A66">
        <w:rPr>
          <w:rFonts w:asciiTheme="majorHAnsi" w:eastAsia="MS Mincho" w:hAnsiTheme="majorHAnsi" w:cs="Times New Roman"/>
          <w:sz w:val="24"/>
          <w:szCs w:val="24"/>
          <w:lang w:val="en-US"/>
        </w:rPr>
        <w:t xml:space="preserve"> imperatives, epistemic modal adverbs (e.g. </w:t>
      </w:r>
      <w:r w:rsidR="00A90DF2" w:rsidRPr="00715A66">
        <w:rPr>
          <w:rFonts w:asciiTheme="majorHAnsi" w:eastAsia="MS Mincho" w:hAnsiTheme="majorHAnsi" w:cs="Times New Roman"/>
          <w:i/>
          <w:sz w:val="24"/>
          <w:szCs w:val="24"/>
          <w:lang w:val="en-US"/>
        </w:rPr>
        <w:t>certainly, maybe</w:t>
      </w:r>
      <w:r w:rsidR="00A90DF2" w:rsidRPr="00715A66">
        <w:rPr>
          <w:rFonts w:asciiTheme="majorHAnsi" w:eastAsia="MS Mincho" w:hAnsiTheme="majorHAnsi" w:cs="Times New Roman"/>
          <w:sz w:val="24"/>
          <w:szCs w:val="24"/>
          <w:lang w:val="en-US"/>
        </w:rPr>
        <w:t>) and questions</w:t>
      </w:r>
      <w:r w:rsidR="00A90DF2" w:rsidRPr="00715A66">
        <w:rPr>
          <w:rFonts w:asciiTheme="majorHAnsi" w:eastAsia="MS Mincho" w:hAnsiTheme="majorHAnsi" w:cs="Times New Roman"/>
          <w:sz w:val="24"/>
          <w:szCs w:val="24"/>
          <w:lang w:val="en-US" w:eastAsia="fr-FR"/>
        </w:rPr>
        <w:t xml:space="preserve"> (cf. e.g. </w:t>
      </w:r>
      <w:proofErr w:type="spellStart"/>
      <w:r w:rsidR="00A90DF2" w:rsidRPr="00715A66">
        <w:rPr>
          <w:rFonts w:asciiTheme="majorHAnsi" w:eastAsia="MS Mincho" w:hAnsiTheme="majorHAnsi" w:cs="Times New Roman"/>
          <w:sz w:val="24"/>
          <w:szCs w:val="24"/>
          <w:lang w:val="en-US" w:eastAsia="fr-FR"/>
        </w:rPr>
        <w:t>Petch</w:t>
      </w:r>
      <w:proofErr w:type="spellEnd"/>
      <w:r w:rsidR="00A90DF2" w:rsidRPr="00715A66">
        <w:rPr>
          <w:rFonts w:asciiTheme="majorHAnsi" w:eastAsia="MS Mincho" w:hAnsiTheme="majorHAnsi" w:cs="Times New Roman"/>
          <w:sz w:val="24"/>
          <w:szCs w:val="24"/>
          <w:lang w:val="en-US" w:eastAsia="fr-FR"/>
        </w:rPr>
        <w:t xml:space="preserve">-Tyson 1998, </w:t>
      </w:r>
      <w:proofErr w:type="spellStart"/>
      <w:r w:rsidR="00A90DF2" w:rsidRPr="00715A66">
        <w:rPr>
          <w:rFonts w:asciiTheme="majorHAnsi" w:eastAsia="MS Mincho" w:hAnsiTheme="majorHAnsi" w:cs="Times New Roman"/>
          <w:sz w:val="24"/>
          <w:szCs w:val="24"/>
          <w:lang w:val="en-US" w:eastAsia="fr-FR"/>
        </w:rPr>
        <w:t>Altenberg</w:t>
      </w:r>
      <w:proofErr w:type="spellEnd"/>
      <w:r w:rsidR="00A90DF2" w:rsidRPr="00715A66">
        <w:rPr>
          <w:rFonts w:asciiTheme="majorHAnsi" w:eastAsia="MS Mincho" w:hAnsiTheme="majorHAnsi" w:cs="Times New Roman"/>
          <w:sz w:val="24"/>
          <w:szCs w:val="24"/>
          <w:lang w:val="en-US" w:eastAsia="fr-FR"/>
        </w:rPr>
        <w:t xml:space="preserve"> and Tapper 1998; </w:t>
      </w:r>
      <w:proofErr w:type="spellStart"/>
      <w:r w:rsidR="001458EE" w:rsidRPr="00715A66">
        <w:rPr>
          <w:rFonts w:asciiTheme="majorHAnsi" w:eastAsia="MS Mincho" w:hAnsiTheme="majorHAnsi" w:cs="Times New Roman"/>
          <w:sz w:val="24"/>
          <w:szCs w:val="24"/>
          <w:lang w:val="en-US" w:eastAsia="fr-FR"/>
        </w:rPr>
        <w:t>Aijmer</w:t>
      </w:r>
      <w:proofErr w:type="spellEnd"/>
      <w:r w:rsidR="001458EE" w:rsidRPr="00715A66">
        <w:rPr>
          <w:rFonts w:asciiTheme="majorHAnsi" w:eastAsia="MS Mincho" w:hAnsiTheme="majorHAnsi" w:cs="Times New Roman"/>
          <w:sz w:val="24"/>
          <w:szCs w:val="24"/>
          <w:lang w:val="en-US" w:eastAsia="fr-FR"/>
        </w:rPr>
        <w:t xml:space="preserve">, 2002; Narita &amp; </w:t>
      </w:r>
      <w:proofErr w:type="spellStart"/>
      <w:r w:rsidR="001458EE" w:rsidRPr="00715A66">
        <w:rPr>
          <w:rFonts w:asciiTheme="majorHAnsi" w:eastAsia="MS Mincho" w:hAnsiTheme="majorHAnsi" w:cs="Times New Roman"/>
          <w:sz w:val="24"/>
          <w:szCs w:val="24"/>
          <w:lang w:val="en-US" w:eastAsia="fr-FR"/>
        </w:rPr>
        <w:t>Sugiura</w:t>
      </w:r>
      <w:proofErr w:type="spellEnd"/>
      <w:r w:rsidR="001458EE" w:rsidRPr="00715A66">
        <w:rPr>
          <w:rFonts w:asciiTheme="majorHAnsi" w:eastAsia="MS Mincho" w:hAnsiTheme="majorHAnsi" w:cs="Times New Roman"/>
          <w:sz w:val="24"/>
          <w:szCs w:val="24"/>
          <w:lang w:val="en-US" w:eastAsia="fr-FR"/>
        </w:rPr>
        <w:t xml:space="preserve">, 2006; Neff et al. 2007; </w:t>
      </w:r>
      <w:proofErr w:type="spellStart"/>
      <w:r w:rsidR="00BA7C69">
        <w:rPr>
          <w:rFonts w:asciiTheme="majorHAnsi" w:eastAsia="MS Mincho" w:hAnsiTheme="majorHAnsi" w:cs="Times New Roman"/>
          <w:sz w:val="24"/>
          <w:szCs w:val="24"/>
          <w:lang w:val="en-US" w:eastAsia="fr-FR"/>
        </w:rPr>
        <w:t>Gilquin</w:t>
      </w:r>
      <w:proofErr w:type="spellEnd"/>
      <w:r w:rsidR="00BA7C69">
        <w:rPr>
          <w:rFonts w:asciiTheme="majorHAnsi" w:eastAsia="MS Mincho" w:hAnsiTheme="majorHAnsi" w:cs="Times New Roman"/>
          <w:sz w:val="24"/>
          <w:szCs w:val="24"/>
          <w:lang w:val="en-US" w:eastAsia="fr-FR"/>
        </w:rPr>
        <w:t xml:space="preserve"> &amp; </w:t>
      </w:r>
      <w:proofErr w:type="spellStart"/>
      <w:r w:rsidR="00BA7C69">
        <w:rPr>
          <w:rFonts w:asciiTheme="majorHAnsi" w:eastAsia="MS Mincho" w:hAnsiTheme="majorHAnsi" w:cs="Times New Roman"/>
          <w:sz w:val="24"/>
          <w:szCs w:val="24"/>
          <w:lang w:val="en-US" w:eastAsia="fr-FR"/>
        </w:rPr>
        <w:t>Paquot</w:t>
      </w:r>
      <w:proofErr w:type="spellEnd"/>
      <w:r w:rsidR="00BA7C69">
        <w:rPr>
          <w:rFonts w:asciiTheme="majorHAnsi" w:eastAsia="MS Mincho" w:hAnsiTheme="majorHAnsi" w:cs="Times New Roman"/>
          <w:sz w:val="24"/>
          <w:szCs w:val="24"/>
          <w:lang w:val="en-US" w:eastAsia="fr-FR"/>
        </w:rPr>
        <w:t xml:space="preserve">, 2008; </w:t>
      </w:r>
      <w:proofErr w:type="spellStart"/>
      <w:r w:rsidR="001458EE" w:rsidRPr="00715A66">
        <w:rPr>
          <w:rFonts w:asciiTheme="majorHAnsi" w:hAnsiTheme="majorHAnsi"/>
          <w:sz w:val="24"/>
          <w:szCs w:val="24"/>
          <w:lang w:val="en-GB"/>
        </w:rPr>
        <w:t>Hasselgård</w:t>
      </w:r>
      <w:proofErr w:type="spellEnd"/>
      <w:r w:rsidR="001458EE" w:rsidRPr="00715A66">
        <w:rPr>
          <w:rFonts w:asciiTheme="majorHAnsi" w:hAnsiTheme="majorHAnsi"/>
          <w:sz w:val="24"/>
          <w:szCs w:val="24"/>
          <w:lang w:val="en-GB"/>
        </w:rPr>
        <w:t>, 2009</w:t>
      </w:r>
      <w:r w:rsidR="00A90DF2" w:rsidRPr="00715A66">
        <w:rPr>
          <w:rFonts w:asciiTheme="majorHAnsi" w:eastAsia="MS Mincho" w:hAnsiTheme="majorHAnsi" w:cs="Times New Roman"/>
          <w:sz w:val="24"/>
          <w:szCs w:val="24"/>
          <w:lang w:val="en-US" w:eastAsia="fr-FR"/>
        </w:rPr>
        <w:t>).</w:t>
      </w:r>
    </w:p>
    <w:p w:rsidR="0094210E" w:rsidRDefault="001E1227" w:rsidP="00B659E7">
      <w:pPr>
        <w:rPr>
          <w:rFonts w:asciiTheme="majorHAnsi" w:hAnsiTheme="majorHAnsi"/>
          <w:sz w:val="24"/>
          <w:szCs w:val="24"/>
          <w:lang w:val="en-GB"/>
        </w:rPr>
      </w:pPr>
      <w:r>
        <w:rPr>
          <w:rFonts w:asciiTheme="majorHAnsi" w:hAnsiTheme="majorHAnsi"/>
          <w:sz w:val="24"/>
          <w:szCs w:val="24"/>
          <w:lang w:val="en-GB"/>
        </w:rPr>
        <w:t xml:space="preserve">Most of these </w:t>
      </w:r>
      <w:r w:rsidR="00CC32DA">
        <w:rPr>
          <w:rFonts w:asciiTheme="majorHAnsi" w:hAnsiTheme="majorHAnsi"/>
          <w:sz w:val="24"/>
          <w:szCs w:val="24"/>
          <w:lang w:val="en-GB"/>
        </w:rPr>
        <w:t xml:space="preserve">learner corpus research (LCR) </w:t>
      </w:r>
      <w:r>
        <w:rPr>
          <w:rFonts w:asciiTheme="majorHAnsi" w:hAnsiTheme="majorHAnsi"/>
          <w:sz w:val="24"/>
          <w:szCs w:val="24"/>
          <w:lang w:val="en-GB"/>
        </w:rPr>
        <w:t>studies, however, have focused almost exclusively on argumentative writing and it is therefore questionable whether their results can be generalized to other genres</w:t>
      </w:r>
      <w:r w:rsidR="00B659E7">
        <w:rPr>
          <w:rFonts w:asciiTheme="majorHAnsi" w:hAnsiTheme="majorHAnsi"/>
          <w:sz w:val="24"/>
          <w:szCs w:val="24"/>
          <w:lang w:val="en-GB"/>
        </w:rPr>
        <w:t xml:space="preserve"> and ultimately </w:t>
      </w:r>
      <w:r w:rsidR="00B34C99">
        <w:rPr>
          <w:rFonts w:asciiTheme="majorHAnsi" w:hAnsiTheme="majorHAnsi"/>
          <w:sz w:val="24"/>
          <w:szCs w:val="24"/>
          <w:lang w:val="en-GB"/>
        </w:rPr>
        <w:t xml:space="preserve">be </w:t>
      </w:r>
      <w:r w:rsidR="00B659E7">
        <w:rPr>
          <w:rFonts w:asciiTheme="majorHAnsi" w:hAnsiTheme="majorHAnsi"/>
          <w:sz w:val="24"/>
          <w:szCs w:val="24"/>
          <w:lang w:val="en-GB"/>
        </w:rPr>
        <w:t xml:space="preserve">used to inform </w:t>
      </w:r>
      <w:r w:rsidR="00B34C99">
        <w:rPr>
          <w:rFonts w:asciiTheme="majorHAnsi" w:hAnsiTheme="majorHAnsi"/>
          <w:sz w:val="24"/>
          <w:szCs w:val="24"/>
          <w:lang w:val="en-GB"/>
        </w:rPr>
        <w:t xml:space="preserve">English for Academic Purposes (EAP) </w:t>
      </w:r>
      <w:r w:rsidR="00B659E7">
        <w:rPr>
          <w:rFonts w:asciiTheme="majorHAnsi" w:hAnsiTheme="majorHAnsi"/>
          <w:sz w:val="24"/>
          <w:szCs w:val="24"/>
          <w:lang w:val="en-GB"/>
        </w:rPr>
        <w:t>pedagogical materials</w:t>
      </w:r>
      <w:r w:rsidR="00B34C99">
        <w:rPr>
          <w:rFonts w:asciiTheme="majorHAnsi" w:hAnsiTheme="majorHAnsi"/>
          <w:sz w:val="24"/>
          <w:szCs w:val="24"/>
          <w:lang w:val="en-GB"/>
        </w:rPr>
        <w:t xml:space="preserve"> (</w:t>
      </w:r>
      <w:proofErr w:type="spellStart"/>
      <w:r w:rsidR="00B34C99">
        <w:rPr>
          <w:rFonts w:asciiTheme="majorHAnsi" w:hAnsiTheme="majorHAnsi"/>
          <w:sz w:val="24"/>
          <w:szCs w:val="24"/>
          <w:lang w:val="en-GB"/>
        </w:rPr>
        <w:t>Gilquin</w:t>
      </w:r>
      <w:proofErr w:type="spellEnd"/>
      <w:r w:rsidR="00B34C99">
        <w:rPr>
          <w:rFonts w:asciiTheme="majorHAnsi" w:hAnsiTheme="majorHAnsi"/>
          <w:sz w:val="24"/>
          <w:szCs w:val="24"/>
          <w:lang w:val="en-GB"/>
        </w:rPr>
        <w:t xml:space="preserve"> et al., 2007)</w:t>
      </w:r>
      <w:r>
        <w:rPr>
          <w:rFonts w:asciiTheme="majorHAnsi" w:hAnsiTheme="majorHAnsi"/>
          <w:sz w:val="24"/>
          <w:szCs w:val="24"/>
          <w:lang w:val="en-GB"/>
        </w:rPr>
        <w:t xml:space="preserve">. </w:t>
      </w:r>
      <w:r w:rsidR="00B659E7">
        <w:rPr>
          <w:rFonts w:asciiTheme="majorHAnsi" w:hAnsiTheme="majorHAnsi"/>
          <w:sz w:val="24"/>
          <w:szCs w:val="24"/>
          <w:lang w:val="en-GB"/>
        </w:rPr>
        <w:t>To use the example of involvement features again, a</w:t>
      </w:r>
      <w:r w:rsidR="0094210E" w:rsidRPr="00715A66">
        <w:rPr>
          <w:rFonts w:asciiTheme="majorHAnsi" w:hAnsiTheme="majorHAnsi"/>
          <w:sz w:val="24"/>
          <w:szCs w:val="24"/>
          <w:lang w:val="en-GB"/>
        </w:rPr>
        <w:t xml:space="preserve">s noted by </w:t>
      </w:r>
      <w:proofErr w:type="spellStart"/>
      <w:r w:rsidR="0094210E" w:rsidRPr="00715A66">
        <w:rPr>
          <w:rFonts w:asciiTheme="majorHAnsi" w:hAnsiTheme="majorHAnsi"/>
          <w:sz w:val="24"/>
          <w:szCs w:val="24"/>
          <w:lang w:val="en-GB"/>
        </w:rPr>
        <w:t>Recski</w:t>
      </w:r>
      <w:proofErr w:type="spellEnd"/>
      <w:r w:rsidR="0094210E" w:rsidRPr="00715A66">
        <w:rPr>
          <w:rFonts w:asciiTheme="majorHAnsi" w:hAnsiTheme="majorHAnsi"/>
          <w:sz w:val="24"/>
          <w:szCs w:val="24"/>
          <w:lang w:val="en-GB"/>
        </w:rPr>
        <w:t xml:space="preserve"> (2004)</w:t>
      </w:r>
      <w:r w:rsidR="00B659E7">
        <w:rPr>
          <w:rFonts w:asciiTheme="majorHAnsi" w:hAnsiTheme="majorHAnsi"/>
          <w:sz w:val="24"/>
          <w:szCs w:val="24"/>
          <w:lang w:val="en-GB"/>
        </w:rPr>
        <w:t xml:space="preserve">, </w:t>
      </w:r>
      <w:r w:rsidR="0094210E" w:rsidRPr="00715A66">
        <w:rPr>
          <w:rFonts w:asciiTheme="majorHAnsi" w:hAnsiTheme="majorHAnsi"/>
          <w:sz w:val="24"/>
          <w:szCs w:val="24"/>
          <w:lang w:val="en-GB"/>
        </w:rPr>
        <w:t xml:space="preserve">in the case of argumentative essays such as those contained in the </w:t>
      </w:r>
      <w:r w:rsidR="00B659E7">
        <w:rPr>
          <w:rFonts w:asciiTheme="majorHAnsi" w:hAnsiTheme="majorHAnsi"/>
          <w:sz w:val="24"/>
          <w:szCs w:val="24"/>
          <w:lang w:val="en-GB"/>
        </w:rPr>
        <w:t xml:space="preserve">widely used </w:t>
      </w:r>
      <w:r w:rsidR="0094210E" w:rsidRPr="00715A66">
        <w:rPr>
          <w:rFonts w:asciiTheme="majorHAnsi" w:hAnsiTheme="majorHAnsi"/>
          <w:i/>
          <w:sz w:val="24"/>
          <w:szCs w:val="24"/>
          <w:lang w:val="en-GB"/>
        </w:rPr>
        <w:t xml:space="preserve">International Corpus of Learner English </w:t>
      </w:r>
      <w:r w:rsidR="0094210E" w:rsidRPr="00715A66">
        <w:rPr>
          <w:rFonts w:asciiTheme="majorHAnsi" w:hAnsiTheme="majorHAnsi"/>
          <w:sz w:val="24"/>
          <w:szCs w:val="24"/>
          <w:lang w:val="en-GB"/>
        </w:rPr>
        <w:t>(ICLE</w:t>
      </w:r>
      <w:r w:rsidR="00820EED">
        <w:rPr>
          <w:rFonts w:asciiTheme="majorHAnsi" w:hAnsiTheme="majorHAnsi"/>
          <w:sz w:val="24"/>
          <w:szCs w:val="24"/>
          <w:lang w:val="en-GB"/>
        </w:rPr>
        <w:t>, Granger et al. 2009</w:t>
      </w:r>
      <w:r w:rsidR="0094210E" w:rsidRPr="00715A66">
        <w:rPr>
          <w:rFonts w:asciiTheme="majorHAnsi" w:hAnsiTheme="majorHAnsi"/>
          <w:sz w:val="24"/>
          <w:szCs w:val="24"/>
          <w:lang w:val="en-GB"/>
        </w:rPr>
        <w:t xml:space="preserve">), “personal references and subjective attitudes are certainly hard to avoid”, since learners are explicitly prompted to give their personal opinions. </w:t>
      </w:r>
    </w:p>
    <w:p w:rsidR="002900ED" w:rsidRDefault="002D4230" w:rsidP="002D4230">
      <w:pPr>
        <w:rPr>
          <w:rFonts w:asciiTheme="majorHAnsi" w:hAnsiTheme="majorHAnsi"/>
          <w:sz w:val="24"/>
          <w:szCs w:val="24"/>
          <w:lang w:val="en-GB"/>
        </w:rPr>
      </w:pPr>
      <w:r>
        <w:rPr>
          <w:rFonts w:asciiTheme="majorHAnsi" w:hAnsiTheme="majorHAnsi"/>
          <w:sz w:val="24"/>
          <w:szCs w:val="24"/>
          <w:lang w:val="en-GB"/>
        </w:rPr>
        <w:t xml:space="preserve">This study is part of a larger body of research that seeks to investigate whether the features commonly attributed to EFL learner writing are genuine characteristics of interlanguages or whether they are prompted by the argumentative type of texts that has usually been analysed in LCR. </w:t>
      </w:r>
      <w:proofErr w:type="spellStart"/>
      <w:r>
        <w:rPr>
          <w:rFonts w:asciiTheme="majorHAnsi" w:hAnsiTheme="majorHAnsi"/>
          <w:sz w:val="24"/>
          <w:szCs w:val="24"/>
          <w:lang w:val="en-GB"/>
        </w:rPr>
        <w:t>Paquot</w:t>
      </w:r>
      <w:proofErr w:type="spellEnd"/>
      <w:r>
        <w:rPr>
          <w:rFonts w:asciiTheme="majorHAnsi" w:hAnsiTheme="majorHAnsi"/>
          <w:sz w:val="24"/>
          <w:szCs w:val="24"/>
          <w:lang w:val="en-GB"/>
        </w:rPr>
        <w:t xml:space="preserve"> et al. (2013) </w:t>
      </w:r>
      <w:r w:rsidR="00C96C57">
        <w:rPr>
          <w:rFonts w:asciiTheme="majorHAnsi" w:hAnsiTheme="majorHAnsi"/>
          <w:sz w:val="24"/>
          <w:szCs w:val="24"/>
          <w:lang w:val="en-GB"/>
        </w:rPr>
        <w:t xml:space="preserve">analysed </w:t>
      </w:r>
      <w:r w:rsidR="00715A66" w:rsidRPr="00715A66">
        <w:rPr>
          <w:rFonts w:asciiTheme="majorHAnsi" w:hAnsiTheme="majorHAnsi"/>
          <w:sz w:val="24"/>
          <w:szCs w:val="24"/>
          <w:lang w:val="en-GB"/>
        </w:rPr>
        <w:t xml:space="preserve">French and Norwegian learners’ use of </w:t>
      </w:r>
      <w:r w:rsidR="00413A58">
        <w:rPr>
          <w:rFonts w:asciiTheme="majorHAnsi" w:hAnsiTheme="majorHAnsi"/>
          <w:sz w:val="24"/>
          <w:szCs w:val="24"/>
          <w:lang w:val="en-GB"/>
        </w:rPr>
        <w:t xml:space="preserve">a variety of </w:t>
      </w:r>
      <w:r w:rsidR="00715A66" w:rsidRPr="00715A66">
        <w:rPr>
          <w:rFonts w:asciiTheme="majorHAnsi" w:hAnsiTheme="majorHAnsi"/>
          <w:sz w:val="24"/>
          <w:szCs w:val="24"/>
          <w:lang w:val="en-GB"/>
        </w:rPr>
        <w:t>W/R visibility features across genres, comparing argumentative texts from</w:t>
      </w:r>
      <w:r w:rsidR="00820EED">
        <w:rPr>
          <w:rFonts w:asciiTheme="majorHAnsi" w:hAnsiTheme="majorHAnsi"/>
          <w:sz w:val="24"/>
          <w:szCs w:val="24"/>
          <w:lang w:val="en-GB"/>
        </w:rPr>
        <w:t xml:space="preserve"> the</w:t>
      </w:r>
      <w:r w:rsidR="00715A66" w:rsidRPr="00715A66">
        <w:rPr>
          <w:rFonts w:asciiTheme="majorHAnsi" w:hAnsiTheme="majorHAnsi"/>
          <w:sz w:val="24"/>
          <w:szCs w:val="24"/>
          <w:lang w:val="en-GB"/>
        </w:rPr>
        <w:t xml:space="preserve"> </w:t>
      </w:r>
      <w:r w:rsidR="00820EED">
        <w:rPr>
          <w:rFonts w:asciiTheme="majorHAnsi" w:hAnsiTheme="majorHAnsi"/>
          <w:sz w:val="24"/>
          <w:szCs w:val="24"/>
          <w:lang w:val="en-GB"/>
        </w:rPr>
        <w:t>ICLE</w:t>
      </w:r>
      <w:r w:rsidR="00715A66" w:rsidRPr="00715A66">
        <w:rPr>
          <w:rFonts w:asciiTheme="majorHAnsi" w:hAnsiTheme="majorHAnsi"/>
          <w:sz w:val="24"/>
          <w:szCs w:val="24"/>
          <w:lang w:val="en-GB"/>
        </w:rPr>
        <w:t xml:space="preserve"> with discipline-specific texts from the </w:t>
      </w:r>
      <w:r w:rsidR="00715A66" w:rsidRPr="00715A66">
        <w:rPr>
          <w:rFonts w:asciiTheme="majorHAnsi" w:hAnsiTheme="majorHAnsi"/>
          <w:i/>
          <w:sz w:val="24"/>
          <w:szCs w:val="24"/>
          <w:lang w:val="en-GB"/>
        </w:rPr>
        <w:t xml:space="preserve">Varieties of English for Specific Purposes </w:t>
      </w:r>
      <w:proofErr w:type="spellStart"/>
      <w:r w:rsidR="00715A66" w:rsidRPr="00715A66">
        <w:rPr>
          <w:rFonts w:asciiTheme="majorHAnsi" w:hAnsiTheme="majorHAnsi"/>
          <w:i/>
          <w:sz w:val="24"/>
          <w:szCs w:val="24"/>
          <w:lang w:val="en-GB"/>
        </w:rPr>
        <w:t>dAtabase</w:t>
      </w:r>
      <w:proofErr w:type="spellEnd"/>
      <w:r w:rsidR="00715A66" w:rsidRPr="00715A66">
        <w:rPr>
          <w:rFonts w:asciiTheme="majorHAnsi" w:hAnsiTheme="majorHAnsi"/>
          <w:sz w:val="24"/>
          <w:szCs w:val="24"/>
          <w:lang w:val="en-GB"/>
        </w:rPr>
        <w:t xml:space="preserve"> (VESPA</w:t>
      </w:r>
      <w:r w:rsidR="00A90A95">
        <w:rPr>
          <w:rFonts w:asciiTheme="majorHAnsi" w:hAnsiTheme="majorHAnsi"/>
          <w:sz w:val="24"/>
          <w:szCs w:val="24"/>
          <w:lang w:val="en-GB"/>
        </w:rPr>
        <w:t xml:space="preserve">, </w:t>
      </w:r>
      <w:hyperlink r:id="rId7" w:history="1">
        <w:r w:rsidR="00C96C57" w:rsidRPr="005361EF">
          <w:rPr>
            <w:rStyle w:val="Lienhypertexte"/>
            <w:rFonts w:asciiTheme="majorHAnsi" w:hAnsiTheme="majorHAnsi"/>
            <w:sz w:val="24"/>
            <w:szCs w:val="24"/>
            <w:lang w:val="en-GB"/>
          </w:rPr>
          <w:t>http://www.uclouvain.be/en-cecl-vespa.html</w:t>
        </w:r>
      </w:hyperlink>
      <w:r w:rsidR="00715A66" w:rsidRPr="00715A66">
        <w:rPr>
          <w:rFonts w:asciiTheme="majorHAnsi" w:hAnsiTheme="majorHAnsi"/>
          <w:sz w:val="24"/>
          <w:szCs w:val="24"/>
          <w:lang w:val="en-GB"/>
        </w:rPr>
        <w:t>)</w:t>
      </w:r>
      <w:r>
        <w:rPr>
          <w:rFonts w:asciiTheme="majorHAnsi" w:hAnsiTheme="majorHAnsi"/>
          <w:sz w:val="24"/>
          <w:szCs w:val="24"/>
          <w:lang w:val="en-GB"/>
        </w:rPr>
        <w:t xml:space="preserve">. They </w:t>
      </w:r>
      <w:r w:rsidR="00715A66" w:rsidRPr="00715A66">
        <w:rPr>
          <w:rFonts w:asciiTheme="majorHAnsi" w:hAnsiTheme="majorHAnsi"/>
          <w:sz w:val="24"/>
          <w:szCs w:val="24"/>
          <w:lang w:val="en-GB"/>
        </w:rPr>
        <w:t>show</w:t>
      </w:r>
      <w:r w:rsidR="00715A66">
        <w:rPr>
          <w:rFonts w:asciiTheme="majorHAnsi" w:hAnsiTheme="majorHAnsi"/>
          <w:sz w:val="24"/>
          <w:szCs w:val="24"/>
          <w:lang w:val="en-GB"/>
        </w:rPr>
        <w:t>ed</w:t>
      </w:r>
      <w:r w:rsidR="00715A66" w:rsidRPr="00715A66">
        <w:rPr>
          <w:rFonts w:asciiTheme="majorHAnsi" w:hAnsiTheme="majorHAnsi"/>
          <w:sz w:val="24"/>
          <w:szCs w:val="24"/>
          <w:lang w:val="en-GB"/>
        </w:rPr>
        <w:t xml:space="preserve"> that, when compared to native speakers’ writing within the same </w:t>
      </w:r>
      <w:r w:rsidR="00C96C57">
        <w:rPr>
          <w:rFonts w:asciiTheme="majorHAnsi" w:hAnsiTheme="majorHAnsi"/>
          <w:sz w:val="24"/>
          <w:szCs w:val="24"/>
          <w:lang w:val="en-GB"/>
        </w:rPr>
        <w:t xml:space="preserve">genre and </w:t>
      </w:r>
      <w:r w:rsidR="00715A66" w:rsidRPr="00715A66">
        <w:rPr>
          <w:rFonts w:asciiTheme="majorHAnsi" w:hAnsiTheme="majorHAnsi"/>
          <w:sz w:val="24"/>
          <w:szCs w:val="24"/>
          <w:lang w:val="en-GB"/>
        </w:rPr>
        <w:t xml:space="preserve">discipline, texts produced by French and Norwegian learners </w:t>
      </w:r>
      <w:r w:rsidR="00922D74">
        <w:rPr>
          <w:rFonts w:asciiTheme="majorHAnsi" w:hAnsiTheme="majorHAnsi"/>
          <w:sz w:val="24"/>
          <w:szCs w:val="24"/>
          <w:lang w:val="en-GB"/>
        </w:rPr>
        <w:t xml:space="preserve">systematically </w:t>
      </w:r>
      <w:r w:rsidR="00715A66" w:rsidRPr="00715A66">
        <w:rPr>
          <w:rFonts w:asciiTheme="majorHAnsi" w:hAnsiTheme="majorHAnsi"/>
          <w:sz w:val="24"/>
          <w:szCs w:val="24"/>
          <w:lang w:val="en-GB"/>
        </w:rPr>
        <w:t>display</w:t>
      </w:r>
      <w:r w:rsidR="00715A66">
        <w:rPr>
          <w:rFonts w:asciiTheme="majorHAnsi" w:hAnsiTheme="majorHAnsi"/>
          <w:sz w:val="24"/>
          <w:szCs w:val="24"/>
          <w:lang w:val="en-GB"/>
        </w:rPr>
        <w:t>ed</w:t>
      </w:r>
      <w:r w:rsidR="00715A66" w:rsidRPr="00715A66">
        <w:rPr>
          <w:rFonts w:asciiTheme="majorHAnsi" w:hAnsiTheme="majorHAnsi"/>
          <w:sz w:val="24"/>
          <w:szCs w:val="24"/>
          <w:lang w:val="en-GB"/>
        </w:rPr>
        <w:t xml:space="preserve"> an overuse of W/R visibility features. </w:t>
      </w:r>
    </w:p>
    <w:p w:rsidR="0029061F" w:rsidRPr="00715A66" w:rsidRDefault="00922D74" w:rsidP="00922D74">
      <w:pPr>
        <w:rPr>
          <w:rFonts w:asciiTheme="majorHAnsi" w:hAnsiTheme="majorHAnsi"/>
          <w:sz w:val="24"/>
          <w:szCs w:val="24"/>
          <w:lang w:val="en-GB"/>
        </w:rPr>
      </w:pPr>
      <w:r>
        <w:rPr>
          <w:rFonts w:asciiTheme="majorHAnsi" w:hAnsiTheme="majorHAnsi"/>
          <w:sz w:val="24"/>
          <w:szCs w:val="24"/>
          <w:lang w:val="en-GB"/>
        </w:rPr>
        <w:t xml:space="preserve">We adopt a broader perspective and build on </w:t>
      </w:r>
      <w:r w:rsidR="002900ED">
        <w:rPr>
          <w:rFonts w:asciiTheme="majorHAnsi" w:hAnsiTheme="majorHAnsi"/>
          <w:sz w:val="24"/>
          <w:szCs w:val="24"/>
          <w:lang w:val="en-GB"/>
        </w:rPr>
        <w:t xml:space="preserve">a multi-dimensional analysis </w:t>
      </w:r>
      <w:r w:rsidR="0029061F">
        <w:rPr>
          <w:rFonts w:asciiTheme="majorHAnsi" w:hAnsiTheme="majorHAnsi"/>
          <w:sz w:val="24"/>
          <w:szCs w:val="24"/>
          <w:lang w:val="en-GB"/>
        </w:rPr>
        <w:t xml:space="preserve">of a variety of native and learner corpora </w:t>
      </w:r>
      <w:r w:rsidR="002900ED">
        <w:rPr>
          <w:rFonts w:asciiTheme="majorHAnsi" w:hAnsiTheme="majorHAnsi"/>
          <w:sz w:val="24"/>
          <w:szCs w:val="24"/>
          <w:lang w:val="en-GB"/>
        </w:rPr>
        <w:t xml:space="preserve">to further </w:t>
      </w:r>
      <w:r w:rsidR="00820EED">
        <w:rPr>
          <w:rFonts w:asciiTheme="majorHAnsi" w:hAnsiTheme="majorHAnsi"/>
          <w:sz w:val="24"/>
          <w:szCs w:val="24"/>
          <w:lang w:val="en-GB"/>
        </w:rPr>
        <w:t>investigate the impact of genre on EFL learner writing</w:t>
      </w:r>
      <w:r w:rsidR="00EE4E06">
        <w:rPr>
          <w:rFonts w:asciiTheme="majorHAnsi" w:hAnsiTheme="majorHAnsi"/>
          <w:sz w:val="24"/>
          <w:szCs w:val="24"/>
          <w:lang w:val="en-GB"/>
        </w:rPr>
        <w:t xml:space="preserve">. </w:t>
      </w:r>
      <w:r w:rsidR="0029061F">
        <w:rPr>
          <w:rFonts w:asciiTheme="majorHAnsi" w:hAnsiTheme="majorHAnsi"/>
          <w:sz w:val="24"/>
          <w:szCs w:val="24"/>
          <w:lang w:val="en-GB"/>
        </w:rPr>
        <w:t>We ma</w:t>
      </w:r>
      <w:r>
        <w:rPr>
          <w:rFonts w:asciiTheme="majorHAnsi" w:hAnsiTheme="majorHAnsi"/>
          <w:sz w:val="24"/>
          <w:szCs w:val="24"/>
          <w:lang w:val="en-GB"/>
        </w:rPr>
        <w:t>k</w:t>
      </w:r>
      <w:r w:rsidR="0029061F">
        <w:rPr>
          <w:rFonts w:asciiTheme="majorHAnsi" w:hAnsiTheme="majorHAnsi"/>
          <w:sz w:val="24"/>
          <w:szCs w:val="24"/>
          <w:lang w:val="en-GB"/>
        </w:rPr>
        <w:t xml:space="preserve">e use of </w:t>
      </w:r>
      <w:proofErr w:type="spellStart"/>
      <w:r w:rsidR="0029061F">
        <w:rPr>
          <w:rFonts w:asciiTheme="majorHAnsi" w:hAnsiTheme="majorHAnsi"/>
          <w:sz w:val="24"/>
          <w:szCs w:val="24"/>
          <w:lang w:val="en-GB"/>
        </w:rPr>
        <w:t>Biber’s</w:t>
      </w:r>
      <w:proofErr w:type="spellEnd"/>
      <w:r w:rsidR="0029061F">
        <w:rPr>
          <w:rFonts w:asciiTheme="majorHAnsi" w:hAnsiTheme="majorHAnsi"/>
          <w:sz w:val="24"/>
          <w:szCs w:val="24"/>
          <w:lang w:val="en-GB"/>
        </w:rPr>
        <w:t xml:space="preserve"> (1988) linguistic features and dimensions to compare and contrast the same ICLE and VESPA sub-corpora as used in </w:t>
      </w:r>
      <w:proofErr w:type="spellStart"/>
      <w:r w:rsidR="0029061F">
        <w:rPr>
          <w:rFonts w:asciiTheme="majorHAnsi" w:hAnsiTheme="majorHAnsi"/>
          <w:sz w:val="24"/>
          <w:szCs w:val="24"/>
          <w:lang w:val="en-GB"/>
        </w:rPr>
        <w:t>Paquot</w:t>
      </w:r>
      <w:proofErr w:type="spellEnd"/>
      <w:r w:rsidR="0029061F">
        <w:rPr>
          <w:rFonts w:asciiTheme="majorHAnsi" w:hAnsiTheme="majorHAnsi"/>
          <w:sz w:val="24"/>
          <w:szCs w:val="24"/>
          <w:lang w:val="en-GB"/>
        </w:rPr>
        <w:t xml:space="preserve"> et al. (2013) as well as two corpora of student native writing (comparable subsets of the </w:t>
      </w:r>
      <w:r w:rsidR="0029061F" w:rsidRPr="00A90A95">
        <w:rPr>
          <w:rFonts w:asciiTheme="majorHAnsi" w:hAnsiTheme="majorHAnsi"/>
          <w:i/>
          <w:sz w:val="24"/>
          <w:szCs w:val="24"/>
          <w:lang w:val="en-GB"/>
        </w:rPr>
        <w:t>Louvain Corpus of Native English Essays</w:t>
      </w:r>
      <w:r w:rsidR="0029061F">
        <w:rPr>
          <w:rFonts w:asciiTheme="majorHAnsi" w:hAnsiTheme="majorHAnsi"/>
          <w:sz w:val="24"/>
          <w:szCs w:val="24"/>
          <w:lang w:val="en-GB"/>
        </w:rPr>
        <w:t xml:space="preserve"> </w:t>
      </w:r>
      <w:r w:rsidR="0029061F" w:rsidRPr="00A90A95">
        <w:rPr>
          <w:rFonts w:asciiTheme="majorHAnsi" w:hAnsiTheme="majorHAnsi"/>
          <w:sz w:val="24"/>
          <w:szCs w:val="24"/>
          <w:lang w:val="en-GB"/>
        </w:rPr>
        <w:t>(LOCNESS)</w:t>
      </w:r>
      <w:r w:rsidR="001E5D5C">
        <w:rPr>
          <w:rFonts w:asciiTheme="majorHAnsi" w:hAnsiTheme="majorHAnsi"/>
          <w:sz w:val="24"/>
          <w:szCs w:val="24"/>
          <w:lang w:val="en-GB"/>
        </w:rPr>
        <w:t>,</w:t>
      </w:r>
      <w:r w:rsidR="0029061F">
        <w:rPr>
          <w:rFonts w:asciiTheme="majorHAnsi" w:hAnsiTheme="majorHAnsi"/>
          <w:sz w:val="24"/>
          <w:szCs w:val="24"/>
          <w:lang w:val="en-GB"/>
        </w:rPr>
        <w:t xml:space="preserve"> the </w:t>
      </w:r>
      <w:r w:rsidR="0029061F" w:rsidRPr="00A90A95">
        <w:rPr>
          <w:rFonts w:asciiTheme="majorHAnsi" w:hAnsiTheme="majorHAnsi"/>
          <w:i/>
          <w:sz w:val="24"/>
          <w:szCs w:val="24"/>
          <w:lang w:val="en-GB"/>
        </w:rPr>
        <w:t>British Academic Written English</w:t>
      </w:r>
      <w:r w:rsidR="0029061F" w:rsidRPr="00A90A95">
        <w:rPr>
          <w:rFonts w:asciiTheme="majorHAnsi" w:hAnsiTheme="majorHAnsi"/>
          <w:sz w:val="24"/>
          <w:szCs w:val="24"/>
          <w:lang w:val="en-GB"/>
        </w:rPr>
        <w:t xml:space="preserve"> (BAWE)</w:t>
      </w:r>
      <w:r w:rsidR="0029061F">
        <w:rPr>
          <w:rFonts w:asciiTheme="majorHAnsi" w:hAnsiTheme="majorHAnsi"/>
          <w:sz w:val="24"/>
          <w:szCs w:val="24"/>
          <w:lang w:val="en-GB"/>
        </w:rPr>
        <w:t xml:space="preserve"> corpus)</w:t>
      </w:r>
      <w:r>
        <w:rPr>
          <w:rFonts w:asciiTheme="majorHAnsi" w:hAnsiTheme="majorHAnsi"/>
          <w:sz w:val="24"/>
          <w:szCs w:val="24"/>
          <w:lang w:val="en-GB"/>
        </w:rPr>
        <w:t xml:space="preserve"> and </w:t>
      </w:r>
      <w:r w:rsidR="0029061F" w:rsidRPr="00715A66">
        <w:rPr>
          <w:rFonts w:asciiTheme="majorHAnsi" w:hAnsiTheme="majorHAnsi"/>
          <w:sz w:val="24"/>
          <w:szCs w:val="24"/>
          <w:lang w:val="en-GB"/>
        </w:rPr>
        <w:t>a 1 million word corpus of published research articles in linguistics.</w:t>
      </w:r>
    </w:p>
    <w:p w:rsidR="0094210E" w:rsidRDefault="0094210E">
      <w:pPr>
        <w:rPr>
          <w:rFonts w:asciiTheme="majorHAnsi" w:hAnsiTheme="majorHAnsi"/>
          <w:sz w:val="24"/>
          <w:szCs w:val="24"/>
          <w:lang w:val="en-US"/>
        </w:rPr>
      </w:pPr>
      <w:r w:rsidRPr="00715A66">
        <w:rPr>
          <w:rFonts w:asciiTheme="majorHAnsi" w:hAnsiTheme="majorHAnsi"/>
          <w:sz w:val="24"/>
          <w:szCs w:val="24"/>
          <w:lang w:val="en-US"/>
        </w:rPr>
        <w:t xml:space="preserve">Preliminary results </w:t>
      </w:r>
      <w:r w:rsidR="00AE4A44">
        <w:rPr>
          <w:rFonts w:asciiTheme="majorHAnsi" w:hAnsiTheme="majorHAnsi"/>
          <w:sz w:val="24"/>
          <w:szCs w:val="24"/>
          <w:lang w:val="en-US"/>
        </w:rPr>
        <w:t>suggest</w:t>
      </w:r>
      <w:r w:rsidRPr="00715A66">
        <w:rPr>
          <w:rFonts w:asciiTheme="majorHAnsi" w:hAnsiTheme="majorHAnsi"/>
          <w:sz w:val="24"/>
          <w:szCs w:val="24"/>
          <w:lang w:val="en-US"/>
        </w:rPr>
        <w:t xml:space="preserve"> that</w:t>
      </w:r>
      <w:r w:rsidR="00AE4A44">
        <w:rPr>
          <w:rFonts w:asciiTheme="majorHAnsi" w:hAnsiTheme="majorHAnsi"/>
          <w:sz w:val="24"/>
          <w:szCs w:val="24"/>
          <w:lang w:val="en-US"/>
        </w:rPr>
        <w:t xml:space="preserve"> French and Norwegian learners’ argumentative and discipline-specific texts are characterized by higher degrees of involvement (Dimension 1) and persuasiveness (Dimension 4) when </w:t>
      </w:r>
      <w:r w:rsidR="00413A58">
        <w:rPr>
          <w:rFonts w:asciiTheme="majorHAnsi" w:hAnsiTheme="majorHAnsi"/>
          <w:sz w:val="24"/>
          <w:szCs w:val="24"/>
          <w:lang w:val="en-US"/>
        </w:rPr>
        <w:t>set against</w:t>
      </w:r>
      <w:r w:rsidR="00AE4A44">
        <w:rPr>
          <w:rFonts w:asciiTheme="majorHAnsi" w:hAnsiTheme="majorHAnsi"/>
          <w:sz w:val="24"/>
          <w:szCs w:val="24"/>
          <w:lang w:val="en-US"/>
        </w:rPr>
        <w:t xml:space="preserve"> comparable native speakers’ writing in terms of genre and discipline. </w:t>
      </w:r>
      <w:r w:rsidR="00413A58">
        <w:rPr>
          <w:rFonts w:asciiTheme="majorHAnsi" w:hAnsiTheme="majorHAnsi"/>
          <w:sz w:val="24"/>
          <w:szCs w:val="24"/>
          <w:lang w:val="en-US"/>
        </w:rPr>
        <w:t xml:space="preserve">They also point to strong L1-based differences </w:t>
      </w:r>
      <w:r w:rsidR="00413A58">
        <w:rPr>
          <w:rFonts w:asciiTheme="majorHAnsi" w:hAnsiTheme="majorHAnsi"/>
          <w:sz w:val="24"/>
          <w:szCs w:val="24"/>
          <w:lang w:val="en-US"/>
        </w:rPr>
        <w:lastRenderedPageBreak/>
        <w:t xml:space="preserve">(e.g. Norwegian learners’ argumentative and discipline-specific texts are much more involved than French learners’ texts). However, the various corpora used also cluster by genre, irrespective of L1 background, thus suggesting that learners adapt to genre requirements to some extent (cf. </w:t>
      </w:r>
      <w:proofErr w:type="spellStart"/>
      <w:r w:rsidR="00413A58">
        <w:rPr>
          <w:rFonts w:asciiTheme="majorHAnsi" w:hAnsiTheme="majorHAnsi"/>
          <w:sz w:val="24"/>
          <w:szCs w:val="24"/>
          <w:lang w:val="en-US"/>
        </w:rPr>
        <w:t>Paquot</w:t>
      </w:r>
      <w:proofErr w:type="spellEnd"/>
      <w:r w:rsidR="00413A58">
        <w:rPr>
          <w:rFonts w:asciiTheme="majorHAnsi" w:hAnsiTheme="majorHAnsi"/>
          <w:sz w:val="24"/>
          <w:szCs w:val="24"/>
          <w:lang w:val="en-US"/>
        </w:rPr>
        <w:t xml:space="preserve"> et al., 2013). </w:t>
      </w:r>
    </w:p>
    <w:p w:rsidR="0094210E" w:rsidRDefault="00413A58" w:rsidP="00BA7C69">
      <w:pPr>
        <w:rPr>
          <w:rFonts w:asciiTheme="majorHAnsi" w:hAnsiTheme="majorHAnsi"/>
          <w:sz w:val="24"/>
          <w:szCs w:val="24"/>
          <w:lang w:val="en-US"/>
        </w:rPr>
      </w:pPr>
      <w:r>
        <w:rPr>
          <w:rFonts w:asciiTheme="majorHAnsi" w:hAnsiTheme="majorHAnsi"/>
          <w:sz w:val="24"/>
          <w:szCs w:val="24"/>
          <w:lang w:val="en-US"/>
        </w:rPr>
        <w:t xml:space="preserve">The theoretical and pedagogical implications of this study will be discussed. </w:t>
      </w:r>
      <w:r w:rsidR="00BA7C69">
        <w:rPr>
          <w:rFonts w:asciiTheme="majorHAnsi" w:hAnsiTheme="majorHAnsi"/>
          <w:sz w:val="24"/>
          <w:szCs w:val="24"/>
          <w:lang w:val="en-US"/>
        </w:rPr>
        <w:t xml:space="preserve">We will also consider its implications in terms of </w:t>
      </w:r>
      <w:r w:rsidR="00820EED">
        <w:rPr>
          <w:rFonts w:asciiTheme="majorHAnsi" w:hAnsiTheme="majorHAnsi"/>
          <w:sz w:val="24"/>
          <w:szCs w:val="24"/>
          <w:lang w:val="en-US"/>
        </w:rPr>
        <w:t>corpus comparability and selection of a reference corpus in learner corpus research.</w:t>
      </w:r>
    </w:p>
    <w:p w:rsidR="00BA7C69" w:rsidRPr="00715A66" w:rsidRDefault="00BA7C69" w:rsidP="00BA7C69">
      <w:pPr>
        <w:rPr>
          <w:rFonts w:asciiTheme="majorHAnsi" w:hAnsiTheme="majorHAnsi"/>
          <w:sz w:val="24"/>
          <w:szCs w:val="24"/>
          <w:lang w:val="en-US"/>
        </w:rPr>
      </w:pPr>
    </w:p>
    <w:p w:rsidR="0094210E" w:rsidRPr="00715A66" w:rsidRDefault="0094210E">
      <w:pPr>
        <w:rPr>
          <w:rFonts w:asciiTheme="majorHAnsi" w:hAnsiTheme="majorHAnsi"/>
          <w:b/>
          <w:sz w:val="24"/>
          <w:szCs w:val="24"/>
          <w:lang w:val="en-US"/>
        </w:rPr>
      </w:pPr>
      <w:r w:rsidRPr="00715A66">
        <w:rPr>
          <w:rFonts w:asciiTheme="majorHAnsi" w:hAnsiTheme="majorHAnsi"/>
          <w:b/>
          <w:sz w:val="24"/>
          <w:szCs w:val="24"/>
          <w:lang w:val="en-US"/>
        </w:rPr>
        <w:t>References</w:t>
      </w:r>
    </w:p>
    <w:p w:rsidR="00BA7C69" w:rsidRPr="00BA7C69" w:rsidRDefault="00BA7C69" w:rsidP="00BA7C69">
      <w:pPr>
        <w:autoSpaceDE w:val="0"/>
        <w:autoSpaceDN w:val="0"/>
        <w:adjustRightInd w:val="0"/>
        <w:spacing w:after="0" w:line="240" w:lineRule="auto"/>
        <w:ind w:left="142" w:hanging="142"/>
        <w:rPr>
          <w:rFonts w:asciiTheme="majorHAnsi" w:eastAsia="MS Mincho" w:hAnsiTheme="majorHAnsi" w:cs="Times New Roman"/>
          <w:lang w:val="en-GB" w:eastAsia="fr-FR"/>
        </w:rPr>
      </w:pPr>
      <w:proofErr w:type="spellStart"/>
      <w:r w:rsidRPr="00BA7C69">
        <w:rPr>
          <w:rFonts w:asciiTheme="majorHAnsi" w:eastAsia="MS Mincho" w:hAnsiTheme="majorHAnsi" w:cs="Times New Roman"/>
          <w:lang w:val="en-GB" w:eastAsia="fr-FR"/>
        </w:rPr>
        <w:t>Aijmer</w:t>
      </w:r>
      <w:proofErr w:type="spellEnd"/>
      <w:r w:rsidRPr="00BA7C69">
        <w:rPr>
          <w:rFonts w:asciiTheme="majorHAnsi" w:eastAsia="MS Mincho" w:hAnsiTheme="majorHAnsi" w:cs="Times New Roman"/>
          <w:lang w:val="en-GB" w:eastAsia="fr-FR"/>
        </w:rPr>
        <w:t xml:space="preserve">, K. (2002). </w:t>
      </w:r>
      <w:proofErr w:type="gramStart"/>
      <w:r w:rsidRPr="00BA7C69">
        <w:rPr>
          <w:rFonts w:asciiTheme="majorHAnsi" w:eastAsia="MS Mincho" w:hAnsiTheme="majorHAnsi" w:cs="Times New Roman"/>
          <w:lang w:val="en-GB" w:eastAsia="fr-FR"/>
        </w:rPr>
        <w:t>Modality in advanced Swedish learners’ written interlanguage.</w:t>
      </w:r>
      <w:proofErr w:type="gramEnd"/>
      <w:r w:rsidRPr="00BA7C69">
        <w:rPr>
          <w:rFonts w:asciiTheme="majorHAnsi" w:eastAsia="MS Mincho" w:hAnsiTheme="majorHAnsi" w:cs="Times New Roman"/>
          <w:lang w:val="en-GB" w:eastAsia="fr-FR"/>
        </w:rPr>
        <w:t xml:space="preserve"> In S. Granger, J. Hung and S. </w:t>
      </w:r>
      <w:proofErr w:type="spellStart"/>
      <w:r w:rsidRPr="00BA7C69">
        <w:rPr>
          <w:rFonts w:asciiTheme="majorHAnsi" w:eastAsia="MS Mincho" w:hAnsiTheme="majorHAnsi" w:cs="Times New Roman"/>
          <w:lang w:val="en-GB" w:eastAsia="fr-FR"/>
        </w:rPr>
        <w:t>Petch</w:t>
      </w:r>
      <w:proofErr w:type="spellEnd"/>
      <w:r w:rsidRPr="00BA7C69">
        <w:rPr>
          <w:rFonts w:asciiTheme="majorHAnsi" w:eastAsia="MS Mincho" w:hAnsiTheme="majorHAnsi" w:cs="Times New Roman"/>
          <w:lang w:val="en-GB" w:eastAsia="fr-FR"/>
        </w:rPr>
        <w:t>-Tyson (</w:t>
      </w:r>
      <w:proofErr w:type="spellStart"/>
      <w:r w:rsidRPr="00BA7C69">
        <w:rPr>
          <w:rFonts w:asciiTheme="majorHAnsi" w:eastAsia="MS Mincho" w:hAnsiTheme="majorHAnsi" w:cs="Times New Roman"/>
          <w:lang w:val="en-GB" w:eastAsia="fr-FR"/>
        </w:rPr>
        <w:t>eds</w:t>
      </w:r>
      <w:proofErr w:type="spellEnd"/>
      <w:r w:rsidRPr="00BA7C69">
        <w:rPr>
          <w:rFonts w:asciiTheme="majorHAnsi" w:eastAsia="MS Mincho" w:hAnsiTheme="majorHAnsi" w:cs="Times New Roman"/>
          <w:lang w:val="en-GB" w:eastAsia="fr-FR"/>
        </w:rPr>
        <w:t xml:space="preserve">) </w:t>
      </w:r>
      <w:r w:rsidRPr="00BA7C69">
        <w:rPr>
          <w:rFonts w:asciiTheme="majorHAnsi" w:eastAsia="MS Mincho" w:hAnsiTheme="majorHAnsi" w:cs="Times New Roman"/>
          <w:i/>
          <w:iCs/>
          <w:lang w:val="en-GB" w:eastAsia="fr-FR"/>
        </w:rPr>
        <w:t xml:space="preserve">Computer Learner Corpora, Second Language Acquisition and Foreign Language Teaching </w:t>
      </w:r>
      <w:r w:rsidRPr="00BA7C69">
        <w:rPr>
          <w:rFonts w:asciiTheme="majorHAnsi" w:eastAsia="MS Mincho" w:hAnsiTheme="majorHAnsi" w:cs="Times New Roman"/>
          <w:lang w:val="en-GB" w:eastAsia="fr-FR"/>
        </w:rPr>
        <w:t xml:space="preserve">[Language Learning and Language Teaching 6]. Amsterdam and Philadelphia: John </w:t>
      </w:r>
      <w:proofErr w:type="spellStart"/>
      <w:r w:rsidRPr="00BA7C69">
        <w:rPr>
          <w:rFonts w:asciiTheme="majorHAnsi" w:eastAsia="MS Mincho" w:hAnsiTheme="majorHAnsi" w:cs="Times New Roman"/>
          <w:lang w:val="en-GB" w:eastAsia="fr-FR"/>
        </w:rPr>
        <w:t>Benjamins</w:t>
      </w:r>
      <w:proofErr w:type="spellEnd"/>
      <w:r w:rsidRPr="00BA7C69">
        <w:rPr>
          <w:rFonts w:asciiTheme="majorHAnsi" w:eastAsia="MS Mincho" w:hAnsiTheme="majorHAnsi" w:cs="Times New Roman"/>
          <w:lang w:val="en-GB" w:eastAsia="fr-FR"/>
        </w:rPr>
        <w:t xml:space="preserve"> Publishing Company, 55—76.</w:t>
      </w:r>
    </w:p>
    <w:p w:rsidR="00BA7C69" w:rsidRPr="00BA7C69" w:rsidRDefault="00BA7C69" w:rsidP="00BA7C69">
      <w:pPr>
        <w:autoSpaceDE w:val="0"/>
        <w:autoSpaceDN w:val="0"/>
        <w:adjustRightInd w:val="0"/>
        <w:spacing w:after="0" w:line="240" w:lineRule="auto"/>
        <w:ind w:left="142" w:hanging="142"/>
        <w:rPr>
          <w:rFonts w:asciiTheme="majorHAnsi" w:eastAsia="MS Mincho" w:hAnsiTheme="majorHAnsi" w:cs="Times New Roman"/>
          <w:lang w:val="en-GB" w:eastAsia="fr-FR"/>
        </w:rPr>
      </w:pPr>
      <w:proofErr w:type="spellStart"/>
      <w:proofErr w:type="gramStart"/>
      <w:r w:rsidRPr="00BA7C69">
        <w:rPr>
          <w:rFonts w:asciiTheme="majorHAnsi" w:eastAsia="MS Mincho" w:hAnsiTheme="majorHAnsi" w:cs="Times New Roman"/>
          <w:lang w:val="en-GB" w:eastAsia="fr-FR"/>
        </w:rPr>
        <w:t>Altenberg</w:t>
      </w:r>
      <w:proofErr w:type="spellEnd"/>
      <w:r w:rsidRPr="00BA7C69">
        <w:rPr>
          <w:rFonts w:asciiTheme="majorHAnsi" w:eastAsia="MS Mincho" w:hAnsiTheme="majorHAnsi" w:cs="Times New Roman"/>
          <w:lang w:val="en-GB" w:eastAsia="fr-FR"/>
        </w:rPr>
        <w:t>, B. and M. Tapper (1998).</w:t>
      </w:r>
      <w:proofErr w:type="gramEnd"/>
      <w:r w:rsidRPr="00BA7C69">
        <w:rPr>
          <w:rFonts w:asciiTheme="majorHAnsi" w:eastAsia="MS Mincho" w:hAnsiTheme="majorHAnsi" w:cs="Times New Roman"/>
          <w:lang w:val="en-GB" w:eastAsia="fr-FR"/>
        </w:rPr>
        <w:t xml:space="preserve"> </w:t>
      </w:r>
      <w:proofErr w:type="gramStart"/>
      <w:r w:rsidRPr="00BA7C69">
        <w:rPr>
          <w:rFonts w:asciiTheme="majorHAnsi" w:eastAsia="MS Mincho" w:hAnsiTheme="majorHAnsi" w:cs="Times New Roman"/>
          <w:lang w:val="en-GB" w:eastAsia="fr-FR"/>
        </w:rPr>
        <w:t>The use of adverbial connectors in advanced Swedish learners’ written English.</w:t>
      </w:r>
      <w:proofErr w:type="gramEnd"/>
      <w:r w:rsidRPr="00BA7C69">
        <w:rPr>
          <w:rFonts w:asciiTheme="majorHAnsi" w:eastAsia="MS Mincho" w:hAnsiTheme="majorHAnsi" w:cs="Times New Roman"/>
          <w:lang w:val="en-GB" w:eastAsia="fr-FR"/>
        </w:rPr>
        <w:t xml:space="preserve"> In S. Granger (ed.) </w:t>
      </w:r>
      <w:r w:rsidRPr="00BA7C69">
        <w:rPr>
          <w:rFonts w:asciiTheme="majorHAnsi" w:eastAsia="MS Mincho" w:hAnsiTheme="majorHAnsi" w:cs="Times New Roman"/>
          <w:i/>
          <w:iCs/>
          <w:lang w:val="en-GB" w:eastAsia="fr-FR"/>
        </w:rPr>
        <w:t>Learner English on Computer</w:t>
      </w:r>
      <w:r w:rsidRPr="00BA7C69">
        <w:rPr>
          <w:rFonts w:asciiTheme="majorHAnsi" w:eastAsia="MS Mincho" w:hAnsiTheme="majorHAnsi" w:cs="Times New Roman"/>
          <w:lang w:val="en-GB" w:eastAsia="fr-FR"/>
        </w:rPr>
        <w:t>. London and New York: Addison-Wesley Longman, 80—93.</w:t>
      </w:r>
    </w:p>
    <w:p w:rsidR="00BA7C69" w:rsidRPr="00BA7C69" w:rsidRDefault="00BA7C69" w:rsidP="00BA7C69">
      <w:pPr>
        <w:spacing w:after="0" w:line="240" w:lineRule="auto"/>
        <w:ind w:left="142" w:hanging="142"/>
        <w:rPr>
          <w:rFonts w:asciiTheme="majorHAnsi" w:hAnsiTheme="majorHAnsi"/>
          <w:lang w:val="en-GB"/>
        </w:rPr>
      </w:pPr>
      <w:proofErr w:type="spellStart"/>
      <w:proofErr w:type="gramStart"/>
      <w:r w:rsidRPr="00BA7C69">
        <w:rPr>
          <w:rFonts w:asciiTheme="majorHAnsi" w:hAnsiTheme="majorHAnsi"/>
          <w:lang w:val="en-GB"/>
        </w:rPr>
        <w:t>Biber</w:t>
      </w:r>
      <w:proofErr w:type="spellEnd"/>
      <w:r w:rsidRPr="00BA7C69">
        <w:rPr>
          <w:rFonts w:asciiTheme="majorHAnsi" w:hAnsiTheme="majorHAnsi"/>
          <w:lang w:val="en-GB"/>
        </w:rPr>
        <w:t xml:space="preserve"> D. (1988) </w:t>
      </w:r>
      <w:r w:rsidRPr="00BA7C69">
        <w:rPr>
          <w:rFonts w:asciiTheme="majorHAnsi" w:hAnsiTheme="majorHAnsi"/>
          <w:i/>
          <w:lang w:val="en-GB"/>
        </w:rPr>
        <w:t>Variation across speech and writing</w:t>
      </w:r>
      <w:r w:rsidRPr="00BA7C69">
        <w:rPr>
          <w:rFonts w:asciiTheme="majorHAnsi" w:hAnsiTheme="majorHAnsi"/>
          <w:lang w:val="en-GB"/>
        </w:rPr>
        <w:t>.</w:t>
      </w:r>
      <w:proofErr w:type="gramEnd"/>
      <w:r w:rsidRPr="00BA7C69">
        <w:rPr>
          <w:rFonts w:asciiTheme="majorHAnsi" w:hAnsiTheme="majorHAnsi"/>
          <w:lang w:val="en-GB"/>
        </w:rPr>
        <w:t xml:space="preserve"> Cambridge: Cambridge University Press.</w:t>
      </w:r>
    </w:p>
    <w:p w:rsidR="00BA7C69" w:rsidRPr="00BA7C69" w:rsidRDefault="00BA7C69" w:rsidP="00BA7C69">
      <w:pPr>
        <w:spacing w:after="0" w:line="240" w:lineRule="auto"/>
        <w:ind w:left="142" w:hanging="142"/>
        <w:rPr>
          <w:rFonts w:asciiTheme="majorHAnsi" w:hAnsiTheme="majorHAnsi"/>
          <w:lang w:val="en-US"/>
        </w:rPr>
      </w:pPr>
      <w:proofErr w:type="spellStart"/>
      <w:r w:rsidRPr="00BA7C69">
        <w:rPr>
          <w:rFonts w:asciiTheme="majorHAnsi" w:hAnsiTheme="majorHAnsi"/>
          <w:lang w:val="en-US"/>
        </w:rPr>
        <w:t>Gilquin</w:t>
      </w:r>
      <w:proofErr w:type="spellEnd"/>
      <w:r w:rsidRPr="00BA7C69">
        <w:rPr>
          <w:rFonts w:asciiTheme="majorHAnsi" w:hAnsiTheme="majorHAnsi"/>
          <w:lang w:val="en-US"/>
        </w:rPr>
        <w:t xml:space="preserve">, G., Granger, S., &amp; </w:t>
      </w:r>
      <w:proofErr w:type="spellStart"/>
      <w:r w:rsidRPr="00BA7C69">
        <w:rPr>
          <w:rFonts w:asciiTheme="majorHAnsi" w:hAnsiTheme="majorHAnsi"/>
          <w:lang w:val="en-US"/>
        </w:rPr>
        <w:t>Paquot</w:t>
      </w:r>
      <w:proofErr w:type="spellEnd"/>
      <w:r w:rsidRPr="00BA7C69">
        <w:rPr>
          <w:rFonts w:asciiTheme="majorHAnsi" w:hAnsiTheme="majorHAnsi"/>
          <w:lang w:val="en-US"/>
        </w:rPr>
        <w:t xml:space="preserve">, M. (2007). Learner corpora: The missing link in EAP pedagogy. </w:t>
      </w:r>
      <w:r w:rsidRPr="00BA7C69">
        <w:rPr>
          <w:rFonts w:asciiTheme="majorHAnsi" w:hAnsiTheme="majorHAnsi"/>
          <w:i/>
          <w:iCs/>
          <w:lang w:val="en-US"/>
        </w:rPr>
        <w:t>Journal of English for Academic Purposes</w:t>
      </w:r>
      <w:r w:rsidRPr="00BA7C69">
        <w:rPr>
          <w:rFonts w:asciiTheme="majorHAnsi" w:hAnsiTheme="majorHAnsi"/>
          <w:lang w:val="en-US"/>
        </w:rPr>
        <w:t xml:space="preserve">, </w:t>
      </w:r>
      <w:r w:rsidRPr="00BA7C69">
        <w:rPr>
          <w:rFonts w:asciiTheme="majorHAnsi" w:hAnsiTheme="majorHAnsi"/>
          <w:i/>
          <w:iCs/>
          <w:lang w:val="en-US"/>
        </w:rPr>
        <w:t>6</w:t>
      </w:r>
      <w:r w:rsidRPr="00BA7C69">
        <w:rPr>
          <w:rFonts w:asciiTheme="majorHAnsi" w:hAnsiTheme="majorHAnsi"/>
          <w:lang w:val="en-US"/>
        </w:rPr>
        <w:t>(4), 319–335.</w:t>
      </w:r>
    </w:p>
    <w:p w:rsidR="00BA7C69" w:rsidRPr="00BA7C69" w:rsidRDefault="00BA7C69" w:rsidP="00BA7C69">
      <w:pPr>
        <w:spacing w:after="0" w:line="240" w:lineRule="auto"/>
        <w:ind w:left="142" w:hanging="142"/>
        <w:rPr>
          <w:rFonts w:asciiTheme="majorHAnsi" w:hAnsiTheme="majorHAnsi"/>
          <w:lang w:val="en-GB"/>
        </w:rPr>
      </w:pPr>
      <w:proofErr w:type="spellStart"/>
      <w:proofErr w:type="gramStart"/>
      <w:r w:rsidRPr="00BA7C69">
        <w:rPr>
          <w:rFonts w:asciiTheme="majorHAnsi" w:hAnsiTheme="majorHAnsi"/>
          <w:lang w:val="en-GB"/>
        </w:rPr>
        <w:t>Gilquin</w:t>
      </w:r>
      <w:proofErr w:type="spellEnd"/>
      <w:r w:rsidRPr="00BA7C69">
        <w:rPr>
          <w:rFonts w:asciiTheme="majorHAnsi" w:hAnsiTheme="majorHAnsi"/>
          <w:lang w:val="en-GB"/>
        </w:rPr>
        <w:t xml:space="preserve">, G. and M. </w:t>
      </w:r>
      <w:proofErr w:type="spellStart"/>
      <w:r w:rsidRPr="00BA7C69">
        <w:rPr>
          <w:rFonts w:asciiTheme="majorHAnsi" w:hAnsiTheme="majorHAnsi"/>
          <w:lang w:val="en-GB"/>
        </w:rPr>
        <w:t>Paquot</w:t>
      </w:r>
      <w:proofErr w:type="spellEnd"/>
      <w:r w:rsidRPr="00BA7C69">
        <w:rPr>
          <w:rFonts w:asciiTheme="majorHAnsi" w:hAnsiTheme="majorHAnsi"/>
          <w:lang w:val="en-GB"/>
        </w:rPr>
        <w:t xml:space="preserve"> (2008).</w:t>
      </w:r>
      <w:proofErr w:type="gramEnd"/>
      <w:r w:rsidRPr="00BA7C69">
        <w:rPr>
          <w:rFonts w:asciiTheme="majorHAnsi" w:hAnsiTheme="majorHAnsi"/>
          <w:lang w:val="en-GB"/>
        </w:rPr>
        <w:t xml:space="preserve"> Too chatty: learner academic writing and register variation. </w:t>
      </w:r>
      <w:r w:rsidRPr="00BA7C69">
        <w:rPr>
          <w:rFonts w:asciiTheme="majorHAnsi" w:hAnsiTheme="majorHAnsi"/>
          <w:i/>
          <w:lang w:val="en-GB"/>
        </w:rPr>
        <w:t>English Text Construction</w:t>
      </w:r>
      <w:r w:rsidRPr="00BA7C69">
        <w:rPr>
          <w:rFonts w:asciiTheme="majorHAnsi" w:hAnsiTheme="majorHAnsi"/>
          <w:lang w:val="en-GB"/>
        </w:rPr>
        <w:t xml:space="preserve"> 1 (1): 41-61.</w:t>
      </w:r>
    </w:p>
    <w:p w:rsidR="00BA7C69" w:rsidRPr="00BA7C69" w:rsidRDefault="00BA7C69" w:rsidP="00BA7C69">
      <w:pPr>
        <w:autoSpaceDE w:val="0"/>
        <w:autoSpaceDN w:val="0"/>
        <w:adjustRightInd w:val="0"/>
        <w:spacing w:after="0" w:line="240" w:lineRule="auto"/>
        <w:ind w:left="142" w:hanging="142"/>
        <w:rPr>
          <w:rFonts w:asciiTheme="majorHAnsi" w:hAnsiTheme="majorHAnsi"/>
          <w:lang w:val="fr-FR" w:eastAsia="fr-FR"/>
        </w:rPr>
      </w:pPr>
      <w:r w:rsidRPr="00BA7C69">
        <w:rPr>
          <w:rFonts w:asciiTheme="majorHAnsi" w:hAnsiTheme="majorHAnsi"/>
          <w:lang w:val="en-GB" w:eastAsia="fr-FR"/>
        </w:rPr>
        <w:t xml:space="preserve">Granger, S., </w:t>
      </w:r>
      <w:proofErr w:type="spellStart"/>
      <w:r w:rsidRPr="00BA7C69">
        <w:rPr>
          <w:rFonts w:asciiTheme="majorHAnsi" w:hAnsiTheme="majorHAnsi"/>
          <w:lang w:val="en-GB" w:eastAsia="fr-FR"/>
        </w:rPr>
        <w:t>Dagneaux</w:t>
      </w:r>
      <w:proofErr w:type="spellEnd"/>
      <w:r w:rsidRPr="00BA7C69">
        <w:rPr>
          <w:rFonts w:asciiTheme="majorHAnsi" w:hAnsiTheme="majorHAnsi"/>
          <w:lang w:val="en-GB" w:eastAsia="fr-FR"/>
        </w:rPr>
        <w:t xml:space="preserve">, E., </w:t>
      </w:r>
      <w:proofErr w:type="spellStart"/>
      <w:r w:rsidRPr="00BA7C69">
        <w:rPr>
          <w:rFonts w:asciiTheme="majorHAnsi" w:hAnsiTheme="majorHAnsi"/>
          <w:lang w:val="en-GB" w:eastAsia="fr-FR"/>
        </w:rPr>
        <w:t>Meunier</w:t>
      </w:r>
      <w:proofErr w:type="spellEnd"/>
      <w:r w:rsidRPr="00BA7C69">
        <w:rPr>
          <w:rFonts w:asciiTheme="majorHAnsi" w:hAnsiTheme="majorHAnsi"/>
          <w:lang w:val="en-GB" w:eastAsia="fr-FR"/>
        </w:rPr>
        <w:t xml:space="preserve">, F. and </w:t>
      </w:r>
      <w:proofErr w:type="spellStart"/>
      <w:r w:rsidRPr="00BA7C69">
        <w:rPr>
          <w:rFonts w:asciiTheme="majorHAnsi" w:hAnsiTheme="majorHAnsi"/>
          <w:lang w:val="en-GB" w:eastAsia="fr-FR"/>
        </w:rPr>
        <w:t>Paquot</w:t>
      </w:r>
      <w:proofErr w:type="spellEnd"/>
      <w:r w:rsidRPr="00BA7C69">
        <w:rPr>
          <w:rFonts w:asciiTheme="majorHAnsi" w:hAnsiTheme="majorHAnsi"/>
          <w:lang w:val="en-GB" w:eastAsia="fr-FR"/>
        </w:rPr>
        <w:t xml:space="preserve">, M. (2009) </w:t>
      </w:r>
      <w:proofErr w:type="gramStart"/>
      <w:r w:rsidRPr="00BA7C69">
        <w:rPr>
          <w:rFonts w:asciiTheme="majorHAnsi" w:hAnsiTheme="majorHAnsi"/>
          <w:i/>
          <w:lang w:val="en-GB" w:eastAsia="fr-FR"/>
        </w:rPr>
        <w:t>The</w:t>
      </w:r>
      <w:proofErr w:type="gramEnd"/>
      <w:r w:rsidRPr="00BA7C69">
        <w:rPr>
          <w:rFonts w:asciiTheme="majorHAnsi" w:hAnsiTheme="majorHAnsi"/>
          <w:i/>
          <w:lang w:val="en-GB" w:eastAsia="fr-FR"/>
        </w:rPr>
        <w:t xml:space="preserve"> International Corpus of Learner English</w:t>
      </w:r>
      <w:r w:rsidRPr="00BA7C69">
        <w:rPr>
          <w:rFonts w:asciiTheme="majorHAnsi" w:hAnsiTheme="majorHAnsi"/>
          <w:lang w:val="en-GB" w:eastAsia="fr-FR"/>
        </w:rPr>
        <w:t xml:space="preserve">. </w:t>
      </w:r>
      <w:r w:rsidRPr="00BA7C69">
        <w:rPr>
          <w:rFonts w:asciiTheme="majorHAnsi" w:hAnsiTheme="majorHAnsi"/>
          <w:lang w:val="fr-FR" w:eastAsia="fr-FR"/>
        </w:rPr>
        <w:t xml:space="preserve">Version 2. </w:t>
      </w:r>
      <w:proofErr w:type="spellStart"/>
      <w:r w:rsidRPr="00BA7C69">
        <w:rPr>
          <w:rFonts w:asciiTheme="majorHAnsi" w:hAnsiTheme="majorHAnsi"/>
          <w:lang w:val="fr-FR" w:eastAsia="fr-FR"/>
        </w:rPr>
        <w:t>Handbook</w:t>
      </w:r>
      <w:proofErr w:type="spellEnd"/>
      <w:r w:rsidRPr="00BA7C69">
        <w:rPr>
          <w:rFonts w:asciiTheme="majorHAnsi" w:hAnsiTheme="majorHAnsi"/>
          <w:lang w:val="fr-FR" w:eastAsia="fr-FR"/>
        </w:rPr>
        <w:t xml:space="preserve"> and CD-Rom. Louvain-la-Neuve: Presses Universitaires de Louvain.</w:t>
      </w:r>
    </w:p>
    <w:p w:rsidR="00BA7C69" w:rsidRPr="00BA7C69" w:rsidRDefault="00BA7C69" w:rsidP="00BA7C69">
      <w:pPr>
        <w:autoSpaceDE w:val="0"/>
        <w:autoSpaceDN w:val="0"/>
        <w:adjustRightInd w:val="0"/>
        <w:spacing w:after="0" w:line="240" w:lineRule="auto"/>
        <w:ind w:left="142" w:hanging="142"/>
        <w:rPr>
          <w:rFonts w:asciiTheme="majorHAnsi" w:hAnsiTheme="majorHAnsi"/>
          <w:lang w:val="en-GB" w:eastAsia="fr-FR"/>
        </w:rPr>
      </w:pPr>
      <w:proofErr w:type="spellStart"/>
      <w:r w:rsidRPr="00BA7C69">
        <w:rPr>
          <w:rFonts w:asciiTheme="majorHAnsi" w:hAnsiTheme="majorHAnsi"/>
          <w:lang w:val="en-GB" w:eastAsia="fr-FR"/>
        </w:rPr>
        <w:t>Hasselgård</w:t>
      </w:r>
      <w:proofErr w:type="spellEnd"/>
      <w:r w:rsidRPr="00BA7C69">
        <w:rPr>
          <w:rFonts w:asciiTheme="majorHAnsi" w:hAnsiTheme="majorHAnsi"/>
          <w:lang w:val="en-GB" w:eastAsia="fr-FR"/>
        </w:rPr>
        <w:t xml:space="preserve">, H. (2009). </w:t>
      </w:r>
      <w:proofErr w:type="gramStart"/>
      <w:r w:rsidRPr="00BA7C69">
        <w:rPr>
          <w:rFonts w:asciiTheme="majorHAnsi" w:hAnsiTheme="majorHAnsi"/>
          <w:lang w:val="en-GB" w:eastAsia="fr-FR"/>
        </w:rPr>
        <w:t>Thematic choice and expressions of stance in English argumentative texts by Norwegian learners.</w:t>
      </w:r>
      <w:proofErr w:type="gramEnd"/>
      <w:r w:rsidRPr="00BA7C69">
        <w:rPr>
          <w:rFonts w:asciiTheme="majorHAnsi" w:hAnsiTheme="majorHAnsi"/>
          <w:lang w:val="en-GB" w:eastAsia="fr-FR"/>
        </w:rPr>
        <w:t xml:space="preserve"> </w:t>
      </w:r>
      <w:proofErr w:type="gramStart"/>
      <w:r w:rsidRPr="00BA7C69">
        <w:rPr>
          <w:rFonts w:asciiTheme="majorHAnsi" w:hAnsiTheme="majorHAnsi"/>
          <w:lang w:val="en-GB" w:eastAsia="fr-FR"/>
        </w:rPr>
        <w:t xml:space="preserve">In K. </w:t>
      </w:r>
      <w:proofErr w:type="spellStart"/>
      <w:r w:rsidRPr="00BA7C69">
        <w:rPr>
          <w:rFonts w:asciiTheme="majorHAnsi" w:hAnsiTheme="majorHAnsi"/>
          <w:lang w:val="en-GB" w:eastAsia="fr-FR"/>
        </w:rPr>
        <w:t>Aijmer</w:t>
      </w:r>
      <w:proofErr w:type="spellEnd"/>
      <w:r w:rsidRPr="00BA7C69">
        <w:rPr>
          <w:rFonts w:asciiTheme="majorHAnsi" w:hAnsiTheme="majorHAnsi"/>
          <w:lang w:val="en-GB" w:eastAsia="fr-FR"/>
        </w:rPr>
        <w:t xml:space="preserve"> (ed.) </w:t>
      </w:r>
      <w:r w:rsidRPr="00BA7C69">
        <w:rPr>
          <w:rFonts w:asciiTheme="majorHAnsi" w:hAnsiTheme="majorHAnsi"/>
          <w:i/>
          <w:lang w:val="en-GB" w:eastAsia="fr-FR"/>
        </w:rPr>
        <w:t>Corpora and Language Teaching</w:t>
      </w:r>
      <w:r w:rsidRPr="00BA7C69">
        <w:rPr>
          <w:rFonts w:asciiTheme="majorHAnsi" w:hAnsiTheme="majorHAnsi"/>
          <w:lang w:val="en-GB" w:eastAsia="fr-FR"/>
        </w:rPr>
        <w:t>.</w:t>
      </w:r>
      <w:proofErr w:type="gramEnd"/>
      <w:r w:rsidRPr="00BA7C69">
        <w:rPr>
          <w:rFonts w:asciiTheme="majorHAnsi" w:hAnsiTheme="majorHAnsi"/>
          <w:lang w:val="en-GB" w:eastAsia="fr-FR"/>
        </w:rPr>
        <w:t xml:space="preserve"> Amsterdam and Philadelphia: John </w:t>
      </w:r>
      <w:proofErr w:type="spellStart"/>
      <w:r w:rsidRPr="00BA7C69">
        <w:rPr>
          <w:rFonts w:asciiTheme="majorHAnsi" w:hAnsiTheme="majorHAnsi"/>
          <w:lang w:val="en-GB" w:eastAsia="fr-FR"/>
        </w:rPr>
        <w:t>Benjamins</w:t>
      </w:r>
      <w:proofErr w:type="spellEnd"/>
      <w:r w:rsidRPr="00BA7C69">
        <w:rPr>
          <w:rFonts w:asciiTheme="majorHAnsi" w:hAnsiTheme="majorHAnsi"/>
          <w:lang w:val="en-GB" w:eastAsia="fr-FR"/>
        </w:rPr>
        <w:t xml:space="preserve"> Publishing Company, 121—140.</w:t>
      </w:r>
    </w:p>
    <w:p w:rsidR="00BA7C69" w:rsidRPr="00BA7C69" w:rsidRDefault="00BA7C69" w:rsidP="00BA7C69">
      <w:pPr>
        <w:autoSpaceDE w:val="0"/>
        <w:autoSpaceDN w:val="0"/>
        <w:adjustRightInd w:val="0"/>
        <w:spacing w:after="0" w:line="240" w:lineRule="auto"/>
        <w:ind w:left="142" w:hanging="142"/>
        <w:rPr>
          <w:rFonts w:asciiTheme="majorHAnsi" w:eastAsia="MS Mincho" w:hAnsiTheme="majorHAnsi" w:cs="Times New Roman"/>
          <w:lang w:val="en-GB" w:eastAsia="fr-FR"/>
        </w:rPr>
      </w:pPr>
      <w:proofErr w:type="gramStart"/>
      <w:r w:rsidRPr="00BA7C69">
        <w:rPr>
          <w:rFonts w:asciiTheme="majorHAnsi" w:eastAsia="MS Mincho" w:hAnsiTheme="majorHAnsi" w:cs="Times New Roman"/>
          <w:lang w:val="en-GB" w:eastAsia="fr-FR"/>
        </w:rPr>
        <w:t xml:space="preserve">Narita, M. and M. </w:t>
      </w:r>
      <w:proofErr w:type="spellStart"/>
      <w:r w:rsidRPr="00BA7C69">
        <w:rPr>
          <w:rFonts w:asciiTheme="majorHAnsi" w:eastAsia="MS Mincho" w:hAnsiTheme="majorHAnsi" w:cs="Times New Roman"/>
          <w:lang w:val="en-GB" w:eastAsia="fr-FR"/>
        </w:rPr>
        <w:t>Sugiura</w:t>
      </w:r>
      <w:proofErr w:type="spellEnd"/>
      <w:r w:rsidRPr="00BA7C69">
        <w:rPr>
          <w:rFonts w:asciiTheme="majorHAnsi" w:eastAsia="MS Mincho" w:hAnsiTheme="majorHAnsi" w:cs="Times New Roman"/>
          <w:lang w:val="en-GB" w:eastAsia="fr-FR"/>
        </w:rPr>
        <w:t xml:space="preserve"> (2006).</w:t>
      </w:r>
      <w:proofErr w:type="gramEnd"/>
      <w:r w:rsidRPr="00BA7C69">
        <w:rPr>
          <w:rFonts w:asciiTheme="majorHAnsi" w:eastAsia="MS Mincho" w:hAnsiTheme="majorHAnsi" w:cs="Times New Roman"/>
          <w:lang w:val="en-GB" w:eastAsia="fr-FR"/>
        </w:rPr>
        <w:t xml:space="preserve"> </w:t>
      </w:r>
      <w:proofErr w:type="gramStart"/>
      <w:r w:rsidRPr="00BA7C69">
        <w:rPr>
          <w:rFonts w:asciiTheme="majorHAnsi" w:eastAsia="MS Mincho" w:hAnsiTheme="majorHAnsi" w:cs="Times New Roman"/>
          <w:lang w:val="en-GB" w:eastAsia="fr-FR"/>
        </w:rPr>
        <w:t>The use of adverbial connectors in argumentative essays by Japanese EFL college students.</w:t>
      </w:r>
      <w:proofErr w:type="gramEnd"/>
      <w:r w:rsidRPr="00BA7C69">
        <w:rPr>
          <w:rFonts w:asciiTheme="majorHAnsi" w:eastAsia="MS Mincho" w:hAnsiTheme="majorHAnsi" w:cs="Times New Roman"/>
          <w:lang w:val="en-GB" w:eastAsia="fr-FR"/>
        </w:rPr>
        <w:t xml:space="preserve"> </w:t>
      </w:r>
      <w:r w:rsidRPr="00BA7C69">
        <w:rPr>
          <w:rFonts w:asciiTheme="majorHAnsi" w:eastAsia="MS Mincho" w:hAnsiTheme="majorHAnsi" w:cs="Times New Roman"/>
          <w:i/>
          <w:iCs/>
          <w:lang w:val="en-GB" w:eastAsia="fr-FR"/>
        </w:rPr>
        <w:t xml:space="preserve">English Corpus Studies </w:t>
      </w:r>
      <w:r w:rsidRPr="00BA7C69">
        <w:rPr>
          <w:rFonts w:asciiTheme="majorHAnsi" w:eastAsia="MS Mincho" w:hAnsiTheme="majorHAnsi" w:cs="Times New Roman"/>
          <w:lang w:val="en-GB" w:eastAsia="fr-FR"/>
        </w:rPr>
        <w:t>13, 23—42.</w:t>
      </w:r>
    </w:p>
    <w:p w:rsidR="00BA7C69" w:rsidRPr="00BA7C69" w:rsidRDefault="00BA7C69" w:rsidP="00BA7C69">
      <w:pPr>
        <w:autoSpaceDE w:val="0"/>
        <w:autoSpaceDN w:val="0"/>
        <w:adjustRightInd w:val="0"/>
        <w:spacing w:after="0" w:line="240" w:lineRule="auto"/>
        <w:ind w:left="142" w:hanging="142"/>
        <w:rPr>
          <w:rFonts w:asciiTheme="majorHAnsi" w:eastAsia="MS Mincho" w:hAnsiTheme="majorHAnsi" w:cs="Times New Roman"/>
          <w:lang w:val="en-GB" w:eastAsia="fr-FR"/>
        </w:rPr>
      </w:pPr>
      <w:proofErr w:type="spellStart"/>
      <w:r w:rsidRPr="00BA7C69">
        <w:rPr>
          <w:rFonts w:asciiTheme="majorHAnsi" w:eastAsia="MS Mincho" w:hAnsiTheme="majorHAnsi" w:cs="Times New Roman"/>
          <w:lang w:val="es-ES" w:eastAsia="fr-FR"/>
        </w:rPr>
        <w:t>Neff</w:t>
      </w:r>
      <w:proofErr w:type="spellEnd"/>
      <w:r w:rsidRPr="00BA7C69">
        <w:rPr>
          <w:rFonts w:asciiTheme="majorHAnsi" w:eastAsia="MS Mincho" w:hAnsiTheme="majorHAnsi" w:cs="Times New Roman"/>
          <w:lang w:val="es-ES" w:eastAsia="fr-FR"/>
        </w:rPr>
        <w:t xml:space="preserve">, J., Ballesteros, F., </w:t>
      </w:r>
      <w:proofErr w:type="spellStart"/>
      <w:r w:rsidRPr="00BA7C69">
        <w:rPr>
          <w:rFonts w:asciiTheme="majorHAnsi" w:eastAsia="MS Mincho" w:hAnsiTheme="majorHAnsi" w:cs="Times New Roman"/>
          <w:lang w:val="es-ES" w:eastAsia="fr-FR"/>
        </w:rPr>
        <w:t>Dafouz</w:t>
      </w:r>
      <w:proofErr w:type="spellEnd"/>
      <w:r w:rsidRPr="00BA7C69">
        <w:rPr>
          <w:rFonts w:asciiTheme="majorHAnsi" w:eastAsia="MS Mincho" w:hAnsiTheme="majorHAnsi" w:cs="Times New Roman"/>
          <w:lang w:val="es-ES" w:eastAsia="fr-FR"/>
        </w:rPr>
        <w:t xml:space="preserve">, E., Martínez, F. and Rica, J.-P. (2007). </w:t>
      </w:r>
      <w:r w:rsidRPr="00BA7C69">
        <w:rPr>
          <w:rFonts w:asciiTheme="majorHAnsi" w:eastAsia="MS Mincho" w:hAnsiTheme="majorHAnsi" w:cs="Times New Roman"/>
          <w:lang w:val="en-GB" w:eastAsia="fr-FR"/>
        </w:rPr>
        <w:t xml:space="preserve">A contrastive functional analysis of errors in Spanish EFL university writers’ argumentative texts: corpus-based study. In E. Fitzpatrick (ed.) </w:t>
      </w:r>
      <w:r w:rsidRPr="00BA7C69">
        <w:rPr>
          <w:rFonts w:asciiTheme="majorHAnsi" w:eastAsia="MS Mincho" w:hAnsiTheme="majorHAnsi" w:cs="Times New Roman"/>
          <w:i/>
          <w:iCs/>
          <w:lang w:val="en-GB" w:eastAsia="fr-FR"/>
        </w:rPr>
        <w:t xml:space="preserve">Corpus Linguistics beyond the Word: Corpus Research from Phrase to Discourse </w:t>
      </w:r>
      <w:r w:rsidRPr="00BA7C69">
        <w:rPr>
          <w:rFonts w:asciiTheme="majorHAnsi" w:eastAsia="MS Mincho" w:hAnsiTheme="majorHAnsi" w:cs="Times New Roman"/>
          <w:lang w:val="en-GB" w:eastAsia="fr-FR"/>
        </w:rPr>
        <w:t>[Language and Computers 23]</w:t>
      </w:r>
      <w:r w:rsidRPr="00BA7C69">
        <w:rPr>
          <w:rFonts w:asciiTheme="majorHAnsi" w:eastAsia="MS Mincho" w:hAnsiTheme="majorHAnsi" w:cs="Times New Roman"/>
          <w:i/>
          <w:iCs/>
          <w:lang w:val="en-GB" w:eastAsia="fr-FR"/>
        </w:rPr>
        <w:t xml:space="preserve">. </w:t>
      </w:r>
      <w:r w:rsidRPr="00BA7C69">
        <w:rPr>
          <w:rFonts w:asciiTheme="majorHAnsi" w:eastAsia="MS Mincho" w:hAnsiTheme="majorHAnsi" w:cs="Times New Roman"/>
          <w:lang w:val="en-GB" w:eastAsia="fr-FR"/>
        </w:rPr>
        <w:t xml:space="preserve">Amsterdam: </w:t>
      </w:r>
      <w:proofErr w:type="spellStart"/>
      <w:r w:rsidRPr="00BA7C69">
        <w:rPr>
          <w:rFonts w:asciiTheme="majorHAnsi" w:eastAsia="MS Mincho" w:hAnsiTheme="majorHAnsi" w:cs="Times New Roman"/>
          <w:lang w:val="en-GB" w:eastAsia="fr-FR"/>
        </w:rPr>
        <w:t>Rodopi</w:t>
      </w:r>
      <w:proofErr w:type="spellEnd"/>
      <w:r w:rsidRPr="00BA7C69">
        <w:rPr>
          <w:rFonts w:asciiTheme="majorHAnsi" w:eastAsia="MS Mincho" w:hAnsiTheme="majorHAnsi" w:cs="Times New Roman"/>
          <w:lang w:val="en-GB" w:eastAsia="fr-FR"/>
        </w:rPr>
        <w:t>, 203—225.</w:t>
      </w:r>
    </w:p>
    <w:p w:rsidR="00602B82" w:rsidRPr="00BA7C69" w:rsidRDefault="00602B82" w:rsidP="00BA7C69">
      <w:pPr>
        <w:spacing w:after="0" w:line="240" w:lineRule="auto"/>
        <w:ind w:left="142" w:hanging="142"/>
        <w:rPr>
          <w:rFonts w:asciiTheme="majorHAnsi" w:hAnsiTheme="majorHAnsi"/>
          <w:lang w:val="en-GB"/>
        </w:rPr>
      </w:pPr>
      <w:proofErr w:type="spellStart"/>
      <w:proofErr w:type="gramStart"/>
      <w:r w:rsidRPr="00BA7C69">
        <w:rPr>
          <w:rFonts w:asciiTheme="majorHAnsi" w:hAnsiTheme="majorHAnsi"/>
          <w:lang w:val="en-GB"/>
        </w:rPr>
        <w:t>Paquot</w:t>
      </w:r>
      <w:proofErr w:type="spellEnd"/>
      <w:r w:rsidRPr="00BA7C69">
        <w:rPr>
          <w:rFonts w:asciiTheme="majorHAnsi" w:hAnsiTheme="majorHAnsi"/>
          <w:lang w:val="en-GB"/>
        </w:rPr>
        <w:t>, M. (2010).</w:t>
      </w:r>
      <w:proofErr w:type="gramEnd"/>
      <w:r w:rsidRPr="00BA7C69">
        <w:rPr>
          <w:rFonts w:asciiTheme="majorHAnsi" w:hAnsiTheme="majorHAnsi"/>
          <w:lang w:val="en-GB"/>
        </w:rPr>
        <w:t xml:space="preserve"> </w:t>
      </w:r>
      <w:proofErr w:type="gramStart"/>
      <w:r w:rsidRPr="00BA7C69">
        <w:rPr>
          <w:rFonts w:asciiTheme="majorHAnsi" w:hAnsiTheme="majorHAnsi"/>
          <w:i/>
          <w:lang w:val="en-GB"/>
        </w:rPr>
        <w:t>Academic vocabulary in learner writing.</w:t>
      </w:r>
      <w:proofErr w:type="gramEnd"/>
      <w:r w:rsidRPr="00BA7C69">
        <w:rPr>
          <w:rFonts w:asciiTheme="majorHAnsi" w:hAnsiTheme="majorHAnsi"/>
          <w:i/>
          <w:lang w:val="en-GB"/>
        </w:rPr>
        <w:t xml:space="preserve"> </w:t>
      </w:r>
      <w:proofErr w:type="gramStart"/>
      <w:r w:rsidRPr="00BA7C69">
        <w:rPr>
          <w:rFonts w:asciiTheme="majorHAnsi" w:hAnsiTheme="majorHAnsi"/>
          <w:i/>
          <w:lang w:val="en-GB"/>
        </w:rPr>
        <w:t>From extraction to analysis</w:t>
      </w:r>
      <w:r w:rsidRPr="00BA7C69">
        <w:rPr>
          <w:rFonts w:asciiTheme="majorHAnsi" w:hAnsiTheme="majorHAnsi"/>
          <w:lang w:val="en-GB"/>
        </w:rPr>
        <w:t>.</w:t>
      </w:r>
      <w:proofErr w:type="gramEnd"/>
      <w:r w:rsidRPr="00BA7C69">
        <w:rPr>
          <w:rFonts w:asciiTheme="majorHAnsi" w:hAnsiTheme="majorHAnsi"/>
          <w:lang w:val="en-GB"/>
        </w:rPr>
        <w:t xml:space="preserve"> London &amp; New York: Continuum.</w:t>
      </w:r>
    </w:p>
    <w:p w:rsidR="00BA7C69" w:rsidRPr="00BA7C69" w:rsidRDefault="00BA7C69" w:rsidP="00BA7C69">
      <w:pPr>
        <w:spacing w:after="0" w:line="240" w:lineRule="auto"/>
        <w:ind w:left="142" w:hanging="142"/>
        <w:rPr>
          <w:rFonts w:asciiTheme="majorHAnsi" w:hAnsiTheme="majorHAnsi"/>
        </w:rPr>
      </w:pPr>
      <w:proofErr w:type="spellStart"/>
      <w:r w:rsidRPr="00BA7C69">
        <w:rPr>
          <w:rFonts w:asciiTheme="majorHAnsi" w:hAnsiTheme="majorHAnsi"/>
          <w:lang w:val="en-US"/>
        </w:rPr>
        <w:t>Paquot</w:t>
      </w:r>
      <w:proofErr w:type="spellEnd"/>
      <w:r w:rsidRPr="00BA7C69">
        <w:rPr>
          <w:rFonts w:asciiTheme="majorHAnsi" w:hAnsiTheme="majorHAnsi"/>
          <w:lang w:val="en-US"/>
        </w:rPr>
        <w:t xml:space="preserve">, M., </w:t>
      </w:r>
      <w:proofErr w:type="spellStart"/>
      <w:r w:rsidRPr="00BA7C69">
        <w:rPr>
          <w:rFonts w:asciiTheme="majorHAnsi" w:hAnsiTheme="majorHAnsi"/>
          <w:lang w:val="en-US"/>
        </w:rPr>
        <w:t>Hasselgård</w:t>
      </w:r>
      <w:proofErr w:type="spellEnd"/>
      <w:r w:rsidRPr="00BA7C69">
        <w:rPr>
          <w:rFonts w:asciiTheme="majorHAnsi" w:hAnsiTheme="majorHAnsi"/>
          <w:lang w:val="en-US"/>
        </w:rPr>
        <w:t xml:space="preserve">, H., &amp; </w:t>
      </w:r>
      <w:proofErr w:type="spellStart"/>
      <w:r w:rsidRPr="00BA7C69">
        <w:rPr>
          <w:rFonts w:asciiTheme="majorHAnsi" w:hAnsiTheme="majorHAnsi"/>
          <w:lang w:val="en-US"/>
        </w:rPr>
        <w:t>Oksefjell</w:t>
      </w:r>
      <w:proofErr w:type="spellEnd"/>
      <w:r w:rsidRPr="00BA7C69">
        <w:rPr>
          <w:rFonts w:asciiTheme="majorHAnsi" w:hAnsiTheme="majorHAnsi"/>
          <w:lang w:val="en-US"/>
        </w:rPr>
        <w:t xml:space="preserve"> </w:t>
      </w:r>
      <w:proofErr w:type="spellStart"/>
      <w:r w:rsidRPr="00BA7C69">
        <w:rPr>
          <w:rFonts w:asciiTheme="majorHAnsi" w:hAnsiTheme="majorHAnsi"/>
          <w:lang w:val="en-US"/>
        </w:rPr>
        <w:t>Ebeling</w:t>
      </w:r>
      <w:proofErr w:type="spellEnd"/>
      <w:r w:rsidRPr="00BA7C69">
        <w:rPr>
          <w:rFonts w:asciiTheme="majorHAnsi" w:hAnsiTheme="majorHAnsi"/>
          <w:lang w:val="en-US"/>
        </w:rPr>
        <w:t xml:space="preserve">, S. (2013). Writer/reader visibility in learner writing across genres: A comparison of the French and Norwegian components of the ICLE and VESPA learner corpora. </w:t>
      </w:r>
      <w:proofErr w:type="gramStart"/>
      <w:r w:rsidRPr="00BA7C69">
        <w:rPr>
          <w:rFonts w:asciiTheme="majorHAnsi" w:hAnsiTheme="majorHAnsi"/>
          <w:lang w:val="en-US"/>
        </w:rPr>
        <w:t xml:space="preserve">In S. Granger, G. </w:t>
      </w:r>
      <w:proofErr w:type="spellStart"/>
      <w:r w:rsidRPr="00BA7C69">
        <w:rPr>
          <w:rFonts w:asciiTheme="majorHAnsi" w:hAnsiTheme="majorHAnsi"/>
          <w:lang w:val="en-US"/>
        </w:rPr>
        <w:t>Gilquin</w:t>
      </w:r>
      <w:proofErr w:type="spellEnd"/>
      <w:r w:rsidRPr="00BA7C69">
        <w:rPr>
          <w:rFonts w:asciiTheme="majorHAnsi" w:hAnsiTheme="majorHAnsi"/>
          <w:lang w:val="en-US"/>
        </w:rPr>
        <w:t xml:space="preserve">, &amp; F. </w:t>
      </w:r>
      <w:proofErr w:type="spellStart"/>
      <w:r w:rsidRPr="00BA7C69">
        <w:rPr>
          <w:rFonts w:asciiTheme="majorHAnsi" w:hAnsiTheme="majorHAnsi"/>
          <w:lang w:val="en-US"/>
        </w:rPr>
        <w:t>Meunier</w:t>
      </w:r>
      <w:proofErr w:type="spellEnd"/>
      <w:r w:rsidRPr="00BA7C69">
        <w:rPr>
          <w:rFonts w:asciiTheme="majorHAnsi" w:hAnsiTheme="majorHAnsi"/>
          <w:lang w:val="en-US"/>
        </w:rPr>
        <w:t xml:space="preserve"> (Eds.), </w:t>
      </w:r>
      <w:r w:rsidRPr="00BA7C69">
        <w:rPr>
          <w:rFonts w:asciiTheme="majorHAnsi" w:hAnsiTheme="majorHAnsi"/>
          <w:i/>
          <w:iCs/>
          <w:lang w:val="en-US"/>
        </w:rPr>
        <w:t>Twenty Years of Learner Corpus Research.</w:t>
      </w:r>
      <w:proofErr w:type="gramEnd"/>
      <w:r w:rsidRPr="00BA7C69">
        <w:rPr>
          <w:rFonts w:asciiTheme="majorHAnsi" w:hAnsiTheme="majorHAnsi"/>
          <w:i/>
          <w:iCs/>
          <w:lang w:val="en-US"/>
        </w:rPr>
        <w:t xml:space="preserve"> </w:t>
      </w:r>
      <w:proofErr w:type="gramStart"/>
      <w:r w:rsidRPr="00BA7C69">
        <w:rPr>
          <w:rFonts w:asciiTheme="majorHAnsi" w:hAnsiTheme="majorHAnsi"/>
          <w:i/>
          <w:iCs/>
          <w:lang w:val="en-US"/>
        </w:rPr>
        <w:t>Looking Back, Moving Ahead.</w:t>
      </w:r>
      <w:proofErr w:type="gramEnd"/>
      <w:r w:rsidRPr="00BA7C69">
        <w:rPr>
          <w:rFonts w:asciiTheme="majorHAnsi" w:hAnsiTheme="majorHAnsi"/>
          <w:i/>
          <w:iCs/>
          <w:lang w:val="en-US"/>
        </w:rPr>
        <w:t xml:space="preserve"> Proceedings of the First Learner Corpus Research Conference (LCR 2011)</w:t>
      </w:r>
      <w:r w:rsidRPr="00BA7C69">
        <w:rPr>
          <w:rFonts w:asciiTheme="majorHAnsi" w:hAnsiTheme="majorHAnsi"/>
          <w:lang w:val="en-US"/>
        </w:rPr>
        <w:t xml:space="preserve"> (pp. 377–387). </w:t>
      </w:r>
      <w:r w:rsidRPr="00BA7C69">
        <w:rPr>
          <w:rFonts w:asciiTheme="majorHAnsi" w:hAnsiTheme="majorHAnsi"/>
        </w:rPr>
        <w:t>Louvain-la-Neuve: Presses Universitaires de Louvain.</w:t>
      </w:r>
    </w:p>
    <w:p w:rsidR="00BA7C69" w:rsidRPr="00BA7C69" w:rsidRDefault="00BA7C69" w:rsidP="00BA7C69">
      <w:pPr>
        <w:spacing w:after="0" w:line="240" w:lineRule="auto"/>
        <w:ind w:left="142" w:hanging="142"/>
        <w:rPr>
          <w:rFonts w:asciiTheme="majorHAnsi" w:eastAsia="NewBaskervilleStd-Roman" w:hAnsiTheme="majorHAnsi"/>
          <w:lang w:val="en-GB"/>
        </w:rPr>
      </w:pPr>
      <w:proofErr w:type="spellStart"/>
      <w:proofErr w:type="gramStart"/>
      <w:r w:rsidRPr="001E5D5C">
        <w:rPr>
          <w:rFonts w:asciiTheme="majorHAnsi" w:eastAsia="NewBaskervilleStd-Roman" w:hAnsiTheme="majorHAnsi"/>
          <w:lang w:val="en-US"/>
        </w:rPr>
        <w:t>Petch</w:t>
      </w:r>
      <w:proofErr w:type="spellEnd"/>
      <w:r w:rsidRPr="001E5D5C">
        <w:rPr>
          <w:rFonts w:asciiTheme="majorHAnsi" w:eastAsia="NewBaskervilleStd-Roman" w:hAnsiTheme="majorHAnsi"/>
          <w:lang w:val="en-US"/>
        </w:rPr>
        <w:t>-Tyson, S. (1998).</w:t>
      </w:r>
      <w:proofErr w:type="gramEnd"/>
      <w:r w:rsidRPr="001E5D5C">
        <w:rPr>
          <w:rFonts w:asciiTheme="majorHAnsi" w:eastAsia="NewBaskervilleStd-Roman" w:hAnsiTheme="majorHAnsi"/>
          <w:lang w:val="en-US"/>
        </w:rPr>
        <w:t xml:space="preserve"> </w:t>
      </w:r>
      <w:proofErr w:type="gramStart"/>
      <w:r w:rsidRPr="00BA7C69">
        <w:rPr>
          <w:rFonts w:asciiTheme="majorHAnsi" w:eastAsia="NewBaskervilleStd-Roman" w:hAnsiTheme="majorHAnsi"/>
          <w:lang w:val="en-GB"/>
        </w:rPr>
        <w:t>Reader/writer visibility in EFL persuasive writing.</w:t>
      </w:r>
      <w:proofErr w:type="gramEnd"/>
      <w:r w:rsidRPr="00BA7C69">
        <w:rPr>
          <w:rFonts w:asciiTheme="majorHAnsi" w:eastAsia="NewBaskervilleStd-Roman" w:hAnsiTheme="majorHAnsi"/>
          <w:lang w:val="en-GB"/>
        </w:rPr>
        <w:t xml:space="preserve"> In Granger, S. (</w:t>
      </w:r>
      <w:proofErr w:type="gramStart"/>
      <w:r w:rsidRPr="00BA7C69">
        <w:rPr>
          <w:rFonts w:asciiTheme="majorHAnsi" w:eastAsia="NewBaskervilleStd-Roman" w:hAnsiTheme="majorHAnsi"/>
          <w:lang w:val="en-GB"/>
        </w:rPr>
        <w:t>ed</w:t>
      </w:r>
      <w:proofErr w:type="gramEnd"/>
      <w:r w:rsidRPr="00BA7C69">
        <w:rPr>
          <w:rFonts w:asciiTheme="majorHAnsi" w:eastAsia="NewBaskervilleStd-Roman" w:hAnsiTheme="majorHAnsi"/>
          <w:lang w:val="en-GB"/>
        </w:rPr>
        <w:t xml:space="preserve">.). </w:t>
      </w:r>
      <w:proofErr w:type="gramStart"/>
      <w:r w:rsidRPr="00BA7C69">
        <w:rPr>
          <w:rFonts w:asciiTheme="majorHAnsi" w:eastAsia="NewBaskervilleStd-Roman" w:hAnsiTheme="majorHAnsi"/>
          <w:i/>
          <w:lang w:val="en-GB"/>
        </w:rPr>
        <w:t>Learner English on Computer</w:t>
      </w:r>
      <w:r w:rsidRPr="00BA7C69">
        <w:rPr>
          <w:rFonts w:asciiTheme="majorHAnsi" w:eastAsia="NewBaskervilleStd-Roman" w:hAnsiTheme="majorHAnsi"/>
          <w:lang w:val="en-GB"/>
        </w:rPr>
        <w:t>.</w:t>
      </w:r>
      <w:proofErr w:type="gramEnd"/>
      <w:r w:rsidRPr="00BA7C69">
        <w:rPr>
          <w:rFonts w:asciiTheme="majorHAnsi" w:eastAsia="NewBaskervilleStd-Roman" w:hAnsiTheme="majorHAnsi"/>
          <w:lang w:val="en-GB"/>
        </w:rPr>
        <w:t xml:space="preserve"> London and New York: Addison Wesley Longman, 107</w:t>
      </w:r>
      <w:r w:rsidRPr="00BA7C69">
        <w:rPr>
          <w:rFonts w:asciiTheme="majorHAnsi" w:hAnsiTheme="majorHAnsi"/>
          <w:lang w:val="en-GB" w:eastAsia="fr-FR"/>
        </w:rPr>
        <w:t>—</w:t>
      </w:r>
      <w:r w:rsidRPr="00BA7C69">
        <w:rPr>
          <w:rFonts w:asciiTheme="majorHAnsi" w:eastAsia="NewBaskervilleStd-Roman" w:hAnsiTheme="majorHAnsi"/>
          <w:lang w:val="en-GB"/>
        </w:rPr>
        <w:t>118.</w:t>
      </w:r>
    </w:p>
    <w:p w:rsidR="00BA7C69" w:rsidRPr="00BA7C69" w:rsidRDefault="00BA7C69" w:rsidP="00BA7C69">
      <w:pPr>
        <w:autoSpaceDE w:val="0"/>
        <w:autoSpaceDN w:val="0"/>
        <w:adjustRightInd w:val="0"/>
        <w:spacing w:after="0" w:line="240" w:lineRule="auto"/>
        <w:ind w:left="142" w:hanging="142"/>
        <w:rPr>
          <w:rFonts w:asciiTheme="majorHAnsi" w:hAnsiTheme="majorHAnsi"/>
          <w:b/>
          <w:lang w:val="en-GB"/>
        </w:rPr>
      </w:pPr>
      <w:proofErr w:type="spellStart"/>
      <w:r w:rsidRPr="00BA7C69">
        <w:rPr>
          <w:rFonts w:asciiTheme="majorHAnsi" w:hAnsiTheme="majorHAnsi"/>
          <w:color w:val="000000"/>
          <w:lang w:val="en-GB"/>
        </w:rPr>
        <w:t>Recski</w:t>
      </w:r>
      <w:proofErr w:type="spellEnd"/>
      <w:r w:rsidRPr="00BA7C69">
        <w:rPr>
          <w:rFonts w:asciiTheme="majorHAnsi" w:hAnsiTheme="majorHAnsi"/>
          <w:color w:val="000000"/>
          <w:lang w:val="en-GB"/>
        </w:rPr>
        <w:t xml:space="preserve">, L.J. (2004). Expressing standpoints in EFL written discourse. </w:t>
      </w:r>
      <w:proofErr w:type="spellStart"/>
      <w:proofErr w:type="gramStart"/>
      <w:r w:rsidRPr="00BA7C69">
        <w:rPr>
          <w:rFonts w:asciiTheme="majorHAnsi" w:hAnsiTheme="majorHAnsi"/>
          <w:i/>
          <w:iCs/>
          <w:color w:val="000000"/>
          <w:lang w:val="en-GB"/>
        </w:rPr>
        <w:t>Revista</w:t>
      </w:r>
      <w:proofErr w:type="spellEnd"/>
      <w:r w:rsidRPr="00BA7C69">
        <w:rPr>
          <w:rFonts w:asciiTheme="majorHAnsi" w:hAnsiTheme="majorHAnsi"/>
          <w:i/>
          <w:iCs/>
          <w:color w:val="000000"/>
          <w:lang w:val="en-GB"/>
        </w:rPr>
        <w:t xml:space="preserve"> Virtual de </w:t>
      </w:r>
      <w:proofErr w:type="spellStart"/>
      <w:r w:rsidRPr="00BA7C69">
        <w:rPr>
          <w:rFonts w:asciiTheme="majorHAnsi" w:hAnsiTheme="majorHAnsi"/>
          <w:i/>
          <w:iCs/>
          <w:color w:val="000000"/>
          <w:lang w:val="en-GB"/>
        </w:rPr>
        <w:t>Estudos</w:t>
      </w:r>
      <w:proofErr w:type="spellEnd"/>
      <w:r w:rsidRPr="00BA7C69">
        <w:rPr>
          <w:rFonts w:asciiTheme="majorHAnsi" w:hAnsiTheme="majorHAnsi"/>
          <w:i/>
          <w:iCs/>
          <w:color w:val="000000"/>
          <w:lang w:val="en-GB"/>
        </w:rPr>
        <w:t xml:space="preserve"> da </w:t>
      </w:r>
      <w:proofErr w:type="spellStart"/>
      <w:r w:rsidRPr="00BA7C69">
        <w:rPr>
          <w:rFonts w:asciiTheme="majorHAnsi" w:hAnsiTheme="majorHAnsi"/>
          <w:i/>
          <w:iCs/>
          <w:color w:val="000000"/>
          <w:lang w:val="en-GB"/>
        </w:rPr>
        <w:t>Linguagem</w:t>
      </w:r>
      <w:proofErr w:type="spellEnd"/>
      <w:r w:rsidRPr="00BA7C69">
        <w:rPr>
          <w:rFonts w:asciiTheme="majorHAnsi" w:hAnsiTheme="majorHAnsi"/>
          <w:i/>
          <w:iCs/>
          <w:color w:val="000000"/>
          <w:lang w:val="en-GB"/>
        </w:rPr>
        <w:t xml:space="preserve"> </w:t>
      </w:r>
      <w:r w:rsidRPr="00BA7C69">
        <w:rPr>
          <w:rFonts w:asciiTheme="majorHAnsi" w:hAnsiTheme="majorHAnsi"/>
          <w:color w:val="000000"/>
          <w:lang w:val="en-GB"/>
        </w:rPr>
        <w:t>3.</w:t>
      </w:r>
      <w:proofErr w:type="gramEnd"/>
      <w:r w:rsidRPr="00BA7C69">
        <w:rPr>
          <w:rFonts w:asciiTheme="majorHAnsi" w:hAnsiTheme="majorHAnsi"/>
          <w:color w:val="000000"/>
          <w:lang w:val="en-GB"/>
        </w:rPr>
        <w:t xml:space="preserve"> </w:t>
      </w:r>
      <w:r w:rsidRPr="00BA7C69">
        <w:rPr>
          <w:rFonts w:asciiTheme="majorHAnsi" w:hAnsiTheme="majorHAnsi"/>
          <w:lang w:val="en-GB"/>
        </w:rPr>
        <w:t>http://www.revel.inf.br/files/artigos/revel_3_expressing_standpoints_in_efl_written_</w:t>
      </w:r>
      <w:proofErr w:type="gramStart"/>
      <w:r w:rsidRPr="00BA7C69">
        <w:rPr>
          <w:rFonts w:asciiTheme="majorHAnsi" w:hAnsiTheme="majorHAnsi"/>
          <w:lang w:val="en-GB"/>
        </w:rPr>
        <w:t xml:space="preserve">discourse.pdf  </w:t>
      </w:r>
      <w:r w:rsidRPr="00BA7C69">
        <w:rPr>
          <w:rFonts w:asciiTheme="majorHAnsi" w:hAnsiTheme="majorHAnsi"/>
          <w:color w:val="000000"/>
          <w:lang w:val="en-GB"/>
        </w:rPr>
        <w:t>(</w:t>
      </w:r>
      <w:proofErr w:type="gramEnd"/>
      <w:r w:rsidRPr="00BA7C69">
        <w:rPr>
          <w:rFonts w:asciiTheme="majorHAnsi" w:hAnsiTheme="majorHAnsi"/>
          <w:color w:val="000000"/>
          <w:lang w:val="en-GB"/>
        </w:rPr>
        <w:t>last accessed on December 15, 2014).</w:t>
      </w:r>
    </w:p>
    <w:bookmarkEnd w:id="0"/>
    <w:p w:rsidR="00BA7C69" w:rsidRPr="00BA7C69" w:rsidRDefault="00BA7C69" w:rsidP="00BA7C69">
      <w:pPr>
        <w:spacing w:after="0" w:line="240" w:lineRule="auto"/>
        <w:rPr>
          <w:rFonts w:asciiTheme="majorHAnsi" w:hAnsiTheme="majorHAnsi"/>
          <w:lang w:val="en-GB"/>
        </w:rPr>
      </w:pPr>
    </w:p>
    <w:sectPr w:rsidR="00BA7C69" w:rsidRPr="00BA7C6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63B2" w:rsidRDefault="006863B2" w:rsidP="0094210E">
      <w:pPr>
        <w:spacing w:after="0" w:line="240" w:lineRule="auto"/>
      </w:pPr>
      <w:r>
        <w:separator/>
      </w:r>
    </w:p>
  </w:endnote>
  <w:endnote w:type="continuationSeparator" w:id="0">
    <w:p w:rsidR="006863B2" w:rsidRDefault="006863B2" w:rsidP="00942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NewBaskervilleStd-Roman">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63B2" w:rsidRDefault="006863B2" w:rsidP="0094210E">
      <w:pPr>
        <w:spacing w:after="0" w:line="240" w:lineRule="auto"/>
      </w:pPr>
      <w:r>
        <w:separator/>
      </w:r>
    </w:p>
  </w:footnote>
  <w:footnote w:type="continuationSeparator" w:id="0">
    <w:p w:rsidR="006863B2" w:rsidRDefault="006863B2" w:rsidP="0094210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469"/>
    <w:rsid w:val="000E5712"/>
    <w:rsid w:val="0010198D"/>
    <w:rsid w:val="0012490A"/>
    <w:rsid w:val="001458EE"/>
    <w:rsid w:val="00173EA7"/>
    <w:rsid w:val="001E1227"/>
    <w:rsid w:val="001E5D5C"/>
    <w:rsid w:val="002900ED"/>
    <w:rsid w:val="0029061F"/>
    <w:rsid w:val="002D4230"/>
    <w:rsid w:val="00413A58"/>
    <w:rsid w:val="0049076F"/>
    <w:rsid w:val="004C0F33"/>
    <w:rsid w:val="0058701A"/>
    <w:rsid w:val="005E632F"/>
    <w:rsid w:val="00602B82"/>
    <w:rsid w:val="006863B2"/>
    <w:rsid w:val="00715A66"/>
    <w:rsid w:val="00820EED"/>
    <w:rsid w:val="00922D74"/>
    <w:rsid w:val="0094210E"/>
    <w:rsid w:val="009B458A"/>
    <w:rsid w:val="00A90A95"/>
    <w:rsid w:val="00A90DF2"/>
    <w:rsid w:val="00AC1E72"/>
    <w:rsid w:val="00AE4A44"/>
    <w:rsid w:val="00B34C99"/>
    <w:rsid w:val="00B42742"/>
    <w:rsid w:val="00B659E7"/>
    <w:rsid w:val="00BA7C69"/>
    <w:rsid w:val="00C96C57"/>
    <w:rsid w:val="00CC32DA"/>
    <w:rsid w:val="00E76469"/>
    <w:rsid w:val="00EE4E0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rsid w:val="0094210E"/>
    <w:rPr>
      <w:vertAlign w:val="superscript"/>
    </w:rPr>
  </w:style>
  <w:style w:type="paragraph" w:styleId="Notedebasdepage">
    <w:name w:val="footnote text"/>
    <w:basedOn w:val="Normal"/>
    <w:link w:val="NotedebasdepageCar"/>
    <w:unhideWhenUsed/>
    <w:rsid w:val="0094210E"/>
    <w:pPr>
      <w:spacing w:after="0" w:line="240" w:lineRule="auto"/>
    </w:pPr>
    <w:rPr>
      <w:rFonts w:ascii="Times New Roman" w:eastAsia="Times New Roman" w:hAnsi="Times New Roman" w:cs="Times New Roman"/>
      <w:sz w:val="20"/>
      <w:szCs w:val="20"/>
      <w:lang w:val="nl-NL" w:eastAsia="nl-NL"/>
    </w:rPr>
  </w:style>
  <w:style w:type="character" w:customStyle="1" w:styleId="NotedebasdepageCar">
    <w:name w:val="Note de bas de page Car"/>
    <w:basedOn w:val="Policepardfaut"/>
    <w:link w:val="Notedebasdepage"/>
    <w:rsid w:val="0094210E"/>
    <w:rPr>
      <w:rFonts w:ascii="Times New Roman" w:eastAsia="Times New Roman" w:hAnsi="Times New Roman" w:cs="Times New Roman"/>
      <w:sz w:val="20"/>
      <w:szCs w:val="20"/>
      <w:lang w:val="nl-NL" w:eastAsia="nl-NL"/>
    </w:rPr>
  </w:style>
  <w:style w:type="character" w:styleId="Lienhypertexte">
    <w:name w:val="Hyperlink"/>
    <w:basedOn w:val="Policepardfaut"/>
    <w:uiPriority w:val="99"/>
    <w:unhideWhenUsed/>
    <w:rsid w:val="00C96C57"/>
    <w:rPr>
      <w:color w:val="0000FF" w:themeColor="hyperlink"/>
      <w:u w:val="single"/>
    </w:rPr>
  </w:style>
  <w:style w:type="paragraph" w:styleId="Textedebulles">
    <w:name w:val="Balloon Text"/>
    <w:basedOn w:val="Normal"/>
    <w:link w:val="TextedebullesCar"/>
    <w:uiPriority w:val="99"/>
    <w:semiHidden/>
    <w:unhideWhenUsed/>
    <w:rsid w:val="009B458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B458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rsid w:val="0094210E"/>
    <w:rPr>
      <w:vertAlign w:val="superscript"/>
    </w:rPr>
  </w:style>
  <w:style w:type="paragraph" w:styleId="Notedebasdepage">
    <w:name w:val="footnote text"/>
    <w:basedOn w:val="Normal"/>
    <w:link w:val="NotedebasdepageCar"/>
    <w:unhideWhenUsed/>
    <w:rsid w:val="0094210E"/>
    <w:pPr>
      <w:spacing w:after="0" w:line="240" w:lineRule="auto"/>
    </w:pPr>
    <w:rPr>
      <w:rFonts w:ascii="Times New Roman" w:eastAsia="Times New Roman" w:hAnsi="Times New Roman" w:cs="Times New Roman"/>
      <w:sz w:val="20"/>
      <w:szCs w:val="20"/>
      <w:lang w:val="nl-NL" w:eastAsia="nl-NL"/>
    </w:rPr>
  </w:style>
  <w:style w:type="character" w:customStyle="1" w:styleId="NotedebasdepageCar">
    <w:name w:val="Note de bas de page Car"/>
    <w:basedOn w:val="Policepardfaut"/>
    <w:link w:val="Notedebasdepage"/>
    <w:rsid w:val="0094210E"/>
    <w:rPr>
      <w:rFonts w:ascii="Times New Roman" w:eastAsia="Times New Roman" w:hAnsi="Times New Roman" w:cs="Times New Roman"/>
      <w:sz w:val="20"/>
      <w:szCs w:val="20"/>
      <w:lang w:val="nl-NL" w:eastAsia="nl-NL"/>
    </w:rPr>
  </w:style>
  <w:style w:type="character" w:styleId="Lienhypertexte">
    <w:name w:val="Hyperlink"/>
    <w:basedOn w:val="Policepardfaut"/>
    <w:uiPriority w:val="99"/>
    <w:unhideWhenUsed/>
    <w:rsid w:val="00C96C57"/>
    <w:rPr>
      <w:color w:val="0000FF" w:themeColor="hyperlink"/>
      <w:u w:val="single"/>
    </w:rPr>
  </w:style>
  <w:style w:type="paragraph" w:styleId="Textedebulles">
    <w:name w:val="Balloon Text"/>
    <w:basedOn w:val="Normal"/>
    <w:link w:val="TextedebullesCar"/>
    <w:uiPriority w:val="99"/>
    <w:semiHidden/>
    <w:unhideWhenUsed/>
    <w:rsid w:val="009B458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B45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2478722">
      <w:bodyDiv w:val="1"/>
      <w:marLeft w:val="0"/>
      <w:marRight w:val="0"/>
      <w:marTop w:val="0"/>
      <w:marBottom w:val="0"/>
      <w:divBdr>
        <w:top w:val="none" w:sz="0" w:space="0" w:color="auto"/>
        <w:left w:val="none" w:sz="0" w:space="0" w:color="auto"/>
        <w:bottom w:val="none" w:sz="0" w:space="0" w:color="auto"/>
        <w:right w:val="none" w:sz="0" w:space="0" w:color="auto"/>
      </w:divBdr>
      <w:divsChild>
        <w:div w:id="311567835">
          <w:marLeft w:val="0"/>
          <w:marRight w:val="0"/>
          <w:marTop w:val="0"/>
          <w:marBottom w:val="0"/>
          <w:divBdr>
            <w:top w:val="none" w:sz="0" w:space="0" w:color="auto"/>
            <w:left w:val="none" w:sz="0" w:space="0" w:color="auto"/>
            <w:bottom w:val="none" w:sz="0" w:space="0" w:color="auto"/>
            <w:right w:val="none" w:sz="0" w:space="0" w:color="auto"/>
          </w:divBdr>
          <w:divsChild>
            <w:div w:id="127520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238587">
      <w:bodyDiv w:val="1"/>
      <w:marLeft w:val="0"/>
      <w:marRight w:val="0"/>
      <w:marTop w:val="0"/>
      <w:marBottom w:val="0"/>
      <w:divBdr>
        <w:top w:val="none" w:sz="0" w:space="0" w:color="auto"/>
        <w:left w:val="none" w:sz="0" w:space="0" w:color="auto"/>
        <w:bottom w:val="none" w:sz="0" w:space="0" w:color="auto"/>
        <w:right w:val="none" w:sz="0" w:space="0" w:color="auto"/>
      </w:divBdr>
      <w:divsChild>
        <w:div w:id="784539599">
          <w:marLeft w:val="0"/>
          <w:marRight w:val="0"/>
          <w:marTop w:val="0"/>
          <w:marBottom w:val="0"/>
          <w:divBdr>
            <w:top w:val="none" w:sz="0" w:space="0" w:color="auto"/>
            <w:left w:val="none" w:sz="0" w:space="0" w:color="auto"/>
            <w:bottom w:val="none" w:sz="0" w:space="0" w:color="auto"/>
            <w:right w:val="none" w:sz="0" w:space="0" w:color="auto"/>
          </w:divBdr>
          <w:divsChild>
            <w:div w:id="1649629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264812">
      <w:bodyDiv w:val="1"/>
      <w:marLeft w:val="0"/>
      <w:marRight w:val="0"/>
      <w:marTop w:val="0"/>
      <w:marBottom w:val="0"/>
      <w:divBdr>
        <w:top w:val="none" w:sz="0" w:space="0" w:color="auto"/>
        <w:left w:val="none" w:sz="0" w:space="0" w:color="auto"/>
        <w:bottom w:val="none" w:sz="0" w:space="0" w:color="auto"/>
        <w:right w:val="none" w:sz="0" w:space="0" w:color="auto"/>
      </w:divBdr>
      <w:divsChild>
        <w:div w:id="172913398">
          <w:marLeft w:val="0"/>
          <w:marRight w:val="0"/>
          <w:marTop w:val="0"/>
          <w:marBottom w:val="0"/>
          <w:divBdr>
            <w:top w:val="none" w:sz="0" w:space="0" w:color="auto"/>
            <w:left w:val="none" w:sz="0" w:space="0" w:color="auto"/>
            <w:bottom w:val="none" w:sz="0" w:space="0" w:color="auto"/>
            <w:right w:val="none" w:sz="0" w:space="0" w:color="auto"/>
          </w:divBdr>
          <w:divsChild>
            <w:div w:id="207782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clouvain.be/en-cecl-vespa.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385</TotalTime>
  <Pages>2</Pages>
  <Words>1025</Words>
  <Characters>5642</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Université catholique de Louvain</Company>
  <LinksUpToDate>false</LinksUpToDate>
  <CharactersWithSpaces>6654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Anonymous</dc:creator>
  <cp:keywords/>
  <dc:description/>
  <cp:lastModifiedBy>Anonymous</cp:lastModifiedBy>
  <cp:revision>10</cp:revision>
  <dcterms:created xsi:type="dcterms:W3CDTF">2014-12-10T14:48:00Z</dcterms:created>
  <dcterms:modified xsi:type="dcterms:W3CDTF">2014-12-16T08:41:00Z</dcterms:modified>
</cp:coreProperties>
</file>