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AA30AD" w14:textId="11A5B4E8" w:rsidR="00846B5D" w:rsidRPr="0094716B" w:rsidRDefault="006071C7" w:rsidP="00846B5D">
      <w:pPr>
        <w:jc w:val="center"/>
        <w:rPr>
          <w:b/>
          <w:bCs/>
          <w:lang w:val="en-US"/>
        </w:rPr>
      </w:pPr>
      <w:r w:rsidRPr="0094716B">
        <w:rPr>
          <w:b/>
          <w:bCs/>
          <w:lang w:val="en-US"/>
        </w:rPr>
        <w:t>Compte-</w:t>
      </w:r>
      <w:proofErr w:type="spellStart"/>
      <w:r w:rsidRPr="0094716B">
        <w:rPr>
          <w:b/>
          <w:bCs/>
          <w:lang w:val="en-US"/>
        </w:rPr>
        <w:t>rendu</w:t>
      </w:r>
      <w:proofErr w:type="spellEnd"/>
    </w:p>
    <w:p w14:paraId="3E7527B8" w14:textId="346C3711" w:rsidR="00846B5D" w:rsidRDefault="00846B5D" w:rsidP="00846B5D">
      <w:pPr>
        <w:jc w:val="center"/>
        <w:rPr>
          <w:lang w:val="en-US"/>
        </w:rPr>
      </w:pPr>
      <w:r w:rsidRPr="00C368C3">
        <w:rPr>
          <w:i/>
          <w:iCs/>
          <w:lang w:val="en-US"/>
        </w:rPr>
        <w:t>Interpreting R.G. Collingwood</w:t>
      </w:r>
      <w:r w:rsidR="00C368C3" w:rsidRPr="00C368C3">
        <w:rPr>
          <w:i/>
          <w:iCs/>
          <w:lang w:val="en-US"/>
        </w:rPr>
        <w:t>, C</w:t>
      </w:r>
      <w:r w:rsidR="00C368C3">
        <w:rPr>
          <w:i/>
          <w:iCs/>
          <w:lang w:val="en-US"/>
        </w:rPr>
        <w:t xml:space="preserve">ritical Essays, </w:t>
      </w:r>
      <w:r w:rsidR="00C368C3">
        <w:rPr>
          <w:lang w:val="en-US"/>
        </w:rPr>
        <w:t xml:space="preserve">edited by David Collins and Christopher Williams, </w:t>
      </w:r>
      <w:r w:rsidR="00CC3D07">
        <w:rPr>
          <w:lang w:val="en-US"/>
        </w:rPr>
        <w:t xml:space="preserve">Cambridge University Press, Novembre 2024, </w:t>
      </w:r>
      <w:r w:rsidR="006071C7">
        <w:rPr>
          <w:lang w:val="en-US"/>
        </w:rPr>
        <w:t>303 pages, 105.04 euros.</w:t>
      </w:r>
    </w:p>
    <w:p w14:paraId="4D0B82C4" w14:textId="77777777" w:rsidR="006071C7" w:rsidRDefault="006071C7" w:rsidP="00846B5D">
      <w:pPr>
        <w:jc w:val="center"/>
        <w:rPr>
          <w:lang w:val="en-US"/>
        </w:rPr>
      </w:pPr>
    </w:p>
    <w:p w14:paraId="666A765F" w14:textId="2A48D1A8" w:rsidR="00C73178" w:rsidRDefault="002B193D" w:rsidP="0006109E">
      <w:pPr>
        <w:spacing w:line="360" w:lineRule="auto"/>
        <w:jc w:val="both"/>
      </w:pPr>
      <w:r>
        <w:rPr>
          <w:lang w:val="en-US"/>
        </w:rPr>
        <w:tab/>
      </w:r>
      <w:r w:rsidRPr="00216DF6">
        <w:t xml:space="preserve">Cet ouvrage collectif </w:t>
      </w:r>
      <w:r w:rsidR="00216DF6" w:rsidRPr="00216DF6">
        <w:t xml:space="preserve">très </w:t>
      </w:r>
      <w:r w:rsidR="001D565C">
        <w:t>riche</w:t>
      </w:r>
      <w:r w:rsidR="00216DF6">
        <w:t xml:space="preserve"> </w:t>
      </w:r>
      <w:r w:rsidR="0094344E">
        <w:t xml:space="preserve">manifeste </w:t>
      </w:r>
      <w:r w:rsidR="00C2334E">
        <w:t>l’attraction</w:t>
      </w:r>
      <w:r w:rsidR="00E059A7">
        <w:t xml:space="preserve"> croissante qu’exerce la pensée du philosophe, archéologue et historien d’Oxford, R.G. Collingwood</w:t>
      </w:r>
      <w:r w:rsidR="00265854">
        <w:t xml:space="preserve"> (1889-1943)</w:t>
      </w:r>
      <w:r w:rsidR="00E059A7">
        <w:t xml:space="preserve">. </w:t>
      </w:r>
      <w:r w:rsidR="00994053">
        <w:t xml:space="preserve">Si David Collins, qui a co-dirigé l’ouvrage, rappelle en introduction </w:t>
      </w:r>
      <w:r w:rsidR="0060319C">
        <w:t xml:space="preserve">l’expression de Jon </w:t>
      </w:r>
      <w:proofErr w:type="spellStart"/>
      <w:r w:rsidR="0060319C">
        <w:t>Cogburn</w:t>
      </w:r>
      <w:proofErr w:type="spellEnd"/>
      <w:r w:rsidR="0060319C">
        <w:t xml:space="preserve"> </w:t>
      </w:r>
      <w:r w:rsidR="00166529">
        <w:t>soulignant que Collingwood est un auteur largement reconnu comme n’étant pas suffisamment reconnu</w:t>
      </w:r>
      <w:r w:rsidR="00080AEC">
        <w:t xml:space="preserve">, il n’en demeure pas moins que les études collingwoodiennes s’enrichissent ici d’un troisième opus collectif de grande qualité. </w:t>
      </w:r>
      <w:r w:rsidR="00080AEC" w:rsidRPr="001A22DC">
        <w:t>En effet, c</w:t>
      </w:r>
      <w:r w:rsidR="001A22DC" w:rsidRPr="001A22DC">
        <w:t xml:space="preserve">e livre marque la troisième borne </w:t>
      </w:r>
      <w:r w:rsidR="001A22DC">
        <w:t xml:space="preserve">générationnelle </w:t>
      </w:r>
      <w:r w:rsidR="00AA14A3">
        <w:t xml:space="preserve">de la littérature secondaire sur Collingwood, après l’ouvrage dirigé par Michael </w:t>
      </w:r>
      <w:proofErr w:type="spellStart"/>
      <w:r w:rsidR="00AA14A3">
        <w:t>Krausz</w:t>
      </w:r>
      <w:proofErr w:type="spellEnd"/>
      <w:r w:rsidR="00AA14A3">
        <w:t xml:space="preserve"> en 1972, </w:t>
      </w:r>
      <w:r w:rsidR="00AA14A3">
        <w:rPr>
          <w:i/>
          <w:iCs/>
        </w:rPr>
        <w:t xml:space="preserve">Critical </w:t>
      </w:r>
      <w:proofErr w:type="spellStart"/>
      <w:r w:rsidR="00AA14A3">
        <w:rPr>
          <w:i/>
          <w:iCs/>
        </w:rPr>
        <w:t>Essays</w:t>
      </w:r>
      <w:proofErr w:type="spellEnd"/>
      <w:r w:rsidR="00AA14A3">
        <w:rPr>
          <w:i/>
          <w:iCs/>
        </w:rPr>
        <w:t xml:space="preserve"> on the Philosophy of R.G. Collingwood</w:t>
      </w:r>
      <w:r w:rsidR="00AA14A3">
        <w:t xml:space="preserve">, </w:t>
      </w:r>
      <w:r w:rsidR="0070632D">
        <w:t>suivi quelque vingt années plus tard, en 1995</w:t>
      </w:r>
      <w:r w:rsidR="003D2D10">
        <w:t>,</w:t>
      </w:r>
      <w:r w:rsidR="0070632D">
        <w:t xml:space="preserve"> par le livre collectif dirigé par David Boucher, James Connelly et Tariq </w:t>
      </w:r>
      <w:proofErr w:type="spellStart"/>
      <w:r w:rsidR="0070632D">
        <w:t>Modood</w:t>
      </w:r>
      <w:proofErr w:type="spellEnd"/>
      <w:r w:rsidR="0070632D">
        <w:t xml:space="preserve"> intitulé </w:t>
      </w:r>
      <w:r w:rsidR="0070632D">
        <w:rPr>
          <w:i/>
          <w:iCs/>
        </w:rPr>
        <w:t xml:space="preserve">Philosophy, </w:t>
      </w:r>
      <w:proofErr w:type="spellStart"/>
      <w:r w:rsidR="0070632D">
        <w:rPr>
          <w:i/>
          <w:iCs/>
        </w:rPr>
        <w:t>History</w:t>
      </w:r>
      <w:proofErr w:type="spellEnd"/>
      <w:r w:rsidR="0070632D">
        <w:rPr>
          <w:i/>
          <w:iCs/>
        </w:rPr>
        <w:t xml:space="preserve"> and </w:t>
      </w:r>
      <w:proofErr w:type="spellStart"/>
      <w:r w:rsidR="0070632D">
        <w:rPr>
          <w:i/>
          <w:iCs/>
        </w:rPr>
        <w:t>Civilization</w:t>
      </w:r>
      <w:proofErr w:type="spellEnd"/>
      <w:r w:rsidR="0070632D">
        <w:rPr>
          <w:i/>
          <w:iCs/>
        </w:rPr>
        <w:t xml:space="preserve">, </w:t>
      </w:r>
      <w:proofErr w:type="spellStart"/>
      <w:r w:rsidR="0070632D">
        <w:rPr>
          <w:i/>
          <w:iCs/>
        </w:rPr>
        <w:t>Interdisciplinary</w:t>
      </w:r>
      <w:proofErr w:type="spellEnd"/>
      <w:r w:rsidR="0070632D">
        <w:rPr>
          <w:i/>
          <w:iCs/>
        </w:rPr>
        <w:t xml:space="preserve"> Perspectives on R.G. Collingwood</w:t>
      </w:r>
      <w:r w:rsidR="0070632D">
        <w:t xml:space="preserve">. </w:t>
      </w:r>
    </w:p>
    <w:p w14:paraId="3673C974" w14:textId="77777777" w:rsidR="00550C8E" w:rsidRDefault="00C760BF" w:rsidP="00966E97">
      <w:pPr>
        <w:spacing w:line="360" w:lineRule="auto"/>
        <w:jc w:val="both"/>
      </w:pPr>
      <w:r>
        <w:tab/>
      </w:r>
      <w:proofErr w:type="spellStart"/>
      <w:r w:rsidRPr="003D2D10">
        <w:rPr>
          <w:i/>
          <w:iCs/>
        </w:rPr>
        <w:t>Interpreting</w:t>
      </w:r>
      <w:proofErr w:type="spellEnd"/>
      <w:r w:rsidRPr="003D2D10">
        <w:rPr>
          <w:i/>
          <w:iCs/>
        </w:rPr>
        <w:t xml:space="preserve"> R.G. Collingwood</w:t>
      </w:r>
      <w:r w:rsidRPr="003D2D10">
        <w:t xml:space="preserve"> </w:t>
      </w:r>
      <w:r w:rsidR="003D2D10" w:rsidRPr="003D2D10">
        <w:t>poursuit cette dynamiq</w:t>
      </w:r>
      <w:r w:rsidR="003D2D10">
        <w:t xml:space="preserve">ue plurielle qui semble être la plus à même de rendre compte de la diversité de l’œuvre du philosophe d’Oxford. </w:t>
      </w:r>
      <w:r w:rsidR="00DB7C5E">
        <w:t xml:space="preserve">Désireux d’affirmer aussi </w:t>
      </w:r>
      <w:r w:rsidR="007C3067">
        <w:t xml:space="preserve">l’originalité et la nécessité de cet ouvrage, </w:t>
      </w:r>
      <w:r w:rsidR="000359E6">
        <w:t xml:space="preserve">un fil rouge semble avoir été la volonté de sortir Collingwood des caricatures historiographiques dans lesquelles il a été inscrit, en le tirant notamment </w:t>
      </w:r>
      <w:r w:rsidR="00B60534">
        <w:t xml:space="preserve">de la catégorisation, un peu facile, d’idéaliste. Ainsi, cette « invitation collective à la reconnaissance et la reconsidération » </w:t>
      </w:r>
      <w:r w:rsidR="00601C84">
        <w:t>a été construite en deux parties permettant de consolider cette thèse</w:t>
      </w:r>
      <w:r w:rsidR="00B712DC">
        <w:t>.</w:t>
      </w:r>
      <w:r w:rsidR="00601C84">
        <w:t xml:space="preserve"> </w:t>
      </w:r>
      <w:r w:rsidR="00B712DC">
        <w:t>U</w:t>
      </w:r>
      <w:r w:rsidR="00601C84">
        <w:t xml:space="preserve">ne partie </w:t>
      </w:r>
      <w:r w:rsidR="00414598">
        <w:t xml:space="preserve">préoccupée d’abord par des considérations </w:t>
      </w:r>
      <w:r w:rsidR="00601C84">
        <w:t>historique</w:t>
      </w:r>
      <w:r w:rsidR="00414598">
        <w:t>s de la philosophie de Collingwood</w:t>
      </w:r>
      <w:r w:rsidR="00601C84">
        <w:t xml:space="preserve"> et une partie </w:t>
      </w:r>
      <w:r w:rsidR="00414598">
        <w:t>centrée sur ses concepts</w:t>
      </w:r>
      <w:r w:rsidR="000618A8">
        <w:t xml:space="preserve">, donc plus analytique. </w:t>
      </w:r>
    </w:p>
    <w:p w14:paraId="29631DED" w14:textId="19689E86" w:rsidR="00EA2FEC" w:rsidRDefault="00FD0A25" w:rsidP="00550C8E">
      <w:pPr>
        <w:spacing w:line="360" w:lineRule="auto"/>
        <w:ind w:firstLine="708"/>
        <w:jc w:val="both"/>
      </w:pPr>
      <w:r>
        <w:t>Dans la première</w:t>
      </w:r>
      <w:r w:rsidR="0094716B">
        <w:t xml:space="preserve"> moitié du livre</w:t>
      </w:r>
      <w:r>
        <w:t>, il s’agit d’éclairer les points de contacts</w:t>
      </w:r>
      <w:r w:rsidR="0094716B">
        <w:t xml:space="preserve"> et</w:t>
      </w:r>
      <w:r>
        <w:t xml:space="preserve"> les relations de Collingwood avec des écoles de pensées </w:t>
      </w:r>
      <w:r w:rsidR="0094716B">
        <w:t>extérieures à</w:t>
      </w:r>
      <w:r w:rsidR="000618A8">
        <w:t xml:space="preserve"> la tradition idéaliste</w:t>
      </w:r>
      <w:r w:rsidR="00725D6E">
        <w:t xml:space="preserve">, </w:t>
      </w:r>
      <w:r w:rsidR="00550C8E">
        <w:t>ce que les éditeurs appellent</w:t>
      </w:r>
      <w:r w:rsidR="00353DC0">
        <w:t xml:space="preserve"> « Situer Collingwood : au-delà de l’idéalisme ». On y trouve des articles reconstruisant, de manière historique, le débat de Collingwood avec des traditions </w:t>
      </w:r>
      <w:r w:rsidR="002C38D3">
        <w:t>qui lui étaient contemporaines et auxquelles il s</w:t>
      </w:r>
      <w:r w:rsidR="00D905CF">
        <w:t>’est</w:t>
      </w:r>
      <w:r w:rsidR="002C38D3">
        <w:t xml:space="preserve"> confronté : le positivisme logique de </w:t>
      </w:r>
      <w:proofErr w:type="spellStart"/>
      <w:r w:rsidR="002C38D3">
        <w:t>Ayer</w:t>
      </w:r>
      <w:proofErr w:type="spellEnd"/>
      <w:r w:rsidR="002C38D3">
        <w:t xml:space="preserve">, ici présenté par Rex Martin qui poursuit son interprétation </w:t>
      </w:r>
      <w:r w:rsidR="005F6440">
        <w:t xml:space="preserve">en s’opposant aux lectures de Michael Beaney et Guido </w:t>
      </w:r>
      <w:proofErr w:type="spellStart"/>
      <w:r w:rsidR="005F6440">
        <w:t>Vanheeswick</w:t>
      </w:r>
      <w:proofErr w:type="spellEnd"/>
      <w:r w:rsidR="005F6440">
        <w:t xml:space="preserve"> qui </w:t>
      </w:r>
      <w:r w:rsidR="00CF3C01">
        <w:t>affirment que Collingwood aurait en fin de compte souscrit à certaines thèses, notamment le vérificationnisme, du positivisme logique. Puis</w:t>
      </w:r>
      <w:r w:rsidR="00942898">
        <w:t xml:space="preserve">, dans la même veine, un texte de Paolo </w:t>
      </w:r>
      <w:proofErr w:type="spellStart"/>
      <w:r w:rsidR="00942898">
        <w:t>Camporese</w:t>
      </w:r>
      <w:proofErr w:type="spellEnd"/>
      <w:r w:rsidR="00942898">
        <w:t xml:space="preserve"> qui étudie</w:t>
      </w:r>
      <w:r w:rsidR="00694DC7">
        <w:t xml:space="preserve"> les relations de Collingwood avec la philosophie analytique naissante, Russell, Moore</w:t>
      </w:r>
      <w:r w:rsidR="00795017">
        <w:t xml:space="preserve"> et </w:t>
      </w:r>
      <w:proofErr w:type="spellStart"/>
      <w:r w:rsidR="00795017">
        <w:t>Stebbing</w:t>
      </w:r>
      <w:proofErr w:type="spellEnd"/>
      <w:r w:rsidR="00936466">
        <w:t xml:space="preserve">. L’auteur y </w:t>
      </w:r>
      <w:r w:rsidR="00F9202C">
        <w:t xml:space="preserve">développe </w:t>
      </w:r>
      <w:r w:rsidR="00936466">
        <w:t xml:space="preserve">une </w:t>
      </w:r>
      <w:r w:rsidR="00F9202C">
        <w:t>approche</w:t>
      </w:r>
      <w:r w:rsidR="00936466">
        <w:t xml:space="preserve"> conceptuelle originale qui aboutit à une distinction entre </w:t>
      </w:r>
      <w:r w:rsidR="00F9202C">
        <w:t xml:space="preserve">une </w:t>
      </w:r>
      <w:r w:rsidR="00A47C3A">
        <w:t xml:space="preserve">conception historique de la philosophie, adoptée par Collingwood, qu’il qualifie de « </w:t>
      </w:r>
      <w:r w:rsidR="00A47C3A">
        <w:rPr>
          <w:i/>
          <w:iCs/>
        </w:rPr>
        <w:t>multi-</w:t>
      </w:r>
      <w:proofErr w:type="spellStart"/>
      <w:r w:rsidR="00A47C3A">
        <w:rPr>
          <w:i/>
          <w:iCs/>
        </w:rPr>
        <w:t>commitment</w:t>
      </w:r>
      <w:proofErr w:type="spellEnd"/>
      <w:r w:rsidR="00A47C3A">
        <w:rPr>
          <w:i/>
          <w:iCs/>
        </w:rPr>
        <w:t xml:space="preserve"> </w:t>
      </w:r>
      <w:proofErr w:type="spellStart"/>
      <w:r w:rsidR="00A47C3A">
        <w:rPr>
          <w:i/>
          <w:iCs/>
        </w:rPr>
        <w:t>tracking</w:t>
      </w:r>
      <w:proofErr w:type="spellEnd"/>
      <w:r w:rsidR="00A47C3A">
        <w:rPr>
          <w:i/>
          <w:iCs/>
        </w:rPr>
        <w:t> »</w:t>
      </w:r>
      <w:r w:rsidR="00A47C3A">
        <w:t xml:space="preserve"> et une </w:t>
      </w:r>
      <w:r w:rsidR="00F9202C">
        <w:t>conception anhistorique, celle de la philosophie analytique, qualifiée de « </w:t>
      </w:r>
      <w:r w:rsidR="00F9202C">
        <w:rPr>
          <w:i/>
          <w:iCs/>
        </w:rPr>
        <w:t>single-</w:t>
      </w:r>
      <w:proofErr w:type="spellStart"/>
      <w:r w:rsidR="00F9202C">
        <w:rPr>
          <w:i/>
          <w:iCs/>
        </w:rPr>
        <w:t>commitment</w:t>
      </w:r>
      <w:proofErr w:type="spellEnd"/>
      <w:r w:rsidR="00F9202C">
        <w:rPr>
          <w:i/>
          <w:iCs/>
        </w:rPr>
        <w:t xml:space="preserve"> </w:t>
      </w:r>
      <w:proofErr w:type="spellStart"/>
      <w:r w:rsidR="00F9202C">
        <w:rPr>
          <w:i/>
          <w:iCs/>
        </w:rPr>
        <w:lastRenderedPageBreak/>
        <w:t>tracking</w:t>
      </w:r>
      <w:proofErr w:type="spellEnd"/>
      <w:r w:rsidR="00F9202C">
        <w:t> »</w:t>
      </w:r>
      <w:r w:rsidR="00E35C65">
        <w:t>. Les trois chapitres suivants</w:t>
      </w:r>
      <w:r w:rsidR="0065526C">
        <w:t xml:space="preserve"> ont la particularité de mettre en parallèle la philosophie collingwoodienne avec des philosophies </w:t>
      </w:r>
      <w:r w:rsidR="00397A56">
        <w:t>qu’il n’a lui-même pas discuté</w:t>
      </w:r>
      <w:r w:rsidR="00E92571">
        <w:t>,</w:t>
      </w:r>
      <w:r w:rsidR="00397A56">
        <w:t xml:space="preserve"> il s’agit donc d</w:t>
      </w:r>
      <w:r w:rsidR="00E92571">
        <w:t>’un</w:t>
      </w:r>
      <w:r w:rsidR="00397A56">
        <w:t xml:space="preserve"> dialogue artificiellement construit : ainsi l’article d’Elena </w:t>
      </w:r>
      <w:proofErr w:type="spellStart"/>
      <w:r w:rsidR="00397A56">
        <w:t>Popa</w:t>
      </w:r>
      <w:proofErr w:type="spellEnd"/>
      <w:r w:rsidR="00397A56">
        <w:t xml:space="preserve"> </w:t>
      </w:r>
      <w:r w:rsidR="003341CF">
        <w:t>sur le rapport de Collingwood avec les recherches des néo-pragmatistes</w:t>
      </w:r>
      <w:r w:rsidR="00E92571">
        <w:t xml:space="preserve"> de</w:t>
      </w:r>
      <w:r w:rsidR="003341CF">
        <w:t xml:space="preserve"> </w:t>
      </w:r>
      <w:proofErr w:type="spellStart"/>
      <w:r w:rsidR="003341CF">
        <w:t>Hasok</w:t>
      </w:r>
      <w:proofErr w:type="spellEnd"/>
      <w:r w:rsidR="003341CF">
        <w:t xml:space="preserve"> Chang et Philip </w:t>
      </w:r>
      <w:proofErr w:type="spellStart"/>
      <w:r w:rsidR="003341CF">
        <w:t>Kitcher</w:t>
      </w:r>
      <w:proofErr w:type="spellEnd"/>
      <w:r w:rsidR="003341CF">
        <w:t xml:space="preserve">, </w:t>
      </w:r>
      <w:r w:rsidR="005932A7">
        <w:t xml:space="preserve">l’étude de </w:t>
      </w:r>
      <w:proofErr w:type="spellStart"/>
      <w:r w:rsidR="005932A7">
        <w:t>Vasso</w:t>
      </w:r>
      <w:proofErr w:type="spellEnd"/>
      <w:r w:rsidR="005932A7">
        <w:t xml:space="preserve"> </w:t>
      </w:r>
      <w:proofErr w:type="spellStart"/>
      <w:r w:rsidR="005932A7">
        <w:t>Kindi</w:t>
      </w:r>
      <w:proofErr w:type="spellEnd"/>
      <w:r w:rsidR="005932A7">
        <w:t xml:space="preserve"> du lien entre philosophie et littérature chez Collingwood, Wittgenstein et </w:t>
      </w:r>
      <w:proofErr w:type="spellStart"/>
      <w:r w:rsidR="005932A7">
        <w:t>Rorty</w:t>
      </w:r>
      <w:proofErr w:type="spellEnd"/>
      <w:r w:rsidR="005932A7">
        <w:t xml:space="preserve">, enfin l’article </w:t>
      </w:r>
      <w:r w:rsidR="005E5759">
        <w:t xml:space="preserve">de Donald A. Landes qui dresse un parallèle </w:t>
      </w:r>
      <w:r w:rsidR="007F6CB4">
        <w:t xml:space="preserve">inattendu entre Collingwood et la phénoménologie, en s’intéressant particulièrement à Husserl et Merleau-Ponty. </w:t>
      </w:r>
      <w:r w:rsidR="008D1AA5">
        <w:t xml:space="preserve">Cette recherche d’une phénoménologie collingwoodienne </w:t>
      </w:r>
      <w:r w:rsidR="00046B0C">
        <w:t xml:space="preserve">si acrobatique semble-t-elle, tant cette tradition a peu </w:t>
      </w:r>
      <w:r w:rsidR="00842E39">
        <w:t>infusé</w:t>
      </w:r>
      <w:r w:rsidR="00046B0C">
        <w:t xml:space="preserve"> la pensée britannique de la première moitié du XXème siècle, poursuit en fait une intuition d’un éminent spécialiste de Collingwood, Lionel </w:t>
      </w:r>
      <w:proofErr w:type="spellStart"/>
      <w:r w:rsidR="00046B0C">
        <w:t>Rubinoff</w:t>
      </w:r>
      <w:proofErr w:type="spellEnd"/>
      <w:r w:rsidR="00046B0C">
        <w:t xml:space="preserve">. </w:t>
      </w:r>
      <w:r w:rsidR="008E0475">
        <w:t xml:space="preserve">Les parallèles entre Husserl et Collingwood paraissent ici, en effet, féconds. </w:t>
      </w:r>
      <w:r w:rsidR="00D77CCD">
        <w:t xml:space="preserve">Enfin, le dernier article de la première partie </w:t>
      </w:r>
      <w:r w:rsidR="00225701">
        <w:t xml:space="preserve">traite de l’influence de Collingwood sur </w:t>
      </w:r>
      <w:proofErr w:type="spellStart"/>
      <w:r w:rsidR="00225701">
        <w:t>Gadamer</w:t>
      </w:r>
      <w:proofErr w:type="spellEnd"/>
      <w:r w:rsidR="00225701">
        <w:t xml:space="preserve">. Mathieu Marion y continue un travail </w:t>
      </w:r>
      <w:r w:rsidR="00116524">
        <w:t xml:space="preserve">initié il y a quelques années, et démontre la prégnance des théories collingwoodiennes chez l’apôtre de l’herméneutique, et ce, malgré les </w:t>
      </w:r>
      <w:r w:rsidR="004B1DA7">
        <w:t>réserves émises par</w:t>
      </w:r>
      <w:r w:rsidR="00CE7C7C">
        <w:t xml:space="preserve"> ce dernier</w:t>
      </w:r>
      <w:r w:rsidR="004B1DA7">
        <w:t>.</w:t>
      </w:r>
      <w:r w:rsidR="00CE7C7C">
        <w:t xml:space="preserve"> </w:t>
      </w:r>
      <w:r w:rsidR="004B1DA7">
        <w:t>L</w:t>
      </w:r>
      <w:r w:rsidR="00CE7C7C">
        <w:t xml:space="preserve">a dette de </w:t>
      </w:r>
      <w:proofErr w:type="spellStart"/>
      <w:r w:rsidR="00CE7C7C">
        <w:t>Gadamer</w:t>
      </w:r>
      <w:proofErr w:type="spellEnd"/>
      <w:r w:rsidR="00CE7C7C">
        <w:t xml:space="preserve"> à l’égard de Collingwood est bien réelle, comme elle l’est </w:t>
      </w:r>
      <w:r w:rsidR="007221C1">
        <w:t xml:space="preserve">pour </w:t>
      </w:r>
      <w:r w:rsidR="00CE7C7C">
        <w:t xml:space="preserve">d’autres auteurs cités en introduction : </w:t>
      </w:r>
      <w:proofErr w:type="spellStart"/>
      <w:r w:rsidR="00661F92">
        <w:t>Isaiah</w:t>
      </w:r>
      <w:proofErr w:type="spellEnd"/>
      <w:r w:rsidR="00661F92">
        <w:t xml:space="preserve"> Berlin, Simon Blackburn, Lorraine Code, Dorothy Emmet, </w:t>
      </w:r>
      <w:proofErr w:type="spellStart"/>
      <w:r w:rsidR="00661F92">
        <w:t>Alasdair</w:t>
      </w:r>
      <w:proofErr w:type="spellEnd"/>
      <w:r w:rsidR="00661F92">
        <w:t xml:space="preserve"> </w:t>
      </w:r>
      <w:proofErr w:type="spellStart"/>
      <w:r w:rsidR="00661F92">
        <w:t>MacIntyre</w:t>
      </w:r>
      <w:proofErr w:type="spellEnd"/>
      <w:r w:rsidR="00661F92">
        <w:t>, Charles Taylor et Bernard Williams</w:t>
      </w:r>
      <w:r w:rsidR="00433CD4">
        <w:t>.</w:t>
      </w:r>
      <w:r w:rsidR="002D4F19">
        <w:t xml:space="preserve"> </w:t>
      </w:r>
      <w:r w:rsidR="00433CD4">
        <w:t>O</w:t>
      </w:r>
      <w:r w:rsidR="002D4F19">
        <w:t xml:space="preserve">n </w:t>
      </w:r>
      <w:r w:rsidR="00433CD4">
        <w:t>pourrait</w:t>
      </w:r>
      <w:r w:rsidR="002D4F19">
        <w:t xml:space="preserve"> aussi</w:t>
      </w:r>
      <w:r w:rsidR="00433CD4">
        <w:t xml:space="preserve"> y ajouter</w:t>
      </w:r>
      <w:r w:rsidR="002D4F19">
        <w:t xml:space="preserve"> Quentin Skinner.</w:t>
      </w:r>
    </w:p>
    <w:p w14:paraId="318F2E2A" w14:textId="68FB50DE" w:rsidR="00C760BF" w:rsidRDefault="00EA2FEC" w:rsidP="00966E97">
      <w:pPr>
        <w:spacing w:line="360" w:lineRule="auto"/>
        <w:jc w:val="both"/>
      </w:pPr>
      <w:r>
        <w:tab/>
        <w:t xml:space="preserve">La seconde partie de l’ouvrage s’intéresse </w:t>
      </w:r>
      <w:r w:rsidR="00D81F42">
        <w:t>à des thèmes philosophiques développés par Collingwood, il ne s’agit pas comme dans les ouvrages précédents du même acabit de faire une place centrale au débat sur la philosophie de l’histoire de Collingwood, mais bien d’ouvrir de nouvelles thématiques de recherches</w:t>
      </w:r>
      <w:r w:rsidR="001816BA">
        <w:t>. Fernando Leal analyse la fameuse Logique des Questions Réponses</w:t>
      </w:r>
      <w:r w:rsidR="00993D98">
        <w:t xml:space="preserve"> qu’il présente sous la forme des six commandements permettant une analyse </w:t>
      </w:r>
      <w:r w:rsidR="00B41236">
        <w:t xml:space="preserve">historique fondée sur la notion de preuve, et qu’il décline en deux exemples tirés du corpus </w:t>
      </w:r>
      <w:proofErr w:type="spellStart"/>
      <w:r w:rsidR="00B41236">
        <w:t>collingwoodien</w:t>
      </w:r>
      <w:proofErr w:type="spellEnd"/>
      <w:r w:rsidR="00B41236">
        <w:t xml:space="preserve"> : l’enquête sur le meurtre de John Doe (une fiction que Collingwood </w:t>
      </w:r>
      <w:r w:rsidR="00C45156">
        <w:t xml:space="preserve">invente dans </w:t>
      </w:r>
      <w:r w:rsidR="00C45156">
        <w:rPr>
          <w:i/>
          <w:iCs/>
        </w:rPr>
        <w:t xml:space="preserve">Principles of </w:t>
      </w:r>
      <w:proofErr w:type="spellStart"/>
      <w:r w:rsidR="00C45156">
        <w:rPr>
          <w:i/>
          <w:iCs/>
        </w:rPr>
        <w:t>History</w:t>
      </w:r>
      <w:proofErr w:type="spellEnd"/>
      <w:r w:rsidR="00C45156">
        <w:t xml:space="preserve">) et les interprétations sur le mur d’Hadrien, tirées de l’article de Collingwood intitulé « The </w:t>
      </w:r>
      <w:proofErr w:type="spellStart"/>
      <w:r w:rsidR="00C45156">
        <w:t>Purpose</w:t>
      </w:r>
      <w:proofErr w:type="spellEnd"/>
      <w:r w:rsidR="00C45156">
        <w:t xml:space="preserve"> of Roman Wall ». Mis à part ce texte consacré à la méthode historique, on trouve des </w:t>
      </w:r>
      <w:r w:rsidR="003A7B44">
        <w:t>articles en métaphysique, celui de Giuseppina d’Oro et celui de David Collins, puis trois textes portant sur la philosophie de l’art de Collingwood</w:t>
      </w:r>
      <w:r w:rsidR="00092FB1">
        <w:t xml:space="preserve"> respectivement par Christopher Williams, David Davies et </w:t>
      </w:r>
      <w:proofErr w:type="spellStart"/>
      <w:r w:rsidR="00092FB1">
        <w:t>Chinatsu</w:t>
      </w:r>
      <w:proofErr w:type="spellEnd"/>
      <w:r w:rsidR="00092FB1">
        <w:t xml:space="preserve"> Kobayashi. Enfin, un chapitre écrit par Stephen Leach </w:t>
      </w:r>
      <w:r w:rsidR="004A7756">
        <w:t xml:space="preserve">s’intéresse à la méthode interprétative de Collingwood en archéologie, et précisément </w:t>
      </w:r>
      <w:r w:rsidR="00914667">
        <w:t xml:space="preserve">à </w:t>
      </w:r>
      <w:r w:rsidR="004A7756">
        <w:t xml:space="preserve">sa lecture </w:t>
      </w:r>
      <w:r w:rsidR="00F71352">
        <w:t xml:space="preserve">du renouveau de l’art celte après la période romaine. Un article qui ouvre des pistes de réflexion en croisant à la fois des idées métaphysiques de Collingwood, notamment son concept de survivance, et </w:t>
      </w:r>
      <w:r w:rsidR="00895AA8">
        <w:t xml:space="preserve">son expertise archéologique. Le dernier texte, signé Sabina </w:t>
      </w:r>
      <w:proofErr w:type="spellStart"/>
      <w:r w:rsidR="00895AA8">
        <w:t>Lovibond</w:t>
      </w:r>
      <w:proofErr w:type="spellEnd"/>
      <w:r w:rsidR="00895AA8">
        <w:t xml:space="preserve"> </w:t>
      </w:r>
      <w:r w:rsidR="00FF32A0">
        <w:t>emprunte son titre à un article de Benedetto Croce pour s’interroger sur : « </w:t>
      </w:r>
      <w:proofErr w:type="spellStart"/>
      <w:r w:rsidR="00FF32A0">
        <w:t>What</w:t>
      </w:r>
      <w:proofErr w:type="spellEnd"/>
      <w:r w:rsidR="00FF32A0">
        <w:t xml:space="preserve"> </w:t>
      </w:r>
      <w:proofErr w:type="spellStart"/>
      <w:r w:rsidR="00FF32A0">
        <w:t>is</w:t>
      </w:r>
      <w:proofErr w:type="spellEnd"/>
      <w:r w:rsidR="00FF32A0">
        <w:t xml:space="preserve"> Living and </w:t>
      </w:r>
      <w:proofErr w:type="spellStart"/>
      <w:r w:rsidR="00FF32A0">
        <w:t>What</w:t>
      </w:r>
      <w:proofErr w:type="spellEnd"/>
      <w:r w:rsidR="00FF32A0">
        <w:t xml:space="preserve"> Is Dead in </w:t>
      </w:r>
      <w:proofErr w:type="spellStart"/>
      <w:r w:rsidR="00FF32A0">
        <w:t>Collingwood’s</w:t>
      </w:r>
      <w:proofErr w:type="spellEnd"/>
      <w:r w:rsidR="00FF32A0">
        <w:t xml:space="preserve"> </w:t>
      </w:r>
      <w:r w:rsidR="00FF32A0">
        <w:rPr>
          <w:i/>
          <w:iCs/>
        </w:rPr>
        <w:t xml:space="preserve">New </w:t>
      </w:r>
      <w:proofErr w:type="spellStart"/>
      <w:r w:rsidR="00FF32A0">
        <w:rPr>
          <w:i/>
          <w:iCs/>
        </w:rPr>
        <w:t>Leviathan</w:t>
      </w:r>
      <w:proofErr w:type="spellEnd"/>
      <w:r w:rsidR="00FF32A0">
        <w:rPr>
          <w:i/>
          <w:iCs/>
        </w:rPr>
        <w:t> </w:t>
      </w:r>
      <w:r w:rsidR="00FF32A0">
        <w:t>? »</w:t>
      </w:r>
    </w:p>
    <w:p w14:paraId="77E27C2B" w14:textId="162DC26C" w:rsidR="00895168" w:rsidRDefault="00895168" w:rsidP="00966E97">
      <w:pPr>
        <w:spacing w:line="360" w:lineRule="auto"/>
        <w:jc w:val="both"/>
      </w:pPr>
      <w:r>
        <w:lastRenderedPageBreak/>
        <w:tab/>
        <w:t xml:space="preserve">Il est clair que cet ouvrage a pris le parti de s’écarter des sentiers battus, en refusant </w:t>
      </w:r>
      <w:r w:rsidR="004B5DC1">
        <w:t>de faire de l</w:t>
      </w:r>
      <w:r w:rsidR="007E5EA1">
        <w:t>a philosophie de l’histoire</w:t>
      </w:r>
      <w:r w:rsidR="004B5DC1">
        <w:t xml:space="preserve"> </w:t>
      </w:r>
      <w:r w:rsidR="00FD24C1">
        <w:t>une thématique majeure</w:t>
      </w:r>
      <w:r w:rsidR="007E5EA1">
        <w:t xml:space="preserve">. Ce choix permet d’ouvrir </w:t>
      </w:r>
      <w:r w:rsidR="00EC493F">
        <w:t xml:space="preserve">d’autres dossiers collingwoodiens, notamment en réinsérant Collingwood dans son époque, et </w:t>
      </w:r>
      <w:r w:rsidR="00B37AFF">
        <w:t xml:space="preserve">le situant, aux côtés de Russell, </w:t>
      </w:r>
      <w:proofErr w:type="spellStart"/>
      <w:r w:rsidR="00B37AFF">
        <w:t>Stebbing</w:t>
      </w:r>
      <w:proofErr w:type="spellEnd"/>
      <w:r w:rsidR="00B37AFF">
        <w:t xml:space="preserve">, Wittgenstein, Moore, parmi les philosophes qu’il faut étudier pour obtenir une compréhension claire des origines de la philosophie analytique. </w:t>
      </w:r>
      <w:r w:rsidR="00EE7897">
        <w:t xml:space="preserve">Non qu’il en soit un artisan, mais pour </w:t>
      </w:r>
      <w:r w:rsidR="00B43816">
        <w:t>démontrer le</w:t>
      </w:r>
      <w:r w:rsidR="00EE7897">
        <w:t xml:space="preserve"> rôle important qu’il a tenu en tentant de comprendre cette philosophie naissante, de la réfuter sur certains points et d’en proposer des alternatives </w:t>
      </w:r>
      <w:r w:rsidR="00413BB3">
        <w:t xml:space="preserve">prenant appui sur ses réflexions d’historien et de philosophe. </w:t>
      </w:r>
    </w:p>
    <w:p w14:paraId="647B0CA4" w14:textId="00096136" w:rsidR="00413BB3" w:rsidRDefault="00413BB3" w:rsidP="00966E97">
      <w:pPr>
        <w:spacing w:line="360" w:lineRule="auto"/>
        <w:jc w:val="both"/>
      </w:pPr>
      <w:r>
        <w:tab/>
        <w:t xml:space="preserve">Cette </w:t>
      </w:r>
      <w:r w:rsidR="006274FE">
        <w:t>ouverture aux nouvelles interprétations est</w:t>
      </w:r>
      <w:r w:rsidR="005B092F">
        <w:t xml:space="preserve"> incarnée, dans ce livre, par des chapitres très novateurs soulignant un aspect</w:t>
      </w:r>
      <w:r w:rsidR="009C0C9B">
        <w:t xml:space="preserve"> moins traité, voire négligé, de la pensée de Collingwood : la notion de « process » ainsi que son lien avec </w:t>
      </w:r>
      <w:r w:rsidR="00FF4072">
        <w:t xml:space="preserve">le pragmatisme. Poussé par cette envie de tirer Collingwood hors de la catégorie d’idéalisme, et motivé par une lecture précise du </w:t>
      </w:r>
      <w:proofErr w:type="spellStart"/>
      <w:r w:rsidR="00FF4072">
        <w:rPr>
          <w:i/>
          <w:iCs/>
        </w:rPr>
        <w:t>Libellus</w:t>
      </w:r>
      <w:proofErr w:type="spellEnd"/>
      <w:r w:rsidR="00FF4072">
        <w:rPr>
          <w:i/>
          <w:iCs/>
        </w:rPr>
        <w:t xml:space="preserve"> de </w:t>
      </w:r>
      <w:proofErr w:type="spellStart"/>
      <w:r w:rsidR="00FF4072">
        <w:rPr>
          <w:i/>
          <w:iCs/>
        </w:rPr>
        <w:t>Generatione</w:t>
      </w:r>
      <w:proofErr w:type="spellEnd"/>
      <w:r w:rsidR="00FF4072">
        <w:t xml:space="preserve">, David Collins </w:t>
      </w:r>
      <w:r w:rsidR="003A6FD1">
        <w:t xml:space="preserve">démontre avec brio la présence d’idée « processuelle » chez Collingwood dès les années 20 et tente de situer cette métaphysique collingwoodienne </w:t>
      </w:r>
      <w:r w:rsidR="00BF23F2">
        <w:t xml:space="preserve">en la comparant aux œuvres de Whitehead et des pragmatistes américains de la même époque. </w:t>
      </w:r>
      <w:r w:rsidR="0020526E">
        <w:t xml:space="preserve">Cette analyse très </w:t>
      </w:r>
      <w:r w:rsidR="002B0548">
        <w:t>fine</w:t>
      </w:r>
      <w:r w:rsidR="0020526E">
        <w:t xml:space="preserve"> d’une réalité qui, chez Collingwood, doit être conçue comme étant essentiellement un devenir</w:t>
      </w:r>
      <w:r w:rsidR="00724E8B">
        <w:t xml:space="preserve">, rejoint à bien des égards les interrogations de Stephen Leach </w:t>
      </w:r>
      <w:r w:rsidR="002B0548">
        <w:t>sur la manière dont les traditions peuvent survivre,</w:t>
      </w:r>
      <w:r w:rsidR="004647ED">
        <w:t xml:space="preserve"> ainsi que le</w:t>
      </w:r>
      <w:r w:rsidR="00E27CD0">
        <w:t>s explicitations de la logique des Questions/Réponses offertes par Leal,</w:t>
      </w:r>
      <w:r w:rsidR="002B0548">
        <w:t xml:space="preserve"> et achève </w:t>
      </w:r>
      <w:r w:rsidR="00D2072B">
        <w:t>de nous convaincre d</w:t>
      </w:r>
      <w:r w:rsidR="00E27CD0">
        <w:t xml:space="preserve">e la nécessité de dépasser les notions d’idéalisme et de réalisme pour classer la philosophie de Collingwood. </w:t>
      </w:r>
      <w:r w:rsidR="00B0441C">
        <w:t>Jusqu’où peut-il être rattaché au mouvement</w:t>
      </w:r>
      <w:r w:rsidR="00E27CD0">
        <w:t xml:space="preserve"> pragmatiste, que penser de cette métaphysique du </w:t>
      </w:r>
      <w:r w:rsidR="00E27CD0">
        <w:rPr>
          <w:i/>
          <w:iCs/>
        </w:rPr>
        <w:t>process</w:t>
      </w:r>
      <w:r w:rsidR="00FA4537">
        <w:t> ?</w:t>
      </w:r>
      <w:r w:rsidR="00E27CD0">
        <w:t xml:space="preserve"> </w:t>
      </w:r>
      <w:r w:rsidR="00B0441C">
        <w:t>C</w:t>
      </w:r>
      <w:r w:rsidR="00E27CD0">
        <w:t>es réflexions ouvrent la voie à de nouvelles interprétations.</w:t>
      </w:r>
    </w:p>
    <w:p w14:paraId="6C9E59F0" w14:textId="448E69AB" w:rsidR="00E27CD0" w:rsidRDefault="00E27CD0" w:rsidP="00966E97">
      <w:pPr>
        <w:spacing w:line="360" w:lineRule="auto"/>
        <w:jc w:val="both"/>
      </w:pPr>
      <w:r>
        <w:tab/>
      </w:r>
      <w:r w:rsidR="00601F66">
        <w:t xml:space="preserve">S’il faut </w:t>
      </w:r>
      <w:r w:rsidR="00B65CF1">
        <w:t>émettre</w:t>
      </w:r>
      <w:r w:rsidR="00601F66">
        <w:t xml:space="preserve"> quelques regrets, bien qu’une telle œuvre ne puisse assurément être exhaustive, on remarquera </w:t>
      </w:r>
      <w:r w:rsidR="00463EDE">
        <w:t>que la philosophie politique</w:t>
      </w:r>
      <w:r w:rsidR="006B33A1">
        <w:t xml:space="preserve"> de Collingwood</w:t>
      </w:r>
      <w:r w:rsidR="00463EDE">
        <w:t xml:space="preserve">, qui a connu une attention toute particulière de la part de David Boucher </w:t>
      </w:r>
      <w:r w:rsidR="006B33A1">
        <w:t>semble ici reléguée au second plan</w:t>
      </w:r>
      <w:r w:rsidR="00B75845">
        <w:t xml:space="preserve">, et le texte de </w:t>
      </w:r>
      <w:proofErr w:type="spellStart"/>
      <w:r w:rsidR="00B75845">
        <w:t>Lovibond</w:t>
      </w:r>
      <w:proofErr w:type="spellEnd"/>
      <w:r w:rsidR="00B75845">
        <w:t xml:space="preserve"> n’est pas très encourageant qui se conclut par ses mots : «</w:t>
      </w:r>
      <w:r w:rsidR="00927447">
        <w:t xml:space="preserve"> J’espère </w:t>
      </w:r>
      <w:r w:rsidR="00AE1B6B">
        <w:t xml:space="preserve">être parvenue à faire passer le message suivant : </w:t>
      </w:r>
      <w:r w:rsidR="00AE1B6B">
        <w:rPr>
          <w:i/>
          <w:iCs/>
        </w:rPr>
        <w:t xml:space="preserve">The New </w:t>
      </w:r>
      <w:proofErr w:type="spellStart"/>
      <w:r w:rsidR="00AE1B6B">
        <w:rPr>
          <w:i/>
          <w:iCs/>
        </w:rPr>
        <w:t>Leviathan</w:t>
      </w:r>
      <w:proofErr w:type="spellEnd"/>
      <w:r w:rsidR="00AE1B6B">
        <w:t>, m</w:t>
      </w:r>
      <w:r w:rsidR="00B57255">
        <w:t xml:space="preserve">ême s’il peut </w:t>
      </w:r>
      <w:r w:rsidR="00E675EC">
        <w:t xml:space="preserve">susciter des interrogations à propos </w:t>
      </w:r>
      <w:r w:rsidR="005A7B38">
        <w:t xml:space="preserve">de </w:t>
      </w:r>
      <w:r w:rsidR="00E675EC">
        <w:t>certains points, ne sera pas</w:t>
      </w:r>
      <w:r w:rsidR="00C55E19">
        <w:t xml:space="preserve"> une lecture ennuyeuse pour </w:t>
      </w:r>
      <w:r w:rsidR="006E7D8E">
        <w:t>quiconque s’intéresse au travail de Collingwood.</w:t>
      </w:r>
      <w:r w:rsidR="006E7D8E" w:rsidRPr="006E7D8E">
        <w:t xml:space="preserve"> </w:t>
      </w:r>
      <w:r w:rsidR="006E7D8E">
        <w:t xml:space="preserve">» </w:t>
      </w:r>
      <w:r w:rsidR="00CE7B5B">
        <w:t>D’autant que les réflexions de Collingwood sur le libéralisme et sur le processus de civilisation,</w:t>
      </w:r>
      <w:r w:rsidR="00A645E6">
        <w:t xml:space="preserve"> impliquant le dialogue entre les individus pourraient </w:t>
      </w:r>
      <w:r w:rsidR="005C2EB4">
        <w:t xml:space="preserve">offrir des inspirations aux héritiers que nous sommes de cette théorie politique. </w:t>
      </w:r>
      <w:r w:rsidR="008954DC">
        <w:t xml:space="preserve">Par ailleurs, </w:t>
      </w:r>
      <w:r w:rsidR="002E4670">
        <w:t>on regrette aussi de ne voir figurer aucun chapitre consacré aux écrits anthropologiques de Collingwood publié</w:t>
      </w:r>
      <w:r w:rsidR="00D21A95">
        <w:t xml:space="preserve">s en 2004 sous le titre </w:t>
      </w:r>
      <w:r w:rsidR="00D21A95">
        <w:rPr>
          <w:i/>
          <w:iCs/>
        </w:rPr>
        <w:t xml:space="preserve">The Philosophy of </w:t>
      </w:r>
      <w:proofErr w:type="spellStart"/>
      <w:r w:rsidR="00D21A95">
        <w:rPr>
          <w:i/>
          <w:iCs/>
        </w:rPr>
        <w:t>Enchantment</w:t>
      </w:r>
      <w:proofErr w:type="spellEnd"/>
      <w:r w:rsidR="00D21A95">
        <w:t xml:space="preserve">, espérons qu’ils </w:t>
      </w:r>
      <w:r w:rsidR="00C15E52">
        <w:t>trouvent,</w:t>
      </w:r>
      <w:r w:rsidR="00D21A95">
        <w:t xml:space="preserve"> à l’avenir</w:t>
      </w:r>
      <w:r w:rsidR="00C15E52">
        <w:t>,</w:t>
      </w:r>
      <w:r w:rsidR="00D21A95">
        <w:t xml:space="preserve"> leur place</w:t>
      </w:r>
      <w:r w:rsidR="00EA0ACF">
        <w:t xml:space="preserve"> dans le corpus </w:t>
      </w:r>
      <w:proofErr w:type="spellStart"/>
      <w:r w:rsidR="00EA0ACF">
        <w:t>collingwoodien</w:t>
      </w:r>
      <w:proofErr w:type="spellEnd"/>
      <w:r w:rsidR="00EA0ACF">
        <w:t xml:space="preserve"> car ces manuscrits semblent parfaitement développer cette </w:t>
      </w:r>
      <w:r w:rsidR="00620D5D">
        <w:t xml:space="preserve">philosophie du </w:t>
      </w:r>
      <w:r w:rsidR="00620D5D">
        <w:rPr>
          <w:i/>
          <w:iCs/>
        </w:rPr>
        <w:t>process</w:t>
      </w:r>
      <w:r w:rsidR="00620D5D">
        <w:t xml:space="preserve"> </w:t>
      </w:r>
      <w:r w:rsidR="00B544F1">
        <w:t xml:space="preserve">que les éditeurs de l’ouvrage nous invitent à découvrir, à travailler et à étudier dans les années à venir. </w:t>
      </w:r>
    </w:p>
    <w:p w14:paraId="02F769AD" w14:textId="3B7341D6" w:rsidR="001173FC" w:rsidRPr="00B712DC" w:rsidRDefault="001173FC"/>
    <w:sectPr w:rsidR="001173FC" w:rsidRPr="00B712DC">
      <w:foot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D4FE98" w14:textId="77777777" w:rsidR="006A1198" w:rsidRDefault="006A1198" w:rsidP="00927447">
      <w:pPr>
        <w:spacing w:after="0" w:line="240" w:lineRule="auto"/>
      </w:pPr>
      <w:r>
        <w:separator/>
      </w:r>
    </w:p>
  </w:endnote>
  <w:endnote w:type="continuationSeparator" w:id="0">
    <w:p w14:paraId="35ED2487" w14:textId="77777777" w:rsidR="006A1198" w:rsidRDefault="006A1198" w:rsidP="009274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18673094"/>
      <w:docPartObj>
        <w:docPartGallery w:val="Page Numbers (Bottom of Page)"/>
        <w:docPartUnique/>
      </w:docPartObj>
    </w:sdtPr>
    <w:sdtContent>
      <w:p w14:paraId="55B01947" w14:textId="60A1F90A" w:rsidR="00927447" w:rsidRDefault="00927447">
        <w:pPr>
          <w:pStyle w:val="Pieddepage"/>
          <w:jc w:val="right"/>
        </w:pPr>
        <w:r>
          <w:fldChar w:fldCharType="begin"/>
        </w:r>
        <w:r>
          <w:instrText>PAGE   \* MERGEFORMAT</w:instrText>
        </w:r>
        <w:r>
          <w:fldChar w:fldCharType="separate"/>
        </w:r>
        <w:r>
          <w:rPr>
            <w:lang w:val="fr-FR"/>
          </w:rPr>
          <w:t>2</w:t>
        </w:r>
        <w:r>
          <w:fldChar w:fldCharType="end"/>
        </w:r>
      </w:p>
    </w:sdtContent>
  </w:sdt>
  <w:p w14:paraId="418F7916" w14:textId="77777777" w:rsidR="00927447" w:rsidRDefault="00927447">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34E6DD" w14:textId="77777777" w:rsidR="006A1198" w:rsidRDefault="006A1198" w:rsidP="00927447">
      <w:pPr>
        <w:spacing w:after="0" w:line="240" w:lineRule="auto"/>
      </w:pPr>
      <w:r>
        <w:separator/>
      </w:r>
    </w:p>
  </w:footnote>
  <w:footnote w:type="continuationSeparator" w:id="0">
    <w:p w14:paraId="60BB1B89" w14:textId="77777777" w:rsidR="006A1198" w:rsidRDefault="006A1198" w:rsidP="0092744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76E2BE8"/>
    <w:multiLevelType w:val="hybridMultilevel"/>
    <w:tmpl w:val="B08676F4"/>
    <w:lvl w:ilvl="0" w:tplc="080C0011">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num w:numId="1" w16cid:durableId="106202686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087C"/>
    <w:rsid w:val="000359E6"/>
    <w:rsid w:val="00046B0C"/>
    <w:rsid w:val="0006109E"/>
    <w:rsid w:val="000618A8"/>
    <w:rsid w:val="00080AEC"/>
    <w:rsid w:val="00092FB1"/>
    <w:rsid w:val="0009317C"/>
    <w:rsid w:val="000A11A0"/>
    <w:rsid w:val="00116524"/>
    <w:rsid w:val="001173FC"/>
    <w:rsid w:val="00162D48"/>
    <w:rsid w:val="00166529"/>
    <w:rsid w:val="001816BA"/>
    <w:rsid w:val="001826F7"/>
    <w:rsid w:val="001A22DC"/>
    <w:rsid w:val="001A43A0"/>
    <w:rsid w:val="001D565C"/>
    <w:rsid w:val="0020526E"/>
    <w:rsid w:val="00216DF6"/>
    <w:rsid w:val="00225701"/>
    <w:rsid w:val="00265854"/>
    <w:rsid w:val="002B0548"/>
    <w:rsid w:val="002B193D"/>
    <w:rsid w:val="002C38D3"/>
    <w:rsid w:val="002D4F19"/>
    <w:rsid w:val="002E4670"/>
    <w:rsid w:val="003341CF"/>
    <w:rsid w:val="00353DC0"/>
    <w:rsid w:val="00397A56"/>
    <w:rsid w:val="003A6FD1"/>
    <w:rsid w:val="003A7B44"/>
    <w:rsid w:val="003D2D10"/>
    <w:rsid w:val="00413BB3"/>
    <w:rsid w:val="00414598"/>
    <w:rsid w:val="00433CD4"/>
    <w:rsid w:val="00463EDE"/>
    <w:rsid w:val="004647ED"/>
    <w:rsid w:val="004A7756"/>
    <w:rsid w:val="004B1DA7"/>
    <w:rsid w:val="004B5DC1"/>
    <w:rsid w:val="00550C8E"/>
    <w:rsid w:val="00553C7F"/>
    <w:rsid w:val="005932A7"/>
    <w:rsid w:val="005A7B38"/>
    <w:rsid w:val="005B092F"/>
    <w:rsid w:val="005C2EB4"/>
    <w:rsid w:val="005E5759"/>
    <w:rsid w:val="005F6440"/>
    <w:rsid w:val="00601C84"/>
    <w:rsid w:val="00601F66"/>
    <w:rsid w:val="0060319C"/>
    <w:rsid w:val="006071C7"/>
    <w:rsid w:val="00620D5D"/>
    <w:rsid w:val="006274FE"/>
    <w:rsid w:val="0065526C"/>
    <w:rsid w:val="00661F92"/>
    <w:rsid w:val="00694DC7"/>
    <w:rsid w:val="006A1198"/>
    <w:rsid w:val="006B33A1"/>
    <w:rsid w:val="006C14D0"/>
    <w:rsid w:val="006E7D8E"/>
    <w:rsid w:val="0070632D"/>
    <w:rsid w:val="007215D4"/>
    <w:rsid w:val="007221C1"/>
    <w:rsid w:val="00724E8B"/>
    <w:rsid w:val="00725D6E"/>
    <w:rsid w:val="00783326"/>
    <w:rsid w:val="00795017"/>
    <w:rsid w:val="007A61E6"/>
    <w:rsid w:val="007C3067"/>
    <w:rsid w:val="007E5EA1"/>
    <w:rsid w:val="007F6CB4"/>
    <w:rsid w:val="00842E39"/>
    <w:rsid w:val="00846B5D"/>
    <w:rsid w:val="008804C5"/>
    <w:rsid w:val="00895168"/>
    <w:rsid w:val="008954DC"/>
    <w:rsid w:val="00895AA8"/>
    <w:rsid w:val="008D1AA5"/>
    <w:rsid w:val="008E0475"/>
    <w:rsid w:val="00914667"/>
    <w:rsid w:val="00927447"/>
    <w:rsid w:val="00936466"/>
    <w:rsid w:val="00942898"/>
    <w:rsid w:val="0094344E"/>
    <w:rsid w:val="0094716B"/>
    <w:rsid w:val="00954068"/>
    <w:rsid w:val="00966E97"/>
    <w:rsid w:val="0098093B"/>
    <w:rsid w:val="00993D98"/>
    <w:rsid w:val="00994053"/>
    <w:rsid w:val="009C087C"/>
    <w:rsid w:val="009C0C9B"/>
    <w:rsid w:val="00A33C4B"/>
    <w:rsid w:val="00A47C3A"/>
    <w:rsid w:val="00A5258C"/>
    <w:rsid w:val="00A645E6"/>
    <w:rsid w:val="00AA14A3"/>
    <w:rsid w:val="00AA2255"/>
    <w:rsid w:val="00AB1F7D"/>
    <w:rsid w:val="00AE1B6B"/>
    <w:rsid w:val="00AE4F4B"/>
    <w:rsid w:val="00B018F3"/>
    <w:rsid w:val="00B0441C"/>
    <w:rsid w:val="00B15762"/>
    <w:rsid w:val="00B37AFF"/>
    <w:rsid w:val="00B41236"/>
    <w:rsid w:val="00B43816"/>
    <w:rsid w:val="00B544F1"/>
    <w:rsid w:val="00B57255"/>
    <w:rsid w:val="00B60534"/>
    <w:rsid w:val="00B65CF1"/>
    <w:rsid w:val="00B712DC"/>
    <w:rsid w:val="00B75845"/>
    <w:rsid w:val="00BF23F2"/>
    <w:rsid w:val="00C15E52"/>
    <w:rsid w:val="00C2334E"/>
    <w:rsid w:val="00C307FC"/>
    <w:rsid w:val="00C368C3"/>
    <w:rsid w:val="00C45156"/>
    <w:rsid w:val="00C55E19"/>
    <w:rsid w:val="00C615D2"/>
    <w:rsid w:val="00C73178"/>
    <w:rsid w:val="00C760BF"/>
    <w:rsid w:val="00CC3D07"/>
    <w:rsid w:val="00CD28B8"/>
    <w:rsid w:val="00CE7B5B"/>
    <w:rsid w:val="00CE7C7C"/>
    <w:rsid w:val="00CF3C01"/>
    <w:rsid w:val="00D2072B"/>
    <w:rsid w:val="00D21A95"/>
    <w:rsid w:val="00D457CE"/>
    <w:rsid w:val="00D56877"/>
    <w:rsid w:val="00D77CCD"/>
    <w:rsid w:val="00D81F42"/>
    <w:rsid w:val="00D905CF"/>
    <w:rsid w:val="00D96FCA"/>
    <w:rsid w:val="00DA371B"/>
    <w:rsid w:val="00DB7C5E"/>
    <w:rsid w:val="00DC3E2C"/>
    <w:rsid w:val="00E059A7"/>
    <w:rsid w:val="00E27CD0"/>
    <w:rsid w:val="00E35C65"/>
    <w:rsid w:val="00E675EC"/>
    <w:rsid w:val="00E92571"/>
    <w:rsid w:val="00EA0ACF"/>
    <w:rsid w:val="00EA2FEC"/>
    <w:rsid w:val="00EC493F"/>
    <w:rsid w:val="00EE7897"/>
    <w:rsid w:val="00F71352"/>
    <w:rsid w:val="00F9202C"/>
    <w:rsid w:val="00FA4537"/>
    <w:rsid w:val="00FB427C"/>
    <w:rsid w:val="00FD0A25"/>
    <w:rsid w:val="00FD24C1"/>
    <w:rsid w:val="00FD564E"/>
    <w:rsid w:val="00FE7F9B"/>
    <w:rsid w:val="00FF32A0"/>
    <w:rsid w:val="00FF4072"/>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560A33"/>
  <w15:chartTrackingRefBased/>
  <w15:docId w15:val="{EF88913F-16C9-4A1F-9D1B-770AB9370F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fr-B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46B5D"/>
  </w:style>
  <w:style w:type="paragraph" w:styleId="Titre1">
    <w:name w:val="heading 1"/>
    <w:basedOn w:val="Normal"/>
    <w:next w:val="Normal"/>
    <w:link w:val="Titre1Car"/>
    <w:uiPriority w:val="9"/>
    <w:qFormat/>
    <w:rsid w:val="009C087C"/>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re2">
    <w:name w:val="heading 2"/>
    <w:basedOn w:val="Normal"/>
    <w:next w:val="Normal"/>
    <w:link w:val="Titre2Car"/>
    <w:uiPriority w:val="9"/>
    <w:semiHidden/>
    <w:unhideWhenUsed/>
    <w:qFormat/>
    <w:rsid w:val="009C087C"/>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re3">
    <w:name w:val="heading 3"/>
    <w:basedOn w:val="Normal"/>
    <w:next w:val="Normal"/>
    <w:link w:val="Titre3Car"/>
    <w:uiPriority w:val="9"/>
    <w:semiHidden/>
    <w:unhideWhenUsed/>
    <w:qFormat/>
    <w:rsid w:val="009C087C"/>
    <w:pPr>
      <w:keepNext/>
      <w:keepLines/>
      <w:spacing w:before="160" w:after="80"/>
      <w:outlineLvl w:val="2"/>
    </w:pPr>
    <w:rPr>
      <w:rFonts w:eastAsiaTheme="majorEastAsia" w:cstheme="majorBidi"/>
      <w:color w:val="2F5496" w:themeColor="accent1" w:themeShade="BF"/>
      <w:sz w:val="28"/>
      <w:szCs w:val="28"/>
    </w:rPr>
  </w:style>
  <w:style w:type="paragraph" w:styleId="Titre4">
    <w:name w:val="heading 4"/>
    <w:basedOn w:val="Normal"/>
    <w:next w:val="Normal"/>
    <w:link w:val="Titre4Car"/>
    <w:uiPriority w:val="9"/>
    <w:semiHidden/>
    <w:unhideWhenUsed/>
    <w:qFormat/>
    <w:rsid w:val="009C087C"/>
    <w:pPr>
      <w:keepNext/>
      <w:keepLines/>
      <w:spacing w:before="80" w:after="40"/>
      <w:outlineLvl w:val="3"/>
    </w:pPr>
    <w:rPr>
      <w:rFonts w:eastAsiaTheme="majorEastAsia" w:cstheme="majorBidi"/>
      <w:i/>
      <w:iCs/>
      <w:color w:val="2F5496" w:themeColor="accent1" w:themeShade="BF"/>
    </w:rPr>
  </w:style>
  <w:style w:type="paragraph" w:styleId="Titre5">
    <w:name w:val="heading 5"/>
    <w:basedOn w:val="Normal"/>
    <w:next w:val="Normal"/>
    <w:link w:val="Titre5Car"/>
    <w:uiPriority w:val="9"/>
    <w:semiHidden/>
    <w:unhideWhenUsed/>
    <w:qFormat/>
    <w:rsid w:val="009C087C"/>
    <w:pPr>
      <w:keepNext/>
      <w:keepLines/>
      <w:spacing w:before="80" w:after="40"/>
      <w:outlineLvl w:val="4"/>
    </w:pPr>
    <w:rPr>
      <w:rFonts w:eastAsiaTheme="majorEastAsia" w:cstheme="majorBidi"/>
      <w:color w:val="2F5496" w:themeColor="accent1" w:themeShade="BF"/>
    </w:rPr>
  </w:style>
  <w:style w:type="paragraph" w:styleId="Titre6">
    <w:name w:val="heading 6"/>
    <w:basedOn w:val="Normal"/>
    <w:next w:val="Normal"/>
    <w:link w:val="Titre6Car"/>
    <w:uiPriority w:val="9"/>
    <w:semiHidden/>
    <w:unhideWhenUsed/>
    <w:qFormat/>
    <w:rsid w:val="009C087C"/>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9C087C"/>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9C087C"/>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9C087C"/>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9C087C"/>
    <w:rPr>
      <w:rFonts w:asciiTheme="majorHAnsi" w:eastAsiaTheme="majorEastAsia" w:hAnsiTheme="majorHAnsi" w:cstheme="majorBidi"/>
      <w:color w:val="2F5496" w:themeColor="accent1" w:themeShade="BF"/>
      <w:sz w:val="40"/>
      <w:szCs w:val="40"/>
    </w:rPr>
  </w:style>
  <w:style w:type="character" w:customStyle="1" w:styleId="Titre2Car">
    <w:name w:val="Titre 2 Car"/>
    <w:basedOn w:val="Policepardfaut"/>
    <w:link w:val="Titre2"/>
    <w:uiPriority w:val="9"/>
    <w:semiHidden/>
    <w:rsid w:val="009C087C"/>
    <w:rPr>
      <w:rFonts w:asciiTheme="majorHAnsi" w:eastAsiaTheme="majorEastAsia" w:hAnsiTheme="majorHAnsi" w:cstheme="majorBidi"/>
      <w:color w:val="2F5496" w:themeColor="accent1" w:themeShade="BF"/>
      <w:sz w:val="32"/>
      <w:szCs w:val="32"/>
    </w:rPr>
  </w:style>
  <w:style w:type="character" w:customStyle="1" w:styleId="Titre3Car">
    <w:name w:val="Titre 3 Car"/>
    <w:basedOn w:val="Policepardfaut"/>
    <w:link w:val="Titre3"/>
    <w:uiPriority w:val="9"/>
    <w:semiHidden/>
    <w:rsid w:val="009C087C"/>
    <w:rPr>
      <w:rFonts w:eastAsiaTheme="majorEastAsia" w:cstheme="majorBidi"/>
      <w:color w:val="2F5496" w:themeColor="accent1" w:themeShade="BF"/>
      <w:sz w:val="28"/>
      <w:szCs w:val="28"/>
    </w:rPr>
  </w:style>
  <w:style w:type="character" w:customStyle="1" w:styleId="Titre4Car">
    <w:name w:val="Titre 4 Car"/>
    <w:basedOn w:val="Policepardfaut"/>
    <w:link w:val="Titre4"/>
    <w:uiPriority w:val="9"/>
    <w:semiHidden/>
    <w:rsid w:val="009C087C"/>
    <w:rPr>
      <w:rFonts w:eastAsiaTheme="majorEastAsia" w:cstheme="majorBidi"/>
      <w:i/>
      <w:iCs/>
      <w:color w:val="2F5496" w:themeColor="accent1" w:themeShade="BF"/>
    </w:rPr>
  </w:style>
  <w:style w:type="character" w:customStyle="1" w:styleId="Titre5Car">
    <w:name w:val="Titre 5 Car"/>
    <w:basedOn w:val="Policepardfaut"/>
    <w:link w:val="Titre5"/>
    <w:uiPriority w:val="9"/>
    <w:semiHidden/>
    <w:rsid w:val="009C087C"/>
    <w:rPr>
      <w:rFonts w:eastAsiaTheme="majorEastAsia" w:cstheme="majorBidi"/>
      <w:color w:val="2F5496" w:themeColor="accent1" w:themeShade="BF"/>
    </w:rPr>
  </w:style>
  <w:style w:type="character" w:customStyle="1" w:styleId="Titre6Car">
    <w:name w:val="Titre 6 Car"/>
    <w:basedOn w:val="Policepardfaut"/>
    <w:link w:val="Titre6"/>
    <w:uiPriority w:val="9"/>
    <w:semiHidden/>
    <w:rsid w:val="009C087C"/>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9C087C"/>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9C087C"/>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9C087C"/>
    <w:rPr>
      <w:rFonts w:eastAsiaTheme="majorEastAsia" w:cstheme="majorBidi"/>
      <w:color w:val="272727" w:themeColor="text1" w:themeTint="D8"/>
    </w:rPr>
  </w:style>
  <w:style w:type="paragraph" w:styleId="Titre">
    <w:name w:val="Title"/>
    <w:basedOn w:val="Normal"/>
    <w:next w:val="Normal"/>
    <w:link w:val="TitreCar"/>
    <w:uiPriority w:val="10"/>
    <w:qFormat/>
    <w:rsid w:val="009C087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9C087C"/>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9C087C"/>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9C087C"/>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9C087C"/>
    <w:pPr>
      <w:spacing w:before="160"/>
      <w:jc w:val="center"/>
    </w:pPr>
    <w:rPr>
      <w:i/>
      <w:iCs/>
      <w:color w:val="404040" w:themeColor="text1" w:themeTint="BF"/>
    </w:rPr>
  </w:style>
  <w:style w:type="character" w:customStyle="1" w:styleId="CitationCar">
    <w:name w:val="Citation Car"/>
    <w:basedOn w:val="Policepardfaut"/>
    <w:link w:val="Citation"/>
    <w:uiPriority w:val="29"/>
    <w:rsid w:val="009C087C"/>
    <w:rPr>
      <w:i/>
      <w:iCs/>
      <w:color w:val="404040" w:themeColor="text1" w:themeTint="BF"/>
    </w:rPr>
  </w:style>
  <w:style w:type="paragraph" w:styleId="Paragraphedeliste">
    <w:name w:val="List Paragraph"/>
    <w:basedOn w:val="Normal"/>
    <w:uiPriority w:val="34"/>
    <w:qFormat/>
    <w:rsid w:val="009C087C"/>
    <w:pPr>
      <w:ind w:left="720"/>
      <w:contextualSpacing/>
    </w:pPr>
  </w:style>
  <w:style w:type="character" w:styleId="Accentuationintense">
    <w:name w:val="Intense Emphasis"/>
    <w:basedOn w:val="Policepardfaut"/>
    <w:uiPriority w:val="21"/>
    <w:qFormat/>
    <w:rsid w:val="009C087C"/>
    <w:rPr>
      <w:i/>
      <w:iCs/>
      <w:color w:val="2F5496" w:themeColor="accent1" w:themeShade="BF"/>
    </w:rPr>
  </w:style>
  <w:style w:type="paragraph" w:styleId="Citationintense">
    <w:name w:val="Intense Quote"/>
    <w:basedOn w:val="Normal"/>
    <w:next w:val="Normal"/>
    <w:link w:val="CitationintenseCar"/>
    <w:uiPriority w:val="30"/>
    <w:qFormat/>
    <w:rsid w:val="009C087C"/>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tionintenseCar">
    <w:name w:val="Citation intense Car"/>
    <w:basedOn w:val="Policepardfaut"/>
    <w:link w:val="Citationintense"/>
    <w:uiPriority w:val="30"/>
    <w:rsid w:val="009C087C"/>
    <w:rPr>
      <w:i/>
      <w:iCs/>
      <w:color w:val="2F5496" w:themeColor="accent1" w:themeShade="BF"/>
    </w:rPr>
  </w:style>
  <w:style w:type="character" w:styleId="Rfrenceintense">
    <w:name w:val="Intense Reference"/>
    <w:basedOn w:val="Policepardfaut"/>
    <w:uiPriority w:val="32"/>
    <w:qFormat/>
    <w:rsid w:val="009C087C"/>
    <w:rPr>
      <w:b/>
      <w:bCs/>
      <w:smallCaps/>
      <w:color w:val="2F5496" w:themeColor="accent1" w:themeShade="BF"/>
      <w:spacing w:val="5"/>
    </w:rPr>
  </w:style>
  <w:style w:type="paragraph" w:styleId="En-tte">
    <w:name w:val="header"/>
    <w:basedOn w:val="Normal"/>
    <w:link w:val="En-tteCar"/>
    <w:uiPriority w:val="99"/>
    <w:unhideWhenUsed/>
    <w:rsid w:val="00927447"/>
    <w:pPr>
      <w:tabs>
        <w:tab w:val="center" w:pos="4536"/>
        <w:tab w:val="right" w:pos="9072"/>
      </w:tabs>
      <w:spacing w:after="0" w:line="240" w:lineRule="auto"/>
    </w:pPr>
  </w:style>
  <w:style w:type="character" w:customStyle="1" w:styleId="En-tteCar">
    <w:name w:val="En-tête Car"/>
    <w:basedOn w:val="Policepardfaut"/>
    <w:link w:val="En-tte"/>
    <w:uiPriority w:val="99"/>
    <w:rsid w:val="00927447"/>
  </w:style>
  <w:style w:type="paragraph" w:styleId="Pieddepage">
    <w:name w:val="footer"/>
    <w:basedOn w:val="Normal"/>
    <w:link w:val="PieddepageCar"/>
    <w:uiPriority w:val="99"/>
    <w:unhideWhenUsed/>
    <w:rsid w:val="00927447"/>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92744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1469</Words>
  <Characters>8080</Characters>
  <Application>Microsoft Office Word</Application>
  <DocSecurity>0</DocSecurity>
  <Lines>67</Lines>
  <Paragraphs>19</Paragraphs>
  <ScaleCrop>false</ScaleCrop>
  <Company/>
  <LinksUpToDate>false</LinksUpToDate>
  <CharactersWithSpaces>9530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Baudouin de Guillebon</dc:creator>
  <cp:keywords/>
  <dc:description/>
  <cp:lastModifiedBy>Baudouin de Guillebon</cp:lastModifiedBy>
  <cp:revision>2</cp:revision>
  <dcterms:created xsi:type="dcterms:W3CDTF">2025-12-17T21:49:00Z</dcterms:created>
  <dcterms:modified xsi:type="dcterms:W3CDTF">2025-12-17T21:49:00Z</dcterms:modified>
</cp:coreProperties>
</file>