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12FE7" w14:textId="26C98BFC" w:rsidR="00F87573" w:rsidRPr="00F87573" w:rsidRDefault="00F87573" w:rsidP="00F87573">
      <w:pPr>
        <w:jc w:val="center"/>
        <w:rPr>
          <w:b/>
          <w:bCs/>
        </w:rPr>
      </w:pPr>
      <w:r w:rsidRPr="00F87573">
        <w:rPr>
          <w:b/>
          <w:bCs/>
        </w:rPr>
        <w:t>Entre liturgie et commémoration : dialogue entre autels et monuments funéraires dans les Pays-Bas méridionaux au XVII</w:t>
      </w:r>
      <w:r w:rsidRPr="00F87573">
        <w:rPr>
          <w:b/>
          <w:bCs/>
          <w:vertAlign w:val="superscript"/>
        </w:rPr>
        <w:t>e</w:t>
      </w:r>
      <w:r w:rsidRPr="00F87573">
        <w:rPr>
          <w:b/>
          <w:bCs/>
        </w:rPr>
        <w:t xml:space="preserve"> siècle</w:t>
      </w:r>
    </w:p>
    <w:p w14:paraId="2FFA7D5F" w14:textId="1D0C1293" w:rsidR="00F25F5D" w:rsidRDefault="00E554A6" w:rsidP="00F87573">
      <w:pPr>
        <w:jc w:val="both"/>
        <w:rPr>
          <w:lang w:val="fr-FR"/>
        </w:rPr>
      </w:pPr>
      <w:r>
        <w:rPr>
          <w:lang w:val="fr-FR"/>
        </w:rPr>
        <w:t>Le point de départ de cette recherche repose sur un constat très simple : il existe une proximité formelle plus ou moins évidente entre les retables d’autels et les monuments funéraires. Certaines œuvres majeures ont d’ailleurs fait l’objet de débats entre chercheurs</w:t>
      </w:r>
      <w:r w:rsidR="00C01059">
        <w:rPr>
          <w:lang w:val="fr-FR"/>
        </w:rPr>
        <w:t xml:space="preserve"> pour déterminer s’il s’agissait d’une typologie ou </w:t>
      </w:r>
      <w:r w:rsidR="00C5054F">
        <w:rPr>
          <w:lang w:val="fr-FR"/>
        </w:rPr>
        <w:t xml:space="preserve">plutôt </w:t>
      </w:r>
      <w:r w:rsidR="00C01059">
        <w:rPr>
          <w:lang w:val="fr-FR"/>
        </w:rPr>
        <w:t xml:space="preserve">de l’autre. Des mémoriaux adoptent ainsi des compositions tout à fait similaires à celles des retables, à travers </w:t>
      </w:r>
      <w:r w:rsidR="00181E6C">
        <w:rPr>
          <w:lang w:val="fr-FR"/>
        </w:rPr>
        <w:t>surtout</w:t>
      </w:r>
      <w:r w:rsidR="00C01059">
        <w:rPr>
          <w:lang w:val="fr-FR"/>
        </w:rPr>
        <w:t xml:space="preserve"> la forme du triptyque et du portique</w:t>
      </w:r>
      <w:r w:rsidR="003B760D">
        <w:rPr>
          <w:lang w:val="fr-FR"/>
        </w:rPr>
        <w:t xml:space="preserve"> à l’époque moderne</w:t>
      </w:r>
      <w:r w:rsidR="00C01059">
        <w:rPr>
          <w:lang w:val="fr-FR"/>
        </w:rPr>
        <w:t>. Et inversement, les autels et les retables font des emprunts à l’univers funéraire et son vocabulaire form</w:t>
      </w:r>
      <w:r w:rsidR="00181E6C">
        <w:rPr>
          <w:lang w:val="fr-FR"/>
        </w:rPr>
        <w:t>el</w:t>
      </w:r>
      <w:r w:rsidR="00C01059">
        <w:rPr>
          <w:lang w:val="fr-FR"/>
        </w:rPr>
        <w:t xml:space="preserve">. </w:t>
      </w:r>
      <w:r w:rsidR="003B760D">
        <w:rPr>
          <w:lang w:val="fr-FR"/>
        </w:rPr>
        <w:t>Cela s’explique-t-il par l’existence d’un répertoire de formes communes à de nombreux objets</w:t>
      </w:r>
      <w:r w:rsidR="00181E6C">
        <w:rPr>
          <w:lang w:val="fr-FR"/>
        </w:rPr>
        <w:t> ? Ou s’agit-il</w:t>
      </w:r>
      <w:r w:rsidR="003B760D">
        <w:rPr>
          <w:lang w:val="fr-FR"/>
        </w:rPr>
        <w:t xml:space="preserve"> plutôt d</w:t>
      </w:r>
      <w:r w:rsidR="00181E6C">
        <w:rPr>
          <w:lang w:val="fr-FR"/>
        </w:rPr>
        <w:t>’</w:t>
      </w:r>
      <w:r w:rsidR="003B760D">
        <w:rPr>
          <w:lang w:val="fr-FR"/>
        </w:rPr>
        <w:t>emprunts conscients</w:t>
      </w:r>
      <w:r w:rsidR="00C5054F">
        <w:rPr>
          <w:lang w:val="fr-FR"/>
        </w:rPr>
        <w:t xml:space="preserve"> et signifiants</w:t>
      </w:r>
      <w:r w:rsidR="003B760D">
        <w:rPr>
          <w:lang w:val="fr-FR"/>
        </w:rPr>
        <w:t xml:space="preserve"> d’une typologie à l’autre ? </w:t>
      </w:r>
      <w:r w:rsidR="00F25F5D">
        <w:rPr>
          <w:lang w:val="fr-FR"/>
        </w:rPr>
        <w:t>Et à quelles fin</w:t>
      </w:r>
      <w:r w:rsidR="00F87573">
        <w:rPr>
          <w:lang w:val="fr-FR"/>
        </w:rPr>
        <w:t>alités</w:t>
      </w:r>
      <w:r w:rsidR="00F25F5D">
        <w:rPr>
          <w:lang w:val="fr-FR"/>
        </w:rPr>
        <w:t xml:space="preserve"> répondent-ils ? </w:t>
      </w:r>
      <w:r w:rsidR="003B760D">
        <w:rPr>
          <w:lang w:val="fr-FR"/>
        </w:rPr>
        <w:t>Pour tenter de répondre à ce</w:t>
      </w:r>
      <w:r w:rsidR="00F25F5D">
        <w:rPr>
          <w:lang w:val="fr-FR"/>
        </w:rPr>
        <w:t>s</w:t>
      </w:r>
      <w:r w:rsidR="003B760D">
        <w:rPr>
          <w:lang w:val="fr-FR"/>
        </w:rPr>
        <w:t xml:space="preserve"> question</w:t>
      </w:r>
      <w:r w:rsidR="00F25F5D">
        <w:rPr>
          <w:lang w:val="fr-FR"/>
        </w:rPr>
        <w:t>s</w:t>
      </w:r>
      <w:r w:rsidR="003B760D">
        <w:rPr>
          <w:lang w:val="fr-FR"/>
        </w:rPr>
        <w:t>, une série de monuments funéraires et d</w:t>
      </w:r>
      <w:r w:rsidR="00181E6C">
        <w:rPr>
          <w:lang w:val="fr-FR"/>
        </w:rPr>
        <w:t>e retables d</w:t>
      </w:r>
      <w:r w:rsidR="003B760D">
        <w:rPr>
          <w:lang w:val="fr-FR"/>
        </w:rPr>
        <w:t>’autels datant de l’époque moderne dans les Pays-Bas méridionaux seront investigués, afin de mettre en évidence les différents degrés d’emprunts – ou d’échanges – formels entre eux.</w:t>
      </w:r>
      <w:r w:rsidR="00181E6C">
        <w:rPr>
          <w:lang w:val="fr-FR"/>
        </w:rPr>
        <w:t xml:space="preserve"> </w:t>
      </w:r>
      <w:r w:rsidR="00C2668B">
        <w:rPr>
          <w:lang w:val="fr-FR"/>
        </w:rPr>
        <w:t>Dans un</w:t>
      </w:r>
      <w:r w:rsidR="00181E6C">
        <w:rPr>
          <w:lang w:val="fr-FR"/>
        </w:rPr>
        <w:t xml:space="preserve"> second </w:t>
      </w:r>
      <w:r w:rsidR="00C2668B">
        <w:rPr>
          <w:lang w:val="fr-FR"/>
        </w:rPr>
        <w:t xml:space="preserve">temps, </w:t>
      </w:r>
      <w:r w:rsidR="00F25F5D">
        <w:rPr>
          <w:lang w:val="fr-FR"/>
        </w:rPr>
        <w:t>ces</w:t>
      </w:r>
      <w:r w:rsidR="00C5054F">
        <w:rPr>
          <w:lang w:val="fr-FR"/>
        </w:rPr>
        <w:t xml:space="preserve"> relations entre autels et mémoriaux </w:t>
      </w:r>
      <w:r w:rsidR="00F25F5D">
        <w:rPr>
          <w:lang w:val="fr-FR"/>
        </w:rPr>
        <w:t>seront complétées par d’</w:t>
      </w:r>
      <w:r w:rsidR="00C5054F">
        <w:rPr>
          <w:lang w:val="fr-FR"/>
        </w:rPr>
        <w:t>autres</w:t>
      </w:r>
      <w:r w:rsidR="00F25F5D">
        <w:rPr>
          <w:lang w:val="fr-FR"/>
        </w:rPr>
        <w:t>, de natures tant typologiques que terminologiques. L’objectif sera ainsi de pouvoir évaluer ce que ces reprises, emprunts et échanges signifient, tant pour les autels que pour les monuments funéraires, et ainsi enrichir et préciser notre appréhension et compréhension des deux groupes d’objets.</w:t>
      </w:r>
    </w:p>
    <w:p w14:paraId="5862165C" w14:textId="664AC398" w:rsidR="00E843C3" w:rsidRDefault="00F25F5D" w:rsidP="00F87573">
      <w:pPr>
        <w:jc w:val="right"/>
        <w:rPr>
          <w:rFonts w:ascii="Aptos" w:hAnsi="Aptos"/>
          <w:color w:val="000000"/>
          <w:sz w:val="28"/>
          <w:szCs w:val="28"/>
          <w:bdr w:val="none" w:sz="0" w:space="0" w:color="auto" w:frame="1"/>
          <w:shd w:val="clear" w:color="auto" w:fill="FFFFFF"/>
        </w:rPr>
      </w:pPr>
      <w:r>
        <w:rPr>
          <w:lang w:val="fr-FR"/>
        </w:rPr>
        <w:t>Elise Philippe, doctorante</w:t>
      </w:r>
      <w:r w:rsidR="00F87573">
        <w:rPr>
          <w:lang w:val="fr-FR"/>
        </w:rPr>
        <w:t xml:space="preserve"> en histoire de l’art</w:t>
      </w:r>
      <w:r>
        <w:rPr>
          <w:lang w:val="fr-FR"/>
        </w:rPr>
        <w:t xml:space="preserve"> (UCLouvain/ FNRS)</w:t>
      </w:r>
    </w:p>
    <w:p w14:paraId="342111B8" w14:textId="77777777" w:rsidR="003B760D" w:rsidRPr="00E843C3" w:rsidRDefault="003B760D">
      <w:pPr>
        <w:rPr>
          <w:lang w:val="fr-FR"/>
        </w:rPr>
      </w:pPr>
    </w:p>
    <w:sectPr w:rsidR="003B760D" w:rsidRPr="00E843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A075E7"/>
    <w:multiLevelType w:val="hybridMultilevel"/>
    <w:tmpl w:val="D1762C1E"/>
    <w:lvl w:ilvl="0" w:tplc="1B76E244">
      <w:start w:val="6"/>
      <w:numFmt w:val="bullet"/>
      <w:lvlText w:val=""/>
      <w:lvlJc w:val="left"/>
      <w:pPr>
        <w:ind w:left="720" w:hanging="360"/>
      </w:pPr>
      <w:rPr>
        <w:rFonts w:ascii="Wingdings" w:eastAsiaTheme="minorHAnsi" w:hAnsi="Wingdings" w:cstheme="minorBidi" w:hint="default"/>
        <w:color w:val="00000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5585894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CD9"/>
    <w:rsid w:val="00080CD9"/>
    <w:rsid w:val="00181E6C"/>
    <w:rsid w:val="003B760D"/>
    <w:rsid w:val="00795DAE"/>
    <w:rsid w:val="00C01059"/>
    <w:rsid w:val="00C2668B"/>
    <w:rsid w:val="00C5054F"/>
    <w:rsid w:val="00E554A6"/>
    <w:rsid w:val="00E843C3"/>
    <w:rsid w:val="00F25F5D"/>
    <w:rsid w:val="00F8757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C6B4B"/>
  <w15:chartTrackingRefBased/>
  <w15:docId w15:val="{17E8E064-A57C-4B03-B593-747C7446D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843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Pages>
  <Words>259</Words>
  <Characters>1429</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UCLouvain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Philippe</dc:creator>
  <cp:keywords/>
  <dc:description/>
  <cp:lastModifiedBy>Elise Philippe</cp:lastModifiedBy>
  <cp:revision>1</cp:revision>
  <dcterms:created xsi:type="dcterms:W3CDTF">2024-06-07T16:13:00Z</dcterms:created>
  <dcterms:modified xsi:type="dcterms:W3CDTF">2024-06-07T19:04:00Z</dcterms:modified>
</cp:coreProperties>
</file>