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3ECB" w:rsidRPr="0060557D" w:rsidRDefault="008F3ECB" w:rsidP="005C0F41">
      <w:pPr>
        <w:spacing w:after="0" w:line="240" w:lineRule="auto"/>
        <w:rPr>
          <w:u w:val="single"/>
        </w:rPr>
      </w:pPr>
      <w:bookmarkStart w:id="0" w:name="_GoBack"/>
      <w:bookmarkEnd w:id="0"/>
      <w:r w:rsidRPr="0060557D">
        <w:rPr>
          <w:u w:val="single"/>
        </w:rPr>
        <w:t>Organizers:</w:t>
      </w:r>
    </w:p>
    <w:p w:rsidR="00D641B1" w:rsidRPr="0060557D" w:rsidRDefault="00D641B1" w:rsidP="005C0F41">
      <w:pPr>
        <w:spacing w:after="0" w:line="240" w:lineRule="auto"/>
      </w:pPr>
      <w:r w:rsidRPr="0060557D">
        <w:t xml:space="preserve">Ruth Krebs (UGent) &amp; </w:t>
      </w:r>
      <w:r w:rsidR="008F3ECB" w:rsidRPr="0060557D">
        <w:rPr>
          <w:rFonts w:cs="Segoe UI"/>
          <w:color w:val="333333"/>
          <w:shd w:val="clear" w:color="auto" w:fill="FFFFFF"/>
        </w:rPr>
        <w:t xml:space="preserve">Gérard </w:t>
      </w:r>
      <w:proofErr w:type="spellStart"/>
      <w:r w:rsidR="008F3ECB" w:rsidRPr="0060557D">
        <w:rPr>
          <w:rFonts w:cs="Segoe UI"/>
          <w:color w:val="333333"/>
          <w:shd w:val="clear" w:color="auto" w:fill="FFFFFF"/>
        </w:rPr>
        <w:t>Derosiere</w:t>
      </w:r>
      <w:proofErr w:type="spellEnd"/>
      <w:r w:rsidR="008F3ECB" w:rsidRPr="0060557D">
        <w:rPr>
          <w:rFonts w:cs="Segoe UI"/>
          <w:color w:val="333333"/>
          <w:shd w:val="clear" w:color="auto" w:fill="FFFFFF"/>
        </w:rPr>
        <w:t xml:space="preserve"> (</w:t>
      </w:r>
      <w:proofErr w:type="spellStart"/>
      <w:r w:rsidR="008F3ECB" w:rsidRPr="0060557D">
        <w:rPr>
          <w:rFonts w:cs="Segoe UI"/>
          <w:color w:val="333333"/>
          <w:shd w:val="clear" w:color="auto" w:fill="FFFFFF"/>
        </w:rPr>
        <w:t>UCLouvain</w:t>
      </w:r>
      <w:proofErr w:type="spellEnd"/>
      <w:r w:rsidR="008F3ECB" w:rsidRPr="0060557D">
        <w:rPr>
          <w:rFonts w:cs="Segoe UI"/>
          <w:color w:val="333333"/>
          <w:shd w:val="clear" w:color="auto" w:fill="FFFFFF"/>
        </w:rPr>
        <w:t>)</w:t>
      </w:r>
    </w:p>
    <w:p w:rsidR="005C0F41" w:rsidRPr="0060557D" w:rsidRDefault="005C0F41" w:rsidP="005C0F41">
      <w:pPr>
        <w:spacing w:after="0" w:line="240" w:lineRule="auto"/>
      </w:pPr>
    </w:p>
    <w:p w:rsidR="008F3ECB" w:rsidRPr="0060557D" w:rsidRDefault="005C0F41" w:rsidP="005C0F41">
      <w:pPr>
        <w:spacing w:after="0" w:line="240" w:lineRule="auto"/>
        <w:rPr>
          <w:u w:val="single"/>
        </w:rPr>
      </w:pPr>
      <w:r w:rsidRPr="0060557D">
        <w:rPr>
          <w:u w:val="single"/>
        </w:rPr>
        <w:t>Symposium t</w:t>
      </w:r>
      <w:r w:rsidR="008F3ECB" w:rsidRPr="0060557D">
        <w:rPr>
          <w:u w:val="single"/>
        </w:rPr>
        <w:t>itle:</w:t>
      </w:r>
    </w:p>
    <w:p w:rsidR="005C0F41" w:rsidRPr="0060557D" w:rsidRDefault="005C0F41" w:rsidP="005C0F41">
      <w:pPr>
        <w:spacing w:after="0" w:line="240" w:lineRule="auto"/>
      </w:pPr>
      <w:r w:rsidRPr="0060557D">
        <w:t xml:space="preserve">Should I stay or should I go? Guiding and misguiding actions by incentive valence </w:t>
      </w:r>
    </w:p>
    <w:p w:rsidR="008F3ECB" w:rsidRPr="0060557D" w:rsidRDefault="008F3ECB" w:rsidP="005C0F41">
      <w:pPr>
        <w:spacing w:after="0" w:line="240" w:lineRule="auto"/>
      </w:pPr>
    </w:p>
    <w:p w:rsidR="008F3ECB" w:rsidRPr="0060557D" w:rsidRDefault="008F3ECB" w:rsidP="005C0F41">
      <w:pPr>
        <w:spacing w:after="0" w:line="240" w:lineRule="auto"/>
        <w:rPr>
          <w:color w:val="000000"/>
          <w:u w:val="single"/>
        </w:rPr>
      </w:pPr>
      <w:r w:rsidRPr="0060557D">
        <w:rPr>
          <w:color w:val="000000"/>
          <w:u w:val="single"/>
        </w:rPr>
        <w:t>Speakers, titles, and abstracts:</w:t>
      </w:r>
    </w:p>
    <w:p w:rsidR="008F3ECB" w:rsidRPr="008F3ECB" w:rsidRDefault="008F3ECB" w:rsidP="005C0F41">
      <w:pPr>
        <w:spacing w:after="0" w:line="240" w:lineRule="auto"/>
        <w:rPr>
          <w:color w:val="000000"/>
        </w:rPr>
      </w:pPr>
    </w:p>
    <w:p w:rsidR="005C0F41" w:rsidRPr="008F3ECB" w:rsidRDefault="008F3ECB" w:rsidP="002E7762">
      <w:pPr>
        <w:spacing w:after="120" w:line="240" w:lineRule="auto"/>
        <w:jc w:val="both"/>
        <w:rPr>
          <w:color w:val="000000"/>
        </w:rPr>
      </w:pPr>
      <w:r>
        <w:rPr>
          <w:color w:val="000000"/>
        </w:rPr>
        <w:t xml:space="preserve">1. </w:t>
      </w:r>
      <w:r w:rsidR="005C0F41" w:rsidRPr="008F3ECB">
        <w:rPr>
          <w:color w:val="000000"/>
        </w:rPr>
        <w:t xml:space="preserve">Pierre </w:t>
      </w:r>
      <w:proofErr w:type="spellStart"/>
      <w:r w:rsidR="005C0F41" w:rsidRPr="008F3ECB">
        <w:rPr>
          <w:color w:val="000000"/>
        </w:rPr>
        <w:t>Vassiliadis</w:t>
      </w:r>
      <w:proofErr w:type="spellEnd"/>
      <w:r w:rsidR="005C0F41" w:rsidRPr="008F3ECB">
        <w:rPr>
          <w:color w:val="000000"/>
        </w:rPr>
        <w:t xml:space="preserve"> (</w:t>
      </w:r>
      <w:proofErr w:type="spellStart"/>
      <w:r w:rsidR="005C0F41" w:rsidRPr="008F3ECB">
        <w:rPr>
          <w:color w:val="000000"/>
        </w:rPr>
        <w:t>UCLouvain</w:t>
      </w:r>
      <w:proofErr w:type="spellEnd"/>
      <w:r w:rsidR="005C0F41" w:rsidRPr="008F3ECB">
        <w:rPr>
          <w:color w:val="000000"/>
        </w:rPr>
        <w:t>)</w:t>
      </w:r>
    </w:p>
    <w:p w:rsidR="00D641B1" w:rsidRPr="008F3ECB" w:rsidRDefault="00000544" w:rsidP="002E7762">
      <w:pPr>
        <w:spacing w:after="120" w:line="240" w:lineRule="auto"/>
        <w:jc w:val="both"/>
      </w:pPr>
      <w:r>
        <w:t>“</w:t>
      </w:r>
      <w:r w:rsidR="00D641B1" w:rsidRPr="008F3ECB">
        <w:t>Contribution of the primary motor cortex to action value encoding during motor decisions</w:t>
      </w:r>
      <w:r>
        <w:t>”</w:t>
      </w:r>
    </w:p>
    <w:p w:rsidR="00D641B1" w:rsidRPr="008F3ECB" w:rsidRDefault="00D641B1" w:rsidP="00F37565">
      <w:pPr>
        <w:spacing w:after="0" w:line="240" w:lineRule="auto"/>
        <w:jc w:val="both"/>
      </w:pPr>
      <w:r w:rsidRPr="008F3ECB">
        <w:t>In daily life, action selection and decision-making are constantly biased by implicit value signals. When choosing a place for dinner on a Friday night, the estimated value of each restaurant will not only depend on a deliberate inspection of the menus but also on less conscious cues such as the atmosphere in the restaurant. Despite the crucial impact of implicit value cues on daily living choices, the exact contribution of the primary motor cortex to the encoding of this source of information remains obscure. In this talk, I will present the results of a recently published study (</w:t>
      </w:r>
      <w:proofErr w:type="spellStart"/>
      <w:r w:rsidRPr="008F3ECB">
        <w:t>Derosiere</w:t>
      </w:r>
      <w:proofErr w:type="spellEnd"/>
      <w:r w:rsidRPr="008F3ECB">
        <w:t xml:space="preserve"> et al., 2017, </w:t>
      </w:r>
      <w:proofErr w:type="spellStart"/>
      <w:r w:rsidRPr="008F3ECB">
        <w:t>NeuroImage</w:t>
      </w:r>
      <w:proofErr w:type="spellEnd"/>
      <w:r w:rsidRPr="008F3ECB">
        <w:t>) in which we show that the human primary motor cortex is involved in the encoding of implicit value information during motor decisions. A thorough description of the dynamics of this encoding during reinforcement learning and decision-making will be provided.</w:t>
      </w:r>
    </w:p>
    <w:p w:rsidR="008F3ECB" w:rsidRDefault="008F3ECB" w:rsidP="002E7762">
      <w:pPr>
        <w:spacing w:after="120" w:line="240" w:lineRule="auto"/>
        <w:jc w:val="both"/>
      </w:pPr>
    </w:p>
    <w:p w:rsidR="00D641B1" w:rsidRPr="008F3ECB" w:rsidRDefault="008F3ECB" w:rsidP="002E7762">
      <w:pPr>
        <w:spacing w:after="120" w:line="240" w:lineRule="auto"/>
        <w:jc w:val="both"/>
      </w:pPr>
      <w:r>
        <w:t xml:space="preserve">2. </w:t>
      </w:r>
      <w:proofErr w:type="spellStart"/>
      <w:r w:rsidR="005C0F41" w:rsidRPr="008F3ECB">
        <w:t>Haeme</w:t>
      </w:r>
      <w:proofErr w:type="spellEnd"/>
      <w:r w:rsidR="005C0F41" w:rsidRPr="008F3ECB">
        <w:t xml:space="preserve"> Park (UGent)</w:t>
      </w:r>
    </w:p>
    <w:p w:rsidR="005C0F41" w:rsidRPr="008F3ECB" w:rsidRDefault="00000544" w:rsidP="002E7762">
      <w:pPr>
        <w:spacing w:after="120" w:line="240" w:lineRule="auto"/>
        <w:jc w:val="both"/>
        <w:rPr>
          <w:lang w:val="en-NZ"/>
        </w:rPr>
      </w:pPr>
      <w:r>
        <w:t>“</w:t>
      </w:r>
      <w:r w:rsidR="002E7762">
        <w:t>I</w:t>
      </w:r>
      <w:proofErr w:type="spellStart"/>
      <w:r w:rsidR="005C0F41" w:rsidRPr="008F3ECB">
        <w:rPr>
          <w:lang w:val="en-NZ"/>
        </w:rPr>
        <w:t>nte</w:t>
      </w:r>
      <w:r w:rsidR="00515D5B">
        <w:rPr>
          <w:lang w:val="en-NZ"/>
        </w:rPr>
        <w:t>rplay</w:t>
      </w:r>
      <w:proofErr w:type="spellEnd"/>
      <w:r w:rsidR="005C0F41" w:rsidRPr="008F3ECB">
        <w:rPr>
          <w:lang w:val="en-NZ"/>
        </w:rPr>
        <w:t xml:space="preserve"> between motivational and emotional valence at the behavioural and neural level</w:t>
      </w:r>
      <w:r>
        <w:rPr>
          <w:lang w:val="en-NZ"/>
        </w:rPr>
        <w:t>”</w:t>
      </w:r>
    </w:p>
    <w:p w:rsidR="005C0F41" w:rsidRPr="008F3ECB" w:rsidRDefault="005C0F41" w:rsidP="00F37565">
      <w:pPr>
        <w:spacing w:after="0" w:line="240" w:lineRule="auto"/>
        <w:jc w:val="both"/>
        <w:rPr>
          <w:lang w:val="en-NZ"/>
        </w:rPr>
      </w:pPr>
      <w:r w:rsidRPr="008F3ECB">
        <w:rPr>
          <w:lang w:val="en-NZ"/>
        </w:rPr>
        <w:t>It is well-known that we are greatly influenced by emotional and motivational events, which may occur independently from each other, or together. This raises interesting questions regarding the interplay between these affective processes, such as whether coincidental emotional information can modulate responses to reward-related stimuli; and what happens when there is an explicit mismatch between motivational and emotional valence. Here, two studies conducted in our lab investigating the neural bases of such emotion-motivation interactions will be discussed. In the first study, a Go/</w:t>
      </w:r>
      <w:proofErr w:type="spellStart"/>
      <w:r w:rsidRPr="008F3ECB">
        <w:rPr>
          <w:lang w:val="en-NZ"/>
        </w:rPr>
        <w:t>NoGo</w:t>
      </w:r>
      <w:proofErr w:type="spellEnd"/>
      <w:r w:rsidRPr="008F3ECB">
        <w:rPr>
          <w:lang w:val="en-NZ"/>
        </w:rPr>
        <w:t xml:space="preserve"> task was utilised to examine the effect of irrelevant emotional background stimuli on reward-triggered response biases, while in the second study, reward availability was explicitly signalled by valence compatible (positive) and incompatible (negative) emotional stimuli. The results suggest a complex interplay between the two constructs, in which task/context-dependent situations dictate the extent to which emotional information may influence our motivation.</w:t>
      </w:r>
    </w:p>
    <w:p w:rsidR="008F3ECB" w:rsidRDefault="008F3ECB" w:rsidP="002E7762">
      <w:pPr>
        <w:spacing w:after="120" w:line="240" w:lineRule="auto"/>
        <w:jc w:val="both"/>
        <w:rPr>
          <w:lang w:val="en-NZ"/>
        </w:rPr>
      </w:pPr>
    </w:p>
    <w:p w:rsidR="00D641B1" w:rsidRPr="008F3ECB" w:rsidRDefault="008F3ECB" w:rsidP="002E7762">
      <w:pPr>
        <w:spacing w:after="120" w:line="240" w:lineRule="auto"/>
        <w:jc w:val="both"/>
        <w:rPr>
          <w:lang w:val="en-NZ"/>
        </w:rPr>
      </w:pPr>
      <w:r>
        <w:rPr>
          <w:lang w:val="en-NZ"/>
        </w:rPr>
        <w:t xml:space="preserve">3. </w:t>
      </w:r>
      <w:r w:rsidR="005C0F41" w:rsidRPr="008F3ECB">
        <w:rPr>
          <w:lang w:val="en-NZ"/>
        </w:rPr>
        <w:t>Frederick Verbruggen (UGent)</w:t>
      </w:r>
    </w:p>
    <w:p w:rsidR="008F3ECB" w:rsidRDefault="00000544" w:rsidP="002E7762">
      <w:pPr>
        <w:autoSpaceDE w:val="0"/>
        <w:autoSpaceDN w:val="0"/>
        <w:adjustRightInd w:val="0"/>
        <w:spacing w:after="120" w:line="240" w:lineRule="auto"/>
        <w:jc w:val="both"/>
        <w:rPr>
          <w:rFonts w:cs="Segoe UI"/>
          <w:color w:val="212121"/>
          <w:shd w:val="clear" w:color="auto" w:fill="FFFFFF"/>
        </w:rPr>
      </w:pPr>
      <w:r>
        <w:rPr>
          <w:rFonts w:cs="Segoe UI"/>
          <w:color w:val="212121"/>
          <w:shd w:val="clear" w:color="auto" w:fill="FFFFFF"/>
        </w:rPr>
        <w:t>“</w:t>
      </w:r>
      <w:r w:rsidR="005C0F41" w:rsidRPr="008F3ECB">
        <w:rPr>
          <w:rFonts w:cs="Segoe UI"/>
          <w:color w:val="212121"/>
          <w:shd w:val="clear" w:color="auto" w:fill="FFFFFF"/>
        </w:rPr>
        <w:t>Effects of winning and losing on action control</w:t>
      </w:r>
      <w:r>
        <w:rPr>
          <w:rFonts w:cs="Segoe UI"/>
          <w:color w:val="212121"/>
          <w:shd w:val="clear" w:color="auto" w:fill="FFFFFF"/>
        </w:rPr>
        <w:t>”</w:t>
      </w:r>
    </w:p>
    <w:p w:rsidR="005C0F41" w:rsidRPr="008F3ECB" w:rsidRDefault="005C0F41" w:rsidP="00F37565">
      <w:pPr>
        <w:autoSpaceDE w:val="0"/>
        <w:autoSpaceDN w:val="0"/>
        <w:adjustRightInd w:val="0"/>
        <w:spacing w:after="0" w:line="240" w:lineRule="auto"/>
        <w:jc w:val="both"/>
        <w:rPr>
          <w:rFonts w:cs="Segoe UI"/>
          <w:color w:val="212121"/>
          <w:shd w:val="clear" w:color="auto" w:fill="FFFFFF"/>
        </w:rPr>
      </w:pPr>
      <w:r w:rsidRPr="008F3ECB">
        <w:rPr>
          <w:rFonts w:cs="Segoe UI"/>
          <w:color w:val="212121"/>
          <w:shd w:val="clear" w:color="auto" w:fill="FFFFFF"/>
        </w:rPr>
        <w:t>Several theoretical accounts assume that negative incentive valence signals lead to inhibition or action restraint. I will present two data sets that suggest a more nuanced view. First, I will show that reward and punishment can to a similar extent lead to action restraint. Second, I will show that losing a potential reward can lead to increased action </w:t>
      </w:r>
      <w:proofErr w:type="spellStart"/>
      <w:r w:rsidRPr="008F3ECB">
        <w:rPr>
          <w:rFonts w:cs="Segoe UI"/>
          <w:color w:val="212121"/>
          <w:shd w:val="clear" w:color="auto" w:fill="FFFFFF"/>
        </w:rPr>
        <w:t>vigor</w:t>
      </w:r>
      <w:proofErr w:type="spellEnd"/>
      <w:r w:rsidRPr="008F3ECB">
        <w:rPr>
          <w:rFonts w:cs="Segoe UI"/>
          <w:color w:val="212121"/>
          <w:shd w:val="clear" w:color="auto" w:fill="FFFFFF"/>
        </w:rPr>
        <w:t>, instead of action restraint. To explain these and other related findings, I will look at the role of task context and task demands.</w:t>
      </w:r>
    </w:p>
    <w:p w:rsidR="005C0F41" w:rsidRPr="008F3ECB" w:rsidRDefault="005C0F41" w:rsidP="002E7762">
      <w:pPr>
        <w:autoSpaceDE w:val="0"/>
        <w:autoSpaceDN w:val="0"/>
        <w:adjustRightInd w:val="0"/>
        <w:spacing w:after="120" w:line="240" w:lineRule="auto"/>
        <w:jc w:val="both"/>
        <w:rPr>
          <w:rFonts w:cs="Segoe UI"/>
          <w:color w:val="212121"/>
          <w:shd w:val="clear" w:color="auto" w:fill="FFFFFF"/>
        </w:rPr>
      </w:pPr>
    </w:p>
    <w:p w:rsidR="005C0F41" w:rsidRPr="008F3ECB" w:rsidRDefault="008F3ECB" w:rsidP="002E7762">
      <w:pPr>
        <w:autoSpaceDE w:val="0"/>
        <w:autoSpaceDN w:val="0"/>
        <w:adjustRightInd w:val="0"/>
        <w:spacing w:after="120" w:line="240" w:lineRule="auto"/>
        <w:jc w:val="both"/>
        <w:rPr>
          <w:color w:val="000000"/>
          <w:lang w:val="nl-BE"/>
        </w:rPr>
      </w:pPr>
      <w:r>
        <w:rPr>
          <w:rFonts w:cs="Segoe UI"/>
          <w:color w:val="212121"/>
          <w:shd w:val="clear" w:color="auto" w:fill="FFFFFF"/>
          <w:lang w:val="nl-BE"/>
        </w:rPr>
        <w:t xml:space="preserve">4. </w:t>
      </w:r>
      <w:r w:rsidR="005C0F41" w:rsidRPr="008F3ECB">
        <w:rPr>
          <w:rFonts w:cs="Segoe UI"/>
          <w:color w:val="212121"/>
          <w:shd w:val="clear" w:color="auto" w:fill="FFFFFF"/>
          <w:lang w:val="nl-BE"/>
        </w:rPr>
        <w:t xml:space="preserve">Harm Veling </w:t>
      </w:r>
      <w:r w:rsidR="005C0F41" w:rsidRPr="008F3ECB">
        <w:rPr>
          <w:color w:val="000000"/>
          <w:lang w:val="nl-BE"/>
        </w:rPr>
        <w:t>(Radboud University Nijmegen)</w:t>
      </w:r>
    </w:p>
    <w:p w:rsidR="005C0F41" w:rsidRPr="008F3ECB" w:rsidRDefault="00000544" w:rsidP="002E7762">
      <w:pPr>
        <w:autoSpaceDE w:val="0"/>
        <w:autoSpaceDN w:val="0"/>
        <w:adjustRightInd w:val="0"/>
        <w:spacing w:after="120" w:line="240" w:lineRule="auto"/>
        <w:jc w:val="both"/>
        <w:rPr>
          <w:rFonts w:eastAsia="Times New Roman" w:cs="Times New Roman"/>
          <w:bCs/>
          <w:color w:val="212121"/>
          <w:lang w:val="en-US"/>
        </w:rPr>
      </w:pPr>
      <w:r>
        <w:rPr>
          <w:rFonts w:eastAsia="Times New Roman" w:cs="Times New Roman"/>
          <w:bCs/>
          <w:color w:val="212121"/>
          <w:lang w:val="en-US"/>
        </w:rPr>
        <w:t>“</w:t>
      </w:r>
      <w:r w:rsidR="005C0F41" w:rsidRPr="005C0F41">
        <w:rPr>
          <w:rFonts w:eastAsia="Times New Roman" w:cs="Times New Roman"/>
          <w:bCs/>
          <w:color w:val="212121"/>
          <w:lang w:val="en-US"/>
        </w:rPr>
        <w:t>Toward a better understanding of the applied scope of go/no-go training</w:t>
      </w:r>
      <w:r>
        <w:rPr>
          <w:rFonts w:eastAsia="Times New Roman" w:cs="Times New Roman"/>
          <w:bCs/>
          <w:color w:val="212121"/>
          <w:lang w:val="en-US"/>
        </w:rPr>
        <w:t>”</w:t>
      </w:r>
    </w:p>
    <w:p w:rsidR="005C0F41" w:rsidRPr="005C0F41" w:rsidRDefault="005C0F41" w:rsidP="002E7762">
      <w:pPr>
        <w:shd w:val="clear" w:color="auto" w:fill="FFFFFF"/>
        <w:spacing w:after="120" w:line="240" w:lineRule="auto"/>
        <w:jc w:val="both"/>
        <w:rPr>
          <w:rFonts w:eastAsia="Times New Roman" w:cs="Times New Roman"/>
          <w:color w:val="212121"/>
          <w:lang w:val="en-US"/>
        </w:rPr>
      </w:pPr>
      <w:r w:rsidRPr="005C0F41">
        <w:rPr>
          <w:rFonts w:eastAsia="Times New Roman" w:cs="Times New Roman"/>
          <w:color w:val="212121"/>
          <w:lang w:val="en-US"/>
        </w:rPr>
        <w:t xml:space="preserve">Many people struggle with changing their value-based decisions for food items. Interestingly, simply not responding to appetitive food items during go/no-go training reduces evaluations of these food items and reduces choices for these food items among normal-weight university students. However, </w:t>
      </w:r>
      <w:r w:rsidRPr="005C0F41">
        <w:rPr>
          <w:rFonts w:eastAsia="Times New Roman" w:cs="Times New Roman"/>
          <w:color w:val="212121"/>
          <w:lang w:val="en-US"/>
        </w:rPr>
        <w:lastRenderedPageBreak/>
        <w:t>the applied value of these findings is not yet entirely clear. To gain more insight into this topic, we administered an identical go/no-go training among both morbidly-obese individuals and normal-weight university students, to assess whether findings from laboratory studies conducted in the university environment on food evaluation can be translated to clinical settings. Obese and normal-weight individuals showed similar effects of go/no-go training on food evaluation. A separate series of experiments among university students showed robust evidence that effects of a single training session on food choice could still be observed after one week. Together these findings provide further knowledge on the possible applied value of food go/no-go training.</w:t>
      </w:r>
    </w:p>
    <w:p w:rsidR="005C0F41" w:rsidRPr="008F3ECB" w:rsidRDefault="005C0F41" w:rsidP="008F3ECB">
      <w:pPr>
        <w:autoSpaceDE w:val="0"/>
        <w:autoSpaceDN w:val="0"/>
        <w:adjustRightInd w:val="0"/>
        <w:spacing w:after="0" w:line="240" w:lineRule="auto"/>
        <w:jc w:val="both"/>
        <w:rPr>
          <w:lang w:val="en-US"/>
        </w:rPr>
      </w:pPr>
    </w:p>
    <w:sectPr w:rsidR="005C0F41" w:rsidRPr="008F3ECB" w:rsidSect="00F909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23DEB"/>
    <w:multiLevelType w:val="hybridMultilevel"/>
    <w:tmpl w:val="C9EE6152"/>
    <w:lvl w:ilvl="0" w:tplc="208C0AF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1B1"/>
    <w:rsid w:val="00000544"/>
    <w:rsid w:val="001A6B91"/>
    <w:rsid w:val="00252A12"/>
    <w:rsid w:val="002E7762"/>
    <w:rsid w:val="00515D5B"/>
    <w:rsid w:val="005C0F41"/>
    <w:rsid w:val="0060557D"/>
    <w:rsid w:val="00616FA2"/>
    <w:rsid w:val="007C4DCD"/>
    <w:rsid w:val="008F3ECB"/>
    <w:rsid w:val="00CB745C"/>
    <w:rsid w:val="00D641B1"/>
    <w:rsid w:val="00F37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AE9C96-DA7E-4D17-984D-47EB1848E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641B1"/>
    <w:pPr>
      <w:spacing w:after="160" w:line="259" w:lineRule="auto"/>
    </w:pPr>
    <w:rPr>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641B1"/>
    <w:pPr>
      <w:spacing w:after="200" w:line="276"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969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636</Words>
  <Characters>3498</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dc:creator>
  <cp:keywords/>
  <dc:description/>
  <cp:lastModifiedBy>Jan De Houwer</cp:lastModifiedBy>
  <cp:revision>2</cp:revision>
  <dcterms:created xsi:type="dcterms:W3CDTF">2018-01-15T09:27:00Z</dcterms:created>
  <dcterms:modified xsi:type="dcterms:W3CDTF">2018-01-15T09:27:00Z</dcterms:modified>
</cp:coreProperties>
</file>