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F7FE36" w14:textId="41160ACD" w:rsidR="00B96D02" w:rsidRPr="009018DF" w:rsidRDefault="00B96D02" w:rsidP="00E6285F">
      <w:pPr>
        <w:pStyle w:val="NormalWeb"/>
        <w:spacing w:before="0" w:beforeAutospacing="0" w:after="0" w:afterAutospacing="0"/>
        <w:jc w:val="center"/>
        <w:rPr>
          <w:rFonts w:ascii="Calibri" w:hAnsi="Calibri" w:cs="Calibri"/>
          <w:color w:val="000000" w:themeColor="text1"/>
        </w:rPr>
      </w:pPr>
      <w:bookmarkStart w:id="0" w:name="_Toc31190720"/>
      <w:r w:rsidRPr="009018DF">
        <w:rPr>
          <w:rFonts w:ascii="Garamond" w:hAnsi="Garamond"/>
          <w:color w:val="000000" w:themeColor="text1"/>
          <w:sz w:val="28"/>
          <w:szCs w:val="28"/>
        </w:rPr>
        <w:t>WITHIN CULTURES AND ACROSS CULTURES</w:t>
      </w:r>
    </w:p>
    <w:p w14:paraId="22E043BF" w14:textId="36915514" w:rsidR="00B96D02" w:rsidRPr="009018DF" w:rsidRDefault="00B96D02" w:rsidP="00E6285F">
      <w:pPr>
        <w:spacing w:before="0" w:after="0"/>
        <w:jc w:val="center"/>
        <w:rPr>
          <w:rFonts w:ascii="Garamond" w:hAnsi="Garamond"/>
          <w:i/>
          <w:color w:val="000000" w:themeColor="text1"/>
          <w:sz w:val="28"/>
          <w:szCs w:val="28"/>
        </w:rPr>
      </w:pPr>
      <w:r w:rsidRPr="009018DF">
        <w:rPr>
          <w:rFonts w:ascii="Garamond" w:hAnsi="Garamond"/>
          <w:i/>
          <w:iCs/>
          <w:color w:val="000000" w:themeColor="text1"/>
          <w:sz w:val="28"/>
          <w:szCs w:val="28"/>
        </w:rPr>
        <w:t xml:space="preserve">On the </w:t>
      </w:r>
      <w:r w:rsidR="00BF1E97" w:rsidRPr="009018DF">
        <w:rPr>
          <w:rFonts w:ascii="Garamond" w:hAnsi="Garamond"/>
          <w:i/>
          <w:iCs/>
          <w:color w:val="000000" w:themeColor="text1"/>
          <w:sz w:val="28"/>
          <w:szCs w:val="28"/>
        </w:rPr>
        <w:t>Development</w:t>
      </w:r>
      <w:r w:rsidRPr="009018DF">
        <w:rPr>
          <w:rFonts w:ascii="Garamond" w:hAnsi="Garamond"/>
          <w:i/>
          <w:iCs/>
          <w:color w:val="000000" w:themeColor="text1"/>
          <w:sz w:val="28"/>
          <w:szCs w:val="28"/>
        </w:rPr>
        <w:t xml:space="preserve"> of a Trinitarian Intercultural Hermeneutics of Dialogue</w:t>
      </w:r>
      <w:bookmarkEnd w:id="0"/>
      <w:r w:rsidR="00F23EF5" w:rsidRPr="009018DF">
        <w:rPr>
          <w:rStyle w:val="FootnoteReference"/>
          <w:rFonts w:ascii="Garamond" w:hAnsi="Garamond"/>
          <w:color w:val="000000" w:themeColor="text1"/>
          <w:sz w:val="28"/>
          <w:szCs w:val="28"/>
        </w:rPr>
        <w:footnoteReference w:id="1"/>
      </w:r>
    </w:p>
    <w:p w14:paraId="3327F0F0" w14:textId="77777777" w:rsidR="00B96D02" w:rsidRPr="009018DF" w:rsidRDefault="00B96D02" w:rsidP="008B26CC">
      <w:pPr>
        <w:spacing w:before="0" w:after="0"/>
        <w:rPr>
          <w:rFonts w:ascii="Garamond" w:hAnsi="Garamond" w:cs="Times New Roman"/>
          <w:color w:val="000000" w:themeColor="text1"/>
          <w:sz w:val="24"/>
          <w:szCs w:val="24"/>
        </w:rPr>
      </w:pPr>
    </w:p>
    <w:p w14:paraId="3057B0CF" w14:textId="13E9EA3E" w:rsidR="00594DDF" w:rsidRPr="009018DF" w:rsidRDefault="00594DDF" w:rsidP="008B26CC">
      <w:pPr>
        <w:spacing w:before="0" w:after="0"/>
        <w:rPr>
          <w:rFonts w:ascii="Garamond" w:hAnsi="Garamond" w:cs="Times New Roman"/>
          <w:b/>
          <w:bCs/>
          <w:color w:val="000000" w:themeColor="text1"/>
          <w:sz w:val="24"/>
          <w:szCs w:val="24"/>
        </w:rPr>
      </w:pPr>
      <w:r w:rsidRPr="009018DF">
        <w:rPr>
          <w:rFonts w:ascii="Garamond" w:hAnsi="Garamond" w:cs="Times New Roman"/>
          <w:b/>
          <w:bCs/>
          <w:color w:val="000000" w:themeColor="text1"/>
          <w:sz w:val="24"/>
          <w:szCs w:val="24"/>
        </w:rPr>
        <w:t>Introduction</w:t>
      </w:r>
    </w:p>
    <w:p w14:paraId="7F06E29F" w14:textId="77777777" w:rsidR="00594DDF" w:rsidRPr="009018DF" w:rsidRDefault="00594DDF" w:rsidP="008B26CC">
      <w:pPr>
        <w:spacing w:before="0" w:after="0"/>
        <w:rPr>
          <w:rFonts w:ascii="Garamond" w:hAnsi="Garamond" w:cs="Times New Roman"/>
          <w:color w:val="000000" w:themeColor="text1"/>
          <w:sz w:val="24"/>
          <w:szCs w:val="24"/>
        </w:rPr>
      </w:pPr>
    </w:p>
    <w:p w14:paraId="79CDE16A" w14:textId="61073EB0" w:rsidR="00594DDF" w:rsidRPr="009018DF" w:rsidRDefault="00B96D02" w:rsidP="008B26CC">
      <w:pPr>
        <w:spacing w:before="0" w:after="0"/>
        <w:rPr>
          <w:rFonts w:ascii="Garamond" w:hAnsi="Garamond" w:cs="Times New Roman"/>
          <w:color w:val="000000" w:themeColor="text1"/>
          <w:sz w:val="24"/>
          <w:szCs w:val="24"/>
        </w:rPr>
      </w:pPr>
      <w:r w:rsidRPr="009018DF">
        <w:rPr>
          <w:rFonts w:ascii="Garamond" w:hAnsi="Garamond" w:cs="Times New Roman"/>
          <w:color w:val="000000" w:themeColor="text1"/>
          <w:sz w:val="24"/>
          <w:szCs w:val="24"/>
        </w:rPr>
        <w:t>The theology of the Trinity</w:t>
      </w:r>
      <w:r w:rsidR="00092541" w:rsidRPr="009018DF">
        <w:rPr>
          <w:rFonts w:ascii="Garamond" w:hAnsi="Garamond" w:cs="Times New Roman"/>
          <w:color w:val="000000" w:themeColor="text1"/>
          <w:sz w:val="24"/>
          <w:szCs w:val="24"/>
        </w:rPr>
        <w:t xml:space="preserve"> </w:t>
      </w:r>
      <w:r w:rsidRPr="009018DF">
        <w:rPr>
          <w:rFonts w:ascii="Garamond" w:hAnsi="Garamond" w:cs="Times New Roman"/>
          <w:color w:val="000000" w:themeColor="text1"/>
          <w:sz w:val="24"/>
          <w:szCs w:val="24"/>
        </w:rPr>
        <w:t xml:space="preserve">as </w:t>
      </w:r>
      <w:r w:rsidR="00051F31" w:rsidRPr="009018DF">
        <w:rPr>
          <w:rFonts w:ascii="Garamond" w:hAnsi="Garamond" w:cs="Times New Roman"/>
          <w:color w:val="000000" w:themeColor="text1"/>
          <w:sz w:val="24"/>
          <w:szCs w:val="24"/>
        </w:rPr>
        <w:t>a</w:t>
      </w:r>
      <w:r w:rsidRPr="009018DF">
        <w:rPr>
          <w:rFonts w:ascii="Garamond" w:hAnsi="Garamond" w:cs="Times New Roman"/>
          <w:color w:val="000000" w:themeColor="text1"/>
          <w:sz w:val="24"/>
          <w:szCs w:val="24"/>
        </w:rPr>
        <w:t xml:space="preserve"> starting point of the fundamental </w:t>
      </w:r>
      <w:r w:rsidR="00B90A02" w:rsidRPr="009018DF">
        <w:rPr>
          <w:rFonts w:ascii="Garamond" w:hAnsi="Garamond" w:cs="Times New Roman"/>
          <w:color w:val="000000" w:themeColor="text1"/>
          <w:sz w:val="24"/>
          <w:szCs w:val="24"/>
        </w:rPr>
        <w:t>relationship between</w:t>
      </w:r>
      <w:r w:rsidRPr="009018DF">
        <w:rPr>
          <w:rFonts w:ascii="Garamond" w:hAnsi="Garamond" w:cs="Times New Roman"/>
          <w:color w:val="000000" w:themeColor="text1"/>
          <w:sz w:val="24"/>
          <w:szCs w:val="24"/>
        </w:rPr>
        <w:t xml:space="preserve"> identity and difference </w:t>
      </w:r>
      <w:r w:rsidR="008139CD" w:rsidRPr="009018DF">
        <w:rPr>
          <w:rFonts w:ascii="Garamond" w:hAnsi="Garamond" w:cs="Times New Roman"/>
          <w:color w:val="000000" w:themeColor="text1"/>
          <w:sz w:val="24"/>
          <w:szCs w:val="24"/>
        </w:rPr>
        <w:t xml:space="preserve">that we find in intercutural settings </w:t>
      </w:r>
      <w:r w:rsidRPr="009018DF">
        <w:rPr>
          <w:rFonts w:ascii="Garamond" w:hAnsi="Garamond" w:cs="Times New Roman"/>
          <w:color w:val="000000" w:themeColor="text1"/>
          <w:sz w:val="24"/>
          <w:szCs w:val="24"/>
        </w:rPr>
        <w:t xml:space="preserve">responds adequately to the differentiations that are present in culture, in dialogue and in theology itself. Nothing is to be taken in isolation: not the theological interrogations and questions; not the local cultures and historical contexts; and certainly not the variants of dialogue as well. The Trinitarian perichoretic relationship, that is reflected in the real, </w:t>
      </w:r>
      <w:r w:rsidR="001E3E2F" w:rsidRPr="009018DF">
        <w:rPr>
          <w:rFonts w:ascii="Garamond" w:hAnsi="Garamond" w:cs="Times New Roman"/>
          <w:color w:val="000000" w:themeColor="text1"/>
          <w:sz w:val="24"/>
          <w:szCs w:val="24"/>
        </w:rPr>
        <w:t xml:space="preserve">even though not always acknowledged or explored, </w:t>
      </w:r>
      <w:r w:rsidR="0082506A" w:rsidRPr="009018DF">
        <w:rPr>
          <w:rFonts w:ascii="Garamond" w:hAnsi="Garamond" w:cs="Times New Roman"/>
          <w:color w:val="000000" w:themeColor="text1"/>
          <w:sz w:val="24"/>
          <w:szCs w:val="24"/>
        </w:rPr>
        <w:t>intermingling of identity and difference;</w:t>
      </w:r>
      <w:r w:rsidRPr="009018DF">
        <w:rPr>
          <w:rFonts w:ascii="Garamond" w:hAnsi="Garamond" w:cs="Times New Roman"/>
          <w:color w:val="000000" w:themeColor="text1"/>
          <w:sz w:val="24"/>
          <w:szCs w:val="24"/>
        </w:rPr>
        <w:t xml:space="preserve"> of the self and the other, points to the interrelatedness that is at play within the created world.</w:t>
      </w:r>
      <w:r w:rsidR="002F3A1C" w:rsidRPr="009018DF">
        <w:rPr>
          <w:rFonts w:ascii="Garamond" w:hAnsi="Garamond" w:cs="Times New Roman"/>
          <w:color w:val="000000" w:themeColor="text1"/>
          <w:sz w:val="24"/>
          <w:szCs w:val="24"/>
        </w:rPr>
        <w:t xml:space="preserve"> </w:t>
      </w:r>
    </w:p>
    <w:p w14:paraId="6E41DEE8" w14:textId="252604B3" w:rsidR="00B96D02" w:rsidRPr="009018DF" w:rsidRDefault="007B30F9" w:rsidP="008B26CC">
      <w:pPr>
        <w:spacing w:before="0" w:after="0"/>
        <w:ind w:firstLine="567"/>
        <w:rPr>
          <w:rFonts w:ascii="Garamond" w:hAnsi="Garamond" w:cs="Times New Roman"/>
          <w:color w:val="000000" w:themeColor="text1"/>
          <w:sz w:val="24"/>
          <w:szCs w:val="24"/>
        </w:rPr>
      </w:pPr>
      <w:r w:rsidRPr="009018DF">
        <w:rPr>
          <w:rFonts w:ascii="Garamond" w:hAnsi="Garamond" w:cs="Times New Roman"/>
          <w:color w:val="000000" w:themeColor="text1"/>
          <w:sz w:val="24"/>
          <w:szCs w:val="24"/>
        </w:rPr>
        <w:t>The objective of this article</w:t>
      </w:r>
      <w:r w:rsidR="002F3A1C" w:rsidRPr="009018DF">
        <w:rPr>
          <w:rFonts w:ascii="Garamond" w:hAnsi="Garamond" w:cs="Times New Roman"/>
          <w:color w:val="000000" w:themeColor="text1"/>
          <w:sz w:val="24"/>
          <w:szCs w:val="24"/>
        </w:rPr>
        <w:t xml:space="preserve"> therefore is to explore how this Trinitarian relationship emerges as </w:t>
      </w:r>
      <w:r w:rsidR="00594DDF" w:rsidRPr="009018DF">
        <w:rPr>
          <w:rFonts w:ascii="Garamond" w:hAnsi="Garamond" w:cs="Times New Roman"/>
          <w:color w:val="000000" w:themeColor="text1"/>
          <w:sz w:val="24"/>
          <w:szCs w:val="24"/>
        </w:rPr>
        <w:t xml:space="preserve">a </w:t>
      </w:r>
      <w:r w:rsidR="001E3E2F" w:rsidRPr="009018DF">
        <w:rPr>
          <w:rFonts w:ascii="Garamond" w:hAnsi="Garamond" w:cs="Times New Roman"/>
          <w:color w:val="000000" w:themeColor="text1"/>
          <w:sz w:val="24"/>
          <w:szCs w:val="24"/>
        </w:rPr>
        <w:t xml:space="preserve">theological-social </w:t>
      </w:r>
      <w:r w:rsidR="00594DDF" w:rsidRPr="009018DF">
        <w:rPr>
          <w:rFonts w:ascii="Garamond" w:hAnsi="Garamond" w:cs="Times New Roman"/>
          <w:color w:val="000000" w:themeColor="text1"/>
          <w:sz w:val="24"/>
          <w:szCs w:val="24"/>
        </w:rPr>
        <w:t xml:space="preserve">framework for </w:t>
      </w:r>
      <w:r w:rsidR="002F3A1C" w:rsidRPr="009018DF">
        <w:rPr>
          <w:rFonts w:ascii="Garamond" w:hAnsi="Garamond" w:cs="Times New Roman"/>
          <w:color w:val="000000" w:themeColor="text1"/>
          <w:sz w:val="24"/>
          <w:szCs w:val="24"/>
        </w:rPr>
        <w:t xml:space="preserve">an intercultural hermenuetics of dialogue </w:t>
      </w:r>
      <w:r w:rsidR="0082506A" w:rsidRPr="009018DF">
        <w:rPr>
          <w:rFonts w:ascii="Garamond" w:hAnsi="Garamond" w:cs="Times New Roman"/>
          <w:color w:val="000000" w:themeColor="text1"/>
          <w:sz w:val="24"/>
          <w:szCs w:val="24"/>
        </w:rPr>
        <w:t xml:space="preserve">that can function </w:t>
      </w:r>
      <w:r w:rsidR="002F3A1C" w:rsidRPr="009018DF">
        <w:rPr>
          <w:rFonts w:ascii="Garamond" w:hAnsi="Garamond" w:cs="Times New Roman"/>
          <w:color w:val="000000" w:themeColor="text1"/>
          <w:sz w:val="24"/>
          <w:szCs w:val="24"/>
        </w:rPr>
        <w:t xml:space="preserve">both a) </w:t>
      </w:r>
      <w:r w:rsidR="002F3A1C" w:rsidRPr="009018DF">
        <w:rPr>
          <w:rFonts w:ascii="Garamond" w:hAnsi="Garamond" w:cs="Times New Roman"/>
          <w:i/>
          <w:color w:val="000000" w:themeColor="text1"/>
          <w:sz w:val="24"/>
          <w:szCs w:val="24"/>
        </w:rPr>
        <w:t>within cultures</w:t>
      </w:r>
      <w:r w:rsidR="002F3A1C" w:rsidRPr="009018DF">
        <w:rPr>
          <w:rFonts w:ascii="Garamond" w:hAnsi="Garamond" w:cs="Times New Roman"/>
          <w:color w:val="000000" w:themeColor="text1"/>
          <w:sz w:val="24"/>
          <w:szCs w:val="24"/>
        </w:rPr>
        <w:t xml:space="preserve">, represented by the ecumenical context of multiple Christian traditions, </w:t>
      </w:r>
      <w:r w:rsidR="008139CD" w:rsidRPr="009018DF">
        <w:rPr>
          <w:rFonts w:ascii="Garamond" w:hAnsi="Garamond" w:cs="Times New Roman"/>
          <w:color w:val="000000" w:themeColor="text1"/>
          <w:sz w:val="24"/>
          <w:szCs w:val="24"/>
        </w:rPr>
        <w:t>and</w:t>
      </w:r>
      <w:r w:rsidR="002F3A1C" w:rsidRPr="009018DF">
        <w:rPr>
          <w:rFonts w:ascii="Garamond" w:hAnsi="Garamond" w:cs="Times New Roman"/>
          <w:color w:val="000000" w:themeColor="text1"/>
          <w:sz w:val="24"/>
          <w:szCs w:val="24"/>
        </w:rPr>
        <w:t xml:space="preserve"> b) </w:t>
      </w:r>
      <w:r w:rsidR="002F3A1C" w:rsidRPr="009018DF">
        <w:rPr>
          <w:rFonts w:ascii="Garamond" w:hAnsi="Garamond" w:cs="Times New Roman"/>
          <w:i/>
          <w:color w:val="000000" w:themeColor="text1"/>
          <w:sz w:val="24"/>
          <w:szCs w:val="24"/>
        </w:rPr>
        <w:t>across cultures</w:t>
      </w:r>
      <w:r w:rsidR="002F3A1C" w:rsidRPr="009018DF">
        <w:rPr>
          <w:rFonts w:ascii="Garamond" w:hAnsi="Garamond" w:cs="Times New Roman"/>
          <w:color w:val="000000" w:themeColor="text1"/>
          <w:sz w:val="24"/>
          <w:szCs w:val="24"/>
        </w:rPr>
        <w:t xml:space="preserve">, which refer to interreligious encounters and dialogue, specifically between Christianity and Islam. </w:t>
      </w:r>
      <w:r w:rsidR="009358C0" w:rsidRPr="009018DF">
        <w:rPr>
          <w:rFonts w:ascii="Garamond" w:hAnsi="Garamond" w:cs="Times New Roman"/>
          <w:color w:val="000000" w:themeColor="text1"/>
          <w:sz w:val="24"/>
          <w:szCs w:val="24"/>
        </w:rPr>
        <w:t>In terms of methodology, I shall apply a deductive approach th</w:t>
      </w:r>
      <w:r w:rsidR="00197AEB" w:rsidRPr="009018DF">
        <w:rPr>
          <w:rFonts w:ascii="Garamond" w:hAnsi="Garamond" w:cs="Times New Roman"/>
          <w:color w:val="000000" w:themeColor="text1"/>
          <w:sz w:val="24"/>
          <w:szCs w:val="24"/>
        </w:rPr>
        <w:t>at will be grounded by</w:t>
      </w:r>
      <w:r w:rsidR="009358C0" w:rsidRPr="009018DF">
        <w:rPr>
          <w:rFonts w:ascii="Garamond" w:hAnsi="Garamond" w:cs="Times New Roman"/>
          <w:color w:val="000000" w:themeColor="text1"/>
          <w:sz w:val="24"/>
          <w:szCs w:val="24"/>
        </w:rPr>
        <w:t xml:space="preserve"> a close reading of the Trinitarian hermeneutics of </w:t>
      </w:r>
      <w:r w:rsidR="00460477" w:rsidRPr="009018DF">
        <w:rPr>
          <w:rFonts w:ascii="Garamond" w:hAnsi="Garamond" w:cs="Times New Roman"/>
          <w:color w:val="000000" w:themeColor="text1"/>
          <w:sz w:val="24"/>
          <w:szCs w:val="24"/>
        </w:rPr>
        <w:t xml:space="preserve">the Anglican theologian </w:t>
      </w:r>
      <w:r w:rsidR="009358C0" w:rsidRPr="009018DF">
        <w:rPr>
          <w:rFonts w:ascii="Garamond" w:hAnsi="Garamond" w:cs="Times New Roman"/>
          <w:color w:val="000000" w:themeColor="text1"/>
          <w:sz w:val="24"/>
          <w:szCs w:val="24"/>
        </w:rPr>
        <w:t>Michael Ipgrave as well as select ecclesial texts from the Roman Catholic and Anglican Communion</w:t>
      </w:r>
      <w:r w:rsidR="00381E76" w:rsidRPr="009018DF">
        <w:rPr>
          <w:rFonts w:ascii="Garamond" w:hAnsi="Garamond" w:cs="Times New Roman"/>
          <w:color w:val="000000" w:themeColor="text1"/>
          <w:sz w:val="24"/>
          <w:szCs w:val="24"/>
        </w:rPr>
        <w:t xml:space="preserve"> that map out tripartite Trinitarian orientations that align with Ipgrave’s framework</w:t>
      </w:r>
      <w:r w:rsidR="009358C0" w:rsidRPr="009018DF">
        <w:rPr>
          <w:rFonts w:ascii="Garamond" w:hAnsi="Garamond" w:cs="Times New Roman"/>
          <w:color w:val="000000" w:themeColor="text1"/>
          <w:sz w:val="24"/>
          <w:szCs w:val="24"/>
        </w:rPr>
        <w:t xml:space="preserve">. The Trinitarian hermeneutics is then integrated with the inclusive framework of </w:t>
      </w:r>
      <w:r w:rsidR="009358C0" w:rsidRPr="009018DF">
        <w:rPr>
          <w:rFonts w:ascii="Garamond" w:hAnsi="Garamond" w:cs="Times New Roman"/>
          <w:i/>
          <w:iCs/>
          <w:color w:val="000000" w:themeColor="text1"/>
          <w:sz w:val="24"/>
          <w:szCs w:val="24"/>
        </w:rPr>
        <w:t>identity-in-difference</w:t>
      </w:r>
      <w:r w:rsidR="009358C0" w:rsidRPr="009018DF">
        <w:rPr>
          <w:rFonts w:ascii="Garamond" w:hAnsi="Garamond" w:cs="Times New Roman"/>
          <w:color w:val="000000" w:themeColor="text1"/>
          <w:sz w:val="24"/>
          <w:szCs w:val="24"/>
        </w:rPr>
        <w:t>, in which the concepts of ‘identity’ and ‘difference’ are considered as interrelated realities. To accomplish</w:t>
      </w:r>
      <w:r w:rsidRPr="009018DF">
        <w:rPr>
          <w:rFonts w:ascii="Garamond" w:hAnsi="Garamond" w:cs="Times New Roman"/>
          <w:color w:val="000000" w:themeColor="text1"/>
          <w:sz w:val="24"/>
          <w:szCs w:val="24"/>
        </w:rPr>
        <w:t xml:space="preserve"> the set objective</w:t>
      </w:r>
      <w:r w:rsidR="00922CA8" w:rsidRPr="009018DF">
        <w:rPr>
          <w:rFonts w:ascii="Garamond" w:hAnsi="Garamond" w:cs="Times New Roman"/>
          <w:color w:val="000000" w:themeColor="text1"/>
          <w:sz w:val="24"/>
          <w:szCs w:val="24"/>
        </w:rPr>
        <w:t>, I shall proceed in five steps.</w:t>
      </w:r>
      <w:r w:rsidR="00285CCC" w:rsidRPr="009018DF">
        <w:rPr>
          <w:rFonts w:ascii="Garamond" w:hAnsi="Garamond" w:cs="Times New Roman"/>
          <w:color w:val="000000" w:themeColor="text1"/>
          <w:sz w:val="24"/>
          <w:szCs w:val="24"/>
        </w:rPr>
        <w:t xml:space="preserve"> </w:t>
      </w:r>
      <w:r w:rsidR="00A86B7C" w:rsidRPr="009018DF">
        <w:rPr>
          <w:rFonts w:ascii="Garamond" w:hAnsi="Garamond" w:cs="Times New Roman"/>
          <w:color w:val="000000" w:themeColor="text1"/>
          <w:sz w:val="24"/>
          <w:szCs w:val="24"/>
        </w:rPr>
        <w:t>The first</w:t>
      </w:r>
      <w:r w:rsidR="00087E29" w:rsidRPr="009018DF">
        <w:rPr>
          <w:rFonts w:ascii="Garamond" w:hAnsi="Garamond" w:cs="Times New Roman"/>
          <w:color w:val="000000" w:themeColor="text1"/>
          <w:sz w:val="24"/>
          <w:szCs w:val="24"/>
        </w:rPr>
        <w:t xml:space="preserve"> is to explore the contexts of dialogue that are founded on a Trinitarian approach. The second is to seek insights from a model of Trinitarian patterning that is proposed by Ipgra</w:t>
      </w:r>
      <w:r w:rsidR="00B90A02" w:rsidRPr="009018DF">
        <w:rPr>
          <w:rFonts w:ascii="Garamond" w:hAnsi="Garamond" w:cs="Times New Roman"/>
          <w:color w:val="000000" w:themeColor="text1"/>
          <w:sz w:val="24"/>
          <w:szCs w:val="24"/>
        </w:rPr>
        <w:t>v</w:t>
      </w:r>
      <w:r w:rsidR="00087E29" w:rsidRPr="009018DF">
        <w:rPr>
          <w:rFonts w:ascii="Garamond" w:hAnsi="Garamond" w:cs="Times New Roman"/>
          <w:color w:val="000000" w:themeColor="text1"/>
          <w:sz w:val="24"/>
          <w:szCs w:val="24"/>
        </w:rPr>
        <w:t xml:space="preserve">e. The third is to define intercultural hermeneutics, and at the same time attempt a definition of </w:t>
      </w:r>
      <w:r w:rsidR="00087E29" w:rsidRPr="009018DF">
        <w:rPr>
          <w:rFonts w:ascii="Garamond" w:hAnsi="Garamond" w:cs="Times New Roman"/>
          <w:i/>
          <w:color w:val="000000" w:themeColor="text1"/>
          <w:sz w:val="24"/>
          <w:szCs w:val="24"/>
        </w:rPr>
        <w:t>a</w:t>
      </w:r>
      <w:r w:rsidR="00087E29" w:rsidRPr="009018DF">
        <w:rPr>
          <w:rFonts w:ascii="Garamond" w:hAnsi="Garamond" w:cs="Times New Roman"/>
          <w:color w:val="000000" w:themeColor="text1"/>
          <w:sz w:val="24"/>
          <w:szCs w:val="24"/>
        </w:rPr>
        <w:t xml:space="preserve"> Trinitarian version of this hemeneutics of dialogue. The fourth step would be to further develop this Trinitarian intercultural hermeneutics. Finally, I shall explore the relationship among the threefold implications of this hermeneutics </w:t>
      </w:r>
      <w:r w:rsidR="00460477" w:rsidRPr="009018DF">
        <w:rPr>
          <w:rFonts w:ascii="Garamond" w:hAnsi="Garamond" w:cs="Times New Roman"/>
          <w:color w:val="000000" w:themeColor="text1"/>
          <w:sz w:val="24"/>
          <w:szCs w:val="24"/>
        </w:rPr>
        <w:t>in the light of</w:t>
      </w:r>
      <w:r w:rsidR="00087E29" w:rsidRPr="009018DF">
        <w:rPr>
          <w:rFonts w:ascii="Garamond" w:hAnsi="Garamond" w:cs="Times New Roman"/>
          <w:color w:val="000000" w:themeColor="text1"/>
          <w:sz w:val="24"/>
          <w:szCs w:val="24"/>
        </w:rPr>
        <w:t xml:space="preserve"> some remaining questions</w:t>
      </w:r>
      <w:r w:rsidR="00460477" w:rsidRPr="009018DF">
        <w:rPr>
          <w:rFonts w:ascii="Garamond" w:hAnsi="Garamond" w:cs="Times New Roman"/>
          <w:color w:val="000000" w:themeColor="text1"/>
          <w:sz w:val="24"/>
          <w:szCs w:val="24"/>
        </w:rPr>
        <w:t>, while proposing a ‘spirituality’ that would make the proposed Trinitarian dialogue possible.</w:t>
      </w:r>
    </w:p>
    <w:p w14:paraId="23E5856E" w14:textId="77777777" w:rsidR="000C4F14" w:rsidRPr="009018DF" w:rsidRDefault="000C4F14" w:rsidP="008B26CC">
      <w:pPr>
        <w:spacing w:before="0" w:after="0"/>
        <w:rPr>
          <w:rFonts w:ascii="Garamond" w:hAnsi="Garamond" w:cs="Times New Roman"/>
          <w:color w:val="000000" w:themeColor="text1"/>
          <w:sz w:val="24"/>
          <w:szCs w:val="24"/>
        </w:rPr>
      </w:pPr>
    </w:p>
    <w:p w14:paraId="3A968546" w14:textId="77777777" w:rsidR="00830876" w:rsidRPr="009018DF" w:rsidRDefault="00830876" w:rsidP="008B26CC">
      <w:pPr>
        <w:spacing w:before="0" w:after="0"/>
        <w:rPr>
          <w:rFonts w:ascii="Garamond" w:hAnsi="Garamond" w:cs="Times New Roman"/>
          <w:color w:val="000000" w:themeColor="text1"/>
          <w:sz w:val="24"/>
          <w:szCs w:val="24"/>
        </w:rPr>
      </w:pPr>
    </w:p>
    <w:p w14:paraId="30B21ED6" w14:textId="47E783C0" w:rsidR="00CC1327" w:rsidRPr="009018DF" w:rsidRDefault="001E298B" w:rsidP="008B26CC">
      <w:pPr>
        <w:spacing w:before="0" w:after="0"/>
        <w:rPr>
          <w:rFonts w:ascii="Garamond" w:hAnsi="Garamond" w:cs="Times New Roman"/>
          <w:b/>
          <w:bCs/>
          <w:color w:val="000000" w:themeColor="text1"/>
          <w:sz w:val="24"/>
          <w:szCs w:val="24"/>
        </w:rPr>
      </w:pPr>
      <w:r w:rsidRPr="009018DF">
        <w:rPr>
          <w:rFonts w:ascii="Garamond" w:hAnsi="Garamond" w:cs="Times New Roman"/>
          <w:b/>
          <w:bCs/>
          <w:color w:val="000000" w:themeColor="text1"/>
          <w:sz w:val="24"/>
          <w:szCs w:val="24"/>
        </w:rPr>
        <w:t>Mapping the Contexts of Dialogue: Of a Trinitarian Foundation</w:t>
      </w:r>
    </w:p>
    <w:p w14:paraId="4E1D3F19" w14:textId="77777777" w:rsidR="00504F81" w:rsidRPr="009018DF" w:rsidRDefault="00504F81" w:rsidP="008B26CC">
      <w:pPr>
        <w:spacing w:before="0" w:after="0"/>
        <w:ind w:firstLine="567"/>
        <w:rPr>
          <w:rFonts w:ascii="Garamond" w:hAnsi="Garamond" w:cs="Times New Roman"/>
          <w:b/>
          <w:color w:val="000000" w:themeColor="text1"/>
          <w:sz w:val="24"/>
          <w:szCs w:val="24"/>
        </w:rPr>
      </w:pPr>
    </w:p>
    <w:p w14:paraId="70115C8B" w14:textId="77B70D7E" w:rsidR="00B96D02" w:rsidRPr="009018DF" w:rsidRDefault="00D47ADF" w:rsidP="008B26CC">
      <w:pPr>
        <w:spacing w:before="0" w:after="0"/>
        <w:rPr>
          <w:rFonts w:ascii="Garamond" w:hAnsi="Garamond" w:cs="Times New Roman"/>
          <w:color w:val="000000" w:themeColor="text1"/>
          <w:sz w:val="24"/>
          <w:szCs w:val="24"/>
        </w:rPr>
      </w:pPr>
      <w:r w:rsidRPr="009018DF">
        <w:rPr>
          <w:rFonts w:ascii="Garamond" w:hAnsi="Garamond" w:cs="Times New Roman"/>
          <w:color w:val="000000" w:themeColor="text1"/>
          <w:sz w:val="24"/>
          <w:szCs w:val="24"/>
        </w:rPr>
        <w:t xml:space="preserve">The inner-Trinitarian relationship of the Father, Son and Holy Spirit who perfectly co-inhere in one another provides a perfect example of the intermingling of identity and difference. For since the co-inherence (unity) of the three divine persons does not in anyway diminish their uniqueness (threeness), the </w:t>
      </w:r>
      <w:r w:rsidR="005817A7" w:rsidRPr="009018DF">
        <w:rPr>
          <w:rFonts w:ascii="Garamond" w:hAnsi="Garamond" w:cs="Times New Roman"/>
          <w:color w:val="000000" w:themeColor="text1"/>
          <w:sz w:val="24"/>
          <w:szCs w:val="24"/>
        </w:rPr>
        <w:t>aforementioned intermingling</w:t>
      </w:r>
      <w:r w:rsidRPr="009018DF">
        <w:rPr>
          <w:rFonts w:ascii="Garamond" w:hAnsi="Garamond" w:cs="Times New Roman"/>
          <w:color w:val="000000" w:themeColor="text1"/>
          <w:sz w:val="24"/>
          <w:szCs w:val="24"/>
        </w:rPr>
        <w:t xml:space="preserve"> of identity and difference is </w:t>
      </w:r>
      <w:r w:rsidR="005817A7" w:rsidRPr="009018DF">
        <w:rPr>
          <w:rFonts w:ascii="Garamond" w:hAnsi="Garamond" w:cs="Times New Roman"/>
          <w:color w:val="000000" w:themeColor="text1"/>
          <w:sz w:val="24"/>
          <w:szCs w:val="24"/>
        </w:rPr>
        <w:t xml:space="preserve">then </w:t>
      </w:r>
      <w:r w:rsidRPr="009018DF">
        <w:rPr>
          <w:rFonts w:ascii="Garamond" w:hAnsi="Garamond" w:cs="Times New Roman"/>
          <w:color w:val="000000" w:themeColor="text1"/>
          <w:sz w:val="24"/>
          <w:szCs w:val="24"/>
        </w:rPr>
        <w:t xml:space="preserve">better rendered as </w:t>
      </w:r>
      <w:r w:rsidRPr="009018DF">
        <w:rPr>
          <w:rFonts w:ascii="Garamond" w:hAnsi="Garamond" w:cs="Times New Roman"/>
          <w:i/>
          <w:color w:val="000000" w:themeColor="text1"/>
          <w:sz w:val="24"/>
          <w:szCs w:val="24"/>
        </w:rPr>
        <w:t>identity-in-difference</w:t>
      </w:r>
      <w:r w:rsidRPr="009018DF">
        <w:rPr>
          <w:rFonts w:ascii="Garamond" w:hAnsi="Garamond" w:cs="Times New Roman"/>
          <w:color w:val="000000" w:themeColor="text1"/>
          <w:sz w:val="24"/>
          <w:szCs w:val="24"/>
        </w:rPr>
        <w:t xml:space="preserve">. </w:t>
      </w:r>
      <w:r w:rsidR="00B96D02" w:rsidRPr="009018DF">
        <w:rPr>
          <w:rFonts w:ascii="Garamond" w:hAnsi="Garamond" w:cs="Times New Roman"/>
          <w:color w:val="000000" w:themeColor="text1"/>
          <w:sz w:val="24"/>
          <w:szCs w:val="24"/>
        </w:rPr>
        <w:t xml:space="preserve">Given the overriding principle of </w:t>
      </w:r>
      <w:r w:rsidR="00B96D02" w:rsidRPr="009018DF">
        <w:rPr>
          <w:rFonts w:ascii="Garamond" w:hAnsi="Garamond" w:cs="Times New Roman"/>
          <w:i/>
          <w:color w:val="000000" w:themeColor="text1"/>
          <w:sz w:val="24"/>
          <w:szCs w:val="24"/>
        </w:rPr>
        <w:t>identity-in-difference</w:t>
      </w:r>
      <w:r w:rsidR="00B96D02" w:rsidRPr="009018DF">
        <w:rPr>
          <w:rFonts w:ascii="Garamond" w:hAnsi="Garamond" w:cs="Times New Roman"/>
          <w:color w:val="000000" w:themeColor="text1"/>
          <w:sz w:val="24"/>
          <w:szCs w:val="24"/>
        </w:rPr>
        <w:t xml:space="preserve">, it must be noted therefore that </w:t>
      </w:r>
      <w:r w:rsidR="0082506A" w:rsidRPr="009018DF">
        <w:rPr>
          <w:rFonts w:ascii="Garamond" w:hAnsi="Garamond" w:cs="Times New Roman"/>
          <w:color w:val="000000" w:themeColor="text1"/>
          <w:sz w:val="24"/>
          <w:szCs w:val="24"/>
        </w:rPr>
        <w:t>any</w:t>
      </w:r>
      <w:r w:rsidR="00B96D02" w:rsidRPr="009018DF">
        <w:rPr>
          <w:rFonts w:ascii="Garamond" w:hAnsi="Garamond" w:cs="Times New Roman"/>
          <w:color w:val="000000" w:themeColor="text1"/>
          <w:sz w:val="24"/>
          <w:szCs w:val="24"/>
        </w:rPr>
        <w:t xml:space="preserve"> reference to </w:t>
      </w:r>
      <w:r w:rsidR="00B90A02" w:rsidRPr="009018DF">
        <w:rPr>
          <w:rFonts w:ascii="Garamond" w:hAnsi="Garamond" w:cs="Times New Roman"/>
          <w:color w:val="000000" w:themeColor="text1"/>
          <w:sz w:val="24"/>
          <w:szCs w:val="24"/>
        </w:rPr>
        <w:t>any particular</w:t>
      </w:r>
      <w:r w:rsidR="00B96D02" w:rsidRPr="009018DF">
        <w:rPr>
          <w:rFonts w:ascii="Garamond" w:hAnsi="Garamond" w:cs="Times New Roman"/>
          <w:color w:val="000000" w:themeColor="text1"/>
          <w:sz w:val="24"/>
          <w:szCs w:val="24"/>
        </w:rPr>
        <w:t xml:space="preserve"> culture</w:t>
      </w:r>
      <w:r w:rsidR="0082506A" w:rsidRPr="009018DF">
        <w:rPr>
          <w:rFonts w:ascii="Garamond" w:hAnsi="Garamond" w:cs="Times New Roman"/>
          <w:color w:val="000000" w:themeColor="text1"/>
          <w:sz w:val="24"/>
          <w:szCs w:val="24"/>
        </w:rPr>
        <w:t xml:space="preserve"> </w:t>
      </w:r>
      <w:r w:rsidR="00B96D02" w:rsidRPr="009018DF">
        <w:rPr>
          <w:rFonts w:ascii="Garamond" w:hAnsi="Garamond" w:cs="Times New Roman"/>
          <w:color w:val="000000" w:themeColor="text1"/>
          <w:sz w:val="24"/>
          <w:szCs w:val="24"/>
        </w:rPr>
        <w:t xml:space="preserve">cannot be construed in simplistic terms. </w:t>
      </w:r>
      <w:r w:rsidRPr="009018DF">
        <w:rPr>
          <w:rFonts w:ascii="Garamond" w:hAnsi="Garamond" w:cs="Times New Roman"/>
          <w:color w:val="000000" w:themeColor="text1"/>
          <w:sz w:val="24"/>
          <w:szCs w:val="24"/>
        </w:rPr>
        <w:t xml:space="preserve">This is already </w:t>
      </w:r>
      <w:r w:rsidRPr="009018DF">
        <w:rPr>
          <w:rFonts w:ascii="Garamond" w:hAnsi="Garamond" w:cs="Times New Roman"/>
          <w:color w:val="000000" w:themeColor="text1"/>
          <w:sz w:val="24"/>
          <w:szCs w:val="24"/>
        </w:rPr>
        <w:lastRenderedPageBreak/>
        <w:t>made clear by some Nigerian theologians</w:t>
      </w:r>
      <w:r w:rsidR="00583757" w:rsidRPr="009018DF">
        <w:rPr>
          <w:rFonts w:ascii="Garamond" w:hAnsi="Garamond" w:cs="Times New Roman"/>
          <w:color w:val="000000" w:themeColor="text1"/>
          <w:sz w:val="24"/>
          <w:szCs w:val="24"/>
        </w:rPr>
        <w:t>:</w:t>
      </w:r>
      <w:r w:rsidRPr="009018DF">
        <w:rPr>
          <w:rFonts w:ascii="Garamond" w:hAnsi="Garamond" w:cs="Times New Roman"/>
          <w:color w:val="000000" w:themeColor="text1"/>
          <w:sz w:val="24"/>
          <w:szCs w:val="24"/>
        </w:rPr>
        <w:t xml:space="preserve"> Elochukwu Uzukwu’s argument in favor of the African cultural value of existential interrelatedness of all things, as well as Marinus Iwuchukwu’s paradigm of </w:t>
      </w:r>
      <w:r w:rsidRPr="009018DF">
        <w:rPr>
          <w:rFonts w:ascii="Garamond" w:hAnsi="Garamond" w:cs="Times New Roman"/>
          <w:i/>
          <w:iCs/>
          <w:color w:val="000000" w:themeColor="text1"/>
          <w:sz w:val="24"/>
          <w:szCs w:val="24"/>
        </w:rPr>
        <w:t>inclusive religious and cultural pluralism</w:t>
      </w:r>
      <w:r w:rsidRPr="009018DF">
        <w:rPr>
          <w:rFonts w:ascii="Garamond" w:hAnsi="Garamond" w:cs="Times New Roman"/>
          <w:color w:val="000000" w:themeColor="text1"/>
          <w:sz w:val="24"/>
          <w:szCs w:val="24"/>
        </w:rPr>
        <w:t xml:space="preserve"> must not be taken up in isolation to other contexts or cultures.</w:t>
      </w:r>
      <w:r w:rsidR="00B96D02" w:rsidRPr="009018DF">
        <w:rPr>
          <w:rFonts w:ascii="Garamond" w:hAnsi="Garamond" w:cs="Times New Roman"/>
          <w:color w:val="000000" w:themeColor="text1"/>
          <w:sz w:val="24"/>
          <w:szCs w:val="24"/>
        </w:rPr>
        <w:t xml:space="preserve"> One can therefore argue for a theological setting of interculturality in which the interrogation of faith reflects both the multiplicity of cultures/contexts and of their entanglements. Following from this, </w:t>
      </w:r>
      <w:r w:rsidR="00B90A02" w:rsidRPr="009018DF">
        <w:rPr>
          <w:rFonts w:ascii="Garamond" w:hAnsi="Garamond" w:cs="Times New Roman"/>
          <w:color w:val="000000" w:themeColor="text1"/>
          <w:sz w:val="24"/>
          <w:szCs w:val="24"/>
        </w:rPr>
        <w:t>to speak of a</w:t>
      </w:r>
      <w:r w:rsidR="00B96D02" w:rsidRPr="009018DF">
        <w:rPr>
          <w:rFonts w:ascii="Garamond" w:hAnsi="Garamond" w:cs="Times New Roman"/>
          <w:color w:val="000000" w:themeColor="text1"/>
          <w:sz w:val="24"/>
          <w:szCs w:val="24"/>
        </w:rPr>
        <w:t xml:space="preserve"> cultural paradigm to dialogue must admit the entangled nature of the various forms of dialogue – broadly categorized into a) intra-ecclesial dialogue (within a specific Christian community), b) inter-ecclesial (in the form of Christian ecumenism), and c) inter-religious dialogue (among different religious communities).</w:t>
      </w:r>
    </w:p>
    <w:p w14:paraId="651840D9" w14:textId="5DB9A18C" w:rsidR="00B96D02" w:rsidRPr="009018DF" w:rsidRDefault="00460477" w:rsidP="008B26CC">
      <w:pPr>
        <w:spacing w:before="0" w:after="0"/>
        <w:ind w:firstLine="567"/>
        <w:rPr>
          <w:rFonts w:ascii="Garamond" w:hAnsi="Garamond" w:cs="Times New Roman"/>
          <w:color w:val="000000" w:themeColor="text1"/>
          <w:sz w:val="24"/>
          <w:szCs w:val="24"/>
        </w:rPr>
      </w:pPr>
      <w:r w:rsidRPr="009018DF">
        <w:rPr>
          <w:rFonts w:ascii="Garamond" w:hAnsi="Garamond" w:cs="Times New Roman"/>
          <w:noProof/>
          <w:color w:val="000000" w:themeColor="text1"/>
          <w:lang w:val="en-GB" w:eastAsia="en-GB"/>
        </w:rPr>
        <mc:AlternateContent>
          <mc:Choice Requires="wps">
            <w:drawing>
              <wp:anchor distT="0" distB="0" distL="114300" distR="114300" simplePos="0" relativeHeight="251659264" behindDoc="0" locked="0" layoutInCell="1" allowOverlap="1" wp14:anchorId="5487162D" wp14:editId="4315F102">
                <wp:simplePos x="0" y="0"/>
                <wp:positionH relativeFrom="column">
                  <wp:posOffset>1765506</wp:posOffset>
                </wp:positionH>
                <wp:positionV relativeFrom="paragraph">
                  <wp:posOffset>74552</wp:posOffset>
                </wp:positionV>
                <wp:extent cx="1716992" cy="520861"/>
                <wp:effectExtent l="0" t="0" r="10795" b="12700"/>
                <wp:wrapNone/>
                <wp:docPr id="7" name="Rounded Rectangle 7"/>
                <wp:cNvGraphicFramePr/>
                <a:graphic xmlns:a="http://schemas.openxmlformats.org/drawingml/2006/main">
                  <a:graphicData uri="http://schemas.microsoft.com/office/word/2010/wordprocessingShape">
                    <wps:wsp>
                      <wps:cNvSpPr/>
                      <wps:spPr>
                        <a:xfrm>
                          <a:off x="0" y="0"/>
                          <a:ext cx="1716992" cy="520861"/>
                        </a:xfrm>
                        <a:prstGeom prst="roundRect">
                          <a:avLst/>
                        </a:prstGeom>
                      </wps:spPr>
                      <wps:style>
                        <a:lnRef idx="2">
                          <a:schemeClr val="accent5"/>
                        </a:lnRef>
                        <a:fillRef idx="1">
                          <a:schemeClr val="lt1"/>
                        </a:fillRef>
                        <a:effectRef idx="0">
                          <a:schemeClr val="accent5"/>
                        </a:effectRef>
                        <a:fontRef idx="minor">
                          <a:schemeClr val="dk1"/>
                        </a:fontRef>
                      </wps:style>
                      <wps:txbx>
                        <w:txbxContent>
                          <w:p w14:paraId="6384BB47" w14:textId="77777777" w:rsidR="00B96D02" w:rsidRPr="002809B4" w:rsidRDefault="00B96D02" w:rsidP="00B96D02">
                            <w:pPr>
                              <w:spacing w:before="0" w:line="240" w:lineRule="auto"/>
                              <w:jc w:val="center"/>
                              <w:rPr>
                                <w:rFonts w:ascii="Garamond" w:hAnsi="Garamond" w:cs="Times New Roman"/>
                              </w:rPr>
                            </w:pPr>
                            <w:r w:rsidRPr="002809B4">
                              <w:rPr>
                                <w:rFonts w:ascii="Garamond" w:hAnsi="Garamond" w:cs="Times New Roman"/>
                              </w:rPr>
                              <w:t>Inter-ecclesial dialogue (Ecumenism)</w:t>
                            </w:r>
                          </w:p>
                          <w:p w14:paraId="761188CD" w14:textId="77777777" w:rsidR="00B96D02" w:rsidRPr="002809B4" w:rsidRDefault="00B96D02" w:rsidP="00B96D02">
                            <w:pPr>
                              <w:spacing w:before="0" w:line="240" w:lineRule="auto"/>
                              <w:jc w:val="center"/>
                              <w:rPr>
                                <w:rFonts w:ascii="Garamond" w:hAnsi="Garamond" w:cs="Times New Roman"/>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487162D" id="Rounded Rectangle 7" o:spid="_x0000_s1026" style="position:absolute;left:0;text-align:left;margin-left:139pt;margin-top:5.85pt;width:135.2pt;height:4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cZhc2VwIAAPwEAAAOAAAAZHJzL2Uyb0RvYy54bWysVN9P2zAQfp+0/8Hy+5qmokArUlSBmCYh&#13;&#10;QJSJZ9exaTTH553dJt1fv7OTho71adqLY/vuux+fv8vVdVsbtlPoK7AFz0djzpSVUFb2reDfX+6+&#13;&#10;XHLmg7ClMGBVwffK8+vF509XjZurCWzAlAoZBbF+3riCb0Jw8yzzcqNq4UfglCWjBqxFoCO+ZSWK&#13;&#10;hqLXJpuMx+dZA1g6BKm8p9vbzsgXKb7WSoZHrb0KzBScagtpxbSu45otrsT8DYXbVLIvQ/xDFbWo&#13;&#10;LCUdQt2KINgWq79C1ZVE8KDDSEKdgdaVVKkH6iYff+hmtRFOpV6IHO8Gmvz/Cysfdiv3hERD4/zc&#13;&#10;0zZ20Wqs45fqY20iaz+QpdrAJF3mF/n5bDbhTJJtOhlfnueRzewd7dCHrwpqFjcFR9ja8pleJBEl&#13;&#10;dvc+dP4HPwK/F5F2YW9UrMPYZ6VZVVLaSUInfagbg2wn6GWFlMqGaZ8/eUeYrowZgPkpoAmHonvf&#13;&#10;CFNJNwNwfAr4Z8YBkbKCDQO4rizgqQDljyFz53/ovus5th/adds/zBrK/RMyhE7A3sm7iki9Fz48&#13;&#10;CSTFkrZpCsMjLdpAU3Dod5xtAH+duo/+JCSyctbQBBTc/9wKVJyZb5YkNsvPzuLIpMPZ9GJCBzy2&#13;&#10;rI8tdlvfAD1FTvPuZNpG/2AOW41Qv9KwLmNWMgkrKXfBZcDD4SZ0k0njLtVymdxoTJwI93blZAwe&#13;&#10;CY56eWlfBbpeWYE0+QCHaRHzD9rqfCPSwnIbQFdJeJHijteeehqxpN/+dxBn+PicvN5/WovfAAAA&#13;&#10;//8DAFBLAwQUAAYACAAAACEA83nDyOQAAAAOAQAADwAAAGRycy9kb3ducmV2LnhtbEyPQU+DQBCF&#13;&#10;7yb+h82YeLNLsQpSlqbB6qXxYPXgccqugLKzhF0K+usdT3qZZPLevHlfvpltJ05m8K0jBctFBMJQ&#13;&#10;5XRLtYLXl4erFIQPSBo7R0bBl/GwKc7Pcsy0m+jZnA6hFhxCPkMFTQh9JqWvGmPRL1xviLV3N1gM&#13;&#10;vA611ANOHG47GUfRrbTYEn9osDdlY6rPw2gVfOzHnZze4uZ79yQfa9yWVZ+WSl1ezPdrHts1iGDm&#13;&#10;8HcBvwzcHwoudnQjaS86BXGSMlBgYZmAYMPNKl2BOCq4u05AFrn8j1H8AAAA//8DAFBLAQItABQA&#13;&#10;BgAIAAAAIQC2gziS/gAAAOEBAAATAAAAAAAAAAAAAAAAAAAAAABbQ29udGVudF9UeXBlc10ueG1s&#13;&#10;UEsBAi0AFAAGAAgAAAAhADj9If/WAAAAlAEAAAsAAAAAAAAAAAAAAAAALwEAAF9yZWxzLy5yZWxz&#13;&#10;UEsBAi0AFAAGAAgAAAAhABxmFzZXAgAA/AQAAA4AAAAAAAAAAAAAAAAALgIAAGRycy9lMm9Eb2Mu&#13;&#10;eG1sUEsBAi0AFAAGAAgAAAAhAPN5w8jkAAAADgEAAA8AAAAAAAAAAAAAAAAAsQQAAGRycy9kb3du&#13;&#10;cmV2LnhtbFBLBQYAAAAABAAEAPMAAADCBQAAAAA=&#13;&#10;" fillcolor="white [3201]" strokecolor="#5b9bd5 [3208]" strokeweight="1pt">
                <v:stroke joinstyle="miter"/>
                <v:textbox>
                  <w:txbxContent>
                    <w:p w14:paraId="6384BB47" w14:textId="77777777" w:rsidR="00B96D02" w:rsidRPr="002809B4" w:rsidRDefault="00B96D02" w:rsidP="00B96D02">
                      <w:pPr>
                        <w:spacing w:before="0" w:line="240" w:lineRule="auto"/>
                        <w:jc w:val="center"/>
                        <w:rPr>
                          <w:rFonts w:ascii="Garamond" w:hAnsi="Garamond" w:cs="Times New Roman"/>
                        </w:rPr>
                      </w:pPr>
                      <w:r w:rsidRPr="002809B4">
                        <w:rPr>
                          <w:rFonts w:ascii="Garamond" w:hAnsi="Garamond" w:cs="Times New Roman"/>
                        </w:rPr>
                        <w:t>Inter-ecclesial dialogue (Ecumenism)</w:t>
                      </w:r>
                    </w:p>
                    <w:p w14:paraId="761188CD" w14:textId="77777777" w:rsidR="00B96D02" w:rsidRPr="002809B4" w:rsidRDefault="00B96D02" w:rsidP="00B96D02">
                      <w:pPr>
                        <w:spacing w:before="0" w:line="240" w:lineRule="auto"/>
                        <w:jc w:val="center"/>
                        <w:rPr>
                          <w:rFonts w:ascii="Garamond" w:hAnsi="Garamond" w:cs="Times New Roman"/>
                        </w:rPr>
                      </w:pPr>
                    </w:p>
                  </w:txbxContent>
                </v:textbox>
              </v:roundrect>
            </w:pict>
          </mc:Fallback>
        </mc:AlternateContent>
      </w:r>
    </w:p>
    <w:p w14:paraId="3EC03412" w14:textId="0CF9C0E8" w:rsidR="00B96D02" w:rsidRPr="009018DF" w:rsidRDefault="00460477" w:rsidP="008B26CC">
      <w:pPr>
        <w:spacing w:before="0" w:after="0"/>
        <w:rPr>
          <w:rFonts w:ascii="Garamond" w:hAnsi="Garamond" w:cs="Times New Roman"/>
          <w:color w:val="000000" w:themeColor="text1"/>
        </w:rPr>
      </w:pPr>
      <w:r w:rsidRPr="009018DF">
        <w:rPr>
          <w:rFonts w:ascii="Garamond" w:hAnsi="Garamond" w:cs="Times New Roman"/>
          <w:noProof/>
          <w:color w:val="000000" w:themeColor="text1"/>
          <w:lang w:val="en-GB" w:eastAsia="en-GB"/>
        </w:rPr>
        <mc:AlternateContent>
          <mc:Choice Requires="wps">
            <w:drawing>
              <wp:anchor distT="0" distB="0" distL="114300" distR="114300" simplePos="0" relativeHeight="251662336" behindDoc="0" locked="0" layoutInCell="1" allowOverlap="1" wp14:anchorId="5D471EA7" wp14:editId="57CB35EB">
                <wp:simplePos x="0" y="0"/>
                <wp:positionH relativeFrom="column">
                  <wp:posOffset>3479800</wp:posOffset>
                </wp:positionH>
                <wp:positionV relativeFrom="paragraph">
                  <wp:posOffset>150337</wp:posOffset>
                </wp:positionV>
                <wp:extent cx="863600" cy="654050"/>
                <wp:effectExtent l="25400" t="25400" r="38100" b="31750"/>
                <wp:wrapNone/>
                <wp:docPr id="9" name="Straight Arrow Connector 9"/>
                <wp:cNvGraphicFramePr/>
                <a:graphic xmlns:a="http://schemas.openxmlformats.org/drawingml/2006/main">
                  <a:graphicData uri="http://schemas.microsoft.com/office/word/2010/wordprocessingShape">
                    <wps:wsp>
                      <wps:cNvCnPr/>
                      <wps:spPr>
                        <a:xfrm>
                          <a:off x="0" y="0"/>
                          <a:ext cx="863600" cy="654050"/>
                        </a:xfrm>
                        <a:prstGeom prst="straightConnector1">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354DFE57" id="_x0000_t32" coordsize="21600,21600" o:spt="32" o:oned="t" path="m,l21600,21600e" filled="f">
                <v:path arrowok="t" fillok="f" o:connecttype="none"/>
                <o:lock v:ext="edit" shapetype="t"/>
              </v:shapetype>
              <v:shape id="Straight Arrow Connector 9" o:spid="_x0000_s1026" type="#_x0000_t32" style="position:absolute;margin-left:274pt;margin-top:11.85pt;width:68pt;height:51.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TLMS9xQEAAOsDAAAOAAAAZHJzL2Uyb0RvYy54bWysU9uO0zAQfUfiHyy/06QLW62ipvvQBV4Q&#13;&#10;rLh8gNcZJ5Z8kz00yd8zdtoUwQoJxMvE9vicmXM82d9P1rATxKS9a/l2U3MGTvpOu77l376+e3XH&#13;&#10;WULhOmG8g5bPkPj94eWL/RgauPGDNx1ERiQuNWNo+YAYmqpKcgAr0sYHcJRUPlqBtI191UUxErs1&#13;&#10;1U1d76rRxy5ELyElOn1YkvxQ+JUCiZ+USoDMtJx6wxJjiU85Voe9aPoowqDluQ3xD11YoR0VXake&#13;&#10;BAr2PerfqKyW0SevcCO9rbxSWkLRQGq29S9qvgwiQNFC5qSw2pT+H638eDq6x0g2jCE1KTzGrGJS&#13;&#10;0eYv9cemYta8mgUTMkmHd7vXu5oslZTa3b6pb4uZ1RUcYsL34C3Li5YnjEL3Ax69c/QsPm6LYeL0&#13;&#10;ISGVJ+AFkCsbl+MAonvrOoZzoNnBqIXrDSyPhkKb53NEleHVVVFZ4Wxgof4MiumONCwtlGGDo4ns&#13;&#10;JGhMhJTgcJurFCa6nWFKG7MC69L7H4Hn+xkKZRD/BrwiSmXvcAVb7Xx8rjpOl5bVcv/iwKI7W/Dk&#13;&#10;u7m8dbGGJqooPE9/Htmf9wV+/UcPPwAAAP//AwBQSwMEFAAGAAgAAAAhAEbHmc3jAAAADwEAAA8A&#13;&#10;AABkcnMvZG93bnJldi54bWxMj09PwzAMxe9IfIfISNxYQhld1zWdEAh2Q2JD4po2WVvROFWS/uHb&#13;&#10;Y07sYsn28/P7FfvF9mwyPnQOJdyvBDCDtdMdNhI+T693GbAQFWrVOzQSfkyAfXl9Vahcuxk/zHSM&#13;&#10;DSMTDLmS0MY45JyHujVWhZUbDNLu7LxVkVrfcO3VTOa254kQKbeqQ/rQqsE8t6b+Po5WAn4t4tQM&#13;&#10;4vw+T4fKb9/iGA5bKW9vlpcdlacdsGiW+H8BfwyUH0oKVrkRdWC9hMd1RkBRQvKwAUaCNFvToCJl&#13;&#10;km6AlwW/5Ch/AQAA//8DAFBLAQItABQABgAIAAAAIQC2gziS/gAAAOEBAAATAAAAAAAAAAAAAAAA&#13;&#10;AAAAAABbQ29udGVudF9UeXBlc10ueG1sUEsBAi0AFAAGAAgAAAAhADj9If/WAAAAlAEAAAsAAAAA&#13;&#10;AAAAAAAAAAAALwEAAF9yZWxzLy5yZWxzUEsBAi0AFAAGAAgAAAAhANMsxL3FAQAA6wMAAA4AAAAA&#13;&#10;AAAAAAAAAAAALgIAAGRycy9lMm9Eb2MueG1sUEsBAi0AFAAGAAgAAAAhAEbHmc3jAAAADwEAAA8A&#13;&#10;AAAAAAAAAAAAAAAAHwQAAGRycy9kb3ducmV2LnhtbFBLBQYAAAAABAAEAPMAAAAvBQAAAAA=&#13;&#10;" strokecolor="#4472c4 [3204]" strokeweight=".5pt">
                <v:stroke startarrow="block" endarrow="block" joinstyle="miter"/>
              </v:shape>
            </w:pict>
          </mc:Fallback>
        </mc:AlternateContent>
      </w:r>
      <w:r w:rsidRPr="009018DF">
        <w:rPr>
          <w:rFonts w:ascii="Garamond" w:hAnsi="Garamond" w:cs="Times New Roman"/>
          <w:noProof/>
          <w:color w:val="000000" w:themeColor="text1"/>
          <w:lang w:val="en-GB" w:eastAsia="en-GB"/>
        </w:rPr>
        <mc:AlternateContent>
          <mc:Choice Requires="wps">
            <w:drawing>
              <wp:anchor distT="0" distB="0" distL="114300" distR="114300" simplePos="0" relativeHeight="251663360" behindDoc="0" locked="0" layoutInCell="1" allowOverlap="1" wp14:anchorId="36D19E64" wp14:editId="701EE7F8">
                <wp:simplePos x="0" y="0"/>
                <wp:positionH relativeFrom="column">
                  <wp:posOffset>877999</wp:posOffset>
                </wp:positionH>
                <wp:positionV relativeFrom="paragraph">
                  <wp:posOffset>153156</wp:posOffset>
                </wp:positionV>
                <wp:extent cx="885463" cy="595903"/>
                <wp:effectExtent l="25400" t="25400" r="41910" b="39370"/>
                <wp:wrapNone/>
                <wp:docPr id="10" name="Straight Arrow Connector 10"/>
                <wp:cNvGraphicFramePr/>
                <a:graphic xmlns:a="http://schemas.openxmlformats.org/drawingml/2006/main">
                  <a:graphicData uri="http://schemas.microsoft.com/office/word/2010/wordprocessingShape">
                    <wps:wsp>
                      <wps:cNvCnPr/>
                      <wps:spPr>
                        <a:xfrm flipH="1">
                          <a:off x="0" y="0"/>
                          <a:ext cx="885463" cy="595903"/>
                        </a:xfrm>
                        <a:prstGeom prst="straightConnector1">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EC40D9A" id="Straight Arrow Connector 10" o:spid="_x0000_s1026" type="#_x0000_t32" style="position:absolute;margin-left:69.15pt;margin-top:12.05pt;width:69.7pt;height:46.9pt;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N/qSTzgEAAPUDAAAOAAAAZHJzL2Uyb0RvYy54bWysU8tu2zAQvBfoPxC815KTOnAEyzk4fRyK&#13;&#10;NujjAxhqKRHgC+TWkv++S8pWijYo0KIXguRyZndml7u7yRp2hJi0dy1fr2rOwEnfade3/NvXt6+2&#13;&#10;nCUUrhPGO2j5CRK/2798sRtDA1d+8KaDyIjEpWYMLR8QQ1NVSQ5gRVr5AI6CykcrkI6xr7ooRmK3&#13;&#10;prqq65tq9LEL0UtIiW7v5yDfF36lQOInpRIgMy2n2rCssayPea32O9H0UYRBy3MZ4h+qsEI7SrpQ&#13;&#10;3QsU7HvUv1FZLaNPXuFKelt5pbSEooHUrOtf1HwZRICihcxJYbEp/T9a+fF4cA+RbBhDalJ4iFnF&#13;&#10;pKJlyujwnnpadFGlbCq2nRbbYEIm6XK73by+ueZMUmhzu7mtr7Ot1UyT6UJM+A68ZXnT8oRR6H7A&#13;&#10;g3eOGuTjnEIcPyScgRdABhuX1wFE98Z1DE+BpgijFq43MLcPhTbPx6iGDK+etJUdngzM1J9BMd2R&#13;&#10;hrmEMnZwMJEdBQ2MkBIcrs9qjKPXGaa0MQuwLvb8EXh+n6FQRvJvwAuiZPYOF7DVzsfnsuN0KVnN&#13;&#10;7y8OzLqzBY++O5WuF2totkq/zv8gD+/P5wJ/+q37HwAAAP//AwBQSwMEFAAGAAgAAAAhACz3tSPd&#13;&#10;AAAADwEAAA8AAABkcnMvZG93bnJldi54bWxMT8tOwzAQvCPxD9YicaN2UoRLGqdCII4cSPMB29gk&#13;&#10;AT+i2Hnw9ywnuKw0msfOlKfNWbaYKQ7BK8h2ApjxbdCD7xQ059e7A7CY0Gu0wRsF3ybCqbq+KrHQ&#13;&#10;YfXvZqlTxyjExwIV9CmNBeex7Y3DuAuj8cR9hMlhIjh1XE+4UrizPBfigTscPH3ocTTPvWm/6tkp&#13;&#10;iF2L8ypsiHMtm8+3pXHaCaVub7aXI52nI7BktvTngN8N1B8qKnYJs9eRWcL7w56kCvL7DBgJcikl&#13;&#10;sAsxmXwEXpX8/47qBwAA//8DAFBLAQItABQABgAIAAAAIQC2gziS/gAAAOEBAAATAAAAAAAAAAAA&#13;&#10;AAAAAAAAAABbQ29udGVudF9UeXBlc10ueG1sUEsBAi0AFAAGAAgAAAAhADj9If/WAAAAlAEAAAsA&#13;&#10;AAAAAAAAAAAAAAAALwEAAF9yZWxzLy5yZWxzUEsBAi0AFAAGAAgAAAAhAM3+pJPOAQAA9QMAAA4A&#13;&#10;AAAAAAAAAAAAAAAALgIAAGRycy9lMm9Eb2MueG1sUEsBAi0AFAAGAAgAAAAhACz3tSPdAAAADwEA&#13;&#10;AA8AAAAAAAAAAAAAAAAAKAQAAGRycy9kb3ducmV2LnhtbFBLBQYAAAAABAAEAPMAAAAyBQAAAAA=&#13;&#10;" strokecolor="#4472c4 [3204]" strokeweight=".5pt">
                <v:stroke startarrow="block" endarrow="block" joinstyle="miter"/>
              </v:shape>
            </w:pict>
          </mc:Fallback>
        </mc:AlternateContent>
      </w:r>
    </w:p>
    <w:p w14:paraId="6E9A6164" w14:textId="39BFC51D" w:rsidR="00B96D02" w:rsidRPr="009018DF" w:rsidRDefault="00B96D02" w:rsidP="008B26CC">
      <w:pPr>
        <w:spacing w:before="0" w:after="0"/>
        <w:rPr>
          <w:rFonts w:ascii="Garamond" w:hAnsi="Garamond" w:cs="Times New Roman"/>
          <w:color w:val="000000" w:themeColor="text1"/>
        </w:rPr>
      </w:pPr>
    </w:p>
    <w:p w14:paraId="339724C7" w14:textId="77777777" w:rsidR="00B96D02" w:rsidRPr="009018DF" w:rsidRDefault="00B96D02" w:rsidP="008B26CC">
      <w:pPr>
        <w:spacing w:before="0" w:after="0"/>
        <w:rPr>
          <w:rFonts w:ascii="Garamond" w:hAnsi="Garamond" w:cs="Times New Roman"/>
          <w:color w:val="000000" w:themeColor="text1"/>
        </w:rPr>
      </w:pPr>
    </w:p>
    <w:p w14:paraId="486AAC0D" w14:textId="45A39996" w:rsidR="00B96D02" w:rsidRPr="009018DF" w:rsidRDefault="00B96D02" w:rsidP="008B26CC">
      <w:pPr>
        <w:spacing w:before="0" w:after="0"/>
        <w:rPr>
          <w:rFonts w:ascii="Garamond" w:hAnsi="Garamond" w:cs="Times New Roman"/>
          <w:color w:val="000000" w:themeColor="text1"/>
        </w:rPr>
      </w:pPr>
    </w:p>
    <w:p w14:paraId="3F574CAF" w14:textId="78709F4E" w:rsidR="00B96D02" w:rsidRPr="009018DF" w:rsidRDefault="00460477" w:rsidP="008B26CC">
      <w:pPr>
        <w:spacing w:before="0" w:after="0"/>
        <w:rPr>
          <w:rFonts w:ascii="Garamond" w:hAnsi="Garamond" w:cs="Times New Roman"/>
          <w:color w:val="000000" w:themeColor="text1"/>
        </w:rPr>
      </w:pPr>
      <w:r w:rsidRPr="009018DF">
        <w:rPr>
          <w:rFonts w:ascii="Garamond" w:hAnsi="Garamond" w:cs="Times New Roman"/>
          <w:noProof/>
          <w:color w:val="000000" w:themeColor="text1"/>
          <w:lang w:val="en-GB" w:eastAsia="en-GB"/>
        </w:rPr>
        <mc:AlternateContent>
          <mc:Choice Requires="wps">
            <w:drawing>
              <wp:anchor distT="0" distB="0" distL="114300" distR="114300" simplePos="0" relativeHeight="251660288" behindDoc="0" locked="0" layoutInCell="1" allowOverlap="1" wp14:anchorId="438B36AA" wp14:editId="1D4AE993">
                <wp:simplePos x="0" y="0"/>
                <wp:positionH relativeFrom="column">
                  <wp:posOffset>3166268</wp:posOffset>
                </wp:positionH>
                <wp:positionV relativeFrom="paragraph">
                  <wp:posOffset>80645</wp:posOffset>
                </wp:positionV>
                <wp:extent cx="2270861" cy="466284"/>
                <wp:effectExtent l="12700" t="12700" r="15240" b="16510"/>
                <wp:wrapNone/>
                <wp:docPr id="12" name="Rounded Rectangle 12"/>
                <wp:cNvGraphicFramePr/>
                <a:graphic xmlns:a="http://schemas.openxmlformats.org/drawingml/2006/main">
                  <a:graphicData uri="http://schemas.microsoft.com/office/word/2010/wordprocessingShape">
                    <wps:wsp>
                      <wps:cNvSpPr/>
                      <wps:spPr>
                        <a:xfrm>
                          <a:off x="0" y="0"/>
                          <a:ext cx="2270861" cy="466284"/>
                        </a:xfrm>
                        <a:prstGeom prst="roundRect">
                          <a:avLst/>
                        </a:prstGeom>
                      </wps:spPr>
                      <wps:style>
                        <a:lnRef idx="2">
                          <a:schemeClr val="accent5"/>
                        </a:lnRef>
                        <a:fillRef idx="1">
                          <a:schemeClr val="lt1"/>
                        </a:fillRef>
                        <a:effectRef idx="0">
                          <a:schemeClr val="accent5"/>
                        </a:effectRef>
                        <a:fontRef idx="minor">
                          <a:schemeClr val="dk1"/>
                        </a:fontRef>
                      </wps:style>
                      <wps:txbx>
                        <w:txbxContent>
                          <w:p w14:paraId="14FFF91C" w14:textId="77777777" w:rsidR="00B96D02" w:rsidRPr="002809B4" w:rsidRDefault="00B96D02" w:rsidP="00B96D02">
                            <w:pPr>
                              <w:spacing w:before="0" w:after="0" w:line="240" w:lineRule="auto"/>
                              <w:jc w:val="center"/>
                              <w:rPr>
                                <w:rFonts w:ascii="Garamond" w:hAnsi="Garamond" w:cs="Times New Roman"/>
                                <w:sz w:val="20"/>
                                <w:szCs w:val="20"/>
                              </w:rPr>
                            </w:pPr>
                            <w:r w:rsidRPr="002809B4">
                              <w:rPr>
                                <w:rFonts w:ascii="Garamond" w:hAnsi="Garamond" w:cs="Times New Roman"/>
                                <w:sz w:val="20"/>
                                <w:szCs w:val="20"/>
                              </w:rPr>
                              <w:t>Intra-ecclesial dialogue (Intra-communal)</w:t>
                            </w:r>
                          </w:p>
                          <w:p w14:paraId="3B0476BF" w14:textId="77777777" w:rsidR="00B96D02" w:rsidRPr="002809B4" w:rsidRDefault="00B96D02" w:rsidP="00B96D02">
                            <w:pPr>
                              <w:spacing w:before="0" w:after="0" w:line="240" w:lineRule="auto"/>
                              <w:jc w:val="center"/>
                              <w:rPr>
                                <w:rFonts w:ascii="Garamond" w:hAnsi="Garamond" w:cs="Times New Roman"/>
                                <w:sz w:val="20"/>
                                <w:szCs w:val="20"/>
                              </w:rPr>
                            </w:pPr>
                            <w:r w:rsidRPr="002809B4">
                              <w:rPr>
                                <w:rFonts w:ascii="Garamond" w:hAnsi="Garamond" w:cs="Times New Roman"/>
                                <w:sz w:val="20"/>
                                <w:szCs w:val="20"/>
                              </w:rPr>
                              <w:t>= reform, renewal, reception</w:t>
                            </w:r>
                          </w:p>
                          <w:p w14:paraId="354C537B" w14:textId="77777777" w:rsidR="00B96D02" w:rsidRPr="002809B4" w:rsidRDefault="00B96D02" w:rsidP="00B96D02">
                            <w:pPr>
                              <w:spacing w:before="0" w:after="0" w:line="240" w:lineRule="auto"/>
                              <w:jc w:val="center"/>
                              <w:rPr>
                                <w:rFonts w:ascii="Garamond" w:hAnsi="Garamond" w:cs="Times New Roman"/>
                                <w:sz w:val="20"/>
                                <w:szCs w:val="20"/>
                              </w:rPr>
                            </w:pPr>
                          </w:p>
                          <w:p w14:paraId="4C2B6435" w14:textId="77777777" w:rsidR="00B96D02" w:rsidRPr="002809B4" w:rsidRDefault="00B96D02" w:rsidP="00B96D02">
                            <w:pPr>
                              <w:spacing w:before="0" w:after="0" w:line="240" w:lineRule="auto"/>
                              <w:jc w:val="center"/>
                              <w:rPr>
                                <w:rFonts w:ascii="Garamond" w:hAnsi="Garamond" w:cs="Times New Roman"/>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38B36AA" id="Rounded Rectangle 12" o:spid="_x0000_s1027" style="position:absolute;left:0;text-align:left;margin-left:249.3pt;margin-top:6.35pt;width:178.8pt;height:36.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5jT4pWQIAAAMFAAAOAAAAZHJzL2Uyb0RvYy54bWysVN9v2jAQfp+0/8Hy+xpAlLaooUKtOk1C&#13;&#10;LSqd+mwcu0RzfN7ZkLC/fmcnBNbxNO3FufPdd7/8XW7vmsqwnUJfgs358GLAmbISitK+5/z76+OX&#13;&#10;a858ELYQBqzK+V55fjf7/Om2dlM1gg2YQiGjINZPa5fzTQhummVeblQl/AU4ZcmoASsRSMX3rEBR&#13;&#10;U/TKZKPBYJLVgIVDkMp7un1ojXyW4mutZHjW2qvATM6ptpBOTOc6ntnsVkzfUbhNKbsyxD9UUYnS&#13;&#10;UtI+1IMIgm2x/CtUVUoEDzpcSKgy0LqUKvVA3QwHH7pZbYRTqRcajnf9mPz/Cyufdiu3RBpD7fzU&#13;&#10;kxi7aDRW8Uv1sSYNa98PSzWBSbocja4G15MhZ5Js48lkdD2O08yOaIc+fFVQsSjkHGFrixd6kTQo&#13;&#10;sVv40Pof/Ah8LCJJYW9UrMPYF6VZWcS0CZ34oe4Nsp2glxVSKhsuu/zJO8J0aUwPHJ4DmjDsQJ1v&#13;&#10;hKnEmx44OAf8M2OPSFnBhh5clRbwXIDiR5+59T903/Yc2w/NuqGmaa1ijfFmDcV+iQyh5bF38rGk&#13;&#10;2S6ED0uBRFyiOC1jeKZDG6hzDp3E2Qbw17n76E98IitnNS1Czv3PrUDFmflmiWk3w/E4bk5SxpdX&#13;&#10;I1Lw1LI+tdhtdQ/0IsQLqi6J0T+Yg6gRqjfa2XnMSiZhJeXOuQx4UO5Du6C09VLN58mNtsWJsLAr&#13;&#10;J2PwOOdIm9fmTaDrCBaImk9wWBox/UCx1jciLcy3AXSZ+Heca/cCtGmJxt1fIa7yqZ68jv+u2W8A&#13;&#10;AAD//wMAUEsDBBQABgAIAAAAIQAPLgta4gAAAA4BAAAPAAAAZHJzL2Rvd25yZXYueG1sTE9NT4NA&#13;&#10;EL2b+B82Y+LNLiWKlLI0DVYvpgerhx6nMLIou0vYpaC/3vGkl8lM3pv3kW9m04kzDb51VsFyEYEg&#13;&#10;W7m6tY2Ct9fHmxSED2hr7JwlBV/kYVNcXuSY1W6yL3Q+hEawiPUZKtAh9JmUvtJk0C9cT5axdzcY&#13;&#10;DHwOjawHnFjcdDKOokQabC07aOyp1FR9Hkaj4ON53MnpGOvv3V4+Nbgtqz4tlbq+mh/WPLZrEIHm&#13;&#10;8PcBvx04PxQc7ORGW3vRKbhdpQlTGYjvQTAhvUtiECdekiXIIpf/axQ/AAAA//8DAFBLAQItABQA&#13;&#10;BgAIAAAAIQC2gziS/gAAAOEBAAATAAAAAAAAAAAAAAAAAAAAAABbQ29udGVudF9UeXBlc10ueG1s&#13;&#10;UEsBAi0AFAAGAAgAAAAhADj9If/WAAAAlAEAAAsAAAAAAAAAAAAAAAAALwEAAF9yZWxzLy5yZWxz&#13;&#10;UEsBAi0AFAAGAAgAAAAhAHmNPilZAgAAAwUAAA4AAAAAAAAAAAAAAAAALgIAAGRycy9lMm9Eb2Mu&#13;&#10;eG1sUEsBAi0AFAAGAAgAAAAhAA8uC1riAAAADgEAAA8AAAAAAAAAAAAAAAAAswQAAGRycy9kb3du&#13;&#10;cmV2LnhtbFBLBQYAAAAABAAEAPMAAADCBQAAAAA=&#13;&#10;" fillcolor="white [3201]" strokecolor="#5b9bd5 [3208]" strokeweight="1pt">
                <v:stroke joinstyle="miter"/>
                <v:textbox>
                  <w:txbxContent>
                    <w:p w14:paraId="14FFF91C" w14:textId="77777777" w:rsidR="00B96D02" w:rsidRPr="002809B4" w:rsidRDefault="00B96D02" w:rsidP="00B96D02">
                      <w:pPr>
                        <w:spacing w:before="0" w:after="0" w:line="240" w:lineRule="auto"/>
                        <w:jc w:val="center"/>
                        <w:rPr>
                          <w:rFonts w:ascii="Garamond" w:hAnsi="Garamond" w:cs="Times New Roman"/>
                          <w:sz w:val="20"/>
                          <w:szCs w:val="20"/>
                        </w:rPr>
                      </w:pPr>
                      <w:r w:rsidRPr="002809B4">
                        <w:rPr>
                          <w:rFonts w:ascii="Garamond" w:hAnsi="Garamond" w:cs="Times New Roman"/>
                          <w:sz w:val="20"/>
                          <w:szCs w:val="20"/>
                        </w:rPr>
                        <w:t>Intra-ecclesial dialogue (Intra-communal)</w:t>
                      </w:r>
                    </w:p>
                    <w:p w14:paraId="3B0476BF" w14:textId="77777777" w:rsidR="00B96D02" w:rsidRPr="002809B4" w:rsidRDefault="00B96D02" w:rsidP="00B96D02">
                      <w:pPr>
                        <w:spacing w:before="0" w:after="0" w:line="240" w:lineRule="auto"/>
                        <w:jc w:val="center"/>
                        <w:rPr>
                          <w:rFonts w:ascii="Garamond" w:hAnsi="Garamond" w:cs="Times New Roman"/>
                          <w:sz w:val="20"/>
                          <w:szCs w:val="20"/>
                        </w:rPr>
                      </w:pPr>
                      <w:r w:rsidRPr="002809B4">
                        <w:rPr>
                          <w:rFonts w:ascii="Garamond" w:hAnsi="Garamond" w:cs="Times New Roman"/>
                          <w:sz w:val="20"/>
                          <w:szCs w:val="20"/>
                        </w:rPr>
                        <w:t>= reform, renewal, reception</w:t>
                      </w:r>
                    </w:p>
                    <w:p w14:paraId="354C537B" w14:textId="77777777" w:rsidR="00B96D02" w:rsidRPr="002809B4" w:rsidRDefault="00B96D02" w:rsidP="00B96D02">
                      <w:pPr>
                        <w:spacing w:before="0" w:after="0" w:line="240" w:lineRule="auto"/>
                        <w:jc w:val="center"/>
                        <w:rPr>
                          <w:rFonts w:ascii="Garamond" w:hAnsi="Garamond" w:cs="Times New Roman"/>
                          <w:sz w:val="20"/>
                          <w:szCs w:val="20"/>
                        </w:rPr>
                      </w:pPr>
                    </w:p>
                    <w:p w14:paraId="4C2B6435" w14:textId="77777777" w:rsidR="00B96D02" w:rsidRPr="002809B4" w:rsidRDefault="00B96D02" w:rsidP="00B96D02">
                      <w:pPr>
                        <w:spacing w:before="0" w:after="0" w:line="240" w:lineRule="auto"/>
                        <w:jc w:val="center"/>
                        <w:rPr>
                          <w:rFonts w:ascii="Garamond" w:hAnsi="Garamond" w:cs="Times New Roman"/>
                          <w:sz w:val="20"/>
                          <w:szCs w:val="20"/>
                        </w:rPr>
                      </w:pPr>
                    </w:p>
                  </w:txbxContent>
                </v:textbox>
              </v:roundrect>
            </w:pict>
          </mc:Fallback>
        </mc:AlternateContent>
      </w:r>
      <w:r w:rsidRPr="009018DF">
        <w:rPr>
          <w:rFonts w:ascii="Garamond" w:hAnsi="Garamond" w:cs="Times New Roman"/>
          <w:noProof/>
          <w:color w:val="000000" w:themeColor="text1"/>
          <w:lang w:val="en-GB" w:eastAsia="en-GB"/>
        </w:rPr>
        <mc:AlternateContent>
          <mc:Choice Requires="wps">
            <w:drawing>
              <wp:anchor distT="0" distB="0" distL="114300" distR="114300" simplePos="0" relativeHeight="251661312" behindDoc="0" locked="0" layoutInCell="1" allowOverlap="1" wp14:anchorId="423124E2" wp14:editId="343842EF">
                <wp:simplePos x="0" y="0"/>
                <wp:positionH relativeFrom="column">
                  <wp:posOffset>104775</wp:posOffset>
                </wp:positionH>
                <wp:positionV relativeFrom="paragraph">
                  <wp:posOffset>26670</wp:posOffset>
                </wp:positionV>
                <wp:extent cx="1697355" cy="483870"/>
                <wp:effectExtent l="12700" t="12700" r="17145" b="11430"/>
                <wp:wrapNone/>
                <wp:docPr id="11" name="Rounded Rectangle 11"/>
                <wp:cNvGraphicFramePr/>
                <a:graphic xmlns:a="http://schemas.openxmlformats.org/drawingml/2006/main">
                  <a:graphicData uri="http://schemas.microsoft.com/office/word/2010/wordprocessingShape">
                    <wps:wsp>
                      <wps:cNvSpPr/>
                      <wps:spPr>
                        <a:xfrm>
                          <a:off x="0" y="0"/>
                          <a:ext cx="1697355" cy="483870"/>
                        </a:xfrm>
                        <a:prstGeom prst="roundRect">
                          <a:avLst/>
                        </a:prstGeom>
                      </wps:spPr>
                      <wps:style>
                        <a:lnRef idx="2">
                          <a:schemeClr val="accent5"/>
                        </a:lnRef>
                        <a:fillRef idx="1">
                          <a:schemeClr val="lt1"/>
                        </a:fillRef>
                        <a:effectRef idx="0">
                          <a:schemeClr val="accent5"/>
                        </a:effectRef>
                        <a:fontRef idx="minor">
                          <a:schemeClr val="dk1"/>
                        </a:fontRef>
                      </wps:style>
                      <wps:txbx>
                        <w:txbxContent>
                          <w:p w14:paraId="7CB69597" w14:textId="77777777" w:rsidR="00B96D02" w:rsidRPr="002809B4" w:rsidRDefault="00B96D02" w:rsidP="00B96D02">
                            <w:pPr>
                              <w:spacing w:after="0" w:line="240" w:lineRule="auto"/>
                              <w:jc w:val="center"/>
                              <w:rPr>
                                <w:rFonts w:ascii="Garamond" w:hAnsi="Garamond" w:cs="Times New Roman"/>
                              </w:rPr>
                            </w:pPr>
                            <w:r w:rsidRPr="002809B4">
                              <w:rPr>
                                <w:rFonts w:ascii="Garamond" w:hAnsi="Garamond" w:cs="Times New Roman"/>
                              </w:rPr>
                              <w:t>Interreligious dialogue</w:t>
                            </w:r>
                          </w:p>
                          <w:p w14:paraId="0395CA9B" w14:textId="77777777" w:rsidR="00B96D02" w:rsidRPr="002809B4" w:rsidRDefault="00B96D02" w:rsidP="00B96D02">
                            <w:pPr>
                              <w:spacing w:after="0" w:line="240" w:lineRule="auto"/>
                              <w:jc w:val="center"/>
                              <w:rPr>
                                <w:rFonts w:ascii="Garamond" w:hAnsi="Garamond" w:cs="Times New Roman"/>
                              </w:rPr>
                            </w:pPr>
                            <w:r w:rsidRPr="002809B4">
                              <w:rPr>
                                <w:rFonts w:ascii="Garamond" w:hAnsi="Garamond" w:cs="Times New Roman"/>
                              </w:rPr>
                              <w:t>(Inter-faith)</w:t>
                            </w:r>
                          </w:p>
                          <w:p w14:paraId="248A3C74" w14:textId="77777777" w:rsidR="00B96D02" w:rsidRPr="002809B4" w:rsidRDefault="00B96D02" w:rsidP="00B96D02">
                            <w:pPr>
                              <w:spacing w:after="0" w:line="240" w:lineRule="auto"/>
                              <w:jc w:val="center"/>
                              <w:rPr>
                                <w:rFonts w:ascii="Garamond" w:hAnsi="Garamond" w:cs="Times New Roman"/>
                              </w:rPr>
                            </w:pPr>
                          </w:p>
                          <w:p w14:paraId="663E050E" w14:textId="77777777" w:rsidR="00B96D02" w:rsidRPr="002809B4" w:rsidRDefault="00B96D02" w:rsidP="00B96D02">
                            <w:pPr>
                              <w:spacing w:after="0" w:line="240" w:lineRule="auto"/>
                              <w:jc w:val="center"/>
                              <w:rPr>
                                <w:rFonts w:ascii="Garamond" w:hAnsi="Garamond" w:cs="Times New Roman"/>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23124E2" id="Rounded Rectangle 11" o:spid="_x0000_s1028" style="position:absolute;left:0;text-align:left;margin-left:8.25pt;margin-top:2.1pt;width:133.65pt;height:38.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LQtrTXQIAAAMFAAAOAAAAZHJzL2Uyb0RvYy54bWysVEtv2zAMvg/YfxB0Xx2nSR9BnCJo0WFA&#13;&#10;0RZth54VWUqMyaJGKbGzXz9Kdtyuy2nYRRZFfnx+9PyqrQ3bKfQV2ILnJyPOlJVQVnZd8O8vt18u&#13;&#10;OPNB2FIYsKrge+X51eLzp3njZmoMGzClQkZOrJ81ruCbENwsy7zcqFr4E3DKklID1iKQiOusRNGQ&#13;&#10;99pk49HoLGsAS4cglff0etMp+SL511rJ8KC1V4GZglNuIZ2YzlU8s8VczNYo3KaSfRriH7KoRWUp&#13;&#10;6ODqRgTBtlj95aquJIIHHU4k1BloXUmVaqBq8tGHap43wqlUCzXHu6FN/v+5lfe7Z/eI1IbG+Zmn&#13;&#10;a6yi1VjHL+XH2tSs/dAs1QYm6TE/uzw/nU45k6SbXJxenKduZm9ohz58VVCzeCk4wtaWTzSR1Cix&#13;&#10;u/OBwpL9wY6EtyTSLeyNinkY+6Q0q0oKO07oxA91bZDtBE1WSKlsmMZpkr9kHWG6MmYA5seAJuQ9&#13;&#10;qLeNMJV4MwBHx4B/RhwQKSrYMIDrygIec1D+GCJ39ofqu5pj+aFdtVR0rLmfzwrK/SMyhI7H3snb&#13;&#10;inp7J3x4FEjEJYrTMoYHOrSBpuDQ3zjbAP469h7tiU+k5ayhRSi4/7kVqDgz3ywx7TKfTOLmJGEy&#13;&#10;PR+TgO81q/cau62vgSaS09o7ma7RPpjDVSPUr7SzyxiVVMJKil1wGfAgXIduQWnrpVoukxltixPh&#13;&#10;zj47GZ3HPkfavLSvAl1PsEDUvIfD0ojZB4p1thFpYbkNoKvEv9jprq/9BGjTEo36v0Jc5fdysnr7&#13;&#10;dy1+AwAA//8DAFBLAwQUAAYACAAAACEAe0Sx2uEAAAAMAQAADwAAAGRycy9kb3ducmV2LnhtbEyP&#13;&#10;MU/DMBCFdyT+g3VIbNQhlCpK41RVKCyIgcLQ0Y2vcSA+R7HTBH49xwTLSU/v7t37is3sOnHGIbSe&#13;&#10;FNwuEhBItTctNQre3x5vMhAhajK684QKvjDApry8KHRu/ESveN7HRnAIhVwrsDH2uZShtuh0WPge&#13;&#10;ib2TH5yOLIdGmkFPHO46mSbJSjrdEn+wusfKYv25H52Cj+dxJ6dDar93L/Kp0duq7rNKqeur+WHN&#13;&#10;Y7sGEXGOfxfwy8D9oeRiRz+SCaJjvbrnTQXLFATbaXbHOEcFWbIEWRbyP0T5AwAA//8DAFBLAQIt&#13;&#10;ABQABgAIAAAAIQC2gziS/gAAAOEBAAATAAAAAAAAAAAAAAAAAAAAAABbQ29udGVudF9UeXBlc10u&#13;&#10;eG1sUEsBAi0AFAAGAAgAAAAhADj9If/WAAAAlAEAAAsAAAAAAAAAAAAAAAAALwEAAF9yZWxzLy5y&#13;&#10;ZWxzUEsBAi0AFAAGAAgAAAAhAItC2tNdAgAAAwUAAA4AAAAAAAAAAAAAAAAALgIAAGRycy9lMm9E&#13;&#10;b2MueG1sUEsBAi0AFAAGAAgAAAAhAHtEsdrhAAAADAEAAA8AAAAAAAAAAAAAAAAAtwQAAGRycy9k&#13;&#10;b3ducmV2LnhtbFBLBQYAAAAABAAEAPMAAADFBQAAAAA=&#13;&#10;" fillcolor="white [3201]" strokecolor="#5b9bd5 [3208]" strokeweight="1pt">
                <v:stroke joinstyle="miter"/>
                <v:textbox>
                  <w:txbxContent>
                    <w:p w14:paraId="7CB69597" w14:textId="77777777" w:rsidR="00B96D02" w:rsidRPr="002809B4" w:rsidRDefault="00B96D02" w:rsidP="00B96D02">
                      <w:pPr>
                        <w:spacing w:after="0" w:line="240" w:lineRule="auto"/>
                        <w:jc w:val="center"/>
                        <w:rPr>
                          <w:rFonts w:ascii="Garamond" w:hAnsi="Garamond" w:cs="Times New Roman"/>
                        </w:rPr>
                      </w:pPr>
                      <w:r w:rsidRPr="002809B4">
                        <w:rPr>
                          <w:rFonts w:ascii="Garamond" w:hAnsi="Garamond" w:cs="Times New Roman"/>
                        </w:rPr>
                        <w:t>Interreligious dialogue</w:t>
                      </w:r>
                    </w:p>
                    <w:p w14:paraId="0395CA9B" w14:textId="77777777" w:rsidR="00B96D02" w:rsidRPr="002809B4" w:rsidRDefault="00B96D02" w:rsidP="00B96D02">
                      <w:pPr>
                        <w:spacing w:after="0" w:line="240" w:lineRule="auto"/>
                        <w:jc w:val="center"/>
                        <w:rPr>
                          <w:rFonts w:ascii="Garamond" w:hAnsi="Garamond" w:cs="Times New Roman"/>
                        </w:rPr>
                      </w:pPr>
                      <w:r w:rsidRPr="002809B4">
                        <w:rPr>
                          <w:rFonts w:ascii="Garamond" w:hAnsi="Garamond" w:cs="Times New Roman"/>
                        </w:rPr>
                        <w:t>(Inter-faith)</w:t>
                      </w:r>
                    </w:p>
                    <w:p w14:paraId="248A3C74" w14:textId="77777777" w:rsidR="00B96D02" w:rsidRPr="002809B4" w:rsidRDefault="00B96D02" w:rsidP="00B96D02">
                      <w:pPr>
                        <w:spacing w:after="0" w:line="240" w:lineRule="auto"/>
                        <w:jc w:val="center"/>
                        <w:rPr>
                          <w:rFonts w:ascii="Garamond" w:hAnsi="Garamond" w:cs="Times New Roman"/>
                        </w:rPr>
                      </w:pPr>
                    </w:p>
                    <w:p w14:paraId="663E050E" w14:textId="77777777" w:rsidR="00B96D02" w:rsidRPr="002809B4" w:rsidRDefault="00B96D02" w:rsidP="00B96D02">
                      <w:pPr>
                        <w:spacing w:after="0" w:line="240" w:lineRule="auto"/>
                        <w:jc w:val="center"/>
                        <w:rPr>
                          <w:rFonts w:ascii="Garamond" w:hAnsi="Garamond" w:cs="Times New Roman"/>
                        </w:rPr>
                      </w:pPr>
                    </w:p>
                  </w:txbxContent>
                </v:textbox>
              </v:roundrect>
            </w:pict>
          </mc:Fallback>
        </mc:AlternateContent>
      </w:r>
    </w:p>
    <w:p w14:paraId="1325A6E0" w14:textId="2F1C5194" w:rsidR="00B96D02" w:rsidRPr="009018DF" w:rsidRDefault="00460477" w:rsidP="008B26CC">
      <w:pPr>
        <w:spacing w:before="0" w:after="0"/>
        <w:rPr>
          <w:rFonts w:ascii="Garamond" w:hAnsi="Garamond" w:cs="Times New Roman"/>
          <w:color w:val="000000" w:themeColor="text1"/>
        </w:rPr>
      </w:pPr>
      <w:r w:rsidRPr="009018DF">
        <w:rPr>
          <w:rFonts w:ascii="Garamond" w:hAnsi="Garamond" w:cs="Times New Roman"/>
          <w:noProof/>
          <w:color w:val="000000" w:themeColor="text1"/>
          <w:lang w:val="en-GB" w:eastAsia="en-GB"/>
        </w:rPr>
        <mc:AlternateContent>
          <mc:Choice Requires="wps">
            <w:drawing>
              <wp:anchor distT="0" distB="0" distL="114300" distR="114300" simplePos="0" relativeHeight="251664384" behindDoc="0" locked="0" layoutInCell="1" allowOverlap="1" wp14:anchorId="05B65726" wp14:editId="5EA5761F">
                <wp:simplePos x="0" y="0"/>
                <wp:positionH relativeFrom="column">
                  <wp:posOffset>1799590</wp:posOffset>
                </wp:positionH>
                <wp:positionV relativeFrom="paragraph">
                  <wp:posOffset>98425</wp:posOffset>
                </wp:positionV>
                <wp:extent cx="1365250" cy="0"/>
                <wp:effectExtent l="25400" t="63500" r="0" b="76200"/>
                <wp:wrapNone/>
                <wp:docPr id="13" name="Straight Arrow Connector 13"/>
                <wp:cNvGraphicFramePr/>
                <a:graphic xmlns:a="http://schemas.openxmlformats.org/drawingml/2006/main">
                  <a:graphicData uri="http://schemas.microsoft.com/office/word/2010/wordprocessingShape">
                    <wps:wsp>
                      <wps:cNvCnPr/>
                      <wps:spPr>
                        <a:xfrm>
                          <a:off x="0" y="0"/>
                          <a:ext cx="1365250" cy="0"/>
                        </a:xfrm>
                        <a:prstGeom prst="straightConnector1">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E033F44" id="Straight Arrow Connector 13" o:spid="_x0000_s1026" type="#_x0000_t32" style="position:absolute;margin-left:141.7pt;margin-top:7.75pt;width:107.5pt;height:0;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3SREvgEAAOcDAAAOAAAAZHJzL2Uyb0RvYy54bWysU9uO0zAQfUfiHyy/0yRFu0JV033oAi8I&#13;&#10;Vlw+wOuME0u+yR6a5O8ZO22KYCXEal8mtsfnzJzjyf5usoadICbtXcubTc0ZOOk77fqW//j+4c07&#13;&#10;zhIK1wnjHbR8hsTvDq9f7cewg60fvOkgMiJxaTeGlg+IYVdVSQ5gRdr4AI6SykcrkLaxr7ooRmK3&#13;&#10;ptrW9W01+tiF6CWkRKf3S5IfCr9SIPGLUgmQmZZTb1hiLPExx+qwF7s+ijBoeW5DPKMLK7SjoivV&#13;&#10;vUDBfkb9F5XVMvrkFW6kt5VXSksoGkhNU/+h5tsgAhQtZE4Kq03p5Wjl59PRPUSyYQxpl8JDzCom&#13;&#10;FW3+Un9sKmbNq1kwIZN02Ly9vdnekKfykquuwBATfgRvWV60PGEUuh/w6J2jJ/GxKWaJ06eEVJqA&#13;&#10;F0CualyOA4juvesYzoHmBqMWrjewPBgKbZ7OEVWGV1c1ZYWzgYX6Kyimu9x/aaEMGhxNZCdBIyKk&#13;&#10;BIdNrlKY6HaGKW3MCqz/DTzfz1AoQ/g/4BVRKnuHK9hq5+NT1XG6tKyW+xcHFt3ZgkffzeWdizU0&#13;&#10;TUXhefLzuP6+L/Dr/3n4BQAA//8DAFBLAwQUAAYACAAAACEAivNnXt8AAAAOAQAADwAAAGRycy9k&#13;&#10;b3ducmV2LnhtbExPy07DMBC8I/EP1iJxozalRUkap0Ig6A2JFomrE2+TiHgdxc6Dv2cRB7istDOz&#13;&#10;szP5fnGdmHAIrScNtysFAqnytqVaw/vp+SYBEaIhazpPqOELA+yLy4vcZNbP9IbTMdaCTShkRkMT&#13;&#10;Y59JGaoGnQkr3yMxd/aDM5HXoZZ2MDObu06ulbqXzrTEHxrT42OD1edxdBroY1Gnulfn13k6lEP6&#13;&#10;EsdwSLW+vlqedjwediAiLvHvAn46cH4oOFjpR7JBdBrWyd2GpUxstyBYsEkTBspfQBa5/F+j+AYA&#13;&#10;AP//AwBQSwECLQAUAAYACAAAACEAtoM4kv4AAADhAQAAEwAAAAAAAAAAAAAAAAAAAAAAW0NvbnRl&#13;&#10;bnRfVHlwZXNdLnhtbFBLAQItABQABgAIAAAAIQA4/SH/1gAAAJQBAAALAAAAAAAAAAAAAAAAAC8B&#13;&#10;AABfcmVscy8ucmVsc1BLAQItABQABgAIAAAAIQBI3SREvgEAAOcDAAAOAAAAAAAAAAAAAAAAAC4C&#13;&#10;AABkcnMvZTJvRG9jLnhtbFBLAQItABQABgAIAAAAIQCK82de3wAAAA4BAAAPAAAAAAAAAAAAAAAA&#13;&#10;ABgEAABkcnMvZG93bnJldi54bWxQSwUGAAAAAAQABADzAAAAJAUAAAAA&#13;&#10;" strokecolor="#4472c4 [3204]" strokeweight=".5pt">
                <v:stroke startarrow="block" endarrow="block" joinstyle="miter"/>
              </v:shape>
            </w:pict>
          </mc:Fallback>
        </mc:AlternateContent>
      </w:r>
    </w:p>
    <w:p w14:paraId="5E6765F9" w14:textId="77777777" w:rsidR="008B26CC" w:rsidRPr="009018DF" w:rsidRDefault="008B26CC" w:rsidP="008B26CC">
      <w:pPr>
        <w:spacing w:before="0" w:after="0"/>
        <w:rPr>
          <w:rFonts w:ascii="Garamond" w:hAnsi="Garamond" w:cs="Times New Roman"/>
          <w:color w:val="000000" w:themeColor="text1"/>
          <w:sz w:val="24"/>
          <w:szCs w:val="24"/>
        </w:rPr>
      </w:pPr>
    </w:p>
    <w:p w14:paraId="3F4CAFC6" w14:textId="77777777" w:rsidR="008B26CC" w:rsidRPr="009018DF" w:rsidRDefault="008B26CC" w:rsidP="008B26CC">
      <w:pPr>
        <w:spacing w:before="0" w:after="0"/>
        <w:rPr>
          <w:rFonts w:ascii="Garamond" w:hAnsi="Garamond" w:cs="Times New Roman"/>
          <w:color w:val="000000" w:themeColor="text1"/>
          <w:sz w:val="24"/>
          <w:szCs w:val="24"/>
        </w:rPr>
      </w:pPr>
    </w:p>
    <w:p w14:paraId="4288B2DD" w14:textId="3FBFE1F8" w:rsidR="002C13E7" w:rsidRPr="009018DF" w:rsidRDefault="00B90A02" w:rsidP="008B26CC">
      <w:pPr>
        <w:spacing w:before="0" w:after="0"/>
        <w:rPr>
          <w:rFonts w:ascii="Garamond" w:hAnsi="Garamond" w:cs="Times New Roman"/>
          <w:color w:val="000000" w:themeColor="text1"/>
        </w:rPr>
      </w:pPr>
      <w:r w:rsidRPr="009018DF">
        <w:rPr>
          <w:rFonts w:ascii="Garamond" w:hAnsi="Garamond" w:cs="Times New Roman"/>
          <w:color w:val="000000" w:themeColor="text1"/>
          <w:sz w:val="24"/>
          <w:szCs w:val="24"/>
        </w:rPr>
        <w:t>In each case, transformation is</w:t>
      </w:r>
      <w:r w:rsidR="00B96D02" w:rsidRPr="009018DF">
        <w:rPr>
          <w:rFonts w:ascii="Garamond" w:hAnsi="Garamond" w:cs="Times New Roman"/>
          <w:color w:val="000000" w:themeColor="text1"/>
          <w:sz w:val="24"/>
          <w:szCs w:val="24"/>
        </w:rPr>
        <w:t xml:space="preserve"> predicated on the dialogue with the other. And the interrelation between the different forms of dialogue is not diminished by different objectives and goals. This is even highlighted in the relationship between ecumenical and interreligious dialogue that forms the contexts of this </w:t>
      </w:r>
      <w:r w:rsidR="002C13E7" w:rsidRPr="009018DF">
        <w:rPr>
          <w:rFonts w:ascii="Garamond" w:hAnsi="Garamond" w:cs="Times New Roman"/>
          <w:color w:val="000000" w:themeColor="text1"/>
          <w:sz w:val="24"/>
          <w:szCs w:val="24"/>
        </w:rPr>
        <w:t>lecture</w:t>
      </w:r>
      <w:r w:rsidR="00B96D02" w:rsidRPr="009018DF">
        <w:rPr>
          <w:rFonts w:ascii="Garamond" w:hAnsi="Garamond" w:cs="Times New Roman"/>
          <w:color w:val="000000" w:themeColor="text1"/>
          <w:sz w:val="24"/>
          <w:szCs w:val="24"/>
        </w:rPr>
        <w:t xml:space="preserve">. </w:t>
      </w:r>
    </w:p>
    <w:p w14:paraId="6195A8BE" w14:textId="6D1653EA" w:rsidR="005071F3" w:rsidRPr="009018DF" w:rsidRDefault="002C13E7" w:rsidP="008B26CC">
      <w:pPr>
        <w:spacing w:before="0" w:after="0"/>
        <w:rPr>
          <w:rFonts w:ascii="Garamond" w:hAnsi="Garamond" w:cs="Times New Roman"/>
          <w:color w:val="000000" w:themeColor="text1"/>
          <w:sz w:val="24"/>
          <w:szCs w:val="24"/>
        </w:rPr>
      </w:pPr>
      <w:r w:rsidRPr="009018DF">
        <w:rPr>
          <w:rFonts w:ascii="Garamond" w:hAnsi="Garamond" w:cs="Times New Roman"/>
          <w:color w:val="000000" w:themeColor="text1"/>
          <w:sz w:val="24"/>
          <w:szCs w:val="24"/>
        </w:rPr>
        <w:tab/>
      </w:r>
      <w:r w:rsidR="00B96D02" w:rsidRPr="009018DF">
        <w:rPr>
          <w:rFonts w:ascii="Garamond" w:hAnsi="Garamond" w:cs="Times New Roman"/>
          <w:color w:val="000000" w:themeColor="text1"/>
          <w:sz w:val="24"/>
          <w:szCs w:val="24"/>
        </w:rPr>
        <w:t xml:space="preserve">Going further, it is thus important to construct an interpretation of dialogue that incorporates </w:t>
      </w:r>
      <w:r w:rsidRPr="009018DF">
        <w:rPr>
          <w:rFonts w:ascii="Garamond" w:hAnsi="Garamond" w:cs="Times New Roman"/>
          <w:color w:val="000000" w:themeColor="text1"/>
          <w:sz w:val="24"/>
          <w:szCs w:val="24"/>
        </w:rPr>
        <w:t>a particular understanding of the</w:t>
      </w:r>
      <w:r w:rsidR="00B96D02" w:rsidRPr="009018DF">
        <w:rPr>
          <w:rFonts w:ascii="Garamond" w:hAnsi="Garamond" w:cs="Times New Roman"/>
          <w:color w:val="000000" w:themeColor="text1"/>
          <w:sz w:val="24"/>
          <w:szCs w:val="24"/>
        </w:rPr>
        <w:t xml:space="preserve"> Trinit</w:t>
      </w:r>
      <w:r w:rsidRPr="009018DF">
        <w:rPr>
          <w:rFonts w:ascii="Garamond" w:hAnsi="Garamond" w:cs="Times New Roman"/>
          <w:color w:val="000000" w:themeColor="text1"/>
          <w:sz w:val="24"/>
          <w:szCs w:val="24"/>
        </w:rPr>
        <w:t xml:space="preserve">y, namely Trinitarian patterning, </w:t>
      </w:r>
      <w:r w:rsidR="00121C0B" w:rsidRPr="009018DF">
        <w:rPr>
          <w:rFonts w:ascii="Garamond" w:hAnsi="Garamond" w:cs="Times New Roman"/>
          <w:color w:val="000000" w:themeColor="text1"/>
          <w:sz w:val="24"/>
          <w:szCs w:val="24"/>
        </w:rPr>
        <w:t xml:space="preserve">with its </w:t>
      </w:r>
      <w:r w:rsidRPr="009018DF">
        <w:rPr>
          <w:rFonts w:ascii="Garamond" w:hAnsi="Garamond" w:cs="Times New Roman"/>
          <w:color w:val="000000" w:themeColor="text1"/>
          <w:sz w:val="24"/>
          <w:szCs w:val="24"/>
        </w:rPr>
        <w:t xml:space="preserve">dialogical </w:t>
      </w:r>
      <w:r w:rsidR="00121C0B" w:rsidRPr="009018DF">
        <w:rPr>
          <w:rFonts w:ascii="Garamond" w:hAnsi="Garamond" w:cs="Times New Roman"/>
          <w:color w:val="000000" w:themeColor="text1"/>
          <w:sz w:val="24"/>
          <w:szCs w:val="24"/>
        </w:rPr>
        <w:t>orientations and praxes</w:t>
      </w:r>
      <w:r w:rsidR="00B96D02" w:rsidRPr="009018DF">
        <w:rPr>
          <w:rFonts w:ascii="Garamond" w:hAnsi="Garamond" w:cs="Times New Roman"/>
          <w:color w:val="000000" w:themeColor="text1"/>
          <w:sz w:val="24"/>
          <w:szCs w:val="24"/>
        </w:rPr>
        <w:t xml:space="preserve"> in the complex mix of cultures. Within the space provided by culture, </w:t>
      </w:r>
      <w:r w:rsidRPr="009018DF">
        <w:rPr>
          <w:rFonts w:ascii="Garamond" w:hAnsi="Garamond" w:cs="Times New Roman"/>
          <w:color w:val="000000" w:themeColor="text1"/>
          <w:sz w:val="24"/>
          <w:szCs w:val="24"/>
        </w:rPr>
        <w:t xml:space="preserve">dialogical </w:t>
      </w:r>
      <w:r w:rsidR="00B96D02" w:rsidRPr="009018DF">
        <w:rPr>
          <w:rFonts w:ascii="Garamond" w:hAnsi="Garamond" w:cs="Times New Roman"/>
          <w:color w:val="000000" w:themeColor="text1"/>
          <w:sz w:val="24"/>
          <w:szCs w:val="24"/>
        </w:rPr>
        <w:t xml:space="preserve">orientations are further translated into praxes. The ultimate objective is to map out the scheme for transformation through dialogue in which the model of </w:t>
      </w:r>
      <w:r w:rsidR="00B96D02" w:rsidRPr="009018DF">
        <w:rPr>
          <w:rFonts w:ascii="Garamond" w:hAnsi="Garamond" w:cs="Times New Roman"/>
          <w:i/>
          <w:color w:val="000000" w:themeColor="text1"/>
          <w:sz w:val="24"/>
          <w:szCs w:val="24"/>
        </w:rPr>
        <w:t>identity-in-difference</w:t>
      </w:r>
      <w:r w:rsidR="00B96D02" w:rsidRPr="009018DF">
        <w:rPr>
          <w:rFonts w:ascii="Garamond" w:hAnsi="Garamond" w:cs="Times New Roman"/>
          <w:color w:val="000000" w:themeColor="text1"/>
          <w:sz w:val="24"/>
          <w:szCs w:val="24"/>
        </w:rPr>
        <w:t xml:space="preserve"> is accepted and celebrated. It is proper therefore to define the shape of such dialogue that is based on a ‘Trinitarian’ intercultural mode of interpretation. </w:t>
      </w:r>
      <w:r w:rsidRPr="009018DF">
        <w:rPr>
          <w:rFonts w:ascii="Garamond" w:hAnsi="Garamond" w:cs="Times New Roman"/>
          <w:color w:val="000000" w:themeColor="text1"/>
          <w:sz w:val="24"/>
          <w:szCs w:val="24"/>
        </w:rPr>
        <w:t>But,</w:t>
      </w:r>
      <w:r w:rsidR="00B96D02" w:rsidRPr="009018DF">
        <w:rPr>
          <w:rFonts w:ascii="Garamond" w:hAnsi="Garamond" w:cs="Times New Roman"/>
          <w:color w:val="000000" w:themeColor="text1"/>
          <w:sz w:val="24"/>
          <w:szCs w:val="24"/>
        </w:rPr>
        <w:t xml:space="preserve"> why a ‘Trinitarian intercultural hermeneutics of dialogue’? The central idea is to broaden the scope of the dialogical hermeneutics that is provided by the Trinitarian patterning</w:t>
      </w:r>
      <w:r w:rsidR="00121C0B" w:rsidRPr="009018DF">
        <w:rPr>
          <w:rFonts w:ascii="Garamond" w:hAnsi="Garamond" w:cs="Times New Roman"/>
          <w:color w:val="000000" w:themeColor="text1"/>
          <w:sz w:val="24"/>
          <w:szCs w:val="24"/>
        </w:rPr>
        <w:t>.</w:t>
      </w:r>
    </w:p>
    <w:p w14:paraId="1135C752" w14:textId="77777777" w:rsidR="005071F3" w:rsidRPr="009018DF" w:rsidRDefault="005071F3" w:rsidP="008B26CC">
      <w:pPr>
        <w:spacing w:before="0" w:after="0"/>
        <w:rPr>
          <w:rFonts w:ascii="Garamond" w:hAnsi="Garamond" w:cs="Times New Roman"/>
          <w:color w:val="000000" w:themeColor="text1"/>
          <w:sz w:val="24"/>
          <w:szCs w:val="24"/>
        </w:rPr>
      </w:pPr>
    </w:p>
    <w:p w14:paraId="2BDCC291" w14:textId="77777777" w:rsidR="008B26CC" w:rsidRPr="009018DF" w:rsidRDefault="008B26CC" w:rsidP="008B26CC">
      <w:pPr>
        <w:spacing w:before="0" w:after="0"/>
        <w:rPr>
          <w:rFonts w:ascii="Garamond" w:hAnsi="Garamond" w:cs="Times New Roman"/>
          <w:b/>
          <w:bCs/>
          <w:color w:val="000000" w:themeColor="text1"/>
          <w:sz w:val="24"/>
          <w:szCs w:val="24"/>
        </w:rPr>
      </w:pPr>
    </w:p>
    <w:p w14:paraId="7FF59592" w14:textId="7C00201C" w:rsidR="00121C0B" w:rsidRPr="009018DF" w:rsidRDefault="00121C0B" w:rsidP="008B26CC">
      <w:pPr>
        <w:spacing w:before="0" w:after="0"/>
        <w:rPr>
          <w:rFonts w:ascii="Garamond" w:hAnsi="Garamond" w:cs="Times New Roman"/>
          <w:b/>
          <w:bCs/>
          <w:color w:val="000000" w:themeColor="text1"/>
          <w:sz w:val="24"/>
          <w:szCs w:val="24"/>
        </w:rPr>
      </w:pPr>
      <w:r w:rsidRPr="009018DF">
        <w:rPr>
          <w:rFonts w:ascii="Garamond" w:hAnsi="Garamond" w:cs="Times New Roman"/>
          <w:b/>
          <w:bCs/>
          <w:color w:val="000000" w:themeColor="text1"/>
          <w:sz w:val="24"/>
          <w:szCs w:val="24"/>
        </w:rPr>
        <w:t xml:space="preserve">Trinitarian </w:t>
      </w:r>
      <w:r w:rsidR="007311CE" w:rsidRPr="009018DF">
        <w:rPr>
          <w:rFonts w:ascii="Garamond" w:hAnsi="Garamond" w:cs="Times New Roman"/>
          <w:b/>
          <w:bCs/>
          <w:color w:val="000000" w:themeColor="text1"/>
          <w:sz w:val="24"/>
          <w:szCs w:val="24"/>
        </w:rPr>
        <w:t>P</w:t>
      </w:r>
      <w:r w:rsidRPr="009018DF">
        <w:rPr>
          <w:rFonts w:ascii="Garamond" w:hAnsi="Garamond" w:cs="Times New Roman"/>
          <w:b/>
          <w:bCs/>
          <w:color w:val="000000" w:themeColor="text1"/>
          <w:sz w:val="24"/>
          <w:szCs w:val="24"/>
        </w:rPr>
        <w:t>atterning</w:t>
      </w:r>
      <w:r w:rsidR="0060087B" w:rsidRPr="009018DF">
        <w:rPr>
          <w:rFonts w:ascii="Garamond" w:hAnsi="Garamond" w:cs="Times New Roman"/>
          <w:b/>
          <w:bCs/>
          <w:color w:val="000000" w:themeColor="text1"/>
          <w:sz w:val="24"/>
          <w:szCs w:val="24"/>
        </w:rPr>
        <w:t>: Insights from</w:t>
      </w:r>
      <w:r w:rsidRPr="009018DF">
        <w:rPr>
          <w:rFonts w:ascii="Garamond" w:hAnsi="Garamond" w:cs="Times New Roman"/>
          <w:b/>
          <w:bCs/>
          <w:color w:val="000000" w:themeColor="text1"/>
          <w:sz w:val="24"/>
          <w:szCs w:val="24"/>
        </w:rPr>
        <w:t xml:space="preserve">  Michael Ipgrave</w:t>
      </w:r>
    </w:p>
    <w:p w14:paraId="01369EA9" w14:textId="77777777" w:rsidR="00724F7B" w:rsidRPr="009018DF" w:rsidRDefault="00724F7B" w:rsidP="008B26CC">
      <w:pPr>
        <w:spacing w:before="0" w:after="0"/>
        <w:rPr>
          <w:rFonts w:ascii="Garamond" w:hAnsi="Garamond" w:cs="Times New Roman"/>
          <w:color w:val="000000" w:themeColor="text1"/>
          <w:sz w:val="24"/>
          <w:szCs w:val="24"/>
        </w:rPr>
      </w:pPr>
    </w:p>
    <w:p w14:paraId="5C8BED93" w14:textId="0E2AFEE1" w:rsidR="00724F7B" w:rsidRPr="009018DF" w:rsidRDefault="00724F7B" w:rsidP="00D4000D">
      <w:pPr>
        <w:spacing w:before="0" w:after="0"/>
        <w:rPr>
          <w:rFonts w:ascii="Garamond" w:hAnsi="Garamond" w:cs="Times New Roman"/>
          <w:color w:val="000000" w:themeColor="text1"/>
          <w:sz w:val="24"/>
          <w:szCs w:val="24"/>
          <w:lang w:val="en-US"/>
        </w:rPr>
      </w:pPr>
      <w:r w:rsidRPr="009018DF">
        <w:rPr>
          <w:rFonts w:ascii="Garamond" w:hAnsi="Garamond" w:cs="Times New Roman"/>
          <w:color w:val="000000" w:themeColor="text1"/>
          <w:sz w:val="24"/>
          <w:szCs w:val="24"/>
          <w:lang w:val="en-US"/>
        </w:rPr>
        <w:t>In dialogue we are confronted by this question: To what extent can we</w:t>
      </w:r>
      <w:r w:rsidR="00644F03" w:rsidRPr="009018DF">
        <w:rPr>
          <w:rFonts w:ascii="Garamond" w:hAnsi="Garamond" w:cs="Times New Roman"/>
          <w:color w:val="000000" w:themeColor="text1"/>
          <w:sz w:val="24"/>
          <w:szCs w:val="24"/>
          <w:lang w:val="en-US"/>
        </w:rPr>
        <w:t>, as Christians,</w:t>
      </w:r>
      <w:r w:rsidRPr="009018DF">
        <w:rPr>
          <w:rFonts w:ascii="Garamond" w:hAnsi="Garamond" w:cs="Times New Roman"/>
          <w:color w:val="000000" w:themeColor="text1"/>
          <w:sz w:val="24"/>
          <w:szCs w:val="24"/>
          <w:lang w:val="en-US"/>
        </w:rPr>
        <w:t xml:space="preserve"> rely on a Trinitarian approach in our dialogue with the religious other? In other words, what resources does the Trinity afford any Christian that wishes to engage in interreligious dialogue? </w:t>
      </w:r>
      <w:r w:rsidR="00D4000D" w:rsidRPr="009018DF">
        <w:rPr>
          <w:rFonts w:ascii="Garamond" w:hAnsi="Garamond" w:cs="Times New Roman"/>
          <w:color w:val="000000" w:themeColor="text1"/>
          <w:sz w:val="24"/>
          <w:szCs w:val="24"/>
          <w:lang w:val="en-US"/>
        </w:rPr>
        <w:t xml:space="preserve">The concern is to whether the Trinity constitutes a problem or a resource for dialogical encounters. </w:t>
      </w:r>
      <w:r w:rsidR="0089488C" w:rsidRPr="009018DF">
        <w:rPr>
          <w:rFonts w:ascii="Garamond" w:hAnsi="Garamond" w:cs="Times New Roman"/>
          <w:color w:val="000000" w:themeColor="text1"/>
          <w:sz w:val="24"/>
          <w:szCs w:val="24"/>
          <w:lang w:val="en-US"/>
        </w:rPr>
        <w:t>For instance, Mark Heim’s</w:t>
      </w:r>
      <w:r w:rsidR="00BB75C6" w:rsidRPr="009018DF">
        <w:rPr>
          <w:rFonts w:ascii="Garamond" w:hAnsi="Garamond" w:cs="Times New Roman"/>
          <w:color w:val="000000" w:themeColor="text1"/>
          <w:sz w:val="24"/>
          <w:szCs w:val="24"/>
          <w:lang w:val="en-US"/>
        </w:rPr>
        <w:t xml:space="preserve"> (2001)</w:t>
      </w:r>
      <w:r w:rsidR="0089488C" w:rsidRPr="009018DF">
        <w:rPr>
          <w:rFonts w:ascii="Garamond" w:hAnsi="Garamond" w:cs="Times New Roman"/>
          <w:color w:val="000000" w:themeColor="text1"/>
          <w:sz w:val="24"/>
          <w:szCs w:val="24"/>
          <w:lang w:val="en-US"/>
        </w:rPr>
        <w:t xml:space="preserve"> interpretation of the doctrine of the Trinity lends itself to multiple religious ends</w:t>
      </w:r>
      <w:r w:rsidR="00130248" w:rsidRPr="009018DF">
        <w:rPr>
          <w:rFonts w:ascii="Garamond" w:hAnsi="Garamond" w:cs="Times New Roman"/>
          <w:color w:val="000000" w:themeColor="text1"/>
          <w:sz w:val="24"/>
          <w:szCs w:val="24"/>
          <w:lang w:val="en-US"/>
        </w:rPr>
        <w:t xml:space="preserve"> thus creating soteriological questions</w:t>
      </w:r>
      <w:r w:rsidR="0089488C" w:rsidRPr="009018DF">
        <w:rPr>
          <w:rFonts w:ascii="Garamond" w:hAnsi="Garamond" w:cs="Times New Roman"/>
          <w:color w:val="000000" w:themeColor="text1"/>
          <w:sz w:val="24"/>
          <w:szCs w:val="24"/>
          <w:lang w:val="en-US"/>
        </w:rPr>
        <w:t xml:space="preserve">, while Raimundo Panikkar’s </w:t>
      </w:r>
      <w:r w:rsidR="00BB75C6" w:rsidRPr="009018DF">
        <w:rPr>
          <w:rFonts w:ascii="Garamond" w:hAnsi="Garamond" w:cs="Times New Roman"/>
          <w:color w:val="000000" w:themeColor="text1"/>
          <w:sz w:val="24"/>
          <w:szCs w:val="24"/>
          <w:lang w:val="en-US"/>
        </w:rPr>
        <w:t xml:space="preserve">(1993, 60) </w:t>
      </w:r>
      <w:r w:rsidR="0089488C" w:rsidRPr="009018DF">
        <w:rPr>
          <w:rFonts w:ascii="Garamond" w:hAnsi="Garamond" w:cs="Times New Roman"/>
          <w:color w:val="000000" w:themeColor="text1"/>
          <w:sz w:val="24"/>
          <w:szCs w:val="24"/>
          <w:lang w:val="en-US"/>
        </w:rPr>
        <w:t>“</w:t>
      </w:r>
      <w:proofErr w:type="spellStart"/>
      <w:r w:rsidR="0089488C" w:rsidRPr="009018DF">
        <w:rPr>
          <w:rFonts w:ascii="Garamond" w:hAnsi="Garamond" w:cs="Times New Roman"/>
          <w:color w:val="000000" w:themeColor="text1"/>
          <w:sz w:val="24"/>
          <w:szCs w:val="24"/>
          <w:lang w:val="en-US"/>
        </w:rPr>
        <w:t>cosmotheadric</w:t>
      </w:r>
      <w:proofErr w:type="spellEnd"/>
      <w:r w:rsidR="0089488C" w:rsidRPr="009018DF">
        <w:rPr>
          <w:rFonts w:ascii="Garamond" w:hAnsi="Garamond" w:cs="Times New Roman"/>
          <w:color w:val="000000" w:themeColor="text1"/>
          <w:sz w:val="24"/>
          <w:szCs w:val="24"/>
          <w:lang w:val="en-US"/>
        </w:rPr>
        <w:t xml:space="preserve"> principle” that yields the triptych of cosmic matter, human consciousness, and divine freedom does not remain a unique Christian dialogical framework. </w:t>
      </w:r>
      <w:r w:rsidR="00D4000D" w:rsidRPr="009018DF">
        <w:rPr>
          <w:rFonts w:ascii="Garamond" w:hAnsi="Garamond" w:cs="Times New Roman"/>
          <w:color w:val="000000" w:themeColor="text1"/>
          <w:sz w:val="24"/>
          <w:szCs w:val="24"/>
          <w:lang w:val="en-US"/>
        </w:rPr>
        <w:t xml:space="preserve">Gavin D’Costa in his 2014 article </w:t>
      </w:r>
      <w:r w:rsidR="00360312" w:rsidRPr="009018DF">
        <w:rPr>
          <w:rFonts w:ascii="Garamond" w:hAnsi="Garamond" w:cs="Times New Roman"/>
          <w:color w:val="000000" w:themeColor="text1"/>
          <w:sz w:val="24"/>
          <w:szCs w:val="24"/>
          <w:lang w:val="en-US"/>
        </w:rPr>
        <w:t>‘</w:t>
      </w:r>
      <w:r w:rsidR="00D4000D" w:rsidRPr="009018DF">
        <w:rPr>
          <w:rFonts w:ascii="Garamond" w:hAnsi="Garamond" w:cs="Times New Roman"/>
          <w:color w:val="000000" w:themeColor="text1"/>
          <w:sz w:val="24"/>
          <w:szCs w:val="24"/>
          <w:lang w:val="en-US"/>
        </w:rPr>
        <w:t>The Trinity and the World Religions: Perils and Promise</w:t>
      </w:r>
      <w:r w:rsidR="00360312" w:rsidRPr="009018DF">
        <w:rPr>
          <w:rFonts w:ascii="Garamond" w:hAnsi="Garamond" w:cs="Times New Roman"/>
          <w:color w:val="000000" w:themeColor="text1"/>
          <w:sz w:val="24"/>
          <w:szCs w:val="24"/>
          <w:lang w:val="en-US"/>
        </w:rPr>
        <w:t>’</w:t>
      </w:r>
      <w:r w:rsidR="00D4000D" w:rsidRPr="009018DF">
        <w:rPr>
          <w:rFonts w:ascii="Garamond" w:hAnsi="Garamond" w:cs="Times New Roman"/>
          <w:color w:val="000000" w:themeColor="text1"/>
          <w:sz w:val="24"/>
          <w:szCs w:val="24"/>
          <w:lang w:val="en-US"/>
        </w:rPr>
        <w:t xml:space="preserve"> undertakes the task of clearing the doubts of theologians who find the Trinity very problematic in interreligious dialogue and so would choose </w:t>
      </w:r>
      <w:r w:rsidR="00D4000D" w:rsidRPr="009018DF">
        <w:rPr>
          <w:rFonts w:ascii="Garamond" w:hAnsi="Garamond" w:cs="Times New Roman"/>
          <w:color w:val="000000" w:themeColor="text1"/>
          <w:sz w:val="24"/>
          <w:szCs w:val="24"/>
          <w:lang w:val="en-US"/>
        </w:rPr>
        <w:lastRenderedPageBreak/>
        <w:t xml:space="preserve">to avoid it completely. He critically examines the Trinitarian approaches of some Catholic and Protestant theologians like Karl Barth, Karl </w:t>
      </w:r>
      <w:proofErr w:type="spellStart"/>
      <w:r w:rsidR="00D4000D" w:rsidRPr="009018DF">
        <w:rPr>
          <w:rFonts w:ascii="Garamond" w:hAnsi="Garamond" w:cs="Times New Roman"/>
          <w:color w:val="000000" w:themeColor="text1"/>
          <w:sz w:val="24"/>
          <w:szCs w:val="24"/>
          <w:lang w:val="en-US"/>
        </w:rPr>
        <w:t>Rahner</w:t>
      </w:r>
      <w:proofErr w:type="spellEnd"/>
      <w:r w:rsidR="00D4000D" w:rsidRPr="009018DF">
        <w:rPr>
          <w:rFonts w:ascii="Garamond" w:hAnsi="Garamond" w:cs="Times New Roman"/>
          <w:color w:val="000000" w:themeColor="text1"/>
          <w:sz w:val="24"/>
          <w:szCs w:val="24"/>
          <w:lang w:val="en-US"/>
        </w:rPr>
        <w:t>, Mark Heim, Jacque</w:t>
      </w:r>
      <w:r w:rsidR="0089488C" w:rsidRPr="009018DF">
        <w:rPr>
          <w:rFonts w:ascii="Garamond" w:hAnsi="Garamond" w:cs="Times New Roman"/>
          <w:color w:val="000000" w:themeColor="text1"/>
          <w:sz w:val="24"/>
          <w:szCs w:val="24"/>
          <w:lang w:val="en-US"/>
        </w:rPr>
        <w:t>s</w:t>
      </w:r>
      <w:r w:rsidR="00D4000D" w:rsidRPr="009018DF">
        <w:rPr>
          <w:rFonts w:ascii="Garamond" w:hAnsi="Garamond" w:cs="Times New Roman"/>
          <w:color w:val="000000" w:themeColor="text1"/>
          <w:sz w:val="24"/>
          <w:szCs w:val="24"/>
          <w:lang w:val="en-US"/>
        </w:rPr>
        <w:t xml:space="preserve"> Dupuis and Raimundo Panikkar, showing both the strengths and weaknesses of their works. D’Costa however argues that a Trinitarian approach offers a solid resource for interreligious dialogue contrary to the assumptions of non-trinitarians, namely those who prefer not to posit the Trinity as the ground for interreligious dialogue. Furthermore, he insists that reflections on the Trinity must not be severed from reflections on the church and the kingdom. According to D’Costa, Trinitarian and ecclesiological reflections “need to be constantly held together and in tension to properly reflect theologically upon interreligious dialogues”</w:t>
      </w:r>
      <w:r w:rsidR="00BB75C6" w:rsidRPr="009018DF">
        <w:rPr>
          <w:rFonts w:ascii="Garamond" w:hAnsi="Garamond" w:cs="Times New Roman"/>
          <w:color w:val="000000" w:themeColor="text1"/>
          <w:sz w:val="24"/>
          <w:szCs w:val="24"/>
          <w:lang w:val="en-US"/>
        </w:rPr>
        <w:t xml:space="preserve"> (D’Costa 2014, 125).</w:t>
      </w:r>
      <w:r w:rsidR="00D4000D" w:rsidRPr="009018DF">
        <w:rPr>
          <w:rFonts w:ascii="Garamond" w:hAnsi="Garamond" w:cs="Times New Roman"/>
          <w:color w:val="000000" w:themeColor="text1"/>
          <w:sz w:val="24"/>
          <w:szCs w:val="24"/>
          <w:lang w:val="en-US"/>
        </w:rPr>
        <w:t xml:space="preserve"> D’Costa’s approval of the Trinitarian approach does not in any way dismiss the problems that are associated with it.</w:t>
      </w:r>
    </w:p>
    <w:p w14:paraId="7862CCF6" w14:textId="4C502A8A" w:rsidR="00121C0B" w:rsidRPr="009018DF" w:rsidRDefault="00724F7B" w:rsidP="008B26CC">
      <w:pPr>
        <w:spacing w:before="0" w:after="0"/>
        <w:ind w:firstLine="567"/>
        <w:rPr>
          <w:rFonts w:ascii="Garamond" w:hAnsi="Garamond" w:cs="Times New Roman"/>
          <w:color w:val="000000" w:themeColor="text1"/>
          <w:sz w:val="24"/>
          <w:szCs w:val="24"/>
          <w:lang w:val="en-US"/>
        </w:rPr>
      </w:pPr>
      <w:r w:rsidRPr="009018DF">
        <w:rPr>
          <w:rFonts w:ascii="Garamond" w:hAnsi="Garamond" w:cs="Times New Roman"/>
          <w:color w:val="000000" w:themeColor="text1"/>
          <w:sz w:val="24"/>
          <w:szCs w:val="24"/>
          <w:lang w:val="en-US"/>
        </w:rPr>
        <w:t xml:space="preserve">Michael </w:t>
      </w:r>
      <w:proofErr w:type="spellStart"/>
      <w:r w:rsidRPr="009018DF">
        <w:rPr>
          <w:rFonts w:ascii="Garamond" w:hAnsi="Garamond" w:cs="Times New Roman"/>
          <w:color w:val="000000" w:themeColor="text1"/>
          <w:sz w:val="24"/>
          <w:szCs w:val="24"/>
          <w:lang w:val="en-US"/>
        </w:rPr>
        <w:t>Ipgrave’s</w:t>
      </w:r>
      <w:proofErr w:type="spellEnd"/>
      <w:r w:rsidRPr="009018DF">
        <w:rPr>
          <w:rFonts w:ascii="Garamond" w:hAnsi="Garamond" w:cs="Times New Roman"/>
          <w:color w:val="000000" w:themeColor="text1"/>
          <w:sz w:val="24"/>
          <w:szCs w:val="24"/>
          <w:lang w:val="en-US"/>
        </w:rPr>
        <w:t xml:space="preserve"> </w:t>
      </w:r>
      <w:r w:rsidRPr="009018DF">
        <w:rPr>
          <w:rFonts w:ascii="Garamond" w:hAnsi="Garamond" w:cs="Times New Roman"/>
          <w:i/>
          <w:color w:val="000000" w:themeColor="text1"/>
          <w:sz w:val="24"/>
          <w:szCs w:val="24"/>
          <w:lang w:val="en-US"/>
        </w:rPr>
        <w:t>Trinity and Inter Faith Dialogue</w:t>
      </w:r>
      <w:r w:rsidRPr="009018DF">
        <w:rPr>
          <w:rFonts w:ascii="Garamond" w:hAnsi="Garamond" w:cs="Times New Roman"/>
          <w:color w:val="000000" w:themeColor="text1"/>
          <w:sz w:val="24"/>
          <w:szCs w:val="24"/>
          <w:lang w:val="en-US"/>
        </w:rPr>
        <w:t xml:space="preserve"> (2003</w:t>
      </w:r>
      <w:r w:rsidR="00BB75C6" w:rsidRPr="009018DF">
        <w:rPr>
          <w:rFonts w:ascii="Garamond" w:hAnsi="Garamond" w:cs="Times New Roman"/>
          <w:color w:val="000000" w:themeColor="text1"/>
          <w:sz w:val="24"/>
          <w:szCs w:val="24"/>
          <w:lang w:val="en-US"/>
        </w:rPr>
        <w:t>, 12</w:t>
      </w:r>
      <w:r w:rsidRPr="009018DF">
        <w:rPr>
          <w:rFonts w:ascii="Garamond" w:hAnsi="Garamond" w:cs="Times New Roman"/>
          <w:color w:val="000000" w:themeColor="text1"/>
          <w:sz w:val="24"/>
          <w:szCs w:val="24"/>
          <w:lang w:val="en-US"/>
        </w:rPr>
        <w:t>)</w:t>
      </w:r>
      <w:r w:rsidR="004442AC" w:rsidRPr="009018DF">
        <w:rPr>
          <w:rFonts w:ascii="Garamond" w:hAnsi="Garamond" w:cs="Times New Roman"/>
          <w:color w:val="000000" w:themeColor="text1"/>
          <w:sz w:val="24"/>
          <w:szCs w:val="24"/>
          <w:lang w:val="en-US"/>
        </w:rPr>
        <w:t xml:space="preserve"> </w:t>
      </w:r>
      <w:r w:rsidRPr="009018DF">
        <w:rPr>
          <w:rFonts w:ascii="Garamond" w:hAnsi="Garamond" w:cs="Times New Roman"/>
          <w:color w:val="000000" w:themeColor="text1"/>
          <w:sz w:val="24"/>
          <w:szCs w:val="24"/>
          <w:lang w:val="en-US"/>
        </w:rPr>
        <w:t xml:space="preserve">appears to offer an insight to these questions. </w:t>
      </w:r>
      <w:proofErr w:type="spellStart"/>
      <w:r w:rsidRPr="009018DF">
        <w:rPr>
          <w:rFonts w:ascii="Garamond" w:hAnsi="Garamond" w:cs="Times New Roman"/>
          <w:color w:val="000000" w:themeColor="text1"/>
          <w:sz w:val="24"/>
          <w:szCs w:val="24"/>
          <w:lang w:val="en-US"/>
        </w:rPr>
        <w:t>Ipgrave’s</w:t>
      </w:r>
      <w:proofErr w:type="spellEnd"/>
      <w:r w:rsidRPr="009018DF">
        <w:rPr>
          <w:rFonts w:ascii="Garamond" w:hAnsi="Garamond" w:cs="Times New Roman"/>
          <w:color w:val="000000" w:themeColor="text1"/>
          <w:sz w:val="24"/>
          <w:szCs w:val="24"/>
          <w:lang w:val="en-US"/>
        </w:rPr>
        <w:t xml:space="preserve"> attempt to abstract the ‘trinity’ from the ‘Trinity’</w:t>
      </w:r>
      <w:r w:rsidRPr="009018DF">
        <w:rPr>
          <w:rStyle w:val="FootnoteAnchor"/>
          <w:rFonts w:ascii="Garamond" w:hAnsi="Garamond" w:cs="Times New Roman"/>
          <w:color w:val="000000" w:themeColor="text1"/>
          <w:sz w:val="24"/>
          <w:szCs w:val="24"/>
        </w:rPr>
        <w:footnoteReference w:id="2"/>
      </w:r>
      <w:r w:rsidRPr="009018DF">
        <w:rPr>
          <w:rFonts w:ascii="Garamond" w:hAnsi="Garamond" w:cs="Times New Roman"/>
          <w:color w:val="000000" w:themeColor="text1"/>
          <w:sz w:val="24"/>
          <w:szCs w:val="24"/>
          <w:lang w:val="en-US"/>
        </w:rPr>
        <w:t xml:space="preserve"> gives his approach the flexibility to be applied in any dialogue involving the Trinity. This approach is set from an inclusivist perspective, to provide a pathway in inter-faith dialogue.</w:t>
      </w:r>
      <w:r w:rsidRPr="009018DF">
        <w:rPr>
          <w:rStyle w:val="FootnoteAnchor"/>
          <w:rFonts w:ascii="Garamond" w:hAnsi="Garamond" w:cs="Times New Roman"/>
          <w:color w:val="000000" w:themeColor="text1"/>
          <w:sz w:val="24"/>
          <w:szCs w:val="24"/>
        </w:rPr>
        <w:footnoteReference w:id="3"/>
      </w:r>
      <w:r w:rsidRPr="009018DF">
        <w:rPr>
          <w:rFonts w:ascii="Garamond" w:hAnsi="Garamond" w:cs="Times New Roman"/>
          <w:color w:val="000000" w:themeColor="text1"/>
          <w:sz w:val="24"/>
          <w:szCs w:val="24"/>
          <w:lang w:val="en-US"/>
        </w:rPr>
        <w:t xml:space="preserve"> By deducting principles that correspond to the Trinitarian persons and relations, one may likely find an interesting framework for dialogue. For instance, instead of debating on whether the Holy Spirit proceeds from either the Father alone or from the Father and the Son, attention is rather given to the Spirit’s attribute of experientiality.</w:t>
      </w:r>
      <w:r w:rsidR="0082061C" w:rsidRPr="009018DF">
        <w:rPr>
          <w:rFonts w:ascii="Garamond" w:hAnsi="Garamond" w:cs="Times New Roman"/>
          <w:color w:val="000000" w:themeColor="text1"/>
          <w:sz w:val="24"/>
          <w:szCs w:val="24"/>
          <w:lang w:val="en-US"/>
        </w:rPr>
        <w:t xml:space="preserve"> </w:t>
      </w:r>
      <w:r w:rsidRPr="009018DF">
        <w:rPr>
          <w:rFonts w:ascii="Garamond" w:hAnsi="Garamond" w:cs="Times New Roman"/>
          <w:color w:val="000000" w:themeColor="text1"/>
          <w:sz w:val="24"/>
          <w:szCs w:val="24"/>
          <w:lang w:val="en-US"/>
        </w:rPr>
        <w:t xml:space="preserve">Notwithstanding its focus on interreligious dialogue, </w:t>
      </w:r>
      <w:proofErr w:type="spellStart"/>
      <w:r w:rsidRPr="009018DF">
        <w:rPr>
          <w:rFonts w:ascii="Garamond" w:hAnsi="Garamond" w:cs="Times New Roman"/>
          <w:color w:val="000000" w:themeColor="text1"/>
          <w:sz w:val="24"/>
          <w:szCs w:val="24"/>
          <w:lang w:val="en-US"/>
        </w:rPr>
        <w:t>Ipgrave’s</w:t>
      </w:r>
      <w:proofErr w:type="spellEnd"/>
      <w:r w:rsidRPr="009018DF">
        <w:rPr>
          <w:rFonts w:ascii="Garamond" w:hAnsi="Garamond" w:cs="Times New Roman"/>
          <w:color w:val="000000" w:themeColor="text1"/>
          <w:sz w:val="24"/>
          <w:szCs w:val="24"/>
          <w:lang w:val="en-US"/>
        </w:rPr>
        <w:t xml:space="preserve"> model is not burdened by details of how the Trinity functions in current practices of interreligious dialogue. It rather focuses on developing a more efficient Trinitarian framework for Christian engagement in inter</w:t>
      </w:r>
      <w:r w:rsidR="00547F98" w:rsidRPr="009018DF">
        <w:rPr>
          <w:rFonts w:ascii="Garamond" w:hAnsi="Garamond" w:cs="Times New Roman"/>
          <w:color w:val="000000" w:themeColor="text1"/>
          <w:sz w:val="24"/>
          <w:szCs w:val="24"/>
          <w:lang w:val="en-US"/>
        </w:rPr>
        <w:t>-faith</w:t>
      </w:r>
      <w:r w:rsidRPr="009018DF">
        <w:rPr>
          <w:rFonts w:ascii="Garamond" w:hAnsi="Garamond" w:cs="Times New Roman"/>
          <w:color w:val="000000" w:themeColor="text1"/>
          <w:sz w:val="24"/>
          <w:szCs w:val="24"/>
          <w:lang w:val="en-US"/>
        </w:rPr>
        <w:t xml:space="preserve"> dialogue. </w:t>
      </w:r>
    </w:p>
    <w:p w14:paraId="6BA96046" w14:textId="47581FD4" w:rsidR="00724F7B" w:rsidRPr="009018DF" w:rsidRDefault="00724F7B" w:rsidP="008B26CC">
      <w:pPr>
        <w:spacing w:before="0" w:after="0"/>
        <w:ind w:firstLine="567"/>
        <w:rPr>
          <w:rFonts w:ascii="Garamond" w:hAnsi="Garamond" w:cs="Times New Roman"/>
          <w:color w:val="000000" w:themeColor="text1"/>
          <w:sz w:val="24"/>
          <w:szCs w:val="24"/>
          <w:lang w:val="en-US"/>
        </w:rPr>
      </w:pPr>
      <w:r w:rsidRPr="009018DF">
        <w:rPr>
          <w:rFonts w:ascii="Garamond" w:hAnsi="Garamond" w:cs="Times New Roman"/>
          <w:color w:val="000000" w:themeColor="text1"/>
          <w:sz w:val="24"/>
          <w:szCs w:val="24"/>
          <w:lang w:val="en-US"/>
        </w:rPr>
        <w:t>Ipgrave proposes a basic humanism as the entry point to dia</w:t>
      </w:r>
      <w:r w:rsidR="0082061C" w:rsidRPr="009018DF">
        <w:rPr>
          <w:rFonts w:ascii="Garamond" w:hAnsi="Garamond" w:cs="Times New Roman"/>
          <w:color w:val="000000" w:themeColor="text1"/>
          <w:sz w:val="24"/>
          <w:szCs w:val="24"/>
          <w:lang w:val="en-US"/>
        </w:rPr>
        <w:t>l</w:t>
      </w:r>
      <w:r w:rsidRPr="009018DF">
        <w:rPr>
          <w:rFonts w:ascii="Garamond" w:hAnsi="Garamond" w:cs="Times New Roman"/>
          <w:color w:val="000000" w:themeColor="text1"/>
          <w:sz w:val="24"/>
          <w:szCs w:val="24"/>
          <w:lang w:val="en-US"/>
        </w:rPr>
        <w:t xml:space="preserve">ogue. </w:t>
      </w:r>
      <w:r w:rsidR="002C13E7" w:rsidRPr="009018DF">
        <w:rPr>
          <w:rFonts w:ascii="Garamond" w:hAnsi="Garamond" w:cs="Times New Roman"/>
          <w:color w:val="000000" w:themeColor="text1"/>
          <w:sz w:val="24"/>
          <w:szCs w:val="24"/>
          <w:lang w:val="en-US"/>
        </w:rPr>
        <w:t>This</w:t>
      </w:r>
      <w:r w:rsidRPr="009018DF">
        <w:rPr>
          <w:rFonts w:ascii="Garamond" w:hAnsi="Garamond" w:cs="Times New Roman"/>
          <w:color w:val="000000" w:themeColor="text1"/>
          <w:sz w:val="24"/>
          <w:szCs w:val="24"/>
          <w:lang w:val="en-US"/>
        </w:rPr>
        <w:t xml:space="preserve"> involves a recognition “that the other partner is a fellow human being deserving of respect in their unlikeness as well as evoking empathy in their likeness”</w:t>
      </w:r>
      <w:r w:rsidR="00BB75C6" w:rsidRPr="009018DF">
        <w:rPr>
          <w:rFonts w:ascii="Garamond" w:hAnsi="Garamond" w:cs="Times New Roman"/>
          <w:color w:val="000000" w:themeColor="text1"/>
          <w:sz w:val="24"/>
          <w:szCs w:val="24"/>
          <w:lang w:val="en-US"/>
        </w:rPr>
        <w:t xml:space="preserve"> (</w:t>
      </w:r>
      <w:proofErr w:type="spellStart"/>
      <w:r w:rsidR="00BB75C6" w:rsidRPr="009018DF">
        <w:rPr>
          <w:rFonts w:ascii="Garamond" w:hAnsi="Garamond" w:cs="Times New Roman"/>
          <w:color w:val="000000" w:themeColor="text1"/>
          <w:sz w:val="24"/>
          <w:szCs w:val="24"/>
          <w:lang w:val="en-US"/>
        </w:rPr>
        <w:t>Ipgrave</w:t>
      </w:r>
      <w:proofErr w:type="spellEnd"/>
      <w:r w:rsidR="00BB75C6" w:rsidRPr="009018DF">
        <w:rPr>
          <w:rFonts w:ascii="Garamond" w:hAnsi="Garamond" w:cs="Times New Roman"/>
          <w:color w:val="000000" w:themeColor="text1"/>
          <w:sz w:val="24"/>
          <w:szCs w:val="24"/>
          <w:lang w:val="en-US"/>
        </w:rPr>
        <w:t xml:space="preserve"> 2003, 310).</w:t>
      </w:r>
      <w:r w:rsidRPr="009018DF">
        <w:rPr>
          <w:rFonts w:ascii="Garamond" w:hAnsi="Garamond" w:cs="Times New Roman"/>
          <w:color w:val="000000" w:themeColor="text1"/>
          <w:sz w:val="24"/>
          <w:szCs w:val="24"/>
          <w:lang w:val="en-US"/>
        </w:rPr>
        <w:t xml:space="preserve"> Recognizing the humanity of the other, </w:t>
      </w:r>
      <w:r w:rsidR="002C13E7" w:rsidRPr="009018DF">
        <w:rPr>
          <w:rFonts w:ascii="Garamond" w:hAnsi="Garamond" w:cs="Times New Roman"/>
          <w:color w:val="000000" w:themeColor="text1"/>
          <w:sz w:val="24"/>
          <w:szCs w:val="24"/>
          <w:lang w:val="en-US"/>
        </w:rPr>
        <w:t>demonstrate</w:t>
      </w:r>
      <w:r w:rsidRPr="009018DF">
        <w:rPr>
          <w:rFonts w:ascii="Garamond" w:hAnsi="Garamond" w:cs="Times New Roman"/>
          <w:color w:val="000000" w:themeColor="text1"/>
          <w:sz w:val="24"/>
          <w:szCs w:val="24"/>
          <w:lang w:val="en-US"/>
        </w:rPr>
        <w:t xml:space="preserve">s a certain </w:t>
      </w:r>
      <w:r w:rsidRPr="009018DF">
        <w:rPr>
          <w:rFonts w:ascii="Garamond" w:hAnsi="Garamond" w:cs="Times New Roman"/>
          <w:i/>
          <w:color w:val="000000" w:themeColor="text1"/>
          <w:sz w:val="24"/>
          <w:szCs w:val="24"/>
          <w:lang w:val="en-US"/>
        </w:rPr>
        <w:t>sameness</w:t>
      </w:r>
      <w:r w:rsidRPr="009018DF">
        <w:rPr>
          <w:rFonts w:ascii="Garamond" w:hAnsi="Garamond" w:cs="Times New Roman"/>
          <w:color w:val="000000" w:themeColor="text1"/>
          <w:sz w:val="24"/>
          <w:szCs w:val="24"/>
          <w:lang w:val="en-US"/>
        </w:rPr>
        <w:t xml:space="preserve"> that is shared by all despite </w:t>
      </w:r>
      <w:r w:rsidRPr="009018DF">
        <w:rPr>
          <w:rFonts w:ascii="Garamond" w:hAnsi="Garamond" w:cs="Times New Roman"/>
          <w:i/>
          <w:color w:val="000000" w:themeColor="text1"/>
          <w:sz w:val="24"/>
          <w:szCs w:val="24"/>
          <w:lang w:val="en-US"/>
        </w:rPr>
        <w:t>differences</w:t>
      </w:r>
      <w:r w:rsidRPr="009018DF">
        <w:rPr>
          <w:rFonts w:ascii="Garamond" w:hAnsi="Garamond" w:cs="Times New Roman"/>
          <w:color w:val="000000" w:themeColor="text1"/>
          <w:sz w:val="24"/>
          <w:szCs w:val="24"/>
          <w:lang w:val="en-US"/>
        </w:rPr>
        <w:t xml:space="preserve">. Dialogue in such a situation makes it possible that in the search for common grounds, differences are equally recognized and respected. </w:t>
      </w:r>
      <w:proofErr w:type="spellStart"/>
      <w:r w:rsidRPr="009018DF">
        <w:rPr>
          <w:rFonts w:ascii="Garamond" w:hAnsi="Garamond" w:cs="Times New Roman"/>
          <w:color w:val="000000" w:themeColor="text1"/>
          <w:sz w:val="24"/>
          <w:szCs w:val="24"/>
          <w:lang w:val="en-US"/>
        </w:rPr>
        <w:t>Ipgrave’s</w:t>
      </w:r>
      <w:proofErr w:type="spellEnd"/>
      <w:r w:rsidRPr="009018DF">
        <w:rPr>
          <w:rFonts w:ascii="Garamond" w:hAnsi="Garamond" w:cs="Times New Roman"/>
          <w:color w:val="000000" w:themeColor="text1"/>
          <w:sz w:val="24"/>
          <w:szCs w:val="24"/>
          <w:lang w:val="en-US"/>
        </w:rPr>
        <w:t xml:space="preserve"> use of emotive language here might in a way sound rather apologetic than convincing. Yet I agree with him since one cannot dismiss the possibility of dialogue based on perceived differences.</w:t>
      </w:r>
      <w:r w:rsidR="0082061C" w:rsidRPr="009018DF">
        <w:rPr>
          <w:rFonts w:ascii="Garamond" w:hAnsi="Garamond" w:cs="Times New Roman"/>
          <w:color w:val="000000" w:themeColor="text1"/>
          <w:sz w:val="24"/>
          <w:szCs w:val="24"/>
          <w:lang w:val="en-US"/>
        </w:rPr>
        <w:t xml:space="preserve"> </w:t>
      </w:r>
      <w:r w:rsidRPr="009018DF">
        <w:rPr>
          <w:rFonts w:ascii="Garamond" w:hAnsi="Garamond" w:cs="Times New Roman"/>
          <w:color w:val="000000" w:themeColor="text1"/>
          <w:sz w:val="24"/>
          <w:szCs w:val="24"/>
          <w:lang w:val="en-US"/>
        </w:rPr>
        <w:t xml:space="preserve">Nevertheless, Ipgrave clarifies further by grounding this humanism in Trinitarian orientations of openness, </w:t>
      </w:r>
      <w:proofErr w:type="gramStart"/>
      <w:r w:rsidRPr="009018DF">
        <w:rPr>
          <w:rFonts w:ascii="Garamond" w:hAnsi="Garamond" w:cs="Times New Roman"/>
          <w:color w:val="000000" w:themeColor="text1"/>
          <w:sz w:val="24"/>
          <w:szCs w:val="24"/>
          <w:lang w:val="en-US"/>
        </w:rPr>
        <w:t>rationality</w:t>
      </w:r>
      <w:proofErr w:type="gramEnd"/>
      <w:r w:rsidRPr="009018DF">
        <w:rPr>
          <w:rFonts w:ascii="Garamond" w:hAnsi="Garamond" w:cs="Times New Roman"/>
          <w:color w:val="000000" w:themeColor="text1"/>
          <w:sz w:val="24"/>
          <w:szCs w:val="24"/>
          <w:lang w:val="en-US"/>
        </w:rPr>
        <w:t xml:space="preserve"> and the recognition of the spiritual experience of the other</w:t>
      </w:r>
      <w:r w:rsidR="00BB75C6" w:rsidRPr="009018DF">
        <w:rPr>
          <w:rFonts w:ascii="Garamond" w:hAnsi="Garamond" w:cs="Times New Roman"/>
          <w:color w:val="000000" w:themeColor="text1"/>
          <w:sz w:val="24"/>
          <w:szCs w:val="24"/>
          <w:lang w:val="en-US"/>
        </w:rPr>
        <w:t xml:space="preserve"> (Ibid.)</w:t>
      </w:r>
      <w:r w:rsidRPr="009018DF">
        <w:rPr>
          <w:rFonts w:ascii="Garamond" w:hAnsi="Garamond" w:cs="Times New Roman"/>
          <w:color w:val="000000" w:themeColor="text1"/>
          <w:lang w:val="en-US"/>
        </w:rPr>
        <w:t>.</w:t>
      </w:r>
      <w:r w:rsidR="00931AA5" w:rsidRPr="009018DF">
        <w:rPr>
          <w:rFonts w:ascii="Garamond" w:hAnsi="Garamond" w:cs="Times New Roman"/>
          <w:color w:val="000000" w:themeColor="text1"/>
          <w:sz w:val="24"/>
          <w:szCs w:val="24"/>
          <w:lang w:val="en-US"/>
        </w:rPr>
        <w:t xml:space="preserve"> </w:t>
      </w:r>
      <w:r w:rsidRPr="009018DF">
        <w:rPr>
          <w:rFonts w:ascii="Garamond" w:hAnsi="Garamond" w:cs="Times New Roman"/>
          <w:color w:val="000000" w:themeColor="text1"/>
          <w:sz w:val="24"/>
          <w:szCs w:val="24"/>
          <w:lang w:val="en-US"/>
        </w:rPr>
        <w:t xml:space="preserve">Vatican II’s </w:t>
      </w:r>
      <w:r w:rsidRPr="009018DF">
        <w:rPr>
          <w:rFonts w:ascii="Garamond" w:hAnsi="Garamond" w:cs="Times New Roman"/>
          <w:i/>
          <w:color w:val="000000" w:themeColor="text1"/>
          <w:sz w:val="24"/>
          <w:szCs w:val="24"/>
          <w:lang w:val="en-US"/>
        </w:rPr>
        <w:t>Nostra Aetate</w:t>
      </w:r>
      <w:r w:rsidRPr="009018DF">
        <w:rPr>
          <w:rFonts w:ascii="Garamond" w:hAnsi="Garamond" w:cs="Times New Roman"/>
          <w:color w:val="000000" w:themeColor="text1"/>
          <w:sz w:val="24"/>
          <w:szCs w:val="24"/>
          <w:lang w:val="en-US"/>
        </w:rPr>
        <w:t xml:space="preserve"> reinforced this threefold attitude by encouraging dialogue and collaboration between Christians and Muslims. It paved the way for the classical four forms of interreligious dialogue as contained in the 1984 document</w:t>
      </w:r>
      <w:r w:rsidR="007114E4" w:rsidRPr="009018DF">
        <w:rPr>
          <w:rFonts w:ascii="Garamond" w:hAnsi="Garamond" w:cs="Times New Roman"/>
          <w:color w:val="000000" w:themeColor="text1"/>
          <w:sz w:val="24"/>
          <w:szCs w:val="24"/>
          <w:lang w:val="en-US"/>
        </w:rPr>
        <w:t xml:space="preserve"> (§§28-35)</w:t>
      </w:r>
      <w:r w:rsidRPr="009018DF">
        <w:rPr>
          <w:rFonts w:ascii="Garamond" w:hAnsi="Garamond" w:cs="Times New Roman"/>
          <w:color w:val="000000" w:themeColor="text1"/>
          <w:sz w:val="24"/>
          <w:szCs w:val="24"/>
          <w:lang w:val="en-US"/>
        </w:rPr>
        <w:t xml:space="preserve">, </w:t>
      </w:r>
      <w:r w:rsidRPr="009018DF">
        <w:rPr>
          <w:rFonts w:ascii="Garamond" w:hAnsi="Garamond" w:cs="Times New Roman"/>
          <w:i/>
          <w:color w:val="000000" w:themeColor="text1"/>
          <w:sz w:val="24"/>
          <w:szCs w:val="24"/>
          <w:lang w:val="en-US"/>
        </w:rPr>
        <w:t>The Attitude of the Church Towards the Followers of Other Religions: Reflections and Orientations on Dialogue and Mission</w:t>
      </w:r>
      <w:r w:rsidRPr="009018DF">
        <w:rPr>
          <w:rFonts w:ascii="Garamond" w:hAnsi="Garamond" w:cs="Times New Roman"/>
          <w:color w:val="000000" w:themeColor="text1"/>
          <w:sz w:val="24"/>
          <w:szCs w:val="24"/>
          <w:lang w:val="en-US"/>
        </w:rPr>
        <w:t xml:space="preserve"> by the Vatican Secretariat for Non-Christians</w:t>
      </w:r>
      <w:r w:rsidR="00115E52" w:rsidRPr="009018DF">
        <w:rPr>
          <w:rFonts w:ascii="Garamond" w:hAnsi="Garamond" w:cs="Times New Roman"/>
          <w:color w:val="000000" w:themeColor="text1"/>
          <w:sz w:val="24"/>
          <w:szCs w:val="24"/>
          <w:lang w:val="en-US"/>
        </w:rPr>
        <w:t>, namely</w:t>
      </w:r>
      <w:r w:rsidRPr="009018DF">
        <w:rPr>
          <w:rFonts w:ascii="Garamond" w:hAnsi="Garamond" w:cs="Times New Roman"/>
          <w:color w:val="000000" w:themeColor="text1"/>
          <w:sz w:val="24"/>
          <w:szCs w:val="24"/>
          <w:lang w:val="en-US"/>
        </w:rPr>
        <w:t>, dialogue of life, dialogue of action (social), dialogue of experts (theological exchange), and dialogue of religious experience (spirituality).</w:t>
      </w:r>
      <w:r w:rsidRPr="009018DF">
        <w:rPr>
          <w:rStyle w:val="FootnoteAnchor"/>
          <w:rFonts w:ascii="Garamond" w:hAnsi="Garamond" w:cs="Times New Roman"/>
          <w:color w:val="000000" w:themeColor="text1"/>
          <w:sz w:val="24"/>
          <w:szCs w:val="24"/>
        </w:rPr>
        <w:footnoteReference w:id="4"/>
      </w:r>
      <w:r w:rsidR="009B0DDC" w:rsidRPr="009018DF">
        <w:rPr>
          <w:rFonts w:ascii="Garamond" w:hAnsi="Garamond" w:cs="Times New Roman"/>
          <w:color w:val="000000" w:themeColor="text1"/>
          <w:sz w:val="24"/>
          <w:szCs w:val="24"/>
          <w:lang w:val="en-US"/>
        </w:rPr>
        <w:t xml:space="preserve"> </w:t>
      </w:r>
      <w:proofErr w:type="spellStart"/>
      <w:r w:rsidR="0032497F" w:rsidRPr="009018DF">
        <w:rPr>
          <w:rFonts w:ascii="Garamond" w:hAnsi="Garamond" w:cs="Times New Roman"/>
          <w:color w:val="000000" w:themeColor="text1"/>
          <w:sz w:val="24"/>
          <w:szCs w:val="24"/>
          <w:lang w:val="en-US"/>
        </w:rPr>
        <w:t>Ipgrave’s</w:t>
      </w:r>
      <w:proofErr w:type="spellEnd"/>
      <w:r w:rsidR="0032497F" w:rsidRPr="009018DF">
        <w:rPr>
          <w:rFonts w:ascii="Garamond" w:hAnsi="Garamond" w:cs="Times New Roman"/>
          <w:color w:val="000000" w:themeColor="text1"/>
          <w:sz w:val="24"/>
          <w:szCs w:val="24"/>
          <w:lang w:val="en-US"/>
        </w:rPr>
        <w:t xml:space="preserve"> Trinitarian patterning integrates these forms of dialogue through the </w:t>
      </w:r>
      <w:r w:rsidR="0032497F" w:rsidRPr="009018DF">
        <w:rPr>
          <w:rFonts w:ascii="Garamond" w:hAnsi="Garamond" w:cs="Times New Roman"/>
          <w:color w:val="000000" w:themeColor="text1"/>
          <w:sz w:val="24"/>
          <w:szCs w:val="24"/>
          <w:lang w:val="en-US"/>
        </w:rPr>
        <w:lastRenderedPageBreak/>
        <w:t xml:space="preserve">dialogical orientations, offering us the pathway to constructing a </w:t>
      </w:r>
      <w:r w:rsidR="00240AB6" w:rsidRPr="009018DF">
        <w:rPr>
          <w:rFonts w:ascii="Garamond" w:hAnsi="Garamond" w:cs="Times New Roman"/>
          <w:color w:val="000000" w:themeColor="text1"/>
          <w:sz w:val="24"/>
          <w:szCs w:val="24"/>
          <w:lang w:val="en-US"/>
        </w:rPr>
        <w:t>‘</w:t>
      </w:r>
      <w:r w:rsidR="0032497F" w:rsidRPr="009018DF">
        <w:rPr>
          <w:rFonts w:ascii="Garamond" w:hAnsi="Garamond" w:cs="Times New Roman"/>
          <w:color w:val="000000" w:themeColor="text1"/>
          <w:sz w:val="24"/>
          <w:szCs w:val="24"/>
          <w:lang w:val="en-US"/>
        </w:rPr>
        <w:t>Trinitarian intercultural hermeneutics</w:t>
      </w:r>
      <w:r w:rsidR="00240AB6" w:rsidRPr="009018DF">
        <w:rPr>
          <w:rFonts w:ascii="Garamond" w:hAnsi="Garamond" w:cs="Times New Roman"/>
          <w:color w:val="000000" w:themeColor="text1"/>
          <w:sz w:val="24"/>
          <w:szCs w:val="24"/>
          <w:lang w:val="en-US"/>
        </w:rPr>
        <w:t>’</w:t>
      </w:r>
      <w:r w:rsidR="0032497F" w:rsidRPr="009018DF">
        <w:rPr>
          <w:rFonts w:ascii="Garamond" w:hAnsi="Garamond" w:cs="Times New Roman"/>
          <w:color w:val="000000" w:themeColor="text1"/>
          <w:sz w:val="24"/>
          <w:szCs w:val="24"/>
          <w:lang w:val="en-US"/>
        </w:rPr>
        <w:t xml:space="preserve"> of dialogue that is grounded in praxis.</w:t>
      </w:r>
    </w:p>
    <w:p w14:paraId="0D868BCA" w14:textId="77777777" w:rsidR="00D760AD" w:rsidRPr="009018DF" w:rsidRDefault="00D760AD" w:rsidP="008B26CC">
      <w:pPr>
        <w:spacing w:before="0" w:after="0"/>
        <w:rPr>
          <w:rFonts w:ascii="Garamond" w:hAnsi="Garamond" w:cs="Times New Roman"/>
          <w:color w:val="000000" w:themeColor="text1"/>
          <w:sz w:val="24"/>
          <w:szCs w:val="24"/>
          <w:lang w:val="en-US"/>
        </w:rPr>
      </w:pPr>
    </w:p>
    <w:p w14:paraId="55E2E58B" w14:textId="77777777" w:rsidR="00001D00" w:rsidRPr="009018DF" w:rsidRDefault="00001D00" w:rsidP="008B26CC">
      <w:pPr>
        <w:pStyle w:val="Heading2"/>
        <w:rPr>
          <w:i w:val="0"/>
        </w:rPr>
      </w:pPr>
      <w:bookmarkStart w:id="1" w:name="_Toc31190721"/>
    </w:p>
    <w:p w14:paraId="0A4C422D" w14:textId="7E68D470" w:rsidR="00B96D02" w:rsidRPr="009018DF" w:rsidRDefault="00B96D02" w:rsidP="008B26CC">
      <w:pPr>
        <w:spacing w:before="0" w:after="0"/>
        <w:rPr>
          <w:rFonts w:ascii="Garamond" w:hAnsi="Garamond"/>
          <w:b/>
          <w:color w:val="000000" w:themeColor="text1"/>
          <w:sz w:val="24"/>
          <w:szCs w:val="24"/>
        </w:rPr>
      </w:pPr>
      <w:r w:rsidRPr="009018DF">
        <w:rPr>
          <w:rFonts w:ascii="Garamond" w:hAnsi="Garamond"/>
          <w:b/>
          <w:color w:val="000000" w:themeColor="text1"/>
          <w:sz w:val="24"/>
          <w:szCs w:val="24"/>
        </w:rPr>
        <w:t xml:space="preserve">Defining a </w:t>
      </w:r>
      <w:r w:rsidR="007363DB" w:rsidRPr="009018DF">
        <w:rPr>
          <w:rFonts w:ascii="Garamond" w:hAnsi="Garamond"/>
          <w:b/>
          <w:color w:val="000000" w:themeColor="text1"/>
          <w:sz w:val="24"/>
          <w:szCs w:val="24"/>
        </w:rPr>
        <w:t>(</w:t>
      </w:r>
      <w:r w:rsidRPr="009018DF">
        <w:rPr>
          <w:rFonts w:ascii="Garamond" w:hAnsi="Garamond"/>
          <w:b/>
          <w:color w:val="000000" w:themeColor="text1"/>
          <w:sz w:val="24"/>
          <w:szCs w:val="24"/>
        </w:rPr>
        <w:t>Trinitarian</w:t>
      </w:r>
      <w:r w:rsidR="007363DB" w:rsidRPr="009018DF">
        <w:rPr>
          <w:rFonts w:ascii="Garamond" w:hAnsi="Garamond"/>
          <w:b/>
          <w:color w:val="000000" w:themeColor="text1"/>
          <w:sz w:val="24"/>
          <w:szCs w:val="24"/>
        </w:rPr>
        <w:t>)</w:t>
      </w:r>
      <w:r w:rsidRPr="009018DF">
        <w:rPr>
          <w:rFonts w:ascii="Garamond" w:hAnsi="Garamond"/>
          <w:b/>
          <w:color w:val="000000" w:themeColor="text1"/>
          <w:sz w:val="24"/>
          <w:szCs w:val="24"/>
        </w:rPr>
        <w:t xml:space="preserve"> Intercultural Hermeneutics of Dialogue</w:t>
      </w:r>
      <w:bookmarkEnd w:id="1"/>
    </w:p>
    <w:p w14:paraId="0BE2F646" w14:textId="77777777" w:rsidR="00001D00" w:rsidRPr="009018DF" w:rsidRDefault="00001D00" w:rsidP="008B26CC">
      <w:pPr>
        <w:spacing w:before="0" w:after="0"/>
        <w:rPr>
          <w:rFonts w:ascii="Garamond" w:hAnsi="Garamond" w:cs="Times New Roman"/>
          <w:color w:val="000000" w:themeColor="text1"/>
          <w:sz w:val="24"/>
          <w:szCs w:val="24"/>
        </w:rPr>
      </w:pPr>
    </w:p>
    <w:p w14:paraId="7AE6DABB" w14:textId="4222A1E6" w:rsidR="00644F03" w:rsidRPr="009018DF" w:rsidRDefault="00711CD5" w:rsidP="008B26CC">
      <w:pPr>
        <w:spacing w:before="0" w:after="0"/>
        <w:rPr>
          <w:rFonts w:ascii="Garamond" w:hAnsi="Garamond" w:cs="Times New Roman"/>
          <w:color w:val="000000" w:themeColor="text1"/>
          <w:sz w:val="24"/>
          <w:szCs w:val="24"/>
        </w:rPr>
      </w:pPr>
      <w:r w:rsidRPr="009018DF">
        <w:rPr>
          <w:rFonts w:ascii="Garamond" w:hAnsi="Garamond" w:cs="Times New Roman"/>
          <w:color w:val="000000" w:themeColor="text1"/>
          <w:sz w:val="24"/>
          <w:szCs w:val="24"/>
        </w:rPr>
        <w:t xml:space="preserve">Intercultural hermeneutics has always been set as an emerging and increasingly acceptable art of the interpretation and understanding of reality. This is against a model of intracultural hermeneutics in which meaning is circumscribed within a particular tradition or culture. The emergence of intercultural hermeneutics is premised upon the reality of multiplicity of cultures that constantly meet under different circumstances. </w:t>
      </w:r>
      <w:r w:rsidR="00644F03" w:rsidRPr="009018DF">
        <w:rPr>
          <w:rFonts w:ascii="Garamond" w:hAnsi="Garamond" w:cs="Times New Roman"/>
          <w:color w:val="000000" w:themeColor="text1"/>
          <w:sz w:val="24"/>
          <w:szCs w:val="24"/>
        </w:rPr>
        <w:t>In the attempt to define intercultural hermeneutics, a certain sensitivity emerges whereby the entanglement between the self and the other is maintained while taking identity seriously. In fact, ‘the other’ or ‘difference’ constitutes a hermeneutical factor in what is today known as intercultural theology</w:t>
      </w:r>
      <w:r w:rsidR="007114E4" w:rsidRPr="009018DF">
        <w:rPr>
          <w:rFonts w:ascii="Garamond" w:hAnsi="Garamond" w:cs="Times New Roman"/>
          <w:color w:val="000000" w:themeColor="text1"/>
          <w:sz w:val="24"/>
          <w:szCs w:val="24"/>
        </w:rPr>
        <w:t xml:space="preserve"> (Gruber 2018, 40)</w:t>
      </w:r>
      <w:r w:rsidR="00644F03" w:rsidRPr="009018DF">
        <w:rPr>
          <w:rFonts w:ascii="Garamond" w:hAnsi="Garamond" w:cs="Times New Roman"/>
          <w:color w:val="000000" w:themeColor="text1"/>
          <w:sz w:val="24"/>
          <w:szCs w:val="24"/>
        </w:rPr>
        <w:t xml:space="preserve">. </w:t>
      </w:r>
      <w:r w:rsidR="007114E4" w:rsidRPr="009018DF">
        <w:rPr>
          <w:rFonts w:ascii="Garamond" w:hAnsi="Garamond" w:cs="Times New Roman"/>
          <w:color w:val="000000" w:themeColor="text1"/>
          <w:sz w:val="24"/>
          <w:szCs w:val="24"/>
        </w:rPr>
        <w:t>For Gruber, the central task of intercultural theology is the ‘unsilencing of interculturality’ which invariably “denaturalizes and de-essentializes the normative texts of ecclesial tradition and reveals the contingent histories of their formation.” Gruber’s analysis is in consonance with the ecclesiological paradigm of identity-in-difference, according to which difference is a constitutive element of identity even when conceived in contrast or in absentia (via negativa). Hence, “the definition of Christian identity cannot be negotiated in terms of idealistic abstractions but proceeds via the production of texts that embody the delineations between ecclesial identity and those it defines as its others.”</w:t>
      </w:r>
      <w:r w:rsidR="007114E4" w:rsidRPr="009018DF">
        <w:rPr>
          <w:rFonts w:ascii="Garamond" w:hAnsi="Garamond" w:cs="Times New Roman"/>
          <w:color w:val="000000" w:themeColor="text1"/>
          <w:sz w:val="24"/>
          <w:szCs w:val="24"/>
        </w:rPr>
        <w:t xml:space="preserve"> (Gruber 2018, 125). </w:t>
      </w:r>
      <w:r w:rsidR="00644F03" w:rsidRPr="009018DF">
        <w:rPr>
          <w:rFonts w:ascii="Garamond" w:hAnsi="Garamond" w:cs="Times New Roman"/>
          <w:color w:val="000000" w:themeColor="text1"/>
          <w:sz w:val="24"/>
          <w:szCs w:val="24"/>
        </w:rPr>
        <w:t>The aim is to avoid any unintended reduction of either the other or the self, the consequence of which is a homogenization of some sort. De Paul University</w:t>
      </w:r>
      <w:r w:rsidR="0097105F" w:rsidRPr="009018DF">
        <w:rPr>
          <w:rFonts w:ascii="Garamond" w:hAnsi="Garamond" w:cs="Times New Roman"/>
          <w:color w:val="000000" w:themeColor="text1"/>
          <w:sz w:val="24"/>
          <w:szCs w:val="24"/>
        </w:rPr>
        <w:t xml:space="preserve"> theology professor</w:t>
      </w:r>
      <w:r w:rsidR="00644F03" w:rsidRPr="009018DF">
        <w:rPr>
          <w:rFonts w:ascii="Garamond" w:hAnsi="Garamond" w:cs="Times New Roman"/>
          <w:color w:val="000000" w:themeColor="text1"/>
          <w:sz w:val="24"/>
          <w:szCs w:val="24"/>
        </w:rPr>
        <w:t>, Stan Chu Ilo, pays attention to the complexities involved here. According to Ilo</w:t>
      </w:r>
      <w:r w:rsidR="007114E4" w:rsidRPr="009018DF">
        <w:rPr>
          <w:rFonts w:ascii="Garamond" w:hAnsi="Garamond" w:cs="Times New Roman"/>
          <w:color w:val="000000" w:themeColor="text1"/>
          <w:sz w:val="24"/>
          <w:szCs w:val="24"/>
        </w:rPr>
        <w:t xml:space="preserve"> (2016, 189)</w:t>
      </w:r>
      <w:r w:rsidR="00644F03" w:rsidRPr="009018DF">
        <w:rPr>
          <w:rFonts w:ascii="Garamond" w:hAnsi="Garamond" w:cs="Times New Roman"/>
          <w:color w:val="000000" w:themeColor="text1"/>
          <w:sz w:val="24"/>
          <w:szCs w:val="24"/>
        </w:rPr>
        <w:t>, intercultural hermeneutics is best understood as “a comparative search for common meaning between different culturally defined subjects.” Ilo admits the tenuous character of this mode of interpretation precisely because, it “immerses itself in the phenomenology of faith and life, using multiple and interdisciplinary historical and theological approaches in order to achieve a valid explanation of the local processes, movements, and tensions in their dialectical and mutual relations”</w:t>
      </w:r>
      <w:r w:rsidR="007114E4" w:rsidRPr="009018DF">
        <w:rPr>
          <w:rFonts w:ascii="Garamond" w:hAnsi="Garamond" w:cs="Times New Roman"/>
          <w:color w:val="000000" w:themeColor="text1"/>
          <w:sz w:val="24"/>
          <w:szCs w:val="24"/>
        </w:rPr>
        <w:t xml:space="preserve"> (Ibid.).</w:t>
      </w:r>
      <w:r w:rsidR="00644F03" w:rsidRPr="009018DF">
        <w:rPr>
          <w:rFonts w:ascii="Garamond" w:hAnsi="Garamond" w:cs="Times New Roman"/>
          <w:color w:val="000000" w:themeColor="text1"/>
          <w:sz w:val="24"/>
          <w:szCs w:val="24"/>
        </w:rPr>
        <w:t xml:space="preserve"> As a comparative way of searching and interpreting reality, intercultural hermeneutics engages with experiences within the overwhelming flux of realities. The only constants here are faith and life. Faith and life emerge as dynamic realities to be lived out rather than a set of propositions to be simply followed.</w:t>
      </w:r>
      <w:r w:rsidR="009B0DDC" w:rsidRPr="009018DF">
        <w:rPr>
          <w:rFonts w:ascii="Garamond" w:hAnsi="Garamond" w:cs="Times New Roman"/>
          <w:color w:val="000000" w:themeColor="text1"/>
          <w:sz w:val="24"/>
          <w:szCs w:val="24"/>
        </w:rPr>
        <w:t xml:space="preserve"> </w:t>
      </w:r>
      <w:r w:rsidR="00644F03" w:rsidRPr="009018DF">
        <w:rPr>
          <w:rFonts w:ascii="Garamond" w:hAnsi="Garamond" w:cs="Times New Roman"/>
          <w:color w:val="000000" w:themeColor="text1"/>
          <w:sz w:val="24"/>
          <w:szCs w:val="24"/>
        </w:rPr>
        <w:t xml:space="preserve">Thus, with attention to the subject, intercultural hermeneutics refers to </w:t>
      </w:r>
      <w:r w:rsidR="00644F03" w:rsidRPr="009018DF">
        <w:rPr>
          <w:rFonts w:ascii="Garamond" w:hAnsi="Garamond" w:cs="Times New Roman"/>
          <w:i/>
          <w:color w:val="000000" w:themeColor="text1"/>
          <w:sz w:val="24"/>
          <w:szCs w:val="24"/>
        </w:rPr>
        <w:t>the interpretative disposition of a cultural subject in its search for meaning within the complexities of lived experience before the horizontal cultural realities it encounters</w:t>
      </w:r>
      <w:r w:rsidR="00644F03" w:rsidRPr="009018DF">
        <w:rPr>
          <w:rFonts w:ascii="Garamond" w:hAnsi="Garamond" w:cs="Times New Roman"/>
          <w:color w:val="000000" w:themeColor="text1"/>
          <w:sz w:val="24"/>
          <w:szCs w:val="24"/>
        </w:rPr>
        <w:t xml:space="preserve">. An unapologetic open-mindedness formed in a </w:t>
      </w:r>
      <w:r w:rsidR="00644F03" w:rsidRPr="009018DF">
        <w:rPr>
          <w:rFonts w:ascii="Garamond" w:hAnsi="Garamond" w:cs="Times New Roman"/>
          <w:i/>
          <w:color w:val="000000" w:themeColor="text1"/>
          <w:sz w:val="24"/>
          <w:szCs w:val="24"/>
        </w:rPr>
        <w:t>readiness to encounter</w:t>
      </w:r>
      <w:r w:rsidR="00644F03" w:rsidRPr="009018DF">
        <w:rPr>
          <w:rFonts w:ascii="Garamond" w:hAnsi="Garamond" w:cs="Times New Roman"/>
          <w:color w:val="000000" w:themeColor="text1"/>
          <w:sz w:val="24"/>
          <w:szCs w:val="24"/>
        </w:rPr>
        <w:t xml:space="preserve"> becomes then a defining attribute of this subject. This is against any version of intercultural hermeneutics that pitches the subject within the limiting spaces of the ‘in-between’ or ‘double-belonging’</w:t>
      </w:r>
      <w:r w:rsidR="007114E4" w:rsidRPr="009018DF">
        <w:rPr>
          <w:rFonts w:ascii="Garamond" w:hAnsi="Garamond" w:cs="Times New Roman"/>
          <w:color w:val="000000" w:themeColor="text1"/>
          <w:sz w:val="24"/>
          <w:szCs w:val="24"/>
        </w:rPr>
        <w:t xml:space="preserve"> (Moratta 2009, 273)</w:t>
      </w:r>
      <w:r w:rsidR="00644F03" w:rsidRPr="009018DF">
        <w:rPr>
          <w:rFonts w:ascii="Garamond" w:hAnsi="Garamond" w:cs="Times New Roman"/>
          <w:color w:val="000000" w:themeColor="text1"/>
          <w:sz w:val="24"/>
          <w:szCs w:val="24"/>
        </w:rPr>
        <w:t>.</w:t>
      </w:r>
    </w:p>
    <w:p w14:paraId="781FE6D1" w14:textId="079DD79D" w:rsidR="00644F03" w:rsidRPr="009018DF" w:rsidRDefault="00644F03" w:rsidP="008B26CC">
      <w:pPr>
        <w:spacing w:before="0" w:after="0"/>
        <w:ind w:firstLine="567"/>
        <w:rPr>
          <w:rFonts w:ascii="Garamond" w:hAnsi="Garamond" w:cs="Times New Roman"/>
          <w:color w:val="000000" w:themeColor="text1"/>
          <w:sz w:val="24"/>
          <w:szCs w:val="24"/>
        </w:rPr>
      </w:pPr>
      <w:r w:rsidRPr="009018DF">
        <w:rPr>
          <w:rFonts w:ascii="Garamond" w:hAnsi="Garamond" w:cs="Times New Roman"/>
          <w:color w:val="000000" w:themeColor="text1"/>
          <w:sz w:val="24"/>
          <w:szCs w:val="24"/>
        </w:rPr>
        <w:t xml:space="preserve">Though arguing within the context of African Christianity, Ilo’s perspective offers a lot of resources that are quite important. In examining the complex realities that define the practice of Christianity in Africa today, Ilo draws four lessons for intercultural hermeneutics. The objective is </w:t>
      </w:r>
      <w:r w:rsidRPr="009018DF">
        <w:rPr>
          <w:rFonts w:ascii="Garamond" w:hAnsi="Garamond" w:cs="Times New Roman"/>
          <w:color w:val="000000" w:themeColor="text1"/>
          <w:sz w:val="24"/>
          <w:szCs w:val="24"/>
        </w:rPr>
        <w:lastRenderedPageBreak/>
        <w:t xml:space="preserve">to guarantee its compliance with the Gospel, and as such maintain its theological validity. The first lesson for intercultural hermeneutics is based on the </w:t>
      </w:r>
      <w:r w:rsidRPr="009018DF">
        <w:rPr>
          <w:rFonts w:ascii="Garamond" w:hAnsi="Garamond" w:cs="Times New Roman"/>
          <w:i/>
          <w:color w:val="000000" w:themeColor="text1"/>
          <w:sz w:val="24"/>
          <w:szCs w:val="24"/>
        </w:rPr>
        <w:t>free disposition to encounter</w:t>
      </w:r>
      <w:r w:rsidRPr="009018DF">
        <w:rPr>
          <w:rFonts w:ascii="Garamond" w:hAnsi="Garamond" w:cs="Times New Roman"/>
          <w:color w:val="000000" w:themeColor="text1"/>
          <w:sz w:val="24"/>
          <w:szCs w:val="24"/>
        </w:rPr>
        <w:t xml:space="preserve"> the other in a grace-filled relationship in which God speaks. It is marked by “the intentional movement of the heart to the other in reverence and respect to the ontology of alterity”</w:t>
      </w:r>
      <w:r w:rsidR="007114E4" w:rsidRPr="009018DF">
        <w:rPr>
          <w:rFonts w:ascii="Garamond" w:hAnsi="Garamond" w:cs="Times New Roman"/>
          <w:color w:val="000000" w:themeColor="text1"/>
          <w:sz w:val="24"/>
          <w:szCs w:val="24"/>
        </w:rPr>
        <w:t xml:space="preserve"> (Ilo 2016, 191).</w:t>
      </w:r>
      <w:r w:rsidRPr="009018DF">
        <w:rPr>
          <w:rFonts w:ascii="Garamond" w:hAnsi="Garamond" w:cs="Times New Roman"/>
          <w:color w:val="000000" w:themeColor="text1"/>
          <w:sz w:val="24"/>
          <w:szCs w:val="24"/>
        </w:rPr>
        <w:t xml:space="preserve"> There is no coercion or compulsion. Rather, the </w:t>
      </w:r>
      <w:r w:rsidRPr="009018DF">
        <w:rPr>
          <w:rFonts w:ascii="Garamond" w:hAnsi="Garamond" w:cs="Times New Roman"/>
          <w:i/>
          <w:color w:val="000000" w:themeColor="text1"/>
          <w:sz w:val="24"/>
          <w:szCs w:val="24"/>
        </w:rPr>
        <w:t>readiness to encounter</w:t>
      </w:r>
      <w:r w:rsidRPr="009018DF">
        <w:rPr>
          <w:rFonts w:ascii="Garamond" w:hAnsi="Garamond" w:cs="Times New Roman"/>
          <w:color w:val="000000" w:themeColor="text1"/>
          <w:sz w:val="24"/>
          <w:szCs w:val="24"/>
        </w:rPr>
        <w:t xml:space="preserve"> constitutes an essential aspect of the identity of the agent.</w:t>
      </w:r>
      <w:r w:rsidR="006B74AF" w:rsidRPr="009018DF">
        <w:rPr>
          <w:rFonts w:ascii="Garamond" w:hAnsi="Garamond" w:cs="Times New Roman"/>
          <w:color w:val="000000" w:themeColor="text1"/>
          <w:sz w:val="24"/>
          <w:szCs w:val="24"/>
        </w:rPr>
        <w:t xml:space="preserve"> </w:t>
      </w:r>
      <w:r w:rsidRPr="009018DF">
        <w:rPr>
          <w:rFonts w:ascii="Garamond" w:hAnsi="Garamond" w:cs="Times New Roman"/>
          <w:color w:val="000000" w:themeColor="text1"/>
          <w:sz w:val="24"/>
          <w:szCs w:val="24"/>
        </w:rPr>
        <w:t>The second lesson demands a further movement that involves ‘embracing the other’ which is premised on the Gospel demand of love and made possible by a deepened relationship. It involves “shared participatory practices that start with loving the other as a friend, desiring to discover the other through cultural immersion; dialogue; and mutually graced, self-mediated relationships”</w:t>
      </w:r>
      <w:r w:rsidR="007114E4" w:rsidRPr="009018DF">
        <w:rPr>
          <w:rFonts w:ascii="Garamond" w:hAnsi="Garamond" w:cs="Times New Roman"/>
          <w:color w:val="000000" w:themeColor="text1"/>
          <w:sz w:val="24"/>
          <w:szCs w:val="24"/>
        </w:rPr>
        <w:t xml:space="preserve"> (Ibid.).</w:t>
      </w:r>
      <w:r w:rsidRPr="009018DF">
        <w:rPr>
          <w:rFonts w:ascii="Garamond" w:hAnsi="Garamond" w:cs="Times New Roman"/>
          <w:color w:val="000000" w:themeColor="text1"/>
          <w:sz w:val="24"/>
          <w:szCs w:val="24"/>
        </w:rPr>
        <w:t xml:space="preserve"> Without this lesson there would be no possibility for any form of collaboration among communities.</w:t>
      </w:r>
      <w:r w:rsidR="006B74AF" w:rsidRPr="009018DF">
        <w:rPr>
          <w:rFonts w:ascii="Garamond" w:hAnsi="Garamond" w:cs="Times New Roman"/>
          <w:color w:val="000000" w:themeColor="text1"/>
          <w:sz w:val="24"/>
          <w:szCs w:val="24"/>
        </w:rPr>
        <w:t xml:space="preserve"> </w:t>
      </w:r>
      <w:r w:rsidRPr="009018DF">
        <w:rPr>
          <w:rFonts w:ascii="Garamond" w:hAnsi="Garamond" w:cs="Times New Roman"/>
          <w:color w:val="000000" w:themeColor="text1"/>
          <w:sz w:val="24"/>
          <w:szCs w:val="24"/>
        </w:rPr>
        <w:t xml:space="preserve">The third lesson is </w:t>
      </w:r>
      <w:r w:rsidRPr="009018DF">
        <w:rPr>
          <w:rFonts w:ascii="Garamond" w:hAnsi="Garamond" w:cs="Times New Roman"/>
          <w:i/>
          <w:color w:val="000000" w:themeColor="text1"/>
          <w:sz w:val="24"/>
          <w:szCs w:val="24"/>
        </w:rPr>
        <w:t>openness towards the dialogical other</w:t>
      </w:r>
      <w:r w:rsidRPr="009018DF">
        <w:rPr>
          <w:rFonts w:ascii="Garamond" w:hAnsi="Garamond" w:cs="Times New Roman"/>
          <w:color w:val="000000" w:themeColor="text1"/>
          <w:sz w:val="24"/>
          <w:szCs w:val="24"/>
        </w:rPr>
        <w:t>. Openness in intercultural hermeneutics translates to freedom, as well as the elimination of all forms of prejudice. It moves from what needs to be eliminated to what is to be included</w:t>
      </w:r>
      <w:r w:rsidR="00ED5237" w:rsidRPr="009018DF">
        <w:rPr>
          <w:rFonts w:ascii="Garamond" w:hAnsi="Garamond" w:cs="Times New Roman"/>
          <w:color w:val="000000" w:themeColor="text1"/>
          <w:sz w:val="24"/>
          <w:szCs w:val="24"/>
        </w:rPr>
        <w:t xml:space="preserve">. </w:t>
      </w:r>
      <w:r w:rsidR="006B74AF" w:rsidRPr="009018DF">
        <w:rPr>
          <w:rFonts w:ascii="Garamond" w:hAnsi="Garamond" w:cs="Times New Roman"/>
          <w:color w:val="000000" w:themeColor="text1"/>
          <w:sz w:val="24"/>
          <w:szCs w:val="24"/>
        </w:rPr>
        <w:t>And t</w:t>
      </w:r>
      <w:r w:rsidRPr="009018DF">
        <w:rPr>
          <w:rFonts w:ascii="Garamond" w:hAnsi="Garamond" w:cs="Times New Roman"/>
          <w:color w:val="000000" w:themeColor="text1"/>
          <w:sz w:val="24"/>
          <w:szCs w:val="24"/>
        </w:rPr>
        <w:t xml:space="preserve">he fourth lesson </w:t>
      </w:r>
      <w:r w:rsidR="00C50E0F" w:rsidRPr="009018DF">
        <w:rPr>
          <w:rFonts w:ascii="Garamond" w:hAnsi="Garamond" w:cs="Times New Roman"/>
          <w:color w:val="000000" w:themeColor="text1"/>
          <w:sz w:val="24"/>
          <w:szCs w:val="24"/>
        </w:rPr>
        <w:t>involves</w:t>
      </w:r>
      <w:r w:rsidRPr="009018DF">
        <w:rPr>
          <w:rFonts w:ascii="Garamond" w:hAnsi="Garamond" w:cs="Times New Roman"/>
          <w:color w:val="000000" w:themeColor="text1"/>
          <w:sz w:val="24"/>
          <w:szCs w:val="24"/>
        </w:rPr>
        <w:t xml:space="preserve"> the “openness to learning from one another and to participating in constructing meaning”</w:t>
      </w:r>
      <w:r w:rsidR="007114E4" w:rsidRPr="009018DF">
        <w:rPr>
          <w:rFonts w:ascii="Garamond" w:hAnsi="Garamond" w:cs="Times New Roman"/>
          <w:color w:val="000000" w:themeColor="text1"/>
          <w:sz w:val="24"/>
          <w:szCs w:val="24"/>
        </w:rPr>
        <w:t xml:space="preserve"> (Ibid., 192).</w:t>
      </w:r>
      <w:r w:rsidRPr="009018DF">
        <w:rPr>
          <w:rFonts w:ascii="Garamond" w:hAnsi="Garamond" w:cs="Times New Roman"/>
          <w:color w:val="000000" w:themeColor="text1"/>
          <w:sz w:val="24"/>
          <w:szCs w:val="24"/>
        </w:rPr>
        <w:t xml:space="preserve"> It further involves the negotiation of “futures together through resources from various denominations and faith groups”</w:t>
      </w:r>
      <w:r w:rsidR="007114E4" w:rsidRPr="009018DF">
        <w:rPr>
          <w:rFonts w:ascii="Garamond" w:hAnsi="Garamond" w:cs="Times New Roman"/>
          <w:color w:val="000000" w:themeColor="text1"/>
          <w:sz w:val="24"/>
          <w:szCs w:val="24"/>
        </w:rPr>
        <w:t xml:space="preserve"> (Ibid.).</w:t>
      </w:r>
      <w:r w:rsidRPr="009018DF">
        <w:rPr>
          <w:rFonts w:ascii="Garamond" w:hAnsi="Garamond" w:cs="Times New Roman"/>
          <w:color w:val="000000" w:themeColor="text1"/>
          <w:sz w:val="24"/>
          <w:szCs w:val="24"/>
        </w:rPr>
        <w:t xml:space="preserve"> These lessons, which range from the interior disposition to an openness and encounter that lead to learning, reinforce the emphasis on the cultural or hermeneutical subject. By cultural subject, I refer to the subject that at once defines and is defined by culture. Culture in this sense is understood as a network of social representations</w:t>
      </w:r>
      <w:r w:rsidR="00C50E0F" w:rsidRPr="009018DF">
        <w:rPr>
          <w:rFonts w:ascii="Garamond" w:hAnsi="Garamond" w:cs="Times New Roman"/>
          <w:color w:val="000000" w:themeColor="text1"/>
          <w:sz w:val="24"/>
          <w:szCs w:val="24"/>
        </w:rPr>
        <w:t>, and by implication,</w:t>
      </w:r>
      <w:r w:rsidRPr="009018DF">
        <w:rPr>
          <w:rFonts w:ascii="Garamond" w:hAnsi="Garamond" w:cs="Times New Roman"/>
          <w:color w:val="000000" w:themeColor="text1"/>
          <w:sz w:val="24"/>
          <w:szCs w:val="24"/>
        </w:rPr>
        <w:t xml:space="preserve"> </w:t>
      </w:r>
      <w:r w:rsidR="00C50E0F" w:rsidRPr="009018DF">
        <w:rPr>
          <w:rFonts w:ascii="Garamond" w:hAnsi="Garamond" w:cs="Times New Roman"/>
          <w:color w:val="000000" w:themeColor="text1"/>
          <w:sz w:val="24"/>
          <w:szCs w:val="24"/>
        </w:rPr>
        <w:t>d</w:t>
      </w:r>
      <w:r w:rsidRPr="009018DF">
        <w:rPr>
          <w:rFonts w:ascii="Garamond" w:hAnsi="Garamond" w:cs="Times New Roman"/>
          <w:color w:val="000000" w:themeColor="text1"/>
          <w:sz w:val="24"/>
          <w:szCs w:val="24"/>
        </w:rPr>
        <w:t>ifferent ecclesial</w:t>
      </w:r>
      <w:r w:rsidR="009C02D5" w:rsidRPr="009018DF">
        <w:rPr>
          <w:rFonts w:ascii="Garamond" w:hAnsi="Garamond" w:cs="Times New Roman"/>
          <w:color w:val="000000" w:themeColor="text1"/>
          <w:sz w:val="24"/>
          <w:szCs w:val="24"/>
        </w:rPr>
        <w:t>/faith</w:t>
      </w:r>
      <w:r w:rsidRPr="009018DF">
        <w:rPr>
          <w:rFonts w:ascii="Garamond" w:hAnsi="Garamond" w:cs="Times New Roman"/>
          <w:color w:val="000000" w:themeColor="text1"/>
          <w:sz w:val="24"/>
          <w:szCs w:val="24"/>
        </w:rPr>
        <w:t xml:space="preserve"> communities could thus be conceived as diverse cultural entities as long as the social representations operating in each of them reflect its common identity. The cultural or hermeneutical subject, understood either as an individual or community, is therefore the </w:t>
      </w:r>
      <w:r w:rsidRPr="009018DF">
        <w:rPr>
          <w:rFonts w:ascii="Garamond" w:hAnsi="Garamond" w:cs="Times New Roman"/>
          <w:i/>
          <w:color w:val="000000" w:themeColor="text1"/>
          <w:sz w:val="24"/>
          <w:szCs w:val="24"/>
        </w:rPr>
        <w:t>locus</w:t>
      </w:r>
      <w:r w:rsidRPr="009018DF">
        <w:rPr>
          <w:rFonts w:ascii="Garamond" w:hAnsi="Garamond" w:cs="Times New Roman"/>
          <w:color w:val="000000" w:themeColor="text1"/>
          <w:sz w:val="24"/>
          <w:szCs w:val="24"/>
        </w:rPr>
        <w:t xml:space="preserve"> of transformation</w:t>
      </w:r>
      <w:r w:rsidR="009C02D5" w:rsidRPr="009018DF">
        <w:rPr>
          <w:rFonts w:ascii="Garamond" w:hAnsi="Garamond" w:cs="Times New Roman"/>
          <w:color w:val="000000" w:themeColor="text1"/>
          <w:sz w:val="24"/>
          <w:szCs w:val="24"/>
        </w:rPr>
        <w:t xml:space="preserve"> that happens when</w:t>
      </w:r>
      <w:r w:rsidRPr="009018DF">
        <w:rPr>
          <w:rFonts w:ascii="Garamond" w:hAnsi="Garamond" w:cs="Times New Roman"/>
          <w:color w:val="000000" w:themeColor="text1"/>
          <w:sz w:val="24"/>
          <w:szCs w:val="24"/>
        </w:rPr>
        <w:t xml:space="preserve"> different </w:t>
      </w:r>
      <w:r w:rsidRPr="009018DF">
        <w:rPr>
          <w:rFonts w:ascii="Garamond" w:hAnsi="Garamond" w:cs="Times New Roman"/>
          <w:i/>
          <w:color w:val="000000" w:themeColor="text1"/>
          <w:sz w:val="24"/>
          <w:szCs w:val="24"/>
        </w:rPr>
        <w:t>cultures</w:t>
      </w:r>
      <w:r w:rsidRPr="009018DF">
        <w:rPr>
          <w:rFonts w:ascii="Garamond" w:hAnsi="Garamond" w:cs="Times New Roman"/>
          <w:color w:val="000000" w:themeColor="text1"/>
          <w:sz w:val="24"/>
          <w:szCs w:val="24"/>
        </w:rPr>
        <w:t xml:space="preserve"> interact and engage with one another.</w:t>
      </w:r>
    </w:p>
    <w:p w14:paraId="2A9366CE" w14:textId="7A6D267C" w:rsidR="00B96D02" w:rsidRPr="009018DF" w:rsidRDefault="00A83FF2" w:rsidP="008B26CC">
      <w:pPr>
        <w:spacing w:before="0" w:after="0"/>
        <w:rPr>
          <w:rFonts w:ascii="Garamond" w:hAnsi="Garamond" w:cs="Times New Roman"/>
          <w:color w:val="000000" w:themeColor="text1"/>
          <w:sz w:val="24"/>
          <w:szCs w:val="24"/>
        </w:rPr>
      </w:pPr>
      <w:r w:rsidRPr="009018DF">
        <w:rPr>
          <w:rFonts w:ascii="Garamond" w:hAnsi="Garamond" w:cs="Times New Roman"/>
          <w:color w:val="000000" w:themeColor="text1"/>
          <w:sz w:val="24"/>
          <w:szCs w:val="24"/>
        </w:rPr>
        <w:tab/>
      </w:r>
      <w:r w:rsidR="00644F03" w:rsidRPr="009018DF">
        <w:rPr>
          <w:rFonts w:ascii="Garamond" w:hAnsi="Garamond" w:cs="Times New Roman"/>
          <w:color w:val="000000" w:themeColor="text1"/>
          <w:sz w:val="24"/>
          <w:szCs w:val="24"/>
        </w:rPr>
        <w:t>With the background provided by intercultural hermeneutics</w:t>
      </w:r>
      <w:r w:rsidR="009C02D5" w:rsidRPr="009018DF">
        <w:rPr>
          <w:rFonts w:ascii="Garamond" w:hAnsi="Garamond" w:cs="Times New Roman"/>
          <w:color w:val="000000" w:themeColor="text1"/>
          <w:sz w:val="24"/>
          <w:szCs w:val="24"/>
        </w:rPr>
        <w:t xml:space="preserve"> and the particular Trinitarian framework</w:t>
      </w:r>
      <w:r w:rsidR="00644F03" w:rsidRPr="009018DF">
        <w:rPr>
          <w:rFonts w:ascii="Garamond" w:hAnsi="Garamond" w:cs="Times New Roman"/>
          <w:color w:val="000000" w:themeColor="text1"/>
          <w:sz w:val="24"/>
          <w:szCs w:val="24"/>
        </w:rPr>
        <w:t xml:space="preserve">, </w:t>
      </w:r>
      <w:r w:rsidR="00001D00" w:rsidRPr="009018DF">
        <w:rPr>
          <w:rFonts w:ascii="Garamond" w:hAnsi="Garamond" w:cs="Times New Roman"/>
          <w:color w:val="000000" w:themeColor="text1"/>
          <w:sz w:val="24"/>
          <w:szCs w:val="24"/>
        </w:rPr>
        <w:t>one can</w:t>
      </w:r>
      <w:r w:rsidR="00644F03" w:rsidRPr="009018DF">
        <w:rPr>
          <w:rFonts w:ascii="Garamond" w:hAnsi="Garamond" w:cs="Times New Roman"/>
          <w:color w:val="000000" w:themeColor="text1"/>
          <w:sz w:val="24"/>
          <w:szCs w:val="24"/>
        </w:rPr>
        <w:t xml:space="preserve"> </w:t>
      </w:r>
      <w:r w:rsidRPr="009018DF">
        <w:rPr>
          <w:rFonts w:ascii="Garamond" w:hAnsi="Garamond" w:cs="Times New Roman"/>
          <w:color w:val="000000" w:themeColor="text1"/>
          <w:sz w:val="24"/>
          <w:szCs w:val="24"/>
        </w:rPr>
        <w:t xml:space="preserve">define </w:t>
      </w:r>
      <w:r w:rsidR="00644F03" w:rsidRPr="009018DF">
        <w:rPr>
          <w:rFonts w:ascii="Garamond" w:hAnsi="Garamond" w:cs="Times New Roman"/>
          <w:color w:val="000000" w:themeColor="text1"/>
          <w:sz w:val="24"/>
          <w:szCs w:val="24"/>
        </w:rPr>
        <w:t xml:space="preserve">a </w:t>
      </w:r>
      <w:r w:rsidR="00B96D02" w:rsidRPr="009018DF">
        <w:rPr>
          <w:rFonts w:ascii="Garamond" w:hAnsi="Garamond" w:cs="Times New Roman"/>
          <w:color w:val="000000" w:themeColor="text1"/>
          <w:sz w:val="24"/>
          <w:szCs w:val="24"/>
        </w:rPr>
        <w:t xml:space="preserve">Trinitarian intercultural hermeneutics </w:t>
      </w:r>
      <w:r w:rsidRPr="009018DF">
        <w:rPr>
          <w:rFonts w:ascii="Garamond" w:hAnsi="Garamond" w:cs="Times New Roman"/>
          <w:color w:val="000000" w:themeColor="text1"/>
          <w:sz w:val="24"/>
          <w:szCs w:val="24"/>
        </w:rPr>
        <w:t xml:space="preserve">as </w:t>
      </w:r>
      <w:r w:rsidR="00B96D02" w:rsidRPr="009018DF">
        <w:rPr>
          <w:rFonts w:ascii="Garamond" w:hAnsi="Garamond" w:cs="Times New Roman"/>
          <w:i/>
          <w:color w:val="000000" w:themeColor="text1"/>
          <w:sz w:val="24"/>
          <w:szCs w:val="24"/>
        </w:rPr>
        <w:t>a model of intercultural hermeneutics that is derived from a Trinitarian patterning or framework</w:t>
      </w:r>
      <w:r w:rsidR="00B96D02" w:rsidRPr="009018DF">
        <w:rPr>
          <w:rFonts w:ascii="Garamond" w:hAnsi="Garamond" w:cs="Times New Roman"/>
          <w:color w:val="000000" w:themeColor="text1"/>
          <w:sz w:val="24"/>
          <w:szCs w:val="24"/>
        </w:rPr>
        <w:t xml:space="preserve">. To serve its purpose in this </w:t>
      </w:r>
      <w:r w:rsidR="002F5A2C" w:rsidRPr="009018DF">
        <w:rPr>
          <w:rFonts w:ascii="Garamond" w:hAnsi="Garamond" w:cs="Times New Roman"/>
          <w:color w:val="000000" w:themeColor="text1"/>
          <w:sz w:val="24"/>
          <w:szCs w:val="24"/>
        </w:rPr>
        <w:t>lecture</w:t>
      </w:r>
      <w:r w:rsidR="00B96D02" w:rsidRPr="009018DF">
        <w:rPr>
          <w:rFonts w:ascii="Garamond" w:hAnsi="Garamond" w:cs="Times New Roman"/>
          <w:color w:val="000000" w:themeColor="text1"/>
          <w:sz w:val="24"/>
          <w:szCs w:val="24"/>
        </w:rPr>
        <w:t xml:space="preserve">, this hermeneutical model must be able to fulfil a set of criteria. </w:t>
      </w:r>
    </w:p>
    <w:p w14:paraId="73DBB7FC" w14:textId="4118EEBB" w:rsidR="00B96D02" w:rsidRPr="009018DF" w:rsidRDefault="00B96D02" w:rsidP="008B26CC">
      <w:pPr>
        <w:pStyle w:val="ListParagraph"/>
        <w:numPr>
          <w:ilvl w:val="0"/>
          <w:numId w:val="1"/>
        </w:numPr>
        <w:spacing w:before="0" w:line="276" w:lineRule="auto"/>
        <w:ind w:left="284" w:hanging="284"/>
        <w:rPr>
          <w:rFonts w:ascii="Garamond" w:hAnsi="Garamond" w:cs="Times New Roman"/>
          <w:color w:val="000000" w:themeColor="text1"/>
        </w:rPr>
      </w:pPr>
      <w:r w:rsidRPr="009018DF">
        <w:rPr>
          <w:rFonts w:ascii="Garamond" w:hAnsi="Garamond" w:cs="Times New Roman"/>
          <w:i/>
          <w:color w:val="000000" w:themeColor="text1"/>
        </w:rPr>
        <w:t>First</w:t>
      </w:r>
      <w:r w:rsidR="009C02D5" w:rsidRPr="009018DF">
        <w:rPr>
          <w:rFonts w:ascii="Garamond" w:hAnsi="Garamond" w:cs="Times New Roman"/>
          <w:i/>
          <w:color w:val="000000" w:themeColor="text1"/>
        </w:rPr>
        <w:t>ly</w:t>
      </w:r>
      <w:r w:rsidRPr="009018DF">
        <w:rPr>
          <w:rFonts w:ascii="Garamond" w:hAnsi="Garamond" w:cs="Times New Roman"/>
          <w:i/>
          <w:color w:val="000000" w:themeColor="text1"/>
        </w:rPr>
        <w:t xml:space="preserve">, it must be Trinitarian in its framework following the analysis of </w:t>
      </w:r>
      <w:r w:rsidR="0032497F" w:rsidRPr="009018DF">
        <w:rPr>
          <w:rFonts w:ascii="Garamond" w:hAnsi="Garamond" w:cs="Times New Roman"/>
          <w:i/>
          <w:color w:val="000000" w:themeColor="text1"/>
        </w:rPr>
        <w:t>Ipgrave</w:t>
      </w:r>
      <w:r w:rsidRPr="009018DF">
        <w:rPr>
          <w:rFonts w:ascii="Garamond" w:hAnsi="Garamond" w:cs="Times New Roman"/>
          <w:i/>
          <w:color w:val="000000" w:themeColor="text1"/>
        </w:rPr>
        <w:t>, according to which the dialogical attributes of openness, rationality and experientiality correspond to the Father, Son and Holy Spirit respectively</w:t>
      </w:r>
      <w:r w:rsidRPr="009018DF">
        <w:rPr>
          <w:rFonts w:ascii="Garamond" w:hAnsi="Garamond" w:cs="Times New Roman"/>
          <w:color w:val="000000" w:themeColor="text1"/>
        </w:rPr>
        <w:t xml:space="preserve">. In this framework, the </w:t>
      </w:r>
      <w:r w:rsidRPr="009018DF">
        <w:rPr>
          <w:rFonts w:ascii="Garamond" w:hAnsi="Garamond" w:cs="Times New Roman"/>
          <w:i/>
          <w:color w:val="000000" w:themeColor="text1"/>
        </w:rPr>
        <w:t>methodological derivatives</w:t>
      </w:r>
      <w:r w:rsidRPr="009018DF">
        <w:rPr>
          <w:rFonts w:ascii="Garamond" w:hAnsi="Garamond" w:cs="Times New Roman"/>
          <w:color w:val="000000" w:themeColor="text1"/>
        </w:rPr>
        <w:t xml:space="preserve"> of the Trinity are adopted rather than the </w:t>
      </w:r>
      <w:r w:rsidRPr="009018DF">
        <w:rPr>
          <w:rFonts w:ascii="Garamond" w:hAnsi="Garamond" w:cs="Times New Roman"/>
          <w:i/>
          <w:color w:val="000000" w:themeColor="text1"/>
        </w:rPr>
        <w:t>content</w:t>
      </w:r>
      <w:r w:rsidRPr="009018DF">
        <w:rPr>
          <w:rFonts w:ascii="Garamond" w:hAnsi="Garamond" w:cs="Times New Roman"/>
          <w:color w:val="000000" w:themeColor="text1"/>
        </w:rPr>
        <w:t xml:space="preserve"> of the doctrine. </w:t>
      </w:r>
    </w:p>
    <w:p w14:paraId="4F2E45DE" w14:textId="5C3E9A76" w:rsidR="00B96D02" w:rsidRPr="009018DF" w:rsidRDefault="00B96D02" w:rsidP="008B26CC">
      <w:pPr>
        <w:pStyle w:val="ListParagraph"/>
        <w:numPr>
          <w:ilvl w:val="0"/>
          <w:numId w:val="1"/>
        </w:numPr>
        <w:spacing w:before="0" w:line="276" w:lineRule="auto"/>
        <w:ind w:left="284" w:hanging="284"/>
        <w:rPr>
          <w:rFonts w:ascii="Garamond" w:hAnsi="Garamond" w:cs="Times New Roman"/>
          <w:color w:val="000000" w:themeColor="text1"/>
        </w:rPr>
      </w:pPr>
      <w:r w:rsidRPr="009018DF">
        <w:rPr>
          <w:rFonts w:ascii="Garamond" w:hAnsi="Garamond" w:cs="Times New Roman"/>
          <w:i/>
          <w:color w:val="000000" w:themeColor="text1"/>
        </w:rPr>
        <w:t>Second</w:t>
      </w:r>
      <w:r w:rsidR="009C02D5" w:rsidRPr="009018DF">
        <w:rPr>
          <w:rFonts w:ascii="Garamond" w:hAnsi="Garamond" w:cs="Times New Roman"/>
          <w:i/>
          <w:color w:val="000000" w:themeColor="text1"/>
        </w:rPr>
        <w:t>ly</w:t>
      </w:r>
      <w:r w:rsidRPr="009018DF">
        <w:rPr>
          <w:rFonts w:ascii="Garamond" w:hAnsi="Garamond" w:cs="Times New Roman"/>
          <w:i/>
          <w:color w:val="000000" w:themeColor="text1"/>
        </w:rPr>
        <w:t>,</w:t>
      </w:r>
      <w:r w:rsidRPr="009018DF">
        <w:rPr>
          <w:rFonts w:ascii="Garamond" w:hAnsi="Garamond" w:cs="Times New Roman"/>
          <w:color w:val="000000" w:themeColor="text1"/>
        </w:rPr>
        <w:t xml:space="preserve"> </w:t>
      </w:r>
      <w:r w:rsidRPr="009018DF">
        <w:rPr>
          <w:rFonts w:ascii="Garamond" w:hAnsi="Garamond" w:cs="Times New Roman"/>
          <w:i/>
          <w:color w:val="000000" w:themeColor="text1"/>
        </w:rPr>
        <w:t>such hermeneutics must sufficiently account for the tension between identity and difference made concrete in the Christian identity model, as</w:t>
      </w:r>
      <w:r w:rsidRPr="009018DF">
        <w:rPr>
          <w:rFonts w:ascii="Garamond" w:hAnsi="Garamond" w:cs="Times New Roman"/>
          <w:color w:val="000000" w:themeColor="text1"/>
        </w:rPr>
        <w:t xml:space="preserve"> </w:t>
      </w:r>
      <w:r w:rsidRPr="009018DF">
        <w:rPr>
          <w:rFonts w:ascii="Garamond" w:hAnsi="Garamond" w:cs="Times New Roman"/>
          <w:i/>
          <w:color w:val="000000" w:themeColor="text1"/>
        </w:rPr>
        <w:t>identity-in-difference</w:t>
      </w:r>
      <w:r w:rsidRPr="009018DF">
        <w:rPr>
          <w:rFonts w:ascii="Garamond" w:hAnsi="Garamond" w:cs="Times New Roman"/>
          <w:color w:val="000000" w:themeColor="text1"/>
        </w:rPr>
        <w:t xml:space="preserve">. In other words, it must be inclusive and all-embracing in character while at once, preserving the uniqueness of identity. </w:t>
      </w:r>
    </w:p>
    <w:p w14:paraId="3D3B3149" w14:textId="0CAF27BD" w:rsidR="00B96D02" w:rsidRPr="009018DF" w:rsidRDefault="00B96D02" w:rsidP="008B26CC">
      <w:pPr>
        <w:pStyle w:val="ListParagraph"/>
        <w:numPr>
          <w:ilvl w:val="0"/>
          <w:numId w:val="1"/>
        </w:numPr>
        <w:spacing w:before="0" w:line="276" w:lineRule="auto"/>
        <w:ind w:left="284" w:hanging="284"/>
        <w:rPr>
          <w:rFonts w:ascii="Garamond" w:hAnsi="Garamond" w:cs="Times New Roman"/>
          <w:color w:val="000000" w:themeColor="text1"/>
        </w:rPr>
      </w:pPr>
      <w:r w:rsidRPr="009018DF">
        <w:rPr>
          <w:rFonts w:ascii="Garamond" w:hAnsi="Garamond" w:cs="Times New Roman"/>
          <w:i/>
          <w:color w:val="000000" w:themeColor="text1"/>
        </w:rPr>
        <w:t>Third</w:t>
      </w:r>
      <w:r w:rsidR="009C02D5" w:rsidRPr="009018DF">
        <w:rPr>
          <w:rFonts w:ascii="Garamond" w:hAnsi="Garamond" w:cs="Times New Roman"/>
          <w:i/>
          <w:color w:val="000000" w:themeColor="text1"/>
        </w:rPr>
        <w:t>ly</w:t>
      </w:r>
      <w:r w:rsidRPr="009018DF">
        <w:rPr>
          <w:rFonts w:ascii="Garamond" w:hAnsi="Garamond" w:cs="Times New Roman"/>
          <w:i/>
          <w:color w:val="000000" w:themeColor="text1"/>
        </w:rPr>
        <w:t>,</w:t>
      </w:r>
      <w:r w:rsidRPr="009018DF">
        <w:rPr>
          <w:rFonts w:ascii="Garamond" w:hAnsi="Garamond" w:cs="Times New Roman"/>
          <w:color w:val="000000" w:themeColor="text1"/>
        </w:rPr>
        <w:t xml:space="preserve"> </w:t>
      </w:r>
      <w:r w:rsidRPr="009018DF">
        <w:rPr>
          <w:rFonts w:ascii="Garamond" w:hAnsi="Garamond" w:cs="Times New Roman"/>
          <w:i/>
          <w:color w:val="000000" w:themeColor="text1"/>
        </w:rPr>
        <w:t xml:space="preserve">Trinitarian intercultural hermeneutics must account for the construction and reconstruction of </w:t>
      </w:r>
      <w:r w:rsidR="001E1243" w:rsidRPr="009018DF">
        <w:rPr>
          <w:rFonts w:ascii="Garamond" w:hAnsi="Garamond" w:cs="Times New Roman"/>
          <w:i/>
          <w:color w:val="000000" w:themeColor="text1"/>
        </w:rPr>
        <w:t xml:space="preserve">individual and </w:t>
      </w:r>
      <w:r w:rsidRPr="009018DF">
        <w:rPr>
          <w:rFonts w:ascii="Garamond" w:hAnsi="Garamond" w:cs="Times New Roman"/>
          <w:i/>
          <w:color w:val="000000" w:themeColor="text1"/>
        </w:rPr>
        <w:t>communal identities</w:t>
      </w:r>
      <w:r w:rsidRPr="009018DF">
        <w:rPr>
          <w:rFonts w:ascii="Garamond" w:hAnsi="Garamond" w:cs="Times New Roman"/>
          <w:color w:val="000000" w:themeColor="text1"/>
        </w:rPr>
        <w:t xml:space="preserve">. Identity is co-constructed by the agencies of the in-group and the out-group, the self and the other. This should be highlighted over and above models that present static, unmixed boundaries between both categories. Hence, communal identities understood as </w:t>
      </w:r>
      <w:r w:rsidRPr="009018DF">
        <w:rPr>
          <w:rFonts w:ascii="Garamond" w:hAnsi="Garamond" w:cs="Times New Roman"/>
          <w:i/>
          <w:color w:val="000000" w:themeColor="text1"/>
        </w:rPr>
        <w:t>entangled</w:t>
      </w:r>
      <w:r w:rsidRPr="009018DF">
        <w:rPr>
          <w:rFonts w:ascii="Garamond" w:hAnsi="Garamond" w:cs="Times New Roman"/>
          <w:color w:val="000000" w:themeColor="text1"/>
        </w:rPr>
        <w:t xml:space="preserve"> should be able to preserve the attributes of dynamism and stability. </w:t>
      </w:r>
    </w:p>
    <w:p w14:paraId="22DE9CFB" w14:textId="748B5D6A" w:rsidR="00B96D02" w:rsidRPr="009018DF" w:rsidRDefault="00B96D02" w:rsidP="008B26CC">
      <w:pPr>
        <w:pStyle w:val="ListParagraph"/>
        <w:numPr>
          <w:ilvl w:val="0"/>
          <w:numId w:val="1"/>
        </w:numPr>
        <w:spacing w:before="0" w:line="276" w:lineRule="auto"/>
        <w:ind w:left="284" w:hanging="284"/>
        <w:rPr>
          <w:rFonts w:ascii="Garamond" w:hAnsi="Garamond" w:cs="Times New Roman"/>
          <w:color w:val="000000" w:themeColor="text1"/>
        </w:rPr>
      </w:pPr>
      <w:r w:rsidRPr="009018DF">
        <w:rPr>
          <w:rFonts w:ascii="Garamond" w:hAnsi="Garamond" w:cs="Times New Roman"/>
          <w:i/>
          <w:color w:val="000000" w:themeColor="text1"/>
        </w:rPr>
        <w:t>The fourth criterion requires that the proposed hermeneutics pay attention to cultural contexts.</w:t>
      </w:r>
      <w:r w:rsidRPr="009018DF">
        <w:rPr>
          <w:rFonts w:ascii="Garamond" w:hAnsi="Garamond" w:cs="Times New Roman"/>
          <w:color w:val="000000" w:themeColor="text1"/>
        </w:rPr>
        <w:t xml:space="preserve"> To be cultural is to be practical. It implies the </w:t>
      </w:r>
      <w:r w:rsidRPr="009018DF">
        <w:rPr>
          <w:rFonts w:ascii="Garamond" w:hAnsi="Garamond" w:cs="Times New Roman"/>
          <w:i/>
          <w:color w:val="000000" w:themeColor="text1"/>
        </w:rPr>
        <w:t>living</w:t>
      </w:r>
      <w:r w:rsidRPr="009018DF">
        <w:rPr>
          <w:rFonts w:ascii="Garamond" w:hAnsi="Garamond" w:cs="Times New Roman"/>
          <w:color w:val="000000" w:themeColor="text1"/>
        </w:rPr>
        <w:t xml:space="preserve"> and </w:t>
      </w:r>
      <w:r w:rsidRPr="009018DF">
        <w:rPr>
          <w:rFonts w:ascii="Garamond" w:hAnsi="Garamond" w:cs="Times New Roman"/>
          <w:i/>
          <w:color w:val="000000" w:themeColor="text1"/>
        </w:rPr>
        <w:t>doing</w:t>
      </w:r>
      <w:r w:rsidRPr="009018DF">
        <w:rPr>
          <w:rFonts w:ascii="Garamond" w:hAnsi="Garamond" w:cs="Times New Roman"/>
          <w:color w:val="000000" w:themeColor="text1"/>
        </w:rPr>
        <w:t xml:space="preserve"> of ideals and concepts, such as community and identity. In fact, the intermingling of boundaries and identities gives rise to cross-cultural and intercultural ways of understanding, interpretation and existence. </w:t>
      </w:r>
    </w:p>
    <w:p w14:paraId="51390C65" w14:textId="19DAE61E" w:rsidR="00B96D02" w:rsidRPr="009018DF" w:rsidRDefault="00B96D02" w:rsidP="008B26CC">
      <w:pPr>
        <w:pStyle w:val="ListParagraph"/>
        <w:numPr>
          <w:ilvl w:val="0"/>
          <w:numId w:val="1"/>
        </w:numPr>
        <w:spacing w:before="0" w:line="276" w:lineRule="auto"/>
        <w:ind w:left="284" w:hanging="284"/>
        <w:rPr>
          <w:rFonts w:ascii="Garamond" w:hAnsi="Garamond" w:cs="Times New Roman"/>
          <w:color w:val="000000" w:themeColor="text1"/>
        </w:rPr>
      </w:pPr>
      <w:r w:rsidRPr="009018DF">
        <w:rPr>
          <w:rFonts w:ascii="Garamond" w:hAnsi="Garamond" w:cs="Times New Roman"/>
          <w:i/>
          <w:color w:val="000000" w:themeColor="text1"/>
        </w:rPr>
        <w:lastRenderedPageBreak/>
        <w:t>Finally, Trinitarian intercultural hermeneutics must be transformative as far as dialogue is concerned</w:t>
      </w:r>
      <w:r w:rsidRPr="009018DF">
        <w:rPr>
          <w:rFonts w:ascii="Garamond" w:hAnsi="Garamond" w:cs="Times New Roman"/>
          <w:color w:val="000000" w:themeColor="text1"/>
        </w:rPr>
        <w:t xml:space="preserve">. </w:t>
      </w:r>
      <w:r w:rsidR="00DE785E" w:rsidRPr="009018DF">
        <w:rPr>
          <w:rFonts w:ascii="Garamond" w:hAnsi="Garamond" w:cs="Times New Roman"/>
          <w:color w:val="000000" w:themeColor="text1"/>
        </w:rPr>
        <w:t xml:space="preserve">On the grounds of </w:t>
      </w:r>
      <w:r w:rsidRPr="009018DF">
        <w:rPr>
          <w:rFonts w:ascii="Garamond" w:hAnsi="Garamond" w:cs="Times New Roman"/>
          <w:color w:val="000000" w:themeColor="text1"/>
        </w:rPr>
        <w:t>theological imagination</w:t>
      </w:r>
      <w:r w:rsidR="00DE785E" w:rsidRPr="009018DF">
        <w:rPr>
          <w:rFonts w:ascii="Garamond" w:hAnsi="Garamond" w:cs="Times New Roman"/>
          <w:color w:val="000000" w:themeColor="text1"/>
        </w:rPr>
        <w:t>,</w:t>
      </w:r>
      <w:r w:rsidRPr="009018DF">
        <w:rPr>
          <w:rFonts w:ascii="Garamond" w:hAnsi="Garamond" w:cs="Times New Roman"/>
          <w:color w:val="000000" w:themeColor="text1"/>
        </w:rPr>
        <w:t xml:space="preserve"> the proposed hermeneutics must be capable of reaching th</w:t>
      </w:r>
      <w:r w:rsidR="00DE785E" w:rsidRPr="009018DF">
        <w:rPr>
          <w:rFonts w:ascii="Garamond" w:hAnsi="Garamond" w:cs="Times New Roman"/>
          <w:color w:val="000000" w:themeColor="text1"/>
        </w:rPr>
        <w:t>e</w:t>
      </w:r>
      <w:r w:rsidRPr="009018DF">
        <w:rPr>
          <w:rFonts w:ascii="Garamond" w:hAnsi="Garamond" w:cs="Times New Roman"/>
          <w:color w:val="000000" w:themeColor="text1"/>
        </w:rPr>
        <w:t xml:space="preserve"> imagined and expected transformation. It must, as it were, encourage and advance change in the </w:t>
      </w:r>
      <w:r w:rsidRPr="009018DF">
        <w:rPr>
          <w:rFonts w:ascii="Garamond" w:hAnsi="Garamond" w:cs="Times New Roman"/>
          <w:i/>
          <w:color w:val="000000" w:themeColor="text1"/>
        </w:rPr>
        <w:t>status quo</w:t>
      </w:r>
      <w:r w:rsidRPr="009018DF">
        <w:rPr>
          <w:rFonts w:ascii="Garamond" w:hAnsi="Garamond" w:cs="Times New Roman"/>
          <w:color w:val="000000" w:themeColor="text1"/>
        </w:rPr>
        <w:t xml:space="preserve">, thereby inaugurating </w:t>
      </w:r>
      <w:r w:rsidR="00DE785E" w:rsidRPr="009018DF">
        <w:rPr>
          <w:rFonts w:ascii="Garamond" w:hAnsi="Garamond" w:cs="Times New Roman"/>
          <w:color w:val="000000" w:themeColor="text1"/>
        </w:rPr>
        <w:t xml:space="preserve">the elements of </w:t>
      </w:r>
      <w:r w:rsidRPr="009018DF">
        <w:rPr>
          <w:rFonts w:ascii="Garamond" w:hAnsi="Garamond" w:cs="Times New Roman"/>
          <w:color w:val="000000" w:themeColor="text1"/>
        </w:rPr>
        <w:t xml:space="preserve">newness, surprise, and hope. </w:t>
      </w:r>
    </w:p>
    <w:p w14:paraId="7C8F18F8" w14:textId="77777777" w:rsidR="00001D00" w:rsidRPr="009018DF" w:rsidRDefault="00001D00" w:rsidP="008B26CC">
      <w:pPr>
        <w:spacing w:before="0" w:after="0"/>
        <w:rPr>
          <w:rFonts w:ascii="Garamond" w:hAnsi="Garamond" w:cs="Times New Roman"/>
          <w:color w:val="000000" w:themeColor="text1"/>
        </w:rPr>
      </w:pPr>
    </w:p>
    <w:p w14:paraId="387D3D22" w14:textId="77777777" w:rsidR="008B26CC" w:rsidRPr="009018DF" w:rsidRDefault="008B26CC" w:rsidP="008B26CC">
      <w:pPr>
        <w:spacing w:before="0" w:after="0"/>
        <w:rPr>
          <w:rFonts w:ascii="Garamond" w:hAnsi="Garamond"/>
          <w:b/>
          <w:color w:val="000000" w:themeColor="text1"/>
          <w:sz w:val="24"/>
          <w:szCs w:val="24"/>
        </w:rPr>
      </w:pPr>
      <w:bookmarkStart w:id="2" w:name="_Toc31190722"/>
    </w:p>
    <w:p w14:paraId="2B0C78F8" w14:textId="0338E386" w:rsidR="00B96D02" w:rsidRPr="009018DF" w:rsidRDefault="00056377" w:rsidP="008B26CC">
      <w:pPr>
        <w:spacing w:before="0" w:after="0"/>
        <w:rPr>
          <w:rFonts w:ascii="Garamond" w:hAnsi="Garamond"/>
          <w:b/>
          <w:color w:val="000000" w:themeColor="text1"/>
          <w:sz w:val="24"/>
          <w:szCs w:val="24"/>
        </w:rPr>
      </w:pPr>
      <w:r w:rsidRPr="009018DF">
        <w:rPr>
          <w:rFonts w:ascii="Garamond" w:hAnsi="Garamond"/>
          <w:b/>
          <w:color w:val="000000" w:themeColor="text1"/>
          <w:sz w:val="24"/>
          <w:szCs w:val="24"/>
        </w:rPr>
        <w:t>Thinking Further about</w:t>
      </w:r>
      <w:r w:rsidR="00B96D02" w:rsidRPr="009018DF">
        <w:rPr>
          <w:rFonts w:ascii="Garamond" w:hAnsi="Garamond"/>
          <w:b/>
          <w:color w:val="000000" w:themeColor="text1"/>
          <w:sz w:val="24"/>
          <w:szCs w:val="24"/>
        </w:rPr>
        <w:t xml:space="preserve"> </w:t>
      </w:r>
      <w:r w:rsidR="00D61C52" w:rsidRPr="009018DF">
        <w:rPr>
          <w:rFonts w:ascii="Garamond" w:hAnsi="Garamond"/>
          <w:b/>
          <w:color w:val="000000" w:themeColor="text1"/>
          <w:sz w:val="24"/>
          <w:szCs w:val="24"/>
        </w:rPr>
        <w:t xml:space="preserve">the Trinitarian </w:t>
      </w:r>
      <w:r w:rsidR="00B96D02" w:rsidRPr="009018DF">
        <w:rPr>
          <w:rFonts w:ascii="Garamond" w:hAnsi="Garamond"/>
          <w:b/>
          <w:color w:val="000000" w:themeColor="text1"/>
          <w:sz w:val="24"/>
          <w:szCs w:val="24"/>
        </w:rPr>
        <w:t>Intercultural Hermeneutics</w:t>
      </w:r>
      <w:bookmarkEnd w:id="2"/>
      <w:r w:rsidR="001D0E55" w:rsidRPr="009018DF">
        <w:rPr>
          <w:rFonts w:ascii="Garamond" w:hAnsi="Garamond"/>
          <w:b/>
          <w:color w:val="000000" w:themeColor="text1"/>
          <w:sz w:val="24"/>
          <w:szCs w:val="24"/>
        </w:rPr>
        <w:t xml:space="preserve"> of Dialogue</w:t>
      </w:r>
      <w:r w:rsidR="00B96D02" w:rsidRPr="009018DF">
        <w:rPr>
          <w:rFonts w:ascii="Garamond" w:hAnsi="Garamond"/>
          <w:b/>
          <w:color w:val="000000" w:themeColor="text1"/>
          <w:sz w:val="24"/>
          <w:szCs w:val="24"/>
        </w:rPr>
        <w:t xml:space="preserve"> </w:t>
      </w:r>
    </w:p>
    <w:p w14:paraId="067B06C6" w14:textId="77777777" w:rsidR="00001D00" w:rsidRPr="009018DF" w:rsidRDefault="00001D00" w:rsidP="008B26CC">
      <w:pPr>
        <w:spacing w:before="0" w:after="0"/>
        <w:rPr>
          <w:rFonts w:ascii="Garamond" w:hAnsi="Garamond" w:cs="Times New Roman"/>
          <w:color w:val="000000" w:themeColor="text1"/>
          <w:sz w:val="24"/>
          <w:szCs w:val="24"/>
        </w:rPr>
      </w:pPr>
    </w:p>
    <w:p w14:paraId="73AD4A38" w14:textId="3BCBA2E0" w:rsidR="00B96D02" w:rsidRPr="009018DF" w:rsidRDefault="00B96D02" w:rsidP="008B26CC">
      <w:pPr>
        <w:spacing w:before="0" w:after="0"/>
        <w:rPr>
          <w:rFonts w:ascii="Garamond" w:hAnsi="Garamond" w:cs="Times New Roman"/>
          <w:color w:val="000000" w:themeColor="text1"/>
          <w:sz w:val="24"/>
          <w:szCs w:val="24"/>
        </w:rPr>
      </w:pPr>
      <w:r w:rsidRPr="009018DF">
        <w:rPr>
          <w:rFonts w:ascii="Garamond" w:hAnsi="Garamond" w:cs="Times New Roman"/>
          <w:color w:val="000000" w:themeColor="text1"/>
          <w:sz w:val="24"/>
          <w:szCs w:val="24"/>
        </w:rPr>
        <w:t>To</w:t>
      </w:r>
      <w:r w:rsidR="00A83FF2" w:rsidRPr="009018DF">
        <w:rPr>
          <w:rFonts w:ascii="Garamond" w:hAnsi="Garamond" w:cs="Times New Roman"/>
          <w:color w:val="000000" w:themeColor="text1"/>
          <w:sz w:val="24"/>
          <w:szCs w:val="24"/>
        </w:rPr>
        <w:t xml:space="preserve"> further</w:t>
      </w:r>
      <w:r w:rsidRPr="009018DF">
        <w:rPr>
          <w:rFonts w:ascii="Garamond" w:hAnsi="Garamond" w:cs="Times New Roman"/>
          <w:color w:val="000000" w:themeColor="text1"/>
          <w:sz w:val="24"/>
          <w:szCs w:val="24"/>
        </w:rPr>
        <w:t xml:space="preserve"> demonstrate how the proposed intercultural hermeneutics is embedded in a Trinitarian framework, one immediately recalls the dialogical insights from Ipgrave. The centrality of the doctrine of the Trinity in Christianity is seen not only in the encounter with the religious other but especially within the ecumenical circle.</w:t>
      </w:r>
      <w:r w:rsidRPr="009018DF">
        <w:rPr>
          <w:rStyle w:val="FootnoteReference"/>
          <w:rFonts w:ascii="Garamond" w:hAnsi="Garamond" w:cs="Times New Roman"/>
          <w:color w:val="000000" w:themeColor="text1"/>
          <w:sz w:val="24"/>
          <w:szCs w:val="24"/>
        </w:rPr>
        <w:footnoteReference w:id="5"/>
      </w:r>
      <w:r w:rsidRPr="009018DF">
        <w:rPr>
          <w:rFonts w:ascii="Garamond" w:hAnsi="Garamond" w:cs="Times New Roman"/>
          <w:color w:val="000000" w:themeColor="text1"/>
          <w:sz w:val="24"/>
          <w:szCs w:val="24"/>
        </w:rPr>
        <w:t xml:space="preserve"> </w:t>
      </w:r>
    </w:p>
    <w:p w14:paraId="5A0528CC" w14:textId="037FE89C" w:rsidR="00B96D02" w:rsidRPr="009018DF" w:rsidRDefault="00B96D02" w:rsidP="008B26CC">
      <w:pPr>
        <w:spacing w:before="0" w:after="0"/>
        <w:ind w:firstLine="567"/>
        <w:rPr>
          <w:rFonts w:ascii="Garamond" w:hAnsi="Garamond" w:cs="Times New Roman"/>
          <w:color w:val="000000" w:themeColor="text1"/>
          <w:sz w:val="24"/>
          <w:szCs w:val="24"/>
        </w:rPr>
      </w:pPr>
      <w:r w:rsidRPr="009018DF">
        <w:rPr>
          <w:rFonts w:ascii="Garamond" w:hAnsi="Garamond" w:cs="Times New Roman"/>
          <w:color w:val="000000" w:themeColor="text1"/>
          <w:sz w:val="24"/>
          <w:szCs w:val="24"/>
        </w:rPr>
        <w:t xml:space="preserve">Trinitarian patterning of dialogue offers us three intercultural approaches to dialogue, derived from the three Trinitarian dialogical principles. In this sense, the Trinitarian-derived dialogical orientations of openness, rationality and experientiality foster conversation across diverse cultures – represented by communities, churches or religions. As a consequence, they function as the intercultural machinery of dialogue. Together, they constitute an alternative to exclusion by an emphasis on community or </w:t>
      </w:r>
      <w:r w:rsidRPr="009018DF">
        <w:rPr>
          <w:rFonts w:ascii="Garamond" w:hAnsi="Garamond" w:cs="Times New Roman"/>
          <w:i/>
          <w:color w:val="000000" w:themeColor="text1"/>
          <w:sz w:val="24"/>
          <w:szCs w:val="24"/>
        </w:rPr>
        <w:t>koinonia</w:t>
      </w:r>
      <w:r w:rsidRPr="009018DF">
        <w:rPr>
          <w:rFonts w:ascii="Garamond" w:hAnsi="Garamond" w:cs="Times New Roman"/>
          <w:color w:val="000000" w:themeColor="text1"/>
          <w:sz w:val="24"/>
          <w:szCs w:val="24"/>
        </w:rPr>
        <w:t>, and act as a reconciler of identity and difference. Ipgrave’s analysis remains beneficial in drawing on these dialogical patterns as an aid to dialogue, whether ecumenical or interreligious. Yet one is faced with the task of translating this Trinitarian pattern</w:t>
      </w:r>
      <w:r w:rsidR="002F5A2C" w:rsidRPr="009018DF">
        <w:rPr>
          <w:rFonts w:ascii="Garamond" w:hAnsi="Garamond" w:cs="Times New Roman"/>
          <w:color w:val="000000" w:themeColor="text1"/>
          <w:sz w:val="24"/>
          <w:szCs w:val="24"/>
        </w:rPr>
        <w:t>ing</w:t>
      </w:r>
      <w:r w:rsidRPr="009018DF">
        <w:rPr>
          <w:rFonts w:ascii="Garamond" w:hAnsi="Garamond" w:cs="Times New Roman"/>
          <w:color w:val="000000" w:themeColor="text1"/>
          <w:sz w:val="24"/>
          <w:szCs w:val="24"/>
        </w:rPr>
        <w:t xml:space="preserve"> into real praxis that is transformative of communal identity. The challenge seeks answers to the following questions: How can the threefold Trinitarian approach be understood in practical terms? </w:t>
      </w:r>
      <w:r w:rsidR="00DE785E" w:rsidRPr="009018DF">
        <w:rPr>
          <w:rFonts w:ascii="Garamond" w:hAnsi="Garamond" w:cs="Times New Roman"/>
          <w:color w:val="000000" w:themeColor="text1"/>
          <w:sz w:val="24"/>
          <w:szCs w:val="24"/>
        </w:rPr>
        <w:t xml:space="preserve">At the risk of sounding arbitrary, I have identified three forms of intercultural praxes that correspond to the Trinitarian dialogical orientations, namely </w:t>
      </w:r>
      <w:r w:rsidRPr="009018DF">
        <w:rPr>
          <w:rFonts w:ascii="Garamond" w:hAnsi="Garamond" w:cs="Times New Roman"/>
          <w:i/>
          <w:color w:val="000000" w:themeColor="text1"/>
          <w:sz w:val="24"/>
          <w:szCs w:val="24"/>
        </w:rPr>
        <w:t xml:space="preserve">acknowledgement, friendship </w:t>
      </w:r>
      <w:r w:rsidRPr="009018DF">
        <w:rPr>
          <w:rFonts w:ascii="Garamond" w:hAnsi="Garamond" w:cs="Times New Roman"/>
          <w:color w:val="000000" w:themeColor="text1"/>
          <w:sz w:val="24"/>
          <w:szCs w:val="24"/>
        </w:rPr>
        <w:t>and</w:t>
      </w:r>
      <w:r w:rsidRPr="009018DF">
        <w:rPr>
          <w:rFonts w:ascii="Garamond" w:hAnsi="Garamond" w:cs="Times New Roman"/>
          <w:i/>
          <w:color w:val="000000" w:themeColor="text1"/>
          <w:sz w:val="24"/>
          <w:szCs w:val="24"/>
        </w:rPr>
        <w:t xml:space="preserve"> participation</w:t>
      </w:r>
      <w:r w:rsidRPr="009018DF">
        <w:rPr>
          <w:rFonts w:ascii="Garamond" w:hAnsi="Garamond" w:cs="Times New Roman"/>
          <w:color w:val="000000" w:themeColor="text1"/>
          <w:sz w:val="24"/>
          <w:szCs w:val="24"/>
        </w:rPr>
        <w:t>.</w:t>
      </w:r>
      <w:r w:rsidR="001C5AB0" w:rsidRPr="009018DF">
        <w:rPr>
          <w:rFonts w:ascii="Garamond" w:hAnsi="Garamond" w:cs="Times New Roman"/>
          <w:color w:val="000000" w:themeColor="text1"/>
          <w:sz w:val="24"/>
          <w:szCs w:val="24"/>
        </w:rPr>
        <w:t xml:space="preserve"> These emerge from a close reading </w:t>
      </w:r>
      <w:r w:rsidR="00AE6BB4" w:rsidRPr="009018DF">
        <w:rPr>
          <w:rFonts w:ascii="Garamond" w:hAnsi="Garamond" w:cs="Times New Roman"/>
          <w:color w:val="000000" w:themeColor="text1"/>
          <w:sz w:val="24"/>
          <w:szCs w:val="24"/>
        </w:rPr>
        <w:t xml:space="preserve">(not demonstrated in this article) </w:t>
      </w:r>
      <w:r w:rsidR="001C5AB0" w:rsidRPr="009018DF">
        <w:rPr>
          <w:rFonts w:ascii="Garamond" w:hAnsi="Garamond" w:cs="Times New Roman"/>
          <w:color w:val="000000" w:themeColor="text1"/>
          <w:sz w:val="24"/>
          <w:szCs w:val="24"/>
        </w:rPr>
        <w:t xml:space="preserve">of various church documents on dialogue that take on the Trinitarian approach – particularly Roman Catholic’s </w:t>
      </w:r>
      <w:r w:rsidR="001C5AB0" w:rsidRPr="009018DF">
        <w:rPr>
          <w:rFonts w:ascii="Garamond" w:hAnsi="Garamond" w:cs="Times New Roman"/>
          <w:i/>
          <w:color w:val="000000" w:themeColor="text1"/>
          <w:sz w:val="24"/>
          <w:szCs w:val="24"/>
        </w:rPr>
        <w:t>Unitatis Redintegratio</w:t>
      </w:r>
      <w:r w:rsidR="001C5AB0" w:rsidRPr="009018DF">
        <w:rPr>
          <w:rFonts w:ascii="Garamond" w:hAnsi="Garamond" w:cs="Times New Roman"/>
          <w:color w:val="000000" w:themeColor="text1"/>
          <w:sz w:val="24"/>
          <w:szCs w:val="24"/>
        </w:rPr>
        <w:t xml:space="preserve"> (1964) and </w:t>
      </w:r>
      <w:r w:rsidR="001C5AB0" w:rsidRPr="009018DF">
        <w:rPr>
          <w:rFonts w:ascii="Garamond" w:hAnsi="Garamond" w:cs="Times New Roman"/>
          <w:i/>
          <w:color w:val="000000" w:themeColor="text1"/>
          <w:sz w:val="24"/>
          <w:szCs w:val="24"/>
        </w:rPr>
        <w:t>Nostra Aetate</w:t>
      </w:r>
      <w:r w:rsidR="001C5AB0" w:rsidRPr="009018DF">
        <w:rPr>
          <w:rFonts w:ascii="Garamond" w:hAnsi="Garamond" w:cs="Times New Roman"/>
          <w:color w:val="000000" w:themeColor="text1"/>
          <w:sz w:val="24"/>
          <w:szCs w:val="24"/>
        </w:rPr>
        <w:t xml:space="preserve"> (1965), as well as Anglican Communion’s</w:t>
      </w:r>
      <w:r w:rsidR="00A35E14" w:rsidRPr="009018DF">
        <w:rPr>
          <w:rFonts w:ascii="Garamond" w:hAnsi="Garamond" w:cs="Times New Roman"/>
          <w:color w:val="000000" w:themeColor="text1"/>
          <w:sz w:val="24"/>
          <w:szCs w:val="24"/>
        </w:rPr>
        <w:t xml:space="preserve"> </w:t>
      </w:r>
      <w:r w:rsidR="00360312" w:rsidRPr="009018DF">
        <w:rPr>
          <w:rFonts w:ascii="Garamond" w:hAnsi="Garamond" w:cs="Times New Roman"/>
          <w:color w:val="000000" w:themeColor="text1"/>
          <w:sz w:val="24"/>
          <w:szCs w:val="24"/>
        </w:rPr>
        <w:t>‘</w:t>
      </w:r>
      <w:r w:rsidR="00A35E14" w:rsidRPr="009018DF">
        <w:rPr>
          <w:rFonts w:ascii="Garamond" w:hAnsi="Garamond" w:cs="Times New Roman"/>
          <w:color w:val="000000" w:themeColor="text1"/>
          <w:sz w:val="24"/>
          <w:szCs w:val="24"/>
        </w:rPr>
        <w:t>Jews, Christians and Muslims</w:t>
      </w:r>
      <w:r w:rsidR="00360312" w:rsidRPr="009018DF">
        <w:rPr>
          <w:rFonts w:ascii="Garamond" w:hAnsi="Garamond" w:cs="Times New Roman"/>
          <w:color w:val="000000" w:themeColor="text1"/>
          <w:sz w:val="24"/>
          <w:szCs w:val="24"/>
        </w:rPr>
        <w:t>’</w:t>
      </w:r>
      <w:r w:rsidR="00A35E14" w:rsidRPr="009018DF">
        <w:rPr>
          <w:rFonts w:ascii="Garamond" w:hAnsi="Garamond" w:cs="Times New Roman"/>
          <w:color w:val="000000" w:themeColor="text1"/>
          <w:sz w:val="24"/>
          <w:szCs w:val="24"/>
        </w:rPr>
        <w:t xml:space="preserve"> (1988) and</w:t>
      </w:r>
      <w:r w:rsidR="001C5AB0" w:rsidRPr="009018DF">
        <w:rPr>
          <w:rFonts w:ascii="Garamond" w:hAnsi="Garamond" w:cs="Times New Roman"/>
          <w:color w:val="000000" w:themeColor="text1"/>
          <w:sz w:val="24"/>
          <w:szCs w:val="24"/>
        </w:rPr>
        <w:t xml:space="preserve"> </w:t>
      </w:r>
      <w:r w:rsidR="001C5AB0" w:rsidRPr="009018DF">
        <w:rPr>
          <w:rFonts w:ascii="Garamond" w:hAnsi="Garamond" w:cs="Times New Roman"/>
          <w:i/>
          <w:color w:val="000000" w:themeColor="text1"/>
          <w:sz w:val="24"/>
          <w:szCs w:val="24"/>
        </w:rPr>
        <w:t>Generous Love</w:t>
      </w:r>
      <w:r w:rsidR="001C5AB0" w:rsidRPr="009018DF">
        <w:rPr>
          <w:rFonts w:ascii="Garamond" w:hAnsi="Garamond" w:cs="Times New Roman"/>
          <w:color w:val="000000" w:themeColor="text1"/>
          <w:sz w:val="24"/>
          <w:szCs w:val="24"/>
        </w:rPr>
        <w:t xml:space="preserve"> (2008).</w:t>
      </w:r>
    </w:p>
    <w:p w14:paraId="12FB0E07" w14:textId="400BCCA5" w:rsidR="00B96D02" w:rsidRPr="009018DF" w:rsidRDefault="00B96D02" w:rsidP="008B26CC">
      <w:pPr>
        <w:spacing w:before="0" w:after="0"/>
        <w:ind w:firstLine="567"/>
        <w:rPr>
          <w:rFonts w:ascii="Garamond" w:hAnsi="Garamond" w:cs="Times New Roman"/>
          <w:color w:val="000000" w:themeColor="text1"/>
          <w:sz w:val="24"/>
          <w:szCs w:val="24"/>
        </w:rPr>
      </w:pPr>
      <w:r w:rsidRPr="009018DF">
        <w:rPr>
          <w:rFonts w:ascii="Garamond" w:hAnsi="Garamond" w:cs="Times New Roman"/>
          <w:color w:val="000000" w:themeColor="text1"/>
          <w:sz w:val="24"/>
          <w:szCs w:val="24"/>
        </w:rPr>
        <w:t xml:space="preserve">To further articulate these praxes as intercultural hermeneutical devices, I appeal to a threefold interrelated version of intercultural hermeneutics. In serving as the corresponding practical translation of the Trinitarian pattern, this hermeneutics emerges therefore as the three sub-sets of the proposed Trinitarian intercultural hermeneutics. These are a) </w:t>
      </w:r>
      <w:r w:rsidRPr="009018DF">
        <w:rPr>
          <w:rFonts w:ascii="Garamond" w:hAnsi="Garamond" w:cs="Times New Roman"/>
          <w:i/>
          <w:color w:val="000000" w:themeColor="text1"/>
          <w:sz w:val="24"/>
          <w:szCs w:val="24"/>
        </w:rPr>
        <w:t>intercultural acknowledgement</w:t>
      </w:r>
      <w:r w:rsidRPr="009018DF">
        <w:rPr>
          <w:rFonts w:ascii="Garamond" w:hAnsi="Garamond" w:cs="Times New Roman"/>
          <w:color w:val="000000" w:themeColor="text1"/>
          <w:sz w:val="24"/>
          <w:szCs w:val="24"/>
        </w:rPr>
        <w:t xml:space="preserve"> as evident especially in the trilogy of German missiologist Henning Wrogemann</w:t>
      </w:r>
      <w:r w:rsidR="007114E4" w:rsidRPr="009018DF">
        <w:rPr>
          <w:rFonts w:ascii="Garamond" w:hAnsi="Garamond" w:cs="Times New Roman"/>
          <w:color w:val="000000" w:themeColor="text1"/>
          <w:sz w:val="24"/>
          <w:szCs w:val="24"/>
        </w:rPr>
        <w:t xml:space="preserve"> (2012/2016, 2013/2018, 2015</w:t>
      </w:r>
      <w:r w:rsidR="00CF08BE" w:rsidRPr="009018DF">
        <w:rPr>
          <w:rFonts w:ascii="Garamond" w:hAnsi="Garamond" w:cs="Times New Roman"/>
          <w:color w:val="000000" w:themeColor="text1"/>
          <w:sz w:val="24"/>
          <w:szCs w:val="24"/>
        </w:rPr>
        <w:t>/2019</w:t>
      </w:r>
      <w:r w:rsidR="007114E4" w:rsidRPr="009018DF">
        <w:rPr>
          <w:rFonts w:ascii="Garamond" w:hAnsi="Garamond" w:cs="Times New Roman"/>
          <w:color w:val="000000" w:themeColor="text1"/>
          <w:sz w:val="24"/>
          <w:szCs w:val="24"/>
        </w:rPr>
        <w:t>)</w:t>
      </w:r>
      <w:r w:rsidRPr="009018DF">
        <w:rPr>
          <w:rFonts w:ascii="Garamond" w:hAnsi="Garamond" w:cs="Times New Roman"/>
          <w:color w:val="000000" w:themeColor="text1"/>
          <w:sz w:val="24"/>
          <w:szCs w:val="24"/>
        </w:rPr>
        <w:t xml:space="preserve">, b) </w:t>
      </w:r>
      <w:r w:rsidRPr="009018DF">
        <w:rPr>
          <w:rFonts w:ascii="Garamond" w:hAnsi="Garamond" w:cs="Times New Roman"/>
          <w:i/>
          <w:color w:val="000000" w:themeColor="text1"/>
          <w:sz w:val="24"/>
          <w:szCs w:val="24"/>
        </w:rPr>
        <w:t>intercultural friendship</w:t>
      </w:r>
      <w:r w:rsidRPr="009018DF">
        <w:rPr>
          <w:rFonts w:ascii="Garamond" w:hAnsi="Garamond" w:cs="Times New Roman"/>
          <w:color w:val="000000" w:themeColor="text1"/>
          <w:sz w:val="24"/>
          <w:szCs w:val="24"/>
        </w:rPr>
        <w:t xml:space="preserve"> and c) </w:t>
      </w:r>
      <w:r w:rsidRPr="009018DF">
        <w:rPr>
          <w:rFonts w:ascii="Garamond" w:hAnsi="Garamond" w:cs="Times New Roman"/>
          <w:i/>
          <w:color w:val="000000" w:themeColor="text1"/>
          <w:sz w:val="24"/>
          <w:szCs w:val="24"/>
        </w:rPr>
        <w:t>intercultural participation</w:t>
      </w:r>
      <w:r w:rsidRPr="009018DF">
        <w:rPr>
          <w:rFonts w:ascii="Garamond" w:hAnsi="Garamond" w:cs="Times New Roman"/>
          <w:color w:val="000000" w:themeColor="text1"/>
          <w:sz w:val="24"/>
          <w:szCs w:val="24"/>
        </w:rPr>
        <w:t xml:space="preserve">, both of which have been developed by Ilo, drawing from both Trinitarian and African cultural resources. The ecumenical history of Anglican-Roman Catholic encounter displays a significant measure of these three assets, even when they are not systematized and emphasized as the key drivers of </w:t>
      </w:r>
      <w:r w:rsidR="00504F81" w:rsidRPr="009018DF">
        <w:rPr>
          <w:rFonts w:ascii="Garamond" w:hAnsi="Garamond" w:cs="Times New Roman"/>
          <w:color w:val="000000" w:themeColor="text1"/>
          <w:sz w:val="24"/>
          <w:szCs w:val="24"/>
        </w:rPr>
        <w:t>dialogical</w:t>
      </w:r>
      <w:r w:rsidRPr="009018DF">
        <w:rPr>
          <w:rFonts w:ascii="Garamond" w:hAnsi="Garamond" w:cs="Times New Roman"/>
          <w:color w:val="000000" w:themeColor="text1"/>
          <w:sz w:val="24"/>
          <w:szCs w:val="24"/>
        </w:rPr>
        <w:t xml:space="preserve"> transformation. </w:t>
      </w:r>
    </w:p>
    <w:p w14:paraId="34AFDDE9" w14:textId="7107D0B7" w:rsidR="00B96D02" w:rsidRPr="009018DF" w:rsidRDefault="00B96D02" w:rsidP="008B26CC">
      <w:pPr>
        <w:spacing w:before="0" w:after="0"/>
        <w:rPr>
          <w:rFonts w:ascii="Garamond" w:hAnsi="Garamond" w:cs="Times New Roman"/>
          <w:color w:val="000000" w:themeColor="text1"/>
        </w:rPr>
      </w:pPr>
    </w:p>
    <w:tbl>
      <w:tblPr>
        <w:tblStyle w:val="GridTable1Light1"/>
        <w:tblW w:w="0" w:type="auto"/>
        <w:tblLook w:val="04A0" w:firstRow="1" w:lastRow="0" w:firstColumn="1" w:lastColumn="0" w:noHBand="0" w:noVBand="1"/>
      </w:tblPr>
      <w:tblGrid>
        <w:gridCol w:w="2830"/>
        <w:gridCol w:w="1985"/>
        <w:gridCol w:w="2268"/>
        <w:gridCol w:w="1927"/>
      </w:tblGrid>
      <w:tr w:rsidR="009018DF" w:rsidRPr="009018DF" w14:paraId="767699E4" w14:textId="77777777" w:rsidTr="00D021C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59E1017E" w14:textId="77777777" w:rsidR="00B96D02" w:rsidRPr="009018DF" w:rsidRDefault="00B96D02" w:rsidP="008B26CC">
            <w:pPr>
              <w:spacing w:before="0" w:after="0"/>
              <w:rPr>
                <w:rFonts w:ascii="Garamond" w:hAnsi="Garamond" w:cs="Times New Roman"/>
                <w:b w:val="0"/>
                <w:color w:val="000000" w:themeColor="text1"/>
              </w:rPr>
            </w:pPr>
            <w:r w:rsidRPr="009018DF">
              <w:rPr>
                <w:rFonts w:ascii="Garamond" w:hAnsi="Garamond" w:cs="Times New Roman"/>
                <w:b w:val="0"/>
                <w:color w:val="000000" w:themeColor="text1"/>
              </w:rPr>
              <w:lastRenderedPageBreak/>
              <w:t>Trinitarian Persons</w:t>
            </w:r>
          </w:p>
        </w:tc>
        <w:tc>
          <w:tcPr>
            <w:tcW w:w="1985" w:type="dxa"/>
          </w:tcPr>
          <w:p w14:paraId="2803346A" w14:textId="77777777" w:rsidR="00B96D02" w:rsidRPr="009018DF" w:rsidRDefault="00B96D02" w:rsidP="008B26CC">
            <w:pPr>
              <w:spacing w:before="0" w:after="0"/>
              <w:cnfStyle w:val="100000000000" w:firstRow="1" w:lastRow="0" w:firstColumn="0" w:lastColumn="0" w:oddVBand="0" w:evenVBand="0" w:oddHBand="0" w:evenHBand="0" w:firstRowFirstColumn="0" w:firstRowLastColumn="0" w:lastRowFirstColumn="0" w:lastRowLastColumn="0"/>
              <w:rPr>
                <w:rFonts w:ascii="Garamond" w:hAnsi="Garamond" w:cs="Times New Roman"/>
                <w:color w:val="000000" w:themeColor="text1"/>
              </w:rPr>
            </w:pPr>
            <w:r w:rsidRPr="009018DF">
              <w:rPr>
                <w:rFonts w:ascii="Garamond" w:hAnsi="Garamond" w:cs="Times New Roman"/>
                <w:color w:val="000000" w:themeColor="text1"/>
              </w:rPr>
              <w:t>Father</w:t>
            </w:r>
          </w:p>
        </w:tc>
        <w:tc>
          <w:tcPr>
            <w:tcW w:w="2268" w:type="dxa"/>
          </w:tcPr>
          <w:p w14:paraId="1DFE80BB" w14:textId="77777777" w:rsidR="00B96D02" w:rsidRPr="009018DF" w:rsidRDefault="00B96D02" w:rsidP="008B26CC">
            <w:pPr>
              <w:spacing w:before="0" w:after="0"/>
              <w:cnfStyle w:val="100000000000" w:firstRow="1" w:lastRow="0" w:firstColumn="0" w:lastColumn="0" w:oddVBand="0" w:evenVBand="0" w:oddHBand="0" w:evenHBand="0" w:firstRowFirstColumn="0" w:firstRowLastColumn="0" w:lastRowFirstColumn="0" w:lastRowLastColumn="0"/>
              <w:rPr>
                <w:rFonts w:ascii="Garamond" w:hAnsi="Garamond" w:cs="Times New Roman"/>
                <w:color w:val="000000" w:themeColor="text1"/>
              </w:rPr>
            </w:pPr>
            <w:r w:rsidRPr="009018DF">
              <w:rPr>
                <w:rFonts w:ascii="Garamond" w:hAnsi="Garamond" w:cs="Times New Roman"/>
                <w:color w:val="000000" w:themeColor="text1"/>
              </w:rPr>
              <w:t>Son</w:t>
            </w:r>
          </w:p>
        </w:tc>
        <w:tc>
          <w:tcPr>
            <w:tcW w:w="1927" w:type="dxa"/>
          </w:tcPr>
          <w:p w14:paraId="479D3E94" w14:textId="77777777" w:rsidR="00B96D02" w:rsidRPr="009018DF" w:rsidRDefault="00B96D02" w:rsidP="008B26CC">
            <w:pPr>
              <w:spacing w:before="0" w:after="0"/>
              <w:cnfStyle w:val="100000000000" w:firstRow="1" w:lastRow="0" w:firstColumn="0" w:lastColumn="0" w:oddVBand="0" w:evenVBand="0" w:oddHBand="0" w:evenHBand="0" w:firstRowFirstColumn="0" w:firstRowLastColumn="0" w:lastRowFirstColumn="0" w:lastRowLastColumn="0"/>
              <w:rPr>
                <w:rFonts w:ascii="Garamond" w:hAnsi="Garamond" w:cs="Times New Roman"/>
                <w:color w:val="000000" w:themeColor="text1"/>
              </w:rPr>
            </w:pPr>
            <w:r w:rsidRPr="009018DF">
              <w:rPr>
                <w:rFonts w:ascii="Garamond" w:hAnsi="Garamond" w:cs="Times New Roman"/>
                <w:color w:val="000000" w:themeColor="text1"/>
              </w:rPr>
              <w:t>Spirit</w:t>
            </w:r>
          </w:p>
        </w:tc>
      </w:tr>
      <w:tr w:rsidR="009018DF" w:rsidRPr="009018DF" w14:paraId="1B905E91" w14:textId="77777777" w:rsidTr="00D021C0">
        <w:tc>
          <w:tcPr>
            <w:cnfStyle w:val="001000000000" w:firstRow="0" w:lastRow="0" w:firstColumn="1" w:lastColumn="0" w:oddVBand="0" w:evenVBand="0" w:oddHBand="0" w:evenHBand="0" w:firstRowFirstColumn="0" w:firstRowLastColumn="0" w:lastRowFirstColumn="0" w:lastRowLastColumn="0"/>
            <w:tcW w:w="2830" w:type="dxa"/>
          </w:tcPr>
          <w:p w14:paraId="3EFAAFC5" w14:textId="77777777" w:rsidR="00B96D02" w:rsidRPr="009018DF" w:rsidRDefault="00B96D02" w:rsidP="008B26CC">
            <w:pPr>
              <w:spacing w:before="0" w:after="0"/>
              <w:rPr>
                <w:rFonts w:ascii="Garamond" w:hAnsi="Garamond" w:cs="Times New Roman"/>
                <w:b w:val="0"/>
                <w:color w:val="000000" w:themeColor="text1"/>
              </w:rPr>
            </w:pPr>
            <w:r w:rsidRPr="009018DF">
              <w:rPr>
                <w:rFonts w:ascii="Garamond" w:hAnsi="Garamond" w:cs="Times New Roman"/>
                <w:b w:val="0"/>
                <w:color w:val="000000" w:themeColor="text1"/>
              </w:rPr>
              <w:t>Dialogical Orientations</w:t>
            </w:r>
          </w:p>
        </w:tc>
        <w:tc>
          <w:tcPr>
            <w:tcW w:w="1985" w:type="dxa"/>
          </w:tcPr>
          <w:p w14:paraId="323600CB" w14:textId="77777777" w:rsidR="00B96D02" w:rsidRPr="009018DF" w:rsidRDefault="00B96D02" w:rsidP="008B26CC">
            <w:pPr>
              <w:spacing w:before="0" w:after="0"/>
              <w:cnfStyle w:val="000000000000" w:firstRow="0" w:lastRow="0" w:firstColumn="0" w:lastColumn="0" w:oddVBand="0" w:evenVBand="0" w:oddHBand="0" w:evenHBand="0" w:firstRowFirstColumn="0" w:firstRowLastColumn="0" w:lastRowFirstColumn="0" w:lastRowLastColumn="0"/>
              <w:rPr>
                <w:rFonts w:ascii="Garamond" w:hAnsi="Garamond" w:cs="Times New Roman"/>
                <w:color w:val="000000" w:themeColor="text1"/>
              </w:rPr>
            </w:pPr>
            <w:r w:rsidRPr="009018DF">
              <w:rPr>
                <w:rFonts w:ascii="Garamond" w:hAnsi="Garamond" w:cs="Times New Roman"/>
                <w:color w:val="000000" w:themeColor="text1"/>
              </w:rPr>
              <w:t>Openness</w:t>
            </w:r>
          </w:p>
        </w:tc>
        <w:tc>
          <w:tcPr>
            <w:tcW w:w="2268" w:type="dxa"/>
          </w:tcPr>
          <w:p w14:paraId="5CC9389F" w14:textId="77777777" w:rsidR="00B96D02" w:rsidRPr="009018DF" w:rsidRDefault="00B96D02" w:rsidP="008B26CC">
            <w:pPr>
              <w:spacing w:before="0" w:after="0"/>
              <w:cnfStyle w:val="000000000000" w:firstRow="0" w:lastRow="0" w:firstColumn="0" w:lastColumn="0" w:oddVBand="0" w:evenVBand="0" w:oddHBand="0" w:evenHBand="0" w:firstRowFirstColumn="0" w:firstRowLastColumn="0" w:lastRowFirstColumn="0" w:lastRowLastColumn="0"/>
              <w:rPr>
                <w:rFonts w:ascii="Garamond" w:hAnsi="Garamond" w:cs="Times New Roman"/>
                <w:color w:val="000000" w:themeColor="text1"/>
              </w:rPr>
            </w:pPr>
            <w:r w:rsidRPr="009018DF">
              <w:rPr>
                <w:rFonts w:ascii="Garamond" w:hAnsi="Garamond" w:cs="Times New Roman"/>
                <w:color w:val="000000" w:themeColor="text1"/>
              </w:rPr>
              <w:t>Rationality</w:t>
            </w:r>
          </w:p>
        </w:tc>
        <w:tc>
          <w:tcPr>
            <w:tcW w:w="1927" w:type="dxa"/>
          </w:tcPr>
          <w:p w14:paraId="2E8E138A" w14:textId="77777777" w:rsidR="00B96D02" w:rsidRPr="009018DF" w:rsidRDefault="00B96D02" w:rsidP="008B26CC">
            <w:pPr>
              <w:spacing w:before="0" w:after="0"/>
              <w:cnfStyle w:val="000000000000" w:firstRow="0" w:lastRow="0" w:firstColumn="0" w:lastColumn="0" w:oddVBand="0" w:evenVBand="0" w:oddHBand="0" w:evenHBand="0" w:firstRowFirstColumn="0" w:firstRowLastColumn="0" w:lastRowFirstColumn="0" w:lastRowLastColumn="0"/>
              <w:rPr>
                <w:rFonts w:ascii="Garamond" w:hAnsi="Garamond" w:cs="Times New Roman"/>
                <w:color w:val="000000" w:themeColor="text1"/>
              </w:rPr>
            </w:pPr>
            <w:r w:rsidRPr="009018DF">
              <w:rPr>
                <w:rFonts w:ascii="Garamond" w:hAnsi="Garamond" w:cs="Times New Roman"/>
                <w:color w:val="000000" w:themeColor="text1"/>
              </w:rPr>
              <w:t>Experience</w:t>
            </w:r>
          </w:p>
        </w:tc>
      </w:tr>
      <w:tr w:rsidR="009018DF" w:rsidRPr="009018DF" w14:paraId="2A5730E3" w14:textId="77777777" w:rsidTr="00D021C0">
        <w:tc>
          <w:tcPr>
            <w:cnfStyle w:val="001000000000" w:firstRow="0" w:lastRow="0" w:firstColumn="1" w:lastColumn="0" w:oddVBand="0" w:evenVBand="0" w:oddHBand="0" w:evenHBand="0" w:firstRowFirstColumn="0" w:firstRowLastColumn="0" w:lastRowFirstColumn="0" w:lastRowLastColumn="0"/>
            <w:tcW w:w="2830" w:type="dxa"/>
          </w:tcPr>
          <w:p w14:paraId="0C889474" w14:textId="77777777" w:rsidR="00B96D02" w:rsidRPr="009018DF" w:rsidRDefault="00B96D02" w:rsidP="008B26CC">
            <w:pPr>
              <w:spacing w:before="0" w:after="0"/>
              <w:rPr>
                <w:rFonts w:ascii="Garamond" w:hAnsi="Garamond" w:cs="Times New Roman"/>
                <w:b w:val="0"/>
                <w:color w:val="000000" w:themeColor="text1"/>
              </w:rPr>
            </w:pPr>
            <w:r w:rsidRPr="009018DF">
              <w:rPr>
                <w:rFonts w:ascii="Garamond" w:hAnsi="Garamond" w:cs="Times New Roman"/>
                <w:b w:val="0"/>
                <w:color w:val="000000" w:themeColor="text1"/>
              </w:rPr>
              <w:t>Dialogical Praxes</w:t>
            </w:r>
          </w:p>
        </w:tc>
        <w:tc>
          <w:tcPr>
            <w:tcW w:w="1985" w:type="dxa"/>
          </w:tcPr>
          <w:p w14:paraId="6EB3ED52" w14:textId="77777777" w:rsidR="00B96D02" w:rsidRPr="009018DF" w:rsidRDefault="00B96D02" w:rsidP="008B26CC">
            <w:pPr>
              <w:spacing w:before="0" w:after="0"/>
              <w:cnfStyle w:val="000000000000" w:firstRow="0" w:lastRow="0" w:firstColumn="0" w:lastColumn="0" w:oddVBand="0" w:evenVBand="0" w:oddHBand="0" w:evenHBand="0" w:firstRowFirstColumn="0" w:firstRowLastColumn="0" w:lastRowFirstColumn="0" w:lastRowLastColumn="0"/>
              <w:rPr>
                <w:rFonts w:ascii="Garamond" w:hAnsi="Garamond" w:cs="Times New Roman"/>
                <w:color w:val="000000" w:themeColor="text1"/>
              </w:rPr>
            </w:pPr>
            <w:r w:rsidRPr="009018DF">
              <w:rPr>
                <w:rFonts w:ascii="Garamond" w:hAnsi="Garamond" w:cs="Times New Roman"/>
                <w:color w:val="000000" w:themeColor="text1"/>
              </w:rPr>
              <w:t>Acknowledgement</w:t>
            </w:r>
          </w:p>
        </w:tc>
        <w:tc>
          <w:tcPr>
            <w:tcW w:w="2268" w:type="dxa"/>
          </w:tcPr>
          <w:p w14:paraId="07A45210" w14:textId="77777777" w:rsidR="00B96D02" w:rsidRPr="009018DF" w:rsidRDefault="00B96D02" w:rsidP="008B26CC">
            <w:pPr>
              <w:spacing w:before="0" w:after="0"/>
              <w:cnfStyle w:val="000000000000" w:firstRow="0" w:lastRow="0" w:firstColumn="0" w:lastColumn="0" w:oddVBand="0" w:evenVBand="0" w:oddHBand="0" w:evenHBand="0" w:firstRowFirstColumn="0" w:firstRowLastColumn="0" w:lastRowFirstColumn="0" w:lastRowLastColumn="0"/>
              <w:rPr>
                <w:rFonts w:ascii="Garamond" w:hAnsi="Garamond" w:cs="Times New Roman"/>
                <w:color w:val="000000" w:themeColor="text1"/>
              </w:rPr>
            </w:pPr>
            <w:r w:rsidRPr="009018DF">
              <w:rPr>
                <w:rFonts w:ascii="Garamond" w:hAnsi="Garamond" w:cs="Times New Roman"/>
                <w:color w:val="000000" w:themeColor="text1"/>
              </w:rPr>
              <w:t>Friendship</w:t>
            </w:r>
          </w:p>
        </w:tc>
        <w:tc>
          <w:tcPr>
            <w:tcW w:w="1927" w:type="dxa"/>
          </w:tcPr>
          <w:p w14:paraId="45ECD93F" w14:textId="77777777" w:rsidR="00B96D02" w:rsidRPr="009018DF" w:rsidRDefault="00B96D02" w:rsidP="008B26CC">
            <w:pPr>
              <w:spacing w:before="0" w:after="0"/>
              <w:cnfStyle w:val="000000000000" w:firstRow="0" w:lastRow="0" w:firstColumn="0" w:lastColumn="0" w:oddVBand="0" w:evenVBand="0" w:oddHBand="0" w:evenHBand="0" w:firstRowFirstColumn="0" w:firstRowLastColumn="0" w:lastRowFirstColumn="0" w:lastRowLastColumn="0"/>
              <w:rPr>
                <w:rFonts w:ascii="Garamond" w:hAnsi="Garamond" w:cs="Times New Roman"/>
                <w:color w:val="000000" w:themeColor="text1"/>
              </w:rPr>
            </w:pPr>
            <w:r w:rsidRPr="009018DF">
              <w:rPr>
                <w:rFonts w:ascii="Garamond" w:hAnsi="Garamond" w:cs="Times New Roman"/>
                <w:color w:val="000000" w:themeColor="text1"/>
              </w:rPr>
              <w:t>Participation</w:t>
            </w:r>
          </w:p>
        </w:tc>
      </w:tr>
    </w:tbl>
    <w:p w14:paraId="6DFB36A0" w14:textId="77777777" w:rsidR="00B96D02" w:rsidRPr="009018DF" w:rsidRDefault="00B96D02" w:rsidP="008B26CC">
      <w:pPr>
        <w:spacing w:before="0" w:after="0"/>
        <w:rPr>
          <w:rFonts w:ascii="Garamond" w:hAnsi="Garamond" w:cs="Times New Roman"/>
          <w:color w:val="000000" w:themeColor="text1"/>
        </w:rPr>
      </w:pPr>
    </w:p>
    <w:p w14:paraId="596B80E0" w14:textId="379F16B3" w:rsidR="00B96D02" w:rsidRPr="009018DF" w:rsidRDefault="00B96D02" w:rsidP="008B26CC">
      <w:pPr>
        <w:spacing w:before="0" w:after="0"/>
        <w:rPr>
          <w:rFonts w:ascii="Garamond" w:hAnsi="Garamond" w:cs="Times New Roman"/>
          <w:color w:val="000000" w:themeColor="text1"/>
          <w:sz w:val="24"/>
          <w:szCs w:val="24"/>
        </w:rPr>
      </w:pPr>
      <w:r w:rsidRPr="009018DF">
        <w:rPr>
          <w:rFonts w:ascii="Garamond" w:hAnsi="Garamond" w:cs="Times New Roman"/>
          <w:color w:val="000000" w:themeColor="text1"/>
          <w:sz w:val="24"/>
          <w:szCs w:val="24"/>
        </w:rPr>
        <w:t>Together, the above dialogical orientations and praxes, derived from the Trinity, make up the pattern of the Trinitarian intercultural hermeneutics. In what follows, I shall examine these dialogical praxes as functioning within the proposed intercultural hermeneutics.</w:t>
      </w:r>
    </w:p>
    <w:p w14:paraId="700FD610" w14:textId="282C0CC4" w:rsidR="008B26CC" w:rsidRPr="009018DF" w:rsidRDefault="008B26CC" w:rsidP="008B26CC">
      <w:pPr>
        <w:spacing w:before="0" w:after="0"/>
        <w:rPr>
          <w:rFonts w:ascii="Garamond" w:hAnsi="Garamond" w:cs="Times New Roman"/>
          <w:color w:val="000000" w:themeColor="text1"/>
          <w:sz w:val="24"/>
          <w:szCs w:val="24"/>
        </w:rPr>
      </w:pPr>
    </w:p>
    <w:p w14:paraId="3CF29066" w14:textId="77777777" w:rsidR="008B26CC" w:rsidRPr="009018DF" w:rsidRDefault="008B26CC" w:rsidP="008B26CC">
      <w:pPr>
        <w:spacing w:before="0" w:after="0"/>
        <w:rPr>
          <w:rFonts w:ascii="Garamond" w:hAnsi="Garamond" w:cs="Times New Roman"/>
          <w:color w:val="000000" w:themeColor="text1"/>
          <w:sz w:val="24"/>
          <w:szCs w:val="24"/>
        </w:rPr>
      </w:pPr>
    </w:p>
    <w:p w14:paraId="0C3BE8D2" w14:textId="74ED432E" w:rsidR="00B96D02" w:rsidRPr="009018DF" w:rsidRDefault="008B26CC" w:rsidP="008B26CC">
      <w:pPr>
        <w:pStyle w:val="Heading3"/>
        <w:spacing w:before="0" w:after="0"/>
        <w:rPr>
          <w:rFonts w:ascii="Garamond" w:hAnsi="Garamond"/>
          <w:sz w:val="24"/>
          <w:szCs w:val="24"/>
        </w:rPr>
      </w:pPr>
      <w:bookmarkStart w:id="3" w:name="_Toc31190723"/>
      <w:r w:rsidRPr="009018DF">
        <w:rPr>
          <w:rFonts w:ascii="Garamond" w:hAnsi="Garamond"/>
          <w:sz w:val="24"/>
          <w:szCs w:val="24"/>
        </w:rPr>
        <w:t xml:space="preserve">a) </w:t>
      </w:r>
      <w:r w:rsidR="001956E2" w:rsidRPr="009018DF">
        <w:rPr>
          <w:rFonts w:ascii="Garamond" w:hAnsi="Garamond"/>
          <w:sz w:val="24"/>
          <w:szCs w:val="24"/>
        </w:rPr>
        <w:t>Towards the Dialogical</w:t>
      </w:r>
      <w:r w:rsidR="00B96D02" w:rsidRPr="009018DF">
        <w:rPr>
          <w:rFonts w:ascii="Garamond" w:hAnsi="Garamond"/>
          <w:sz w:val="24"/>
          <w:szCs w:val="24"/>
        </w:rPr>
        <w:t xml:space="preserve"> Praxis of Acknowledgement</w:t>
      </w:r>
      <w:bookmarkEnd w:id="3"/>
      <w:r w:rsidR="009B0DDC" w:rsidRPr="009018DF">
        <w:rPr>
          <w:rFonts w:ascii="Garamond" w:hAnsi="Garamond"/>
          <w:sz w:val="24"/>
          <w:szCs w:val="24"/>
        </w:rPr>
        <w:t xml:space="preserve"> </w:t>
      </w:r>
    </w:p>
    <w:p w14:paraId="1AD8B544" w14:textId="77777777" w:rsidR="008B26CC" w:rsidRPr="009018DF" w:rsidRDefault="008B26CC" w:rsidP="008B26CC">
      <w:pPr>
        <w:spacing w:before="0" w:after="0"/>
        <w:rPr>
          <w:rFonts w:ascii="Garamond" w:hAnsi="Garamond" w:cs="Times New Roman"/>
          <w:color w:val="000000" w:themeColor="text1"/>
          <w:sz w:val="24"/>
          <w:szCs w:val="24"/>
        </w:rPr>
      </w:pPr>
    </w:p>
    <w:p w14:paraId="715F72CA" w14:textId="4168C36A" w:rsidR="00B96D02" w:rsidRPr="009018DF" w:rsidRDefault="00B96D02" w:rsidP="008B26CC">
      <w:pPr>
        <w:spacing w:before="0" w:after="0"/>
        <w:rPr>
          <w:rFonts w:ascii="Garamond" w:hAnsi="Garamond" w:cs="Times New Roman"/>
          <w:color w:val="000000" w:themeColor="text1"/>
          <w:sz w:val="24"/>
          <w:szCs w:val="24"/>
        </w:rPr>
      </w:pPr>
      <w:r w:rsidRPr="009018DF">
        <w:rPr>
          <w:rFonts w:ascii="Garamond" w:hAnsi="Garamond" w:cs="Times New Roman"/>
          <w:color w:val="000000" w:themeColor="text1"/>
          <w:sz w:val="24"/>
          <w:szCs w:val="24"/>
        </w:rPr>
        <w:t xml:space="preserve">Openness manifests itself as acknowledgment, namely as a recognition of the existence of the other and an affirmation of one’s knowledge of the other. It does not imply an extensive decoding of what the other knows or a complete understanding of the knowledge system of the other. Rather, it manifests in the form of ‘taking the first move towards’ the other (UR 4; EG 24), the inaugural moment of dialogical engagement, or the initial transformation that happens in the ‘stepping out’ to encounter. Theologically, dialogical openness rests on a fundamental acknowledgement of a </w:t>
      </w:r>
      <w:r w:rsidRPr="009018DF">
        <w:rPr>
          <w:rFonts w:ascii="Garamond" w:hAnsi="Garamond" w:cs="Times New Roman"/>
          <w:i/>
          <w:color w:val="000000" w:themeColor="text1"/>
          <w:sz w:val="24"/>
          <w:szCs w:val="24"/>
        </w:rPr>
        <w:t>shared paternity</w:t>
      </w:r>
      <w:r w:rsidR="007114E4" w:rsidRPr="009018DF">
        <w:rPr>
          <w:rFonts w:ascii="Garamond" w:hAnsi="Garamond" w:cs="Times New Roman"/>
          <w:iCs/>
          <w:color w:val="000000" w:themeColor="text1"/>
          <w:sz w:val="24"/>
          <w:szCs w:val="24"/>
        </w:rPr>
        <w:t xml:space="preserve"> (Ipgrave 2003, 316)</w:t>
      </w:r>
      <w:r w:rsidRPr="009018DF">
        <w:rPr>
          <w:rFonts w:ascii="Garamond" w:hAnsi="Garamond" w:cs="Times New Roman"/>
          <w:color w:val="000000" w:themeColor="text1"/>
          <w:sz w:val="24"/>
          <w:szCs w:val="24"/>
        </w:rPr>
        <w:t>. What is critical, however, is not the believer’s affirmation of divine paternity as such, but the Father’s primordial and continuous openness that serves as a model for the dialogical praxis of intercultural acknowledgement. Already biblical evidence presents the Father in the public affirmation of the Son (cf. Matt 3:17, Mk 1:11, Lk 3:22) and expresses the pervading impartiality of the Father as the one who unlocks the possibility of divine accessibility to everyone (cf. Acts 10:34, Rom 2: 10-11, Gal. 2:6). The all-inclusive fatherhood of God, namely cosmological paternity, according to which every creature is acknowledged as belonging to God, inspires a hermeneutic that disposes itself towards multiple cultures and contexts that exist.</w:t>
      </w:r>
    </w:p>
    <w:p w14:paraId="697407C0" w14:textId="1EDFDC25" w:rsidR="00B96D02" w:rsidRPr="009018DF" w:rsidRDefault="00B96D02" w:rsidP="008B26CC">
      <w:pPr>
        <w:spacing w:before="0" w:after="0"/>
        <w:ind w:firstLine="567"/>
        <w:rPr>
          <w:rFonts w:ascii="Garamond" w:hAnsi="Garamond" w:cs="Times New Roman"/>
          <w:color w:val="000000" w:themeColor="text1"/>
          <w:sz w:val="24"/>
          <w:szCs w:val="24"/>
        </w:rPr>
      </w:pPr>
      <w:r w:rsidRPr="009018DF">
        <w:rPr>
          <w:rFonts w:ascii="Garamond" w:hAnsi="Garamond" w:cs="Times New Roman"/>
          <w:color w:val="000000" w:themeColor="text1"/>
          <w:sz w:val="24"/>
          <w:szCs w:val="24"/>
        </w:rPr>
        <w:t xml:space="preserve">Acknowledgment assumes a fundamental meaning as what Terrence Merrigan </w:t>
      </w:r>
      <w:r w:rsidR="00AD3675" w:rsidRPr="009018DF">
        <w:rPr>
          <w:rFonts w:ascii="Garamond" w:hAnsi="Garamond" w:cs="Times New Roman"/>
          <w:color w:val="000000" w:themeColor="text1"/>
          <w:sz w:val="24"/>
          <w:szCs w:val="24"/>
        </w:rPr>
        <w:t xml:space="preserve">(2017, 9) </w:t>
      </w:r>
      <w:r w:rsidRPr="009018DF">
        <w:rPr>
          <w:rFonts w:ascii="Garamond" w:hAnsi="Garamond" w:cs="Times New Roman"/>
          <w:color w:val="000000" w:themeColor="text1"/>
          <w:sz w:val="24"/>
          <w:szCs w:val="24"/>
        </w:rPr>
        <w:t xml:space="preserve">calls </w:t>
      </w:r>
      <w:r w:rsidR="00360312" w:rsidRPr="009018DF">
        <w:rPr>
          <w:rFonts w:ascii="Garamond" w:hAnsi="Garamond" w:cs="Times New Roman"/>
          <w:color w:val="000000" w:themeColor="text1"/>
          <w:sz w:val="24"/>
          <w:szCs w:val="24"/>
        </w:rPr>
        <w:t>“</w:t>
      </w:r>
      <w:r w:rsidRPr="009018DF">
        <w:rPr>
          <w:rFonts w:ascii="Garamond" w:hAnsi="Garamond" w:cs="Times New Roman"/>
          <w:color w:val="000000" w:themeColor="text1"/>
          <w:sz w:val="24"/>
          <w:szCs w:val="24"/>
        </w:rPr>
        <w:t>acknowledgement of otherness.</w:t>
      </w:r>
      <w:r w:rsidR="00360312" w:rsidRPr="009018DF">
        <w:rPr>
          <w:rFonts w:ascii="Garamond" w:hAnsi="Garamond" w:cs="Times New Roman"/>
          <w:color w:val="000000" w:themeColor="text1"/>
          <w:sz w:val="24"/>
          <w:szCs w:val="24"/>
        </w:rPr>
        <w:t>”</w:t>
      </w:r>
      <w:r w:rsidRPr="009018DF">
        <w:rPr>
          <w:rFonts w:ascii="Garamond" w:hAnsi="Garamond" w:cs="Times New Roman"/>
          <w:color w:val="000000" w:themeColor="text1"/>
          <w:sz w:val="24"/>
          <w:szCs w:val="24"/>
        </w:rPr>
        <w:t xml:space="preserve"> The other is not only recognized as a person, but otherness is acknowledged as entangled with one’s identity. Wrogemann develops this same idea of acknowledgment from an intercultural perspective in his trilogy on </w:t>
      </w:r>
      <w:r w:rsidRPr="009018DF">
        <w:rPr>
          <w:rFonts w:ascii="Garamond" w:hAnsi="Garamond" w:cs="Times New Roman"/>
          <w:i/>
          <w:color w:val="000000" w:themeColor="text1"/>
          <w:sz w:val="24"/>
          <w:szCs w:val="24"/>
        </w:rPr>
        <w:t>Intercultural Theology</w:t>
      </w:r>
      <w:r w:rsidRPr="009018DF">
        <w:rPr>
          <w:rFonts w:ascii="Garamond" w:hAnsi="Garamond" w:cs="Times New Roman"/>
          <w:color w:val="000000" w:themeColor="text1"/>
          <w:sz w:val="24"/>
          <w:szCs w:val="24"/>
        </w:rPr>
        <w:t xml:space="preserve">, particularly in the first volume on </w:t>
      </w:r>
      <w:r w:rsidRPr="009018DF">
        <w:rPr>
          <w:rFonts w:ascii="Garamond" w:hAnsi="Garamond" w:cs="Times New Roman"/>
          <w:i/>
          <w:color w:val="000000" w:themeColor="text1"/>
          <w:sz w:val="24"/>
          <w:szCs w:val="24"/>
        </w:rPr>
        <w:t>Intercultural Hermeneutics</w:t>
      </w:r>
      <w:r w:rsidRPr="009018DF">
        <w:rPr>
          <w:rFonts w:ascii="Garamond" w:hAnsi="Garamond" w:cs="Times New Roman"/>
          <w:color w:val="000000" w:themeColor="text1"/>
          <w:sz w:val="24"/>
          <w:szCs w:val="24"/>
        </w:rPr>
        <w:t xml:space="preserve">. Wrogemann’s approach is situated within the context of Western German, Protestant, theological/missiological scholarship, specifically in its awareness of cultural and religious pluralism. </w:t>
      </w:r>
      <w:r w:rsidR="00EF5F10" w:rsidRPr="009018DF">
        <w:rPr>
          <w:rFonts w:ascii="Garamond" w:hAnsi="Garamond" w:cs="Times New Roman"/>
          <w:color w:val="000000" w:themeColor="text1"/>
          <w:sz w:val="24"/>
          <w:szCs w:val="24"/>
        </w:rPr>
        <w:t>For him</w:t>
      </w:r>
      <w:r w:rsidRPr="009018DF">
        <w:rPr>
          <w:rFonts w:ascii="Garamond" w:hAnsi="Garamond" w:cs="Times New Roman"/>
          <w:color w:val="000000" w:themeColor="text1"/>
          <w:sz w:val="24"/>
          <w:szCs w:val="24"/>
        </w:rPr>
        <w:t xml:space="preserve">, the first task of intercultural hermeneutics is “to </w:t>
      </w:r>
      <w:r w:rsidRPr="009018DF">
        <w:rPr>
          <w:rFonts w:ascii="Garamond" w:hAnsi="Garamond" w:cs="Times New Roman"/>
          <w:i/>
          <w:color w:val="000000" w:themeColor="text1"/>
          <w:sz w:val="24"/>
          <w:szCs w:val="24"/>
        </w:rPr>
        <w:t>become aware</w:t>
      </w:r>
      <w:r w:rsidRPr="009018DF">
        <w:rPr>
          <w:rFonts w:ascii="Garamond" w:hAnsi="Garamond" w:cs="Times New Roman"/>
          <w:color w:val="000000" w:themeColor="text1"/>
          <w:sz w:val="24"/>
          <w:szCs w:val="24"/>
        </w:rPr>
        <w:t xml:space="preserve"> of the many differences between local communities”</w:t>
      </w:r>
      <w:r w:rsidR="00AD3675" w:rsidRPr="009018DF">
        <w:rPr>
          <w:rFonts w:ascii="Garamond" w:hAnsi="Garamond" w:cs="Times New Roman"/>
          <w:color w:val="000000" w:themeColor="text1"/>
          <w:sz w:val="24"/>
          <w:szCs w:val="24"/>
        </w:rPr>
        <w:t xml:space="preserve"> (Wrogemann 2016, xvi).</w:t>
      </w:r>
      <w:r w:rsidRPr="009018DF">
        <w:rPr>
          <w:rFonts w:ascii="Garamond" w:hAnsi="Garamond" w:cs="Times New Roman"/>
          <w:color w:val="000000" w:themeColor="text1"/>
          <w:sz w:val="24"/>
          <w:szCs w:val="24"/>
        </w:rPr>
        <w:t xml:space="preserve"> Even in setting up the objective of the second volume of the trilogy, dedicated to the recognition of contextual diversity of global Christian missions, Wrogemann points out that,</w:t>
      </w:r>
      <w:r w:rsidR="00F23EF5" w:rsidRPr="009018DF">
        <w:rPr>
          <w:rFonts w:ascii="Garamond" w:hAnsi="Garamond" w:cs="Times New Roman"/>
          <w:color w:val="000000" w:themeColor="text1"/>
          <w:sz w:val="24"/>
          <w:szCs w:val="24"/>
        </w:rPr>
        <w:t xml:space="preserve"> </w:t>
      </w:r>
      <w:r w:rsidRPr="009018DF">
        <w:rPr>
          <w:rFonts w:ascii="Garamond" w:hAnsi="Garamond" w:cs="Times New Roman"/>
          <w:color w:val="000000" w:themeColor="text1"/>
          <w:sz w:val="24"/>
          <w:szCs w:val="24"/>
        </w:rPr>
        <w:t>“Differences exist not only between various forms of Christian worship, ritual acts, ideas of moral values, and forms of socioethical-political involvement, but also between various configurations of Christian missions, Christian life witness, and Christian proclamation”</w:t>
      </w:r>
      <w:r w:rsidR="00AD3675" w:rsidRPr="009018DF">
        <w:rPr>
          <w:rFonts w:ascii="Garamond" w:hAnsi="Garamond" w:cs="Times New Roman"/>
          <w:color w:val="000000" w:themeColor="text1"/>
          <w:sz w:val="24"/>
          <w:szCs w:val="24"/>
        </w:rPr>
        <w:t xml:space="preserve"> (Ibid.).</w:t>
      </w:r>
      <w:r w:rsidRPr="009018DF">
        <w:rPr>
          <w:rFonts w:ascii="Garamond" w:hAnsi="Garamond" w:cs="Times New Roman"/>
          <w:color w:val="000000" w:themeColor="text1"/>
        </w:rPr>
        <w:t xml:space="preserve"> </w:t>
      </w:r>
      <w:r w:rsidRPr="009018DF">
        <w:rPr>
          <w:rFonts w:ascii="Garamond" w:hAnsi="Garamond" w:cs="Times New Roman"/>
          <w:color w:val="000000" w:themeColor="text1"/>
          <w:sz w:val="24"/>
          <w:szCs w:val="24"/>
        </w:rPr>
        <w:t>Perhaps, it might be more useful to begin the process from a purely descriptive study of the other, something akin to what Hietamäki</w:t>
      </w:r>
      <w:r w:rsidR="00AD3675" w:rsidRPr="009018DF">
        <w:rPr>
          <w:rFonts w:ascii="Garamond" w:hAnsi="Garamond" w:cs="Times New Roman"/>
          <w:color w:val="000000" w:themeColor="text1"/>
          <w:sz w:val="24"/>
          <w:szCs w:val="24"/>
        </w:rPr>
        <w:t xml:space="preserve"> (2015, 206)</w:t>
      </w:r>
      <w:r w:rsidRPr="009018DF">
        <w:rPr>
          <w:rFonts w:ascii="Garamond" w:hAnsi="Garamond" w:cs="Times New Roman"/>
          <w:color w:val="000000" w:themeColor="text1"/>
          <w:sz w:val="24"/>
          <w:szCs w:val="24"/>
        </w:rPr>
        <w:t>, termed a ‘descriptive acceptance’ in which one “merely acknowledges the existence of a phenomenon.”</w:t>
      </w:r>
      <w:r w:rsidRPr="009018DF">
        <w:rPr>
          <w:rStyle w:val="FootnoteReference"/>
          <w:rFonts w:ascii="Garamond" w:hAnsi="Garamond" w:cs="Times New Roman"/>
          <w:color w:val="000000" w:themeColor="text1"/>
          <w:sz w:val="24"/>
          <w:szCs w:val="24"/>
        </w:rPr>
        <w:footnoteReference w:id="6"/>
      </w:r>
      <w:r w:rsidRPr="009018DF">
        <w:rPr>
          <w:rFonts w:ascii="Garamond" w:hAnsi="Garamond" w:cs="Times New Roman"/>
          <w:color w:val="000000" w:themeColor="text1"/>
          <w:sz w:val="24"/>
          <w:szCs w:val="24"/>
        </w:rPr>
        <w:t xml:space="preserve"> For instance, a basic understanding of ‘</w:t>
      </w:r>
      <w:r w:rsidRPr="009018DF">
        <w:rPr>
          <w:rFonts w:ascii="Garamond" w:hAnsi="Garamond" w:cs="Times New Roman"/>
          <w:i/>
          <w:color w:val="000000" w:themeColor="text1"/>
          <w:sz w:val="24"/>
          <w:szCs w:val="24"/>
        </w:rPr>
        <w:t>what they do in their church</w:t>
      </w:r>
      <w:r w:rsidRPr="009018DF">
        <w:rPr>
          <w:rFonts w:ascii="Garamond" w:hAnsi="Garamond" w:cs="Times New Roman"/>
          <w:color w:val="000000" w:themeColor="text1"/>
          <w:sz w:val="24"/>
          <w:szCs w:val="24"/>
        </w:rPr>
        <w:t xml:space="preserve">’ or </w:t>
      </w:r>
      <w:r w:rsidRPr="009018DF">
        <w:rPr>
          <w:rFonts w:ascii="Garamond" w:hAnsi="Garamond" w:cs="Times New Roman"/>
          <w:color w:val="000000" w:themeColor="text1"/>
          <w:sz w:val="24"/>
          <w:szCs w:val="24"/>
        </w:rPr>
        <w:lastRenderedPageBreak/>
        <w:t>‘</w:t>
      </w:r>
      <w:r w:rsidRPr="009018DF">
        <w:rPr>
          <w:rFonts w:ascii="Garamond" w:hAnsi="Garamond" w:cs="Times New Roman"/>
          <w:i/>
          <w:color w:val="000000" w:themeColor="text1"/>
          <w:sz w:val="24"/>
          <w:szCs w:val="24"/>
        </w:rPr>
        <w:t>how they worship</w:t>
      </w:r>
      <w:r w:rsidRPr="009018DF">
        <w:rPr>
          <w:rFonts w:ascii="Garamond" w:hAnsi="Garamond" w:cs="Times New Roman"/>
          <w:color w:val="000000" w:themeColor="text1"/>
          <w:sz w:val="24"/>
          <w:szCs w:val="24"/>
        </w:rPr>
        <w:t xml:space="preserve">’ is a concrete step in the process of acknowledgment. This is prior to any value judgment that is often based on theological reflection. Theology in this case, as a central component of dialogue, can only be done together </w:t>
      </w:r>
      <w:r w:rsidRPr="009018DF">
        <w:rPr>
          <w:rFonts w:ascii="Garamond" w:hAnsi="Garamond" w:cs="Times New Roman"/>
          <w:i/>
          <w:color w:val="000000" w:themeColor="text1"/>
          <w:sz w:val="24"/>
          <w:szCs w:val="24"/>
        </w:rPr>
        <w:t>within</w:t>
      </w:r>
      <w:r w:rsidRPr="009018DF">
        <w:rPr>
          <w:rFonts w:ascii="Garamond" w:hAnsi="Garamond" w:cs="Times New Roman"/>
          <w:color w:val="000000" w:themeColor="text1"/>
          <w:sz w:val="24"/>
          <w:szCs w:val="24"/>
        </w:rPr>
        <w:t xml:space="preserve"> the encounter and not outside of it. Any approach from the outside risks turning theology into a tool for reasserting one’s identity instead of an instrument for critical engagement</w:t>
      </w:r>
      <w:r w:rsidR="002134A6" w:rsidRPr="009018DF">
        <w:rPr>
          <w:rFonts w:ascii="Garamond" w:hAnsi="Garamond" w:cs="Times New Roman"/>
          <w:color w:val="000000" w:themeColor="text1"/>
          <w:sz w:val="24"/>
          <w:szCs w:val="24"/>
        </w:rPr>
        <w:t xml:space="preserve"> and, even for an encounter with with the other</w:t>
      </w:r>
      <w:r w:rsidRPr="009018DF">
        <w:rPr>
          <w:rFonts w:ascii="Garamond" w:hAnsi="Garamond" w:cs="Times New Roman"/>
          <w:color w:val="000000" w:themeColor="text1"/>
          <w:sz w:val="24"/>
          <w:szCs w:val="24"/>
        </w:rPr>
        <w:t>. Theology’s function is to build up ecclesial communion which begins with a recognition that diversity and differences are all part of what it means to be the one church of God.</w:t>
      </w:r>
    </w:p>
    <w:p w14:paraId="235A45A4" w14:textId="13BC6BBA" w:rsidR="00B96D02" w:rsidRPr="009018DF" w:rsidRDefault="00B96D02" w:rsidP="008B26CC">
      <w:pPr>
        <w:spacing w:before="0" w:after="0"/>
        <w:ind w:firstLine="567"/>
        <w:rPr>
          <w:rFonts w:ascii="Garamond" w:hAnsi="Garamond" w:cs="Times New Roman"/>
          <w:color w:val="000000" w:themeColor="text1"/>
          <w:sz w:val="24"/>
          <w:szCs w:val="24"/>
        </w:rPr>
      </w:pPr>
      <w:r w:rsidRPr="009018DF">
        <w:rPr>
          <w:rFonts w:ascii="Garamond" w:hAnsi="Garamond" w:cs="Times New Roman"/>
          <w:color w:val="000000" w:themeColor="text1"/>
          <w:sz w:val="24"/>
          <w:szCs w:val="24"/>
        </w:rPr>
        <w:t xml:space="preserve">To be able to acknowledge the other </w:t>
      </w:r>
      <w:r w:rsidRPr="009018DF">
        <w:rPr>
          <w:rFonts w:ascii="Garamond" w:hAnsi="Garamond" w:cs="Times New Roman"/>
          <w:i/>
          <w:color w:val="000000" w:themeColor="text1"/>
          <w:sz w:val="24"/>
          <w:szCs w:val="24"/>
        </w:rPr>
        <w:t xml:space="preserve">prior to </w:t>
      </w:r>
      <w:r w:rsidRPr="009018DF">
        <w:rPr>
          <w:rFonts w:ascii="Garamond" w:hAnsi="Garamond" w:cs="Times New Roman"/>
          <w:color w:val="000000" w:themeColor="text1"/>
          <w:sz w:val="24"/>
          <w:szCs w:val="24"/>
        </w:rPr>
        <w:t>and</w:t>
      </w:r>
      <w:r w:rsidRPr="009018DF">
        <w:rPr>
          <w:rFonts w:ascii="Garamond" w:hAnsi="Garamond" w:cs="Times New Roman"/>
          <w:i/>
          <w:color w:val="000000" w:themeColor="text1"/>
          <w:sz w:val="24"/>
          <w:szCs w:val="24"/>
        </w:rPr>
        <w:t xml:space="preserve"> within</w:t>
      </w:r>
      <w:r w:rsidRPr="009018DF">
        <w:rPr>
          <w:rFonts w:ascii="Garamond" w:hAnsi="Garamond" w:cs="Times New Roman"/>
          <w:color w:val="000000" w:themeColor="text1"/>
          <w:sz w:val="24"/>
          <w:szCs w:val="24"/>
        </w:rPr>
        <w:t xml:space="preserve"> dialogue, Wrogemann considers semiotics as a very important component of intercultural hermeneutics. Semiotics as the theory of signs, he argues, “is not only concerned with the interpretation of signs” but equally “with how something comes to serve as a sign for human beings (to whom we restrict ourselves here) in the first place”</w:t>
      </w:r>
      <w:r w:rsidR="00AD3675" w:rsidRPr="009018DF">
        <w:rPr>
          <w:rFonts w:ascii="Garamond" w:hAnsi="Garamond" w:cs="Times New Roman"/>
          <w:color w:val="000000" w:themeColor="text1"/>
          <w:sz w:val="24"/>
          <w:szCs w:val="24"/>
        </w:rPr>
        <w:t xml:space="preserve"> (Wrogemann 2016, 32).</w:t>
      </w:r>
      <w:r w:rsidRPr="009018DF">
        <w:rPr>
          <w:rFonts w:ascii="Garamond" w:hAnsi="Garamond" w:cs="Times New Roman"/>
          <w:color w:val="000000" w:themeColor="text1"/>
          <w:sz w:val="24"/>
          <w:szCs w:val="24"/>
        </w:rPr>
        <w:t xml:space="preserve"> However, the possibility of innumerable semiotic codes makes it difficult to achieve the knowledge of all codes, and this includes signs that occur outside the ambience of human agency. For Wrogemann, what is important is that we “</w:t>
      </w:r>
      <w:r w:rsidRPr="009018DF">
        <w:rPr>
          <w:rFonts w:ascii="Garamond" w:hAnsi="Garamond" w:cs="Times New Roman"/>
          <w:i/>
          <w:color w:val="000000" w:themeColor="text1"/>
          <w:sz w:val="24"/>
          <w:szCs w:val="24"/>
        </w:rPr>
        <w:t>begin by admitting even the possible existence</w:t>
      </w:r>
      <w:r w:rsidRPr="009018DF">
        <w:rPr>
          <w:rFonts w:ascii="Garamond" w:hAnsi="Garamond" w:cs="Times New Roman"/>
          <w:color w:val="000000" w:themeColor="text1"/>
          <w:sz w:val="24"/>
          <w:szCs w:val="24"/>
        </w:rPr>
        <w:t>” of these varied codes even when it is impossible to uncover all of them</w:t>
      </w:r>
      <w:r w:rsidR="00AD3675" w:rsidRPr="009018DF">
        <w:rPr>
          <w:rFonts w:ascii="Garamond" w:hAnsi="Garamond" w:cs="Times New Roman"/>
          <w:color w:val="000000" w:themeColor="text1"/>
          <w:sz w:val="24"/>
          <w:szCs w:val="24"/>
        </w:rPr>
        <w:t xml:space="preserve"> (Ibid., 34)</w:t>
      </w:r>
      <w:r w:rsidRPr="009018DF">
        <w:rPr>
          <w:rFonts w:ascii="Garamond" w:hAnsi="Garamond" w:cs="Times New Roman"/>
          <w:color w:val="000000" w:themeColor="text1"/>
          <w:sz w:val="24"/>
          <w:szCs w:val="24"/>
        </w:rPr>
        <w:t>. Hence, ecumenical dialogue ought to maintain an inclusive approach. As the ‘starting point’ of the dialogical process, semiotics does not lie outside of the dialogue but constitutes an essential part of the process. This fundamental acknowledgment, with its semiotic connotation, opens up the possibility of further engagement as well as understanding of the other.</w:t>
      </w:r>
    </w:p>
    <w:p w14:paraId="592E65D7" w14:textId="07ED5575" w:rsidR="00B96D02" w:rsidRPr="009018DF" w:rsidRDefault="00B96D02" w:rsidP="008B26CC">
      <w:pPr>
        <w:spacing w:before="0" w:after="0"/>
        <w:ind w:firstLine="567"/>
        <w:rPr>
          <w:rFonts w:ascii="Garamond" w:hAnsi="Garamond" w:cs="Times New Roman"/>
          <w:color w:val="000000" w:themeColor="text1"/>
          <w:sz w:val="24"/>
          <w:szCs w:val="24"/>
        </w:rPr>
      </w:pPr>
      <w:r w:rsidRPr="009018DF">
        <w:rPr>
          <w:rFonts w:ascii="Garamond" w:hAnsi="Garamond" w:cs="Times New Roman"/>
          <w:color w:val="000000" w:themeColor="text1"/>
          <w:sz w:val="24"/>
          <w:szCs w:val="24"/>
        </w:rPr>
        <w:t xml:space="preserve">However, there arises another difficulty, namely the task of showing that the praxis of acknowledgement does not end at the disposition </w:t>
      </w:r>
      <w:r w:rsidRPr="009018DF">
        <w:rPr>
          <w:rFonts w:ascii="Garamond" w:hAnsi="Garamond" w:cs="Times New Roman"/>
          <w:i/>
          <w:color w:val="000000" w:themeColor="text1"/>
          <w:sz w:val="24"/>
          <w:szCs w:val="24"/>
        </w:rPr>
        <w:t>prior to</w:t>
      </w:r>
      <w:r w:rsidRPr="009018DF">
        <w:rPr>
          <w:rFonts w:ascii="Garamond" w:hAnsi="Garamond" w:cs="Times New Roman"/>
          <w:color w:val="000000" w:themeColor="text1"/>
          <w:sz w:val="24"/>
          <w:szCs w:val="24"/>
        </w:rPr>
        <w:t xml:space="preserve"> the dialogue but also maintains continuity </w:t>
      </w:r>
      <w:r w:rsidRPr="009018DF">
        <w:rPr>
          <w:rFonts w:ascii="Garamond" w:hAnsi="Garamond" w:cs="Times New Roman"/>
          <w:i/>
          <w:color w:val="000000" w:themeColor="text1"/>
          <w:sz w:val="24"/>
          <w:szCs w:val="24"/>
        </w:rPr>
        <w:t>within</w:t>
      </w:r>
      <w:r w:rsidRPr="009018DF">
        <w:rPr>
          <w:rFonts w:ascii="Garamond" w:hAnsi="Garamond" w:cs="Times New Roman"/>
          <w:color w:val="000000" w:themeColor="text1"/>
          <w:sz w:val="24"/>
          <w:szCs w:val="24"/>
        </w:rPr>
        <w:t xml:space="preserve"> dialogue</w:t>
      </w:r>
      <w:r w:rsidR="00AD3675" w:rsidRPr="009018DF">
        <w:rPr>
          <w:rFonts w:ascii="Garamond" w:hAnsi="Garamond" w:cs="Times New Roman"/>
          <w:color w:val="000000" w:themeColor="text1"/>
          <w:sz w:val="24"/>
          <w:szCs w:val="24"/>
        </w:rPr>
        <w:t xml:space="preserve"> (</w:t>
      </w:r>
      <w:r w:rsidR="00AD3675" w:rsidRPr="009018DF">
        <w:rPr>
          <w:rFonts w:ascii="Garamond" w:hAnsi="Garamond" w:cs="Times New Roman"/>
          <w:color w:val="000000" w:themeColor="text1"/>
          <w:sz w:val="24"/>
          <w:szCs w:val="24"/>
        </w:rPr>
        <w:t>Hietamäki</w:t>
      </w:r>
      <w:r w:rsidR="00AD3675" w:rsidRPr="009018DF">
        <w:rPr>
          <w:rFonts w:ascii="Garamond" w:hAnsi="Garamond" w:cs="Times New Roman"/>
          <w:color w:val="000000" w:themeColor="text1"/>
          <w:sz w:val="24"/>
          <w:szCs w:val="24"/>
        </w:rPr>
        <w:t xml:space="preserve"> 2015, 207)</w:t>
      </w:r>
      <w:r w:rsidRPr="009018DF">
        <w:rPr>
          <w:rFonts w:ascii="Garamond" w:hAnsi="Garamond" w:cs="Times New Roman"/>
          <w:color w:val="000000" w:themeColor="text1"/>
          <w:sz w:val="24"/>
          <w:szCs w:val="24"/>
        </w:rPr>
        <w:t xml:space="preserve">. In other words, how does intercultural acknowledgment function in a situation where churches or religious communities agree to engage in dialogue? What is implied in the practice of acknowledgement as a transformative method in dialogue? </w:t>
      </w:r>
    </w:p>
    <w:p w14:paraId="6343892E" w14:textId="1AF0503F" w:rsidR="00B96D02" w:rsidRPr="009018DF" w:rsidRDefault="00B96D02" w:rsidP="008B26CC">
      <w:pPr>
        <w:spacing w:before="0" w:after="0"/>
        <w:ind w:firstLine="567"/>
        <w:rPr>
          <w:rFonts w:ascii="Garamond" w:hAnsi="Garamond" w:cs="Times New Roman"/>
          <w:color w:val="000000" w:themeColor="text1"/>
          <w:sz w:val="24"/>
          <w:szCs w:val="24"/>
        </w:rPr>
      </w:pPr>
      <w:r w:rsidRPr="009018DF">
        <w:rPr>
          <w:rFonts w:ascii="Garamond" w:hAnsi="Garamond" w:cs="Times New Roman"/>
          <w:color w:val="000000" w:themeColor="text1"/>
          <w:sz w:val="24"/>
          <w:szCs w:val="24"/>
        </w:rPr>
        <w:t xml:space="preserve">The first premise in responding to these questions is to assert that since intercultural acknowledgement is derived from the Father’s openness, it must be marked by sincerity and honesty as against pretentiousness. Openness to dialogue, relationship and engagement with the other ought not be masked by any false appraisal or deceit. Also, it must admit of a shared heritage as fundamental to mutually transforming encounters. This is broadly defined by the cosmological paternity of God in which everyone participates. One finds these two elements at the 1981 </w:t>
      </w:r>
      <w:r w:rsidRPr="009018DF">
        <w:rPr>
          <w:rFonts w:ascii="Garamond" w:hAnsi="Garamond" w:cs="Times New Roman"/>
          <w:i/>
          <w:color w:val="000000" w:themeColor="text1"/>
          <w:sz w:val="24"/>
          <w:szCs w:val="24"/>
        </w:rPr>
        <w:t>Final Report</w:t>
      </w:r>
      <w:r w:rsidRPr="009018DF">
        <w:rPr>
          <w:rFonts w:ascii="Garamond" w:hAnsi="Garamond" w:cs="Times New Roman"/>
          <w:color w:val="000000" w:themeColor="text1"/>
          <w:sz w:val="24"/>
          <w:szCs w:val="24"/>
        </w:rPr>
        <w:t xml:space="preserve"> of </w:t>
      </w:r>
      <w:r w:rsidR="00F23EF5" w:rsidRPr="009018DF">
        <w:rPr>
          <w:rFonts w:ascii="Garamond" w:hAnsi="Garamond" w:cs="Times New Roman"/>
          <w:color w:val="000000" w:themeColor="text1"/>
          <w:sz w:val="24"/>
          <w:szCs w:val="24"/>
        </w:rPr>
        <w:t>Anglican Roman Catholic International Commission (</w:t>
      </w:r>
      <w:r w:rsidRPr="009018DF">
        <w:rPr>
          <w:rFonts w:ascii="Garamond" w:hAnsi="Garamond" w:cs="Times New Roman"/>
          <w:color w:val="000000" w:themeColor="text1"/>
          <w:sz w:val="24"/>
          <w:szCs w:val="24"/>
        </w:rPr>
        <w:t>ARCIC</w:t>
      </w:r>
      <w:r w:rsidR="00F23EF5" w:rsidRPr="009018DF">
        <w:rPr>
          <w:rFonts w:ascii="Garamond" w:hAnsi="Garamond" w:cs="Times New Roman"/>
          <w:color w:val="000000" w:themeColor="text1"/>
          <w:sz w:val="24"/>
          <w:szCs w:val="24"/>
        </w:rPr>
        <w:t xml:space="preserve"> I)</w:t>
      </w:r>
      <w:r w:rsidRPr="009018DF">
        <w:rPr>
          <w:rFonts w:ascii="Garamond" w:hAnsi="Garamond" w:cs="Times New Roman"/>
          <w:color w:val="000000" w:themeColor="text1"/>
          <w:sz w:val="24"/>
          <w:szCs w:val="24"/>
        </w:rPr>
        <w:t>.</w:t>
      </w:r>
      <w:r w:rsidR="00543E4B" w:rsidRPr="009018DF">
        <w:rPr>
          <w:rFonts w:ascii="Garamond" w:hAnsi="Garamond" w:cs="Times New Roman"/>
          <w:color w:val="000000" w:themeColor="text1"/>
          <w:sz w:val="24"/>
          <w:szCs w:val="24"/>
        </w:rPr>
        <w:t xml:space="preserve"> </w:t>
      </w:r>
      <w:r w:rsidRPr="009018DF">
        <w:rPr>
          <w:rFonts w:ascii="Garamond" w:hAnsi="Garamond" w:cs="Times New Roman"/>
          <w:color w:val="000000" w:themeColor="text1"/>
          <w:sz w:val="24"/>
          <w:szCs w:val="24"/>
        </w:rPr>
        <w:t xml:space="preserve">The bitter division and the negative consequences that have trailed the Anglican-Roman Catholic relationship over the years are not to be glossed over but to be humbly admitted as part of the differences and tensions in the search for unity. Meanwhile, an existing bond whether in terms of Christian identity by baptism or Christian mission, cannot be denied likewise. These two contrasting elements of identity and difference, unity and separation, necessitate dialogue. In fact, without differences and separation there would be no need for dialogue. And if there is any space to recognize, affirm or acknowledge some bond, sameness or unity, then the possibility of deepening such unity or realizing it in fullness, becomes another motive for dialogue. Nevertheless, a third element emerges in the form of </w:t>
      </w:r>
      <w:r w:rsidRPr="009018DF">
        <w:rPr>
          <w:rFonts w:ascii="Garamond" w:hAnsi="Garamond" w:cs="Times New Roman"/>
          <w:i/>
          <w:color w:val="000000" w:themeColor="text1"/>
          <w:sz w:val="24"/>
          <w:szCs w:val="24"/>
        </w:rPr>
        <w:t>hope</w:t>
      </w:r>
      <w:r w:rsidRPr="009018DF">
        <w:rPr>
          <w:rFonts w:ascii="Garamond" w:hAnsi="Garamond" w:cs="Times New Roman"/>
          <w:color w:val="000000" w:themeColor="text1"/>
          <w:sz w:val="24"/>
          <w:szCs w:val="24"/>
        </w:rPr>
        <w:t>. Hope inspires the journey of encounter and transformation</w:t>
      </w:r>
      <w:r w:rsidR="00ED5237" w:rsidRPr="009018DF">
        <w:rPr>
          <w:rFonts w:ascii="Garamond" w:hAnsi="Garamond" w:cs="Times New Roman"/>
          <w:color w:val="000000" w:themeColor="text1"/>
          <w:sz w:val="24"/>
          <w:szCs w:val="24"/>
        </w:rPr>
        <w:t>, while</w:t>
      </w:r>
      <w:r w:rsidRPr="009018DF">
        <w:rPr>
          <w:rFonts w:ascii="Garamond" w:hAnsi="Garamond" w:cs="Times New Roman"/>
          <w:color w:val="000000" w:themeColor="text1"/>
          <w:sz w:val="24"/>
          <w:szCs w:val="24"/>
        </w:rPr>
        <w:t xml:space="preserve"> ensur</w:t>
      </w:r>
      <w:r w:rsidR="00ED5237" w:rsidRPr="009018DF">
        <w:rPr>
          <w:rFonts w:ascii="Garamond" w:hAnsi="Garamond" w:cs="Times New Roman"/>
          <w:color w:val="000000" w:themeColor="text1"/>
          <w:sz w:val="24"/>
          <w:szCs w:val="24"/>
        </w:rPr>
        <w:t>ing</w:t>
      </w:r>
      <w:r w:rsidRPr="009018DF">
        <w:rPr>
          <w:rFonts w:ascii="Garamond" w:hAnsi="Garamond" w:cs="Times New Roman"/>
          <w:color w:val="000000" w:themeColor="text1"/>
          <w:sz w:val="24"/>
          <w:szCs w:val="24"/>
        </w:rPr>
        <w:t xml:space="preserve"> the continuity of openness. </w:t>
      </w:r>
    </w:p>
    <w:p w14:paraId="104340F4" w14:textId="57218B8E" w:rsidR="008B26CC" w:rsidRPr="009018DF" w:rsidRDefault="008B26CC" w:rsidP="008B26CC">
      <w:pPr>
        <w:spacing w:before="0" w:after="0"/>
        <w:ind w:firstLine="567"/>
        <w:rPr>
          <w:rFonts w:ascii="Garamond" w:hAnsi="Garamond" w:cs="Times New Roman"/>
          <w:color w:val="000000" w:themeColor="text1"/>
          <w:sz w:val="24"/>
          <w:szCs w:val="24"/>
        </w:rPr>
      </w:pPr>
    </w:p>
    <w:p w14:paraId="3CF3AF90" w14:textId="77777777" w:rsidR="008B26CC" w:rsidRPr="009018DF" w:rsidRDefault="008B26CC" w:rsidP="008B26CC">
      <w:pPr>
        <w:spacing w:before="0" w:after="0"/>
        <w:ind w:firstLine="567"/>
        <w:rPr>
          <w:rFonts w:ascii="Garamond" w:hAnsi="Garamond" w:cs="Times New Roman"/>
          <w:color w:val="000000" w:themeColor="text1"/>
          <w:sz w:val="24"/>
          <w:szCs w:val="24"/>
        </w:rPr>
      </w:pPr>
    </w:p>
    <w:p w14:paraId="30F2A006" w14:textId="03293674" w:rsidR="00B96D02" w:rsidRPr="009018DF" w:rsidRDefault="008B26CC" w:rsidP="008B26CC">
      <w:pPr>
        <w:pStyle w:val="Heading3"/>
        <w:spacing w:before="0" w:after="0"/>
        <w:rPr>
          <w:rFonts w:ascii="Garamond" w:hAnsi="Garamond"/>
          <w:sz w:val="24"/>
          <w:szCs w:val="24"/>
        </w:rPr>
      </w:pPr>
      <w:bookmarkStart w:id="4" w:name="_Toc31190724"/>
      <w:r w:rsidRPr="009018DF">
        <w:rPr>
          <w:rFonts w:ascii="Garamond" w:hAnsi="Garamond"/>
          <w:sz w:val="24"/>
          <w:szCs w:val="24"/>
        </w:rPr>
        <w:t xml:space="preserve">b) </w:t>
      </w:r>
      <w:r w:rsidR="001956E2" w:rsidRPr="009018DF">
        <w:rPr>
          <w:rFonts w:ascii="Garamond" w:hAnsi="Garamond"/>
          <w:sz w:val="24"/>
          <w:szCs w:val="24"/>
        </w:rPr>
        <w:t>Constructing</w:t>
      </w:r>
      <w:r w:rsidR="00B96D02" w:rsidRPr="009018DF">
        <w:rPr>
          <w:rFonts w:ascii="Garamond" w:hAnsi="Garamond"/>
          <w:sz w:val="24"/>
          <w:szCs w:val="24"/>
        </w:rPr>
        <w:t xml:space="preserve"> the</w:t>
      </w:r>
      <w:r w:rsidR="001956E2" w:rsidRPr="009018DF">
        <w:rPr>
          <w:rFonts w:ascii="Garamond" w:hAnsi="Garamond"/>
          <w:sz w:val="24"/>
          <w:szCs w:val="24"/>
        </w:rPr>
        <w:t xml:space="preserve"> Dialogical</w:t>
      </w:r>
      <w:r w:rsidR="00B96D02" w:rsidRPr="009018DF">
        <w:rPr>
          <w:rFonts w:ascii="Garamond" w:hAnsi="Garamond"/>
          <w:sz w:val="24"/>
          <w:szCs w:val="24"/>
        </w:rPr>
        <w:t xml:space="preserve"> Praxis of Friendship</w:t>
      </w:r>
      <w:bookmarkEnd w:id="4"/>
    </w:p>
    <w:p w14:paraId="63BE1DC3" w14:textId="77777777" w:rsidR="00E6285F" w:rsidRPr="009018DF" w:rsidRDefault="00E6285F" w:rsidP="008B26CC">
      <w:pPr>
        <w:spacing w:before="0" w:after="0"/>
        <w:rPr>
          <w:color w:val="000000" w:themeColor="text1"/>
          <w:lang w:val="en-US"/>
        </w:rPr>
      </w:pPr>
    </w:p>
    <w:p w14:paraId="66F1D8C0" w14:textId="7D87F48F" w:rsidR="00B96D02" w:rsidRPr="009018DF" w:rsidRDefault="00B96D02" w:rsidP="008B26CC">
      <w:pPr>
        <w:spacing w:before="0" w:after="0"/>
        <w:rPr>
          <w:rFonts w:ascii="Garamond" w:hAnsi="Garamond" w:cs="Times New Roman"/>
          <w:color w:val="000000" w:themeColor="text1"/>
          <w:sz w:val="24"/>
          <w:szCs w:val="24"/>
        </w:rPr>
      </w:pPr>
      <w:r w:rsidRPr="009018DF">
        <w:rPr>
          <w:rFonts w:ascii="Garamond" w:hAnsi="Garamond" w:cs="Times New Roman"/>
          <w:color w:val="000000" w:themeColor="text1"/>
          <w:sz w:val="24"/>
          <w:szCs w:val="24"/>
        </w:rPr>
        <w:t>W</w:t>
      </w:r>
      <w:r w:rsidR="008B0758" w:rsidRPr="009018DF">
        <w:rPr>
          <w:rFonts w:ascii="Garamond" w:hAnsi="Garamond" w:cs="Times New Roman"/>
          <w:color w:val="000000" w:themeColor="text1"/>
          <w:sz w:val="24"/>
          <w:szCs w:val="24"/>
        </w:rPr>
        <w:t>ithin the context of interculturality, w</w:t>
      </w:r>
      <w:r w:rsidRPr="009018DF">
        <w:rPr>
          <w:rFonts w:ascii="Garamond" w:hAnsi="Garamond" w:cs="Times New Roman"/>
          <w:color w:val="000000" w:themeColor="text1"/>
          <w:sz w:val="24"/>
          <w:szCs w:val="24"/>
        </w:rPr>
        <w:t>hat is friendship all about? Friendship has been subjected to substantial theorization in the history of thought, from Plato, Aristotle, Aquinas, Augustine to contemporary scholarship in philosophy, theology and communication. Fundamentally, friendship is a certain form of</w:t>
      </w:r>
      <w:r w:rsidR="003504B5" w:rsidRPr="009018DF">
        <w:rPr>
          <w:rFonts w:ascii="Garamond" w:hAnsi="Garamond" w:cs="Times New Roman"/>
          <w:color w:val="000000" w:themeColor="text1"/>
          <w:sz w:val="24"/>
          <w:szCs w:val="24"/>
        </w:rPr>
        <w:t xml:space="preserve"> negotiated</w:t>
      </w:r>
      <w:r w:rsidRPr="009018DF">
        <w:rPr>
          <w:rFonts w:ascii="Garamond" w:hAnsi="Garamond" w:cs="Times New Roman"/>
          <w:color w:val="000000" w:themeColor="text1"/>
          <w:sz w:val="24"/>
          <w:szCs w:val="24"/>
        </w:rPr>
        <w:t xml:space="preserve"> relationship that differs from biological bonds such as family or race. Intercultural friendship emerges as a negotiated bond that exists between individuals or communities who share diverse cultural or meaning systems. As such, intercultural friendship manifests in different categories such as international, interethnic, interracial, interreligious or ecumenical. </w:t>
      </w:r>
    </w:p>
    <w:p w14:paraId="67151E08" w14:textId="77777777" w:rsidR="00B96D02" w:rsidRPr="009018DF" w:rsidRDefault="00B96D02" w:rsidP="008B26CC">
      <w:pPr>
        <w:spacing w:before="0" w:after="0"/>
        <w:ind w:firstLine="567"/>
        <w:rPr>
          <w:rFonts w:ascii="Garamond" w:hAnsi="Garamond" w:cs="Times New Roman"/>
          <w:color w:val="000000" w:themeColor="text1"/>
          <w:sz w:val="24"/>
          <w:szCs w:val="24"/>
        </w:rPr>
      </w:pPr>
      <w:r w:rsidRPr="009018DF">
        <w:rPr>
          <w:rFonts w:ascii="Garamond" w:hAnsi="Garamond" w:cs="Times New Roman"/>
          <w:color w:val="000000" w:themeColor="text1"/>
          <w:sz w:val="24"/>
          <w:szCs w:val="24"/>
        </w:rPr>
        <w:t>At a theological level, there is need to address the connection between intercultural hermeneutics of friendship and the dialogical orientation of rationality that is derived from the Son. How do we logically move from rationality to the dialogical praxis of friendship? From a simplistic perspective, the link between the two is first established by the very fact that the act of friendship is underlined by a certain form of rationality; a ‘knowing’. Friendship involves a knowledge of the other that goes beyond a superficial acquaintance to a deeper understanding or relationship between persons.</w:t>
      </w:r>
    </w:p>
    <w:p w14:paraId="302E0268" w14:textId="4975A42D" w:rsidR="00B96D02" w:rsidRPr="009018DF" w:rsidRDefault="00B96D02" w:rsidP="008B26CC">
      <w:pPr>
        <w:spacing w:before="0" w:after="0"/>
        <w:ind w:firstLine="567"/>
        <w:rPr>
          <w:rFonts w:ascii="Garamond" w:hAnsi="Garamond" w:cs="Times New Roman"/>
          <w:color w:val="000000" w:themeColor="text1"/>
          <w:sz w:val="24"/>
          <w:szCs w:val="24"/>
        </w:rPr>
      </w:pPr>
      <w:r w:rsidRPr="009018DF">
        <w:rPr>
          <w:rFonts w:ascii="Garamond" w:hAnsi="Garamond" w:cs="Times New Roman"/>
          <w:color w:val="000000" w:themeColor="text1"/>
          <w:sz w:val="24"/>
          <w:szCs w:val="24"/>
        </w:rPr>
        <w:t xml:space="preserve">However, rationality with respect to the Son, is linked to his identity as </w:t>
      </w:r>
      <w:r w:rsidRPr="009018DF">
        <w:rPr>
          <w:rFonts w:ascii="Garamond" w:hAnsi="Garamond" w:cs="Times New Roman"/>
          <w:i/>
          <w:color w:val="000000" w:themeColor="text1"/>
          <w:sz w:val="24"/>
          <w:szCs w:val="24"/>
        </w:rPr>
        <w:t>Logos</w:t>
      </w:r>
      <w:r w:rsidRPr="009018DF">
        <w:rPr>
          <w:rFonts w:ascii="Garamond" w:hAnsi="Garamond" w:cs="Times New Roman"/>
          <w:color w:val="000000" w:themeColor="text1"/>
          <w:sz w:val="24"/>
          <w:szCs w:val="24"/>
        </w:rPr>
        <w:t xml:space="preserve">. The responsibility of the </w:t>
      </w:r>
      <w:r w:rsidRPr="009018DF">
        <w:rPr>
          <w:rFonts w:ascii="Garamond" w:hAnsi="Garamond" w:cs="Times New Roman"/>
          <w:i/>
          <w:color w:val="000000" w:themeColor="text1"/>
          <w:sz w:val="24"/>
          <w:szCs w:val="24"/>
        </w:rPr>
        <w:t>Logos</w:t>
      </w:r>
      <w:r w:rsidRPr="009018DF">
        <w:rPr>
          <w:rFonts w:ascii="Garamond" w:hAnsi="Garamond" w:cs="Times New Roman"/>
          <w:color w:val="000000" w:themeColor="text1"/>
          <w:sz w:val="24"/>
          <w:szCs w:val="24"/>
        </w:rPr>
        <w:t xml:space="preserve"> at creation designates the </w:t>
      </w:r>
      <w:r w:rsidRPr="009018DF">
        <w:rPr>
          <w:rFonts w:ascii="Garamond" w:hAnsi="Garamond" w:cs="Times New Roman"/>
          <w:i/>
          <w:color w:val="000000" w:themeColor="text1"/>
          <w:sz w:val="24"/>
          <w:szCs w:val="24"/>
        </w:rPr>
        <w:t>Logos</w:t>
      </w:r>
      <w:r w:rsidRPr="009018DF">
        <w:rPr>
          <w:rFonts w:ascii="Garamond" w:hAnsi="Garamond" w:cs="Times New Roman"/>
          <w:color w:val="000000" w:themeColor="text1"/>
          <w:sz w:val="24"/>
          <w:szCs w:val="24"/>
        </w:rPr>
        <w:t xml:space="preserve"> as the principle of intelligibility of the multiplicity in creation. At creation, </w:t>
      </w:r>
      <w:r w:rsidRPr="009018DF">
        <w:rPr>
          <w:rFonts w:ascii="Garamond" w:hAnsi="Garamond" w:cs="Times New Roman"/>
          <w:i/>
          <w:color w:val="000000" w:themeColor="text1"/>
          <w:sz w:val="24"/>
          <w:szCs w:val="24"/>
        </w:rPr>
        <w:t>Logos</w:t>
      </w:r>
      <w:r w:rsidRPr="009018DF">
        <w:rPr>
          <w:rFonts w:ascii="Garamond" w:hAnsi="Garamond" w:cs="Times New Roman"/>
          <w:color w:val="000000" w:themeColor="text1"/>
          <w:sz w:val="24"/>
          <w:szCs w:val="24"/>
        </w:rPr>
        <w:t xml:space="preserve"> accounts for the resolution of the protological chaos (Gen. 1:1). Through the </w:t>
      </w:r>
      <w:r w:rsidRPr="009018DF">
        <w:rPr>
          <w:rFonts w:ascii="Garamond" w:hAnsi="Garamond" w:cs="Times New Roman"/>
          <w:i/>
          <w:color w:val="000000" w:themeColor="text1"/>
          <w:sz w:val="24"/>
          <w:szCs w:val="24"/>
        </w:rPr>
        <w:t>Logos</w:t>
      </w:r>
      <w:r w:rsidRPr="009018DF">
        <w:rPr>
          <w:rFonts w:ascii="Garamond" w:hAnsi="Garamond" w:cs="Times New Roman"/>
          <w:color w:val="000000" w:themeColor="text1"/>
          <w:sz w:val="24"/>
          <w:szCs w:val="24"/>
        </w:rPr>
        <w:t xml:space="preserve">, light was </w:t>
      </w:r>
      <w:r w:rsidRPr="009018DF">
        <w:rPr>
          <w:rFonts w:ascii="Garamond" w:hAnsi="Garamond" w:cs="Times New Roman"/>
          <w:i/>
          <w:color w:val="000000" w:themeColor="text1"/>
          <w:sz w:val="24"/>
          <w:szCs w:val="24"/>
        </w:rPr>
        <w:t>separated</w:t>
      </w:r>
      <w:r w:rsidRPr="009018DF">
        <w:rPr>
          <w:rFonts w:ascii="Garamond" w:hAnsi="Garamond" w:cs="Times New Roman"/>
          <w:color w:val="000000" w:themeColor="text1"/>
          <w:sz w:val="24"/>
          <w:szCs w:val="24"/>
        </w:rPr>
        <w:t xml:space="preserve"> from darkness, heaven from earth, seas from dry land. In fact, the creation story is a narrative about the emergence of varieties, plurality and multiplicity in creation. Even the creation of human beings (as </w:t>
      </w:r>
      <w:r w:rsidRPr="009018DF">
        <w:rPr>
          <w:rFonts w:ascii="Garamond" w:hAnsi="Garamond" w:cs="Times New Roman"/>
          <w:i/>
          <w:color w:val="000000" w:themeColor="text1"/>
          <w:sz w:val="24"/>
          <w:szCs w:val="24"/>
        </w:rPr>
        <w:t>imago Dei</w:t>
      </w:r>
      <w:r w:rsidRPr="009018DF">
        <w:rPr>
          <w:rFonts w:ascii="Garamond" w:hAnsi="Garamond" w:cs="Times New Roman"/>
          <w:color w:val="000000" w:themeColor="text1"/>
          <w:sz w:val="24"/>
          <w:szCs w:val="24"/>
        </w:rPr>
        <w:t>) remains a divine multiple ‘expression’ of Godself. Under this understanding of friendship, the relationship between the subject, object, and recipient is opened up by a rationality that is freely offered and shared. This is affirmed in the truth that God offers Godself to creation, both at the beginning, at the Incarnation, and always in the Eucharist.</w:t>
      </w:r>
    </w:p>
    <w:p w14:paraId="6572ABDB" w14:textId="02072123" w:rsidR="00B96D02" w:rsidRPr="009018DF" w:rsidRDefault="00B96D02" w:rsidP="008B26CC">
      <w:pPr>
        <w:spacing w:before="0" w:after="0"/>
        <w:ind w:firstLine="567"/>
        <w:rPr>
          <w:rFonts w:ascii="Garamond" w:hAnsi="Garamond" w:cs="Times New Roman"/>
          <w:color w:val="000000" w:themeColor="text1"/>
          <w:sz w:val="24"/>
          <w:szCs w:val="24"/>
        </w:rPr>
      </w:pPr>
      <w:r w:rsidRPr="009018DF">
        <w:rPr>
          <w:rFonts w:ascii="Garamond" w:hAnsi="Garamond" w:cs="Times New Roman"/>
          <w:color w:val="000000" w:themeColor="text1"/>
          <w:sz w:val="24"/>
          <w:szCs w:val="24"/>
        </w:rPr>
        <w:t xml:space="preserve">From the background of the Trinity, Ilo </w:t>
      </w:r>
      <w:r w:rsidR="00AD3675" w:rsidRPr="009018DF">
        <w:rPr>
          <w:rFonts w:ascii="Garamond" w:hAnsi="Garamond" w:cs="Times New Roman"/>
          <w:color w:val="000000" w:themeColor="text1"/>
          <w:sz w:val="24"/>
          <w:szCs w:val="24"/>
        </w:rPr>
        <w:t xml:space="preserve">(2016, 192) </w:t>
      </w:r>
      <w:r w:rsidRPr="009018DF">
        <w:rPr>
          <w:rFonts w:ascii="Garamond" w:hAnsi="Garamond" w:cs="Times New Roman"/>
          <w:color w:val="000000" w:themeColor="text1"/>
          <w:sz w:val="24"/>
          <w:szCs w:val="24"/>
        </w:rPr>
        <w:t>describes intercultural friendship as revealing “the possibility and openness of all humanity and the entire cosmos to live abundantly and to participate fully in relationship with God, humanity, and the world of nature.” Ilo’s analysis is based on the attempt to explore intercultural friendship as a ‘theological praxis’ that could address the concerns of African Christianity, particularly as it engages in the different forms of dialogue. In fact, Ilo defines the African Christianity as a bond that is offered by the Trinity.</w:t>
      </w:r>
      <w:r w:rsidR="008B0758" w:rsidRPr="009018DF">
        <w:rPr>
          <w:rFonts w:ascii="Garamond" w:hAnsi="Garamond" w:cs="Times New Roman"/>
          <w:color w:val="000000" w:themeColor="text1"/>
          <w:sz w:val="24"/>
          <w:szCs w:val="24"/>
        </w:rPr>
        <w:t xml:space="preserve"> </w:t>
      </w:r>
      <w:r w:rsidRPr="009018DF">
        <w:rPr>
          <w:rFonts w:ascii="Garamond" w:hAnsi="Garamond" w:cs="Times New Roman"/>
          <w:color w:val="000000" w:themeColor="text1"/>
          <w:sz w:val="24"/>
          <w:szCs w:val="24"/>
        </w:rPr>
        <w:t>Fundamentally, there is a coincidence between the African understanding of existence as relationship and Christian identity as derived from the Trinity. In both, relationality remains paramount. Friendship becomes thus not just a practical expression of rationality but of relationality or relationship. Meanwhile, given the fact that the concerns of African Christianity rest mainly on the seemingly intractable conflicts that emanate from poor handling of multiplicity and differences, Ilo’s intercultural friendship has a lot of implications, not only for African Christianity, but also for the general praxis of ecumenical and interreligious dialogues.</w:t>
      </w:r>
    </w:p>
    <w:p w14:paraId="7795D79F" w14:textId="02207488" w:rsidR="00B96D02" w:rsidRPr="009018DF" w:rsidRDefault="00B96D02" w:rsidP="008B26CC">
      <w:pPr>
        <w:spacing w:before="0" w:after="0"/>
        <w:ind w:firstLine="567"/>
        <w:rPr>
          <w:rFonts w:ascii="Garamond" w:hAnsi="Garamond" w:cs="Times New Roman"/>
          <w:color w:val="000000" w:themeColor="text1"/>
          <w:sz w:val="24"/>
          <w:szCs w:val="24"/>
        </w:rPr>
      </w:pPr>
      <w:r w:rsidRPr="009018DF">
        <w:rPr>
          <w:rFonts w:ascii="Garamond" w:hAnsi="Garamond" w:cs="Times New Roman"/>
          <w:color w:val="000000" w:themeColor="text1"/>
          <w:sz w:val="24"/>
          <w:szCs w:val="24"/>
        </w:rPr>
        <w:t xml:space="preserve">Another matter of concern is the question of the value of intercultural friendship. </w:t>
      </w:r>
      <w:r w:rsidR="008B0758" w:rsidRPr="009018DF">
        <w:rPr>
          <w:rFonts w:ascii="Garamond" w:hAnsi="Garamond" w:cs="Times New Roman"/>
          <w:color w:val="000000" w:themeColor="text1"/>
          <w:sz w:val="24"/>
          <w:szCs w:val="24"/>
        </w:rPr>
        <w:t>I</w:t>
      </w:r>
      <w:r w:rsidRPr="009018DF">
        <w:rPr>
          <w:rFonts w:ascii="Garamond" w:hAnsi="Garamond" w:cs="Times New Roman"/>
          <w:color w:val="000000" w:themeColor="text1"/>
          <w:sz w:val="24"/>
          <w:szCs w:val="24"/>
        </w:rPr>
        <w:t xml:space="preserve">ntercultural friendship draws its potency from Christ, the Son, who is the fullest expression of God’s love and friendship with humanity (Jn. 3:16). This friendship is not only expressed in his vicarious death, but also marked by the transfer from servitude to friendship of those who follow </w:t>
      </w:r>
      <w:r w:rsidRPr="009018DF">
        <w:rPr>
          <w:rFonts w:ascii="Garamond" w:hAnsi="Garamond" w:cs="Times New Roman"/>
          <w:color w:val="000000" w:themeColor="text1"/>
          <w:sz w:val="24"/>
          <w:szCs w:val="24"/>
        </w:rPr>
        <w:lastRenderedPageBreak/>
        <w:t>him (</w:t>
      </w:r>
      <w:r w:rsidR="008B0758" w:rsidRPr="009018DF">
        <w:rPr>
          <w:rFonts w:ascii="Garamond" w:hAnsi="Garamond" w:cs="Times New Roman"/>
          <w:color w:val="000000" w:themeColor="text1"/>
          <w:sz w:val="24"/>
          <w:szCs w:val="24"/>
        </w:rPr>
        <w:t xml:space="preserve">cf. </w:t>
      </w:r>
      <w:r w:rsidRPr="009018DF">
        <w:rPr>
          <w:rFonts w:ascii="Garamond" w:hAnsi="Garamond" w:cs="Times New Roman"/>
          <w:color w:val="000000" w:themeColor="text1"/>
          <w:sz w:val="24"/>
          <w:szCs w:val="24"/>
        </w:rPr>
        <w:t xml:space="preserve">Jn. 15:15). It was therefore a friendship that was built on transfer of rationality. In fact, the difference between servanthood and friendship is based on access to knowledge of the Father through the Son. It is the same with the Spirit, the paraclete, who ensures that this knowledge is </w:t>
      </w:r>
      <w:r w:rsidR="008B0758" w:rsidRPr="009018DF">
        <w:rPr>
          <w:rFonts w:ascii="Garamond" w:hAnsi="Garamond" w:cs="Times New Roman"/>
          <w:color w:val="000000" w:themeColor="text1"/>
          <w:sz w:val="24"/>
          <w:szCs w:val="24"/>
        </w:rPr>
        <w:t xml:space="preserve">presented in full and </w:t>
      </w:r>
      <w:r w:rsidRPr="009018DF">
        <w:rPr>
          <w:rFonts w:ascii="Garamond" w:hAnsi="Garamond" w:cs="Times New Roman"/>
          <w:color w:val="000000" w:themeColor="text1"/>
          <w:sz w:val="24"/>
          <w:szCs w:val="24"/>
        </w:rPr>
        <w:t>ever renewed (</w:t>
      </w:r>
      <w:r w:rsidR="008B0758" w:rsidRPr="009018DF">
        <w:rPr>
          <w:rFonts w:ascii="Garamond" w:hAnsi="Garamond" w:cs="Times New Roman"/>
          <w:color w:val="000000" w:themeColor="text1"/>
          <w:sz w:val="24"/>
          <w:szCs w:val="24"/>
        </w:rPr>
        <w:t xml:space="preserve">cf. </w:t>
      </w:r>
      <w:r w:rsidRPr="009018DF">
        <w:rPr>
          <w:rFonts w:ascii="Garamond" w:hAnsi="Garamond" w:cs="Times New Roman"/>
          <w:color w:val="000000" w:themeColor="text1"/>
          <w:sz w:val="24"/>
          <w:szCs w:val="24"/>
        </w:rPr>
        <w:t xml:space="preserve">Jn. 14:26). The transfer of all believers into friendship with God, in and through Christ, bridges the divide of inequality, and enthrones reciprocity and love as the ‘heart’ and ‘driving force’ of </w:t>
      </w:r>
      <w:r w:rsidR="0097105F" w:rsidRPr="009018DF">
        <w:rPr>
          <w:rFonts w:ascii="Garamond" w:hAnsi="Garamond" w:cs="Times New Roman"/>
          <w:color w:val="000000" w:themeColor="text1"/>
          <w:sz w:val="24"/>
          <w:szCs w:val="24"/>
        </w:rPr>
        <w:t xml:space="preserve">transformative </w:t>
      </w:r>
      <w:r w:rsidRPr="009018DF">
        <w:rPr>
          <w:rFonts w:ascii="Garamond" w:hAnsi="Garamond" w:cs="Times New Roman"/>
          <w:color w:val="000000" w:themeColor="text1"/>
          <w:sz w:val="24"/>
          <w:szCs w:val="24"/>
        </w:rPr>
        <w:t>Christian ministry. According</w:t>
      </w:r>
      <w:r w:rsidR="0097105F" w:rsidRPr="009018DF">
        <w:rPr>
          <w:rFonts w:ascii="Garamond" w:hAnsi="Garamond" w:cs="Times New Roman"/>
          <w:color w:val="000000" w:themeColor="text1"/>
          <w:sz w:val="24"/>
          <w:szCs w:val="24"/>
        </w:rPr>
        <w:t>ly,</w:t>
      </w:r>
      <w:r w:rsidRPr="009018DF">
        <w:rPr>
          <w:rFonts w:ascii="Garamond" w:hAnsi="Garamond" w:cs="Times New Roman"/>
          <w:color w:val="000000" w:themeColor="text1"/>
          <w:sz w:val="24"/>
          <w:szCs w:val="24"/>
        </w:rPr>
        <w:t xml:space="preserve"> Ilo</w:t>
      </w:r>
      <w:r w:rsidR="0097105F" w:rsidRPr="009018DF">
        <w:rPr>
          <w:rFonts w:ascii="Garamond" w:hAnsi="Garamond" w:cs="Times New Roman"/>
          <w:color w:val="000000" w:themeColor="text1"/>
          <w:sz w:val="24"/>
          <w:szCs w:val="24"/>
        </w:rPr>
        <w:t xml:space="preserve"> </w:t>
      </w:r>
      <w:r w:rsidR="00AD3675" w:rsidRPr="009018DF">
        <w:rPr>
          <w:rFonts w:ascii="Garamond" w:hAnsi="Garamond" w:cs="Times New Roman"/>
          <w:color w:val="000000" w:themeColor="text1"/>
          <w:sz w:val="24"/>
          <w:szCs w:val="24"/>
        </w:rPr>
        <w:t xml:space="preserve">(2013, 137) </w:t>
      </w:r>
      <w:r w:rsidR="0097105F" w:rsidRPr="009018DF">
        <w:rPr>
          <w:rFonts w:ascii="Garamond" w:hAnsi="Garamond" w:cs="Times New Roman"/>
          <w:color w:val="000000" w:themeColor="text1"/>
          <w:sz w:val="24"/>
          <w:szCs w:val="24"/>
        </w:rPr>
        <w:t>opines that</w:t>
      </w:r>
      <w:r w:rsidRPr="009018DF">
        <w:rPr>
          <w:rFonts w:ascii="Garamond" w:hAnsi="Garamond" w:cs="Times New Roman"/>
          <w:color w:val="000000" w:themeColor="text1"/>
          <w:sz w:val="24"/>
          <w:szCs w:val="24"/>
        </w:rPr>
        <w:t xml:space="preserve"> this intercultural understanding of friendship,</w:t>
      </w:r>
      <w:r w:rsidR="008B0758" w:rsidRPr="009018DF">
        <w:rPr>
          <w:rFonts w:ascii="Garamond" w:hAnsi="Garamond" w:cs="Times New Roman"/>
          <w:color w:val="000000" w:themeColor="text1"/>
          <w:sz w:val="24"/>
          <w:szCs w:val="24"/>
        </w:rPr>
        <w:t xml:space="preserve"> </w:t>
      </w:r>
      <w:r w:rsidRPr="009018DF">
        <w:rPr>
          <w:rFonts w:ascii="Garamond" w:hAnsi="Garamond" w:cs="Times New Roman"/>
          <w:color w:val="000000" w:themeColor="text1"/>
          <w:sz w:val="24"/>
          <w:szCs w:val="24"/>
        </w:rPr>
        <w:t>“presupposes an equality, shared life, respect, and acceptance; it also presupposes solidarity, collaboration, and co-operation.</w:t>
      </w:r>
      <w:r w:rsidR="00543E4B" w:rsidRPr="009018DF">
        <w:rPr>
          <w:rFonts w:ascii="Garamond" w:hAnsi="Garamond" w:cs="Times New Roman"/>
          <w:color w:val="000000" w:themeColor="text1"/>
          <w:sz w:val="24"/>
          <w:szCs w:val="24"/>
        </w:rPr>
        <w:t>” He goes further to underscore that</w:t>
      </w:r>
      <w:r w:rsidRPr="009018DF">
        <w:rPr>
          <w:rFonts w:ascii="Garamond" w:hAnsi="Garamond" w:cs="Times New Roman"/>
          <w:color w:val="000000" w:themeColor="text1"/>
          <w:sz w:val="24"/>
          <w:szCs w:val="24"/>
        </w:rPr>
        <w:t xml:space="preserve"> </w:t>
      </w:r>
      <w:r w:rsidR="00543E4B" w:rsidRPr="009018DF">
        <w:rPr>
          <w:rFonts w:ascii="Garamond" w:hAnsi="Garamond" w:cs="Times New Roman"/>
          <w:color w:val="000000" w:themeColor="text1"/>
          <w:sz w:val="24"/>
          <w:szCs w:val="24"/>
        </w:rPr>
        <w:t>“</w:t>
      </w:r>
      <w:r w:rsidRPr="009018DF">
        <w:rPr>
          <w:rFonts w:ascii="Garamond" w:hAnsi="Garamond" w:cs="Times New Roman"/>
          <w:color w:val="000000" w:themeColor="text1"/>
          <w:sz w:val="24"/>
          <w:szCs w:val="24"/>
        </w:rPr>
        <w:t>Intercultural friendship is nothing more than a continuing act of transformation through dialogue in order to understand others on their own terms, through interpersonal exchange, in the hope of developing enduring mutual understanding, participation, collaboration, and partnership.”</w:t>
      </w:r>
      <w:r w:rsidR="00543E4B" w:rsidRPr="009018DF">
        <w:rPr>
          <w:rFonts w:ascii="Garamond" w:hAnsi="Garamond" w:cs="Times New Roman"/>
          <w:color w:val="000000" w:themeColor="text1"/>
          <w:sz w:val="24"/>
          <w:szCs w:val="24"/>
        </w:rPr>
        <w:t xml:space="preserve"> </w:t>
      </w:r>
      <w:r w:rsidRPr="009018DF">
        <w:rPr>
          <w:rFonts w:ascii="Garamond" w:hAnsi="Garamond" w:cs="Times New Roman"/>
          <w:color w:val="000000" w:themeColor="text1"/>
          <w:sz w:val="24"/>
          <w:szCs w:val="24"/>
        </w:rPr>
        <w:t xml:space="preserve">As a ‘continuing act of transformation’ intercultural friendship should define not only the beginnings of dialogue but the entire process if it is to achieve the desired goal. No amount of theological, common, or agreed statements, consensus and studies can stand without the element of intercultural friendship that ought to drive both the dialogue and its reception. </w:t>
      </w:r>
    </w:p>
    <w:p w14:paraId="5CFA6367" w14:textId="5F1AADC5" w:rsidR="00B96D02" w:rsidRPr="009018DF" w:rsidRDefault="00B96D02" w:rsidP="008B26CC">
      <w:pPr>
        <w:spacing w:before="0" w:after="0"/>
        <w:ind w:firstLine="567"/>
        <w:rPr>
          <w:rFonts w:ascii="Garamond" w:hAnsi="Garamond" w:cs="Times New Roman"/>
          <w:color w:val="000000" w:themeColor="text1"/>
          <w:sz w:val="24"/>
          <w:szCs w:val="24"/>
        </w:rPr>
      </w:pPr>
      <w:r w:rsidRPr="009018DF">
        <w:rPr>
          <w:rFonts w:ascii="Garamond" w:hAnsi="Garamond" w:cs="Times New Roman"/>
          <w:color w:val="000000" w:themeColor="text1"/>
          <w:sz w:val="24"/>
          <w:szCs w:val="24"/>
        </w:rPr>
        <w:t xml:space="preserve">The challenge remains how to integrate intercultural friendship within the formal settings of dialogue without attenuating the dynamism that friendship implies. This is important because transformation often happens at informal settings </w:t>
      </w:r>
      <w:r w:rsidR="00EF5530" w:rsidRPr="009018DF">
        <w:rPr>
          <w:rFonts w:ascii="Garamond" w:hAnsi="Garamond" w:cs="Times New Roman"/>
          <w:color w:val="000000" w:themeColor="text1"/>
          <w:sz w:val="24"/>
          <w:szCs w:val="24"/>
        </w:rPr>
        <w:t xml:space="preserve">of dialogue </w:t>
      </w:r>
      <w:r w:rsidRPr="009018DF">
        <w:rPr>
          <w:rFonts w:ascii="Garamond" w:hAnsi="Garamond" w:cs="Times New Roman"/>
          <w:color w:val="000000" w:themeColor="text1"/>
          <w:sz w:val="24"/>
          <w:szCs w:val="24"/>
        </w:rPr>
        <w:t xml:space="preserve">when people freely open up to one another. The same experience is found in the so-called grassroot(s) ecumenism where the praxis of ‘dialogue of life’ means that people encounter one another in their ordinary everydayness without the preconditions imposed by doctrinal fidelity. Yet the danger is to disregard the importance of theological or doctrinal dialogue, and thus, take identity for granted. </w:t>
      </w:r>
    </w:p>
    <w:p w14:paraId="1D89502A" w14:textId="4F94E257" w:rsidR="008B26CC" w:rsidRPr="009018DF" w:rsidRDefault="008B26CC" w:rsidP="008B26CC">
      <w:pPr>
        <w:spacing w:before="0" w:after="0"/>
        <w:ind w:firstLine="567"/>
        <w:rPr>
          <w:rFonts w:ascii="Garamond" w:hAnsi="Garamond" w:cs="Times New Roman"/>
          <w:color w:val="000000" w:themeColor="text1"/>
          <w:sz w:val="24"/>
          <w:szCs w:val="24"/>
        </w:rPr>
      </w:pPr>
    </w:p>
    <w:p w14:paraId="1DBC11D4" w14:textId="77777777" w:rsidR="008B26CC" w:rsidRPr="009018DF" w:rsidRDefault="008B26CC" w:rsidP="008B26CC">
      <w:pPr>
        <w:spacing w:before="0" w:after="0"/>
        <w:ind w:firstLine="567"/>
        <w:rPr>
          <w:rFonts w:ascii="Garamond" w:hAnsi="Garamond" w:cs="Times New Roman"/>
          <w:color w:val="000000" w:themeColor="text1"/>
          <w:sz w:val="24"/>
          <w:szCs w:val="24"/>
        </w:rPr>
      </w:pPr>
    </w:p>
    <w:p w14:paraId="0CC456AA" w14:textId="106B9DCB" w:rsidR="00B96D02" w:rsidRPr="009018DF" w:rsidRDefault="008B26CC" w:rsidP="00E6285F">
      <w:pPr>
        <w:pStyle w:val="Heading3"/>
        <w:spacing w:before="0" w:after="0"/>
        <w:ind w:left="0" w:firstLine="567"/>
        <w:rPr>
          <w:rFonts w:ascii="Garamond" w:hAnsi="Garamond"/>
          <w:sz w:val="24"/>
          <w:szCs w:val="24"/>
        </w:rPr>
      </w:pPr>
      <w:bookmarkStart w:id="5" w:name="_Toc31190725"/>
      <w:r w:rsidRPr="009018DF">
        <w:rPr>
          <w:rFonts w:ascii="Garamond" w:hAnsi="Garamond"/>
          <w:sz w:val="24"/>
          <w:szCs w:val="24"/>
        </w:rPr>
        <w:t xml:space="preserve">c) </w:t>
      </w:r>
      <w:r w:rsidR="001956E2" w:rsidRPr="009018DF">
        <w:rPr>
          <w:rFonts w:ascii="Garamond" w:hAnsi="Garamond"/>
          <w:sz w:val="24"/>
          <w:szCs w:val="24"/>
        </w:rPr>
        <w:t>On</w:t>
      </w:r>
      <w:r w:rsidR="00B96D02" w:rsidRPr="009018DF">
        <w:rPr>
          <w:rFonts w:ascii="Garamond" w:hAnsi="Garamond"/>
          <w:sz w:val="24"/>
          <w:szCs w:val="24"/>
        </w:rPr>
        <w:t xml:space="preserve"> the</w:t>
      </w:r>
      <w:r w:rsidR="001956E2" w:rsidRPr="009018DF">
        <w:rPr>
          <w:rFonts w:ascii="Garamond" w:hAnsi="Garamond"/>
          <w:sz w:val="24"/>
          <w:szCs w:val="24"/>
        </w:rPr>
        <w:t xml:space="preserve"> Dialogical</w:t>
      </w:r>
      <w:r w:rsidR="00B96D02" w:rsidRPr="009018DF">
        <w:rPr>
          <w:rFonts w:ascii="Garamond" w:hAnsi="Garamond"/>
          <w:sz w:val="24"/>
          <w:szCs w:val="24"/>
        </w:rPr>
        <w:t xml:space="preserve"> Praxis of Participation</w:t>
      </w:r>
      <w:bookmarkEnd w:id="5"/>
      <w:r w:rsidR="00DB5F47" w:rsidRPr="009018DF">
        <w:rPr>
          <w:rFonts w:ascii="Garamond" w:hAnsi="Garamond"/>
          <w:sz w:val="24"/>
          <w:szCs w:val="24"/>
        </w:rPr>
        <w:t xml:space="preserve"> </w:t>
      </w:r>
    </w:p>
    <w:p w14:paraId="0C32B58D" w14:textId="77777777" w:rsidR="00E6285F" w:rsidRPr="009018DF" w:rsidRDefault="00E6285F" w:rsidP="008B26CC">
      <w:pPr>
        <w:spacing w:before="0" w:after="0"/>
        <w:rPr>
          <w:color w:val="000000" w:themeColor="text1"/>
          <w:lang w:val="en-US"/>
        </w:rPr>
      </w:pPr>
    </w:p>
    <w:p w14:paraId="1982DDEA" w14:textId="37F0186F" w:rsidR="00B96D02" w:rsidRPr="009018DF" w:rsidRDefault="00B96D02" w:rsidP="008B26CC">
      <w:pPr>
        <w:spacing w:before="0" w:after="0"/>
        <w:rPr>
          <w:rFonts w:ascii="Garamond" w:hAnsi="Garamond" w:cs="Times New Roman"/>
          <w:color w:val="000000" w:themeColor="text1"/>
          <w:sz w:val="24"/>
          <w:szCs w:val="24"/>
        </w:rPr>
      </w:pPr>
      <w:r w:rsidRPr="009018DF">
        <w:rPr>
          <w:rFonts w:ascii="Garamond" w:hAnsi="Garamond" w:cs="Times New Roman"/>
          <w:color w:val="000000" w:themeColor="text1"/>
          <w:sz w:val="24"/>
          <w:szCs w:val="24"/>
        </w:rPr>
        <w:t>Ipgrave’s account of the dialogical orientation of experientiality rests on the tripartite attributes of the Spirit, namely freedom, accessibility of the divine and universality of presence or activity</w:t>
      </w:r>
      <w:r w:rsidR="00AD3675" w:rsidRPr="009018DF">
        <w:rPr>
          <w:rFonts w:ascii="Garamond" w:hAnsi="Garamond" w:cs="Times New Roman"/>
          <w:color w:val="000000" w:themeColor="text1"/>
          <w:sz w:val="24"/>
          <w:szCs w:val="24"/>
        </w:rPr>
        <w:t xml:space="preserve"> (2003, 323)</w:t>
      </w:r>
      <w:r w:rsidRPr="009018DF">
        <w:rPr>
          <w:rFonts w:ascii="Garamond" w:hAnsi="Garamond" w:cs="Times New Roman"/>
          <w:color w:val="000000" w:themeColor="text1"/>
          <w:sz w:val="24"/>
          <w:szCs w:val="24"/>
        </w:rPr>
        <w:t xml:space="preserve">. The Spirit’s access to all creatures in their diversity invariably means that the creatures have access to the divine. By this very activity, the Spirit gathers all creation to participate in divine life, the source and sustenance of creation. All creation, irrespective of their unique identities of gender, class, religion, race, color, location or language are capable of experiencing the divine through the action of the Spirit. Hence, the experience of the divine begins with the Spirit’s gift of life (as the </w:t>
      </w:r>
      <w:r w:rsidRPr="009018DF">
        <w:rPr>
          <w:rFonts w:ascii="Garamond" w:hAnsi="Garamond" w:cs="Times New Roman"/>
          <w:i/>
          <w:color w:val="000000" w:themeColor="text1"/>
          <w:sz w:val="24"/>
          <w:szCs w:val="24"/>
        </w:rPr>
        <w:t>ruah Yahweh</w:t>
      </w:r>
      <w:r w:rsidRPr="009018DF">
        <w:rPr>
          <w:rFonts w:ascii="Garamond" w:hAnsi="Garamond" w:cs="Times New Roman"/>
          <w:color w:val="000000" w:themeColor="text1"/>
          <w:sz w:val="24"/>
          <w:szCs w:val="24"/>
        </w:rPr>
        <w:t xml:space="preserve">) at creation. In line with this reasoning Ilo </w:t>
      </w:r>
      <w:r w:rsidR="00AD3675" w:rsidRPr="009018DF">
        <w:rPr>
          <w:rFonts w:ascii="Garamond" w:hAnsi="Garamond" w:cs="Times New Roman"/>
          <w:color w:val="000000" w:themeColor="text1"/>
          <w:sz w:val="24"/>
          <w:szCs w:val="24"/>
        </w:rPr>
        <w:t xml:space="preserve">(2016, 192) </w:t>
      </w:r>
      <w:r w:rsidRPr="009018DF">
        <w:rPr>
          <w:rFonts w:ascii="Garamond" w:hAnsi="Garamond" w:cs="Times New Roman"/>
          <w:color w:val="000000" w:themeColor="text1"/>
          <w:sz w:val="24"/>
          <w:szCs w:val="24"/>
        </w:rPr>
        <w:t>argues</w:t>
      </w:r>
      <w:r w:rsidR="00543E4B" w:rsidRPr="009018DF">
        <w:rPr>
          <w:rFonts w:ascii="Garamond" w:hAnsi="Garamond" w:cs="Times New Roman"/>
          <w:color w:val="000000" w:themeColor="text1"/>
          <w:sz w:val="24"/>
          <w:szCs w:val="24"/>
        </w:rPr>
        <w:t xml:space="preserve"> that </w:t>
      </w:r>
      <w:r w:rsidRPr="009018DF">
        <w:rPr>
          <w:rFonts w:ascii="Garamond" w:hAnsi="Garamond" w:cs="Times New Roman"/>
          <w:color w:val="000000" w:themeColor="text1"/>
          <w:sz w:val="24"/>
          <w:szCs w:val="24"/>
        </w:rPr>
        <w:t>“participation as sharing in divine life is that originating life-giving, grace-filled force that is offered to all peoples, churches, and religions as a gift from God</w:t>
      </w:r>
      <w:r w:rsidR="00543E4B" w:rsidRPr="009018DF">
        <w:rPr>
          <w:rFonts w:ascii="Garamond" w:hAnsi="Garamond" w:cs="Times New Roman"/>
          <w:color w:val="000000" w:themeColor="text1"/>
          <w:sz w:val="24"/>
          <w:szCs w:val="24"/>
        </w:rPr>
        <w:t>.” The implication is that</w:t>
      </w:r>
      <w:r w:rsidRPr="009018DF">
        <w:rPr>
          <w:rFonts w:ascii="Garamond" w:hAnsi="Garamond" w:cs="Times New Roman"/>
          <w:color w:val="000000" w:themeColor="text1"/>
          <w:sz w:val="24"/>
          <w:szCs w:val="24"/>
        </w:rPr>
        <w:t xml:space="preserve"> </w:t>
      </w:r>
      <w:r w:rsidR="00543E4B" w:rsidRPr="009018DF">
        <w:rPr>
          <w:rFonts w:ascii="Garamond" w:hAnsi="Garamond" w:cs="Times New Roman"/>
          <w:color w:val="000000" w:themeColor="text1"/>
          <w:sz w:val="24"/>
          <w:szCs w:val="24"/>
        </w:rPr>
        <w:t>any “e</w:t>
      </w:r>
      <w:r w:rsidRPr="009018DF">
        <w:rPr>
          <w:rFonts w:ascii="Garamond" w:hAnsi="Garamond" w:cs="Times New Roman"/>
          <w:color w:val="000000" w:themeColor="text1"/>
          <w:sz w:val="24"/>
          <w:szCs w:val="24"/>
        </w:rPr>
        <w:t>xclusion of other people from communion,</w:t>
      </w:r>
      <w:r w:rsidR="00543E4B" w:rsidRPr="009018DF">
        <w:rPr>
          <w:rFonts w:ascii="Garamond" w:hAnsi="Garamond" w:cs="Times New Roman"/>
          <w:color w:val="000000" w:themeColor="text1"/>
          <w:sz w:val="24"/>
          <w:szCs w:val="24"/>
        </w:rPr>
        <w:t>”</w:t>
      </w:r>
      <w:r w:rsidRPr="009018DF">
        <w:rPr>
          <w:rFonts w:ascii="Garamond" w:hAnsi="Garamond" w:cs="Times New Roman"/>
          <w:color w:val="000000" w:themeColor="text1"/>
          <w:sz w:val="24"/>
          <w:szCs w:val="24"/>
        </w:rPr>
        <w:t xml:space="preserve"> </w:t>
      </w:r>
      <w:r w:rsidR="00543E4B" w:rsidRPr="009018DF">
        <w:rPr>
          <w:rFonts w:ascii="Garamond" w:hAnsi="Garamond" w:cs="Times New Roman"/>
          <w:color w:val="000000" w:themeColor="text1"/>
          <w:sz w:val="24"/>
          <w:szCs w:val="24"/>
        </w:rPr>
        <w:t>ultimately</w:t>
      </w:r>
      <w:r w:rsidRPr="009018DF">
        <w:rPr>
          <w:rFonts w:ascii="Garamond" w:hAnsi="Garamond" w:cs="Times New Roman"/>
          <w:color w:val="000000" w:themeColor="text1"/>
          <w:sz w:val="24"/>
          <w:szCs w:val="24"/>
        </w:rPr>
        <w:t xml:space="preserve"> </w:t>
      </w:r>
      <w:r w:rsidR="00543E4B" w:rsidRPr="009018DF">
        <w:rPr>
          <w:rFonts w:ascii="Garamond" w:hAnsi="Garamond" w:cs="Times New Roman"/>
          <w:color w:val="000000" w:themeColor="text1"/>
          <w:sz w:val="24"/>
          <w:szCs w:val="24"/>
        </w:rPr>
        <w:t>“</w:t>
      </w:r>
      <w:r w:rsidRPr="009018DF">
        <w:rPr>
          <w:rFonts w:ascii="Garamond" w:hAnsi="Garamond" w:cs="Times New Roman"/>
          <w:color w:val="000000" w:themeColor="text1"/>
          <w:sz w:val="24"/>
          <w:szCs w:val="24"/>
        </w:rPr>
        <w:t>impoverishes everyone and impoverishes God.</w:t>
      </w:r>
      <w:r w:rsidR="00543E4B" w:rsidRPr="009018DF">
        <w:rPr>
          <w:rFonts w:ascii="Garamond" w:hAnsi="Garamond" w:cs="Times New Roman"/>
          <w:color w:val="000000" w:themeColor="text1"/>
          <w:sz w:val="24"/>
          <w:szCs w:val="24"/>
        </w:rPr>
        <w:t>” Within such an understanding, e</w:t>
      </w:r>
      <w:r w:rsidRPr="009018DF">
        <w:rPr>
          <w:rFonts w:ascii="Garamond" w:hAnsi="Garamond" w:cs="Times New Roman"/>
          <w:color w:val="000000" w:themeColor="text1"/>
          <w:sz w:val="24"/>
          <w:szCs w:val="24"/>
        </w:rPr>
        <w:t>cumenism</w:t>
      </w:r>
      <w:r w:rsidR="00543E4B" w:rsidRPr="009018DF">
        <w:rPr>
          <w:rFonts w:ascii="Garamond" w:hAnsi="Garamond" w:cs="Times New Roman"/>
          <w:color w:val="000000" w:themeColor="text1"/>
          <w:sz w:val="24"/>
          <w:szCs w:val="24"/>
        </w:rPr>
        <w:t xml:space="preserve"> can no longer “</w:t>
      </w:r>
      <w:r w:rsidRPr="009018DF">
        <w:rPr>
          <w:rFonts w:ascii="Garamond" w:hAnsi="Garamond" w:cs="Times New Roman"/>
          <w:color w:val="000000" w:themeColor="text1"/>
          <w:sz w:val="24"/>
          <w:szCs w:val="24"/>
        </w:rPr>
        <w:t>be governed by the narrow invention or intention of a particular church or faith group</w:t>
      </w:r>
      <w:r w:rsidR="00543E4B" w:rsidRPr="009018DF">
        <w:rPr>
          <w:rFonts w:ascii="Garamond" w:hAnsi="Garamond" w:cs="Times New Roman"/>
          <w:color w:val="000000" w:themeColor="text1"/>
          <w:sz w:val="24"/>
          <w:szCs w:val="24"/>
        </w:rPr>
        <w:t>” but must be conceived as</w:t>
      </w:r>
      <w:r w:rsidRPr="009018DF">
        <w:rPr>
          <w:rFonts w:ascii="Garamond" w:hAnsi="Garamond" w:cs="Times New Roman"/>
          <w:color w:val="000000" w:themeColor="text1"/>
          <w:sz w:val="24"/>
          <w:szCs w:val="24"/>
        </w:rPr>
        <w:t xml:space="preserve"> </w:t>
      </w:r>
      <w:r w:rsidR="00543E4B" w:rsidRPr="009018DF">
        <w:rPr>
          <w:rFonts w:ascii="Garamond" w:hAnsi="Garamond" w:cs="Times New Roman"/>
          <w:color w:val="000000" w:themeColor="text1"/>
          <w:sz w:val="24"/>
          <w:szCs w:val="24"/>
        </w:rPr>
        <w:t>“</w:t>
      </w:r>
      <w:r w:rsidRPr="009018DF">
        <w:rPr>
          <w:rFonts w:ascii="Garamond" w:hAnsi="Garamond" w:cs="Times New Roman"/>
          <w:color w:val="000000" w:themeColor="text1"/>
          <w:sz w:val="24"/>
          <w:szCs w:val="24"/>
        </w:rPr>
        <w:t>a gift that flows as necessity from our participation in Trinitarian life and friendship.”</w:t>
      </w:r>
      <w:r w:rsidR="00543E4B" w:rsidRPr="009018DF">
        <w:rPr>
          <w:rFonts w:ascii="Garamond" w:hAnsi="Garamond" w:cs="Times New Roman"/>
          <w:color w:val="000000" w:themeColor="text1"/>
          <w:sz w:val="24"/>
          <w:szCs w:val="24"/>
        </w:rPr>
        <w:t xml:space="preserve"> From the Trinity, t</w:t>
      </w:r>
      <w:r w:rsidRPr="009018DF">
        <w:rPr>
          <w:rFonts w:ascii="Garamond" w:hAnsi="Garamond" w:cs="Times New Roman"/>
          <w:color w:val="000000" w:themeColor="text1"/>
          <w:sz w:val="24"/>
          <w:szCs w:val="24"/>
        </w:rPr>
        <w:t xml:space="preserve">he energetic characteristic of the Spirit draws everything and everyone into a lively fellowship with the divine and with one another. Christian fellowship is propelled by the Spirit, and the same could be said of ecumenical and interreligious fellowship. Nothing is excluded in the influence and interference of the Spirit. Greater inclusivity and communion through dialogue enlivens the divine activity of the Spirit, </w:t>
      </w:r>
      <w:r w:rsidRPr="009018DF">
        <w:rPr>
          <w:rFonts w:ascii="Garamond" w:hAnsi="Garamond" w:cs="Times New Roman"/>
          <w:color w:val="000000" w:themeColor="text1"/>
          <w:sz w:val="24"/>
          <w:szCs w:val="24"/>
        </w:rPr>
        <w:lastRenderedPageBreak/>
        <w:t xml:space="preserve">while exclusion diminishes this activity. Hence, any transformation of communal identity comes through the Spirit’s animation and vivification, whereby every church or community is called to constant participation. Transformation becomes then the </w:t>
      </w:r>
      <w:r w:rsidRPr="009018DF">
        <w:rPr>
          <w:rFonts w:ascii="Garamond" w:hAnsi="Garamond" w:cs="Times New Roman"/>
          <w:i/>
          <w:color w:val="000000" w:themeColor="text1"/>
          <w:sz w:val="24"/>
          <w:szCs w:val="24"/>
        </w:rPr>
        <w:t>novum</w:t>
      </w:r>
      <w:r w:rsidRPr="009018DF">
        <w:rPr>
          <w:rFonts w:ascii="Garamond" w:hAnsi="Garamond" w:cs="Times New Roman"/>
          <w:color w:val="000000" w:themeColor="text1"/>
          <w:sz w:val="24"/>
          <w:szCs w:val="24"/>
        </w:rPr>
        <w:t xml:space="preserve"> that emerges from the Spirit’s activity.</w:t>
      </w:r>
    </w:p>
    <w:p w14:paraId="4C880F22" w14:textId="6C49D10D" w:rsidR="00B96D02" w:rsidRPr="009018DF" w:rsidRDefault="00B96D02" w:rsidP="008B26CC">
      <w:pPr>
        <w:spacing w:before="0" w:after="0"/>
        <w:ind w:firstLine="567"/>
        <w:rPr>
          <w:rFonts w:ascii="Garamond" w:hAnsi="Garamond" w:cs="Times New Roman"/>
          <w:color w:val="000000" w:themeColor="text1"/>
          <w:sz w:val="24"/>
          <w:szCs w:val="24"/>
        </w:rPr>
      </w:pPr>
      <w:r w:rsidRPr="009018DF">
        <w:rPr>
          <w:rFonts w:ascii="Garamond" w:hAnsi="Garamond" w:cs="Times New Roman"/>
          <w:color w:val="000000" w:themeColor="text1"/>
          <w:sz w:val="24"/>
          <w:szCs w:val="24"/>
        </w:rPr>
        <w:t xml:space="preserve">Hence, intercultural participation as a dialogical praxis of the Spirit’s experientiality involves continuous engagement, constancy, repetitiveness, and indefinite drive towards transformation, change, and newness. As the agent of both cosmic and ecclesial renewal, the Spirit’s action remains constant, continuous and never-ending. It is within this eternal spin of Spirit-driven dialogical participation that transformation happens. Renewal in this sense, is no longer defined by the refurbishing of the old and rusty, but the introduction of a </w:t>
      </w:r>
      <w:r w:rsidRPr="009018DF">
        <w:rPr>
          <w:rFonts w:ascii="Garamond" w:hAnsi="Garamond" w:cs="Times New Roman"/>
          <w:i/>
          <w:color w:val="000000" w:themeColor="text1"/>
          <w:sz w:val="24"/>
          <w:szCs w:val="24"/>
        </w:rPr>
        <w:t xml:space="preserve">newness </w:t>
      </w:r>
      <w:r w:rsidRPr="009018DF">
        <w:rPr>
          <w:rFonts w:ascii="Garamond" w:hAnsi="Garamond" w:cs="Times New Roman"/>
          <w:color w:val="000000" w:themeColor="text1"/>
          <w:sz w:val="24"/>
          <w:szCs w:val="24"/>
        </w:rPr>
        <w:t xml:space="preserve">within the process of refreshing the old. Continuity and discontinuity are therefore integrated in the process of renewal. Thus, against the lukewarmness that sometimes attends dialogue, intercultural participation encourages a never-yielding disposition to keep pushing on towards a renewal in which something </w:t>
      </w:r>
      <w:r w:rsidRPr="009018DF">
        <w:rPr>
          <w:rFonts w:ascii="Garamond" w:hAnsi="Garamond" w:cs="Times New Roman"/>
          <w:i/>
          <w:color w:val="000000" w:themeColor="text1"/>
          <w:sz w:val="24"/>
          <w:szCs w:val="24"/>
        </w:rPr>
        <w:t>new</w:t>
      </w:r>
      <w:r w:rsidRPr="009018DF">
        <w:rPr>
          <w:rFonts w:ascii="Garamond" w:hAnsi="Garamond" w:cs="Times New Roman"/>
          <w:color w:val="000000" w:themeColor="text1"/>
          <w:sz w:val="24"/>
          <w:szCs w:val="24"/>
        </w:rPr>
        <w:t xml:space="preserve"> breaks forth. Notwithstanding the fact that the goal of visible unity, expressed in common Eucharistic fellowship, is yet to be achieved, both churches commit themselves to multiple levels of participation. Participation in non-Eucharistic activities, such as pilgrimages, Good Friday processions, study of the Scriptures, and prayers, is a recognition of the experience of the Spirit on the basis of common baptism. </w:t>
      </w:r>
    </w:p>
    <w:p w14:paraId="6786FEBB" w14:textId="00EEADD3" w:rsidR="004C48EC" w:rsidRPr="009018DF" w:rsidRDefault="00B96D02" w:rsidP="008B26CC">
      <w:pPr>
        <w:spacing w:before="0" w:after="0"/>
        <w:ind w:firstLine="567"/>
        <w:rPr>
          <w:rFonts w:ascii="Garamond" w:hAnsi="Garamond" w:cs="Times New Roman"/>
          <w:color w:val="000000" w:themeColor="text1"/>
          <w:sz w:val="24"/>
          <w:szCs w:val="24"/>
        </w:rPr>
      </w:pPr>
      <w:r w:rsidRPr="009018DF">
        <w:rPr>
          <w:rFonts w:ascii="Garamond" w:hAnsi="Garamond" w:cs="Times New Roman"/>
          <w:color w:val="000000" w:themeColor="text1"/>
          <w:sz w:val="24"/>
          <w:szCs w:val="24"/>
        </w:rPr>
        <w:t>Above all, there is the ethical dimension to intercultural participation which Ilo draws from African theology’s insistence on the interrelatedness of all humanity and cosmos in God. In this line of thought, participation is not a certain form of ‘clubbing together’ but a sharing in a vital union. Vital union, as an expression of African understanding of life, according to Ilo, represents the God-willed “bond that joins the living and the dead in a vertical and horizonal relationship; it is the life-giving principle in all.” More so, it represents “the result of communion, of participation in the one reality, the one vital principle that unites all things”</w:t>
      </w:r>
      <w:r w:rsidR="00AD3675" w:rsidRPr="009018DF">
        <w:rPr>
          <w:rFonts w:ascii="Garamond" w:hAnsi="Garamond" w:cs="Times New Roman"/>
          <w:color w:val="000000" w:themeColor="text1"/>
          <w:sz w:val="24"/>
          <w:szCs w:val="24"/>
        </w:rPr>
        <w:t xml:space="preserve"> (Ilo 2013, 138).</w:t>
      </w:r>
      <w:r w:rsidRPr="009018DF">
        <w:rPr>
          <w:rFonts w:ascii="Garamond" w:hAnsi="Garamond" w:cs="Times New Roman"/>
          <w:color w:val="000000" w:themeColor="text1"/>
          <w:sz w:val="24"/>
          <w:szCs w:val="24"/>
        </w:rPr>
        <w:t xml:space="preserve"> Participation is not just participation in the ordinary sense, but a </w:t>
      </w:r>
      <w:r w:rsidRPr="009018DF">
        <w:rPr>
          <w:rFonts w:ascii="Garamond" w:hAnsi="Garamond" w:cs="Times New Roman"/>
          <w:i/>
          <w:color w:val="000000" w:themeColor="text1"/>
          <w:sz w:val="24"/>
          <w:szCs w:val="24"/>
        </w:rPr>
        <w:t>vital participation</w:t>
      </w:r>
      <w:r w:rsidRPr="009018DF">
        <w:rPr>
          <w:rFonts w:ascii="Garamond" w:hAnsi="Garamond" w:cs="Times New Roman"/>
          <w:color w:val="000000" w:themeColor="text1"/>
          <w:sz w:val="24"/>
          <w:szCs w:val="24"/>
        </w:rPr>
        <w:t>, a lively, life-giving activity. In other words, from an ethical perspective, “anything that diminishes vital participation in the community, locally or globally, should be considered evil because it diminishes God and impoverishes the community.” More still, “failure to participate in the community or exclusion of the voices of those on the margins or the voices of the ‘other’ is evil for the same reason”</w:t>
      </w:r>
      <w:r w:rsidR="00AD3675" w:rsidRPr="009018DF">
        <w:rPr>
          <w:rFonts w:ascii="Garamond" w:hAnsi="Garamond" w:cs="Times New Roman"/>
          <w:color w:val="000000" w:themeColor="text1"/>
          <w:sz w:val="24"/>
          <w:szCs w:val="24"/>
        </w:rPr>
        <w:t xml:space="preserve"> (Ibid.).</w:t>
      </w:r>
      <w:r w:rsidRPr="009018DF">
        <w:rPr>
          <w:rFonts w:ascii="Garamond" w:hAnsi="Garamond" w:cs="Times New Roman"/>
          <w:color w:val="000000" w:themeColor="text1"/>
          <w:sz w:val="24"/>
          <w:szCs w:val="24"/>
        </w:rPr>
        <w:t xml:space="preserve"> To move away from the conditions of division, isolation, conflict, prejudice, self-referentiality, exclusion towards harmony, friendship, unity, and collaboration demands therefore that communities experience purgation or conversion. Purgation becomes then an aspect of transformation that emerges through an attention to </w:t>
      </w:r>
      <w:r w:rsidRPr="009018DF">
        <w:rPr>
          <w:rFonts w:ascii="Garamond" w:hAnsi="Garamond" w:cs="Times New Roman"/>
          <w:i/>
          <w:color w:val="000000" w:themeColor="text1"/>
          <w:sz w:val="24"/>
          <w:szCs w:val="24"/>
        </w:rPr>
        <w:t>vital participation</w:t>
      </w:r>
      <w:r w:rsidRPr="009018DF">
        <w:rPr>
          <w:rFonts w:ascii="Garamond" w:hAnsi="Garamond" w:cs="Times New Roman"/>
          <w:color w:val="000000" w:themeColor="text1"/>
          <w:sz w:val="24"/>
          <w:szCs w:val="24"/>
        </w:rPr>
        <w:t xml:space="preserve"> in the community, and ultimately, in God. And there is no conversion without the Spirit.</w:t>
      </w:r>
    </w:p>
    <w:p w14:paraId="03F9310C" w14:textId="0C738222" w:rsidR="004C48EC" w:rsidRPr="009018DF" w:rsidRDefault="004C48EC" w:rsidP="008B26CC">
      <w:pPr>
        <w:spacing w:before="0" w:after="0"/>
        <w:ind w:firstLine="567"/>
        <w:rPr>
          <w:rFonts w:ascii="Garamond" w:hAnsi="Garamond" w:cs="Times New Roman"/>
          <w:color w:val="000000" w:themeColor="text1"/>
          <w:sz w:val="24"/>
          <w:szCs w:val="24"/>
        </w:rPr>
      </w:pPr>
    </w:p>
    <w:p w14:paraId="465406A7" w14:textId="77777777" w:rsidR="008B26CC" w:rsidRPr="009018DF" w:rsidRDefault="008B26CC" w:rsidP="008B26CC">
      <w:pPr>
        <w:spacing w:before="0" w:after="0"/>
        <w:ind w:firstLine="567"/>
        <w:rPr>
          <w:rFonts w:ascii="Garamond" w:hAnsi="Garamond" w:cs="Times New Roman"/>
          <w:color w:val="000000" w:themeColor="text1"/>
          <w:sz w:val="24"/>
          <w:szCs w:val="24"/>
        </w:rPr>
      </w:pPr>
    </w:p>
    <w:p w14:paraId="542CC8D4" w14:textId="26103B39" w:rsidR="00B96D02" w:rsidRPr="009018DF" w:rsidRDefault="00B40738" w:rsidP="008B26CC">
      <w:pPr>
        <w:spacing w:before="0" w:after="0"/>
        <w:rPr>
          <w:rFonts w:ascii="Garamond" w:hAnsi="Garamond"/>
          <w:b/>
          <w:color w:val="000000" w:themeColor="text1"/>
          <w:sz w:val="24"/>
          <w:szCs w:val="24"/>
        </w:rPr>
      </w:pPr>
      <w:bookmarkStart w:id="6" w:name="_Toc31190726"/>
      <w:r w:rsidRPr="009018DF">
        <w:rPr>
          <w:rFonts w:ascii="Garamond" w:hAnsi="Garamond"/>
          <w:b/>
          <w:color w:val="000000" w:themeColor="text1"/>
          <w:sz w:val="24"/>
          <w:szCs w:val="24"/>
        </w:rPr>
        <w:t>A</w:t>
      </w:r>
      <w:r w:rsidR="00AE6BB4" w:rsidRPr="009018DF">
        <w:rPr>
          <w:rFonts w:ascii="Garamond" w:hAnsi="Garamond"/>
          <w:b/>
          <w:color w:val="000000" w:themeColor="text1"/>
          <w:sz w:val="24"/>
          <w:szCs w:val="24"/>
        </w:rPr>
        <w:t xml:space="preserve"> Spirituality of </w:t>
      </w:r>
      <w:r w:rsidR="00115E52" w:rsidRPr="009018DF">
        <w:rPr>
          <w:rFonts w:ascii="Garamond" w:hAnsi="Garamond"/>
          <w:b/>
          <w:color w:val="000000" w:themeColor="text1"/>
          <w:sz w:val="24"/>
          <w:szCs w:val="24"/>
        </w:rPr>
        <w:t xml:space="preserve">a </w:t>
      </w:r>
      <w:r w:rsidR="00AE6BB4" w:rsidRPr="009018DF">
        <w:rPr>
          <w:rFonts w:ascii="Garamond" w:hAnsi="Garamond"/>
          <w:b/>
          <w:color w:val="000000" w:themeColor="text1"/>
          <w:sz w:val="24"/>
          <w:szCs w:val="24"/>
        </w:rPr>
        <w:t xml:space="preserve">Trinitarian </w:t>
      </w:r>
      <w:r w:rsidR="00B96D02" w:rsidRPr="009018DF">
        <w:rPr>
          <w:rFonts w:ascii="Garamond" w:hAnsi="Garamond"/>
          <w:b/>
          <w:color w:val="000000" w:themeColor="text1"/>
          <w:sz w:val="24"/>
          <w:szCs w:val="24"/>
        </w:rPr>
        <w:t xml:space="preserve">Intercultural Hermeneutics </w:t>
      </w:r>
      <w:bookmarkEnd w:id="6"/>
      <w:r w:rsidR="00AE6BB4" w:rsidRPr="009018DF">
        <w:rPr>
          <w:rFonts w:ascii="Garamond" w:hAnsi="Garamond"/>
          <w:b/>
          <w:color w:val="000000" w:themeColor="text1"/>
          <w:sz w:val="24"/>
          <w:szCs w:val="24"/>
        </w:rPr>
        <w:t>of Dialogue</w:t>
      </w:r>
      <w:r w:rsidRPr="009018DF">
        <w:rPr>
          <w:rFonts w:ascii="Garamond" w:hAnsi="Garamond"/>
          <w:b/>
          <w:color w:val="000000" w:themeColor="text1"/>
          <w:sz w:val="24"/>
          <w:szCs w:val="24"/>
        </w:rPr>
        <w:t>?</w:t>
      </w:r>
    </w:p>
    <w:p w14:paraId="65CB935E" w14:textId="77777777" w:rsidR="00931AA5" w:rsidRPr="009018DF" w:rsidRDefault="00931AA5" w:rsidP="008B26CC">
      <w:pPr>
        <w:spacing w:before="0" w:after="0"/>
        <w:rPr>
          <w:rFonts w:ascii="Garamond" w:hAnsi="Garamond"/>
          <w:b/>
          <w:color w:val="000000" w:themeColor="text1"/>
          <w:sz w:val="24"/>
          <w:szCs w:val="24"/>
        </w:rPr>
      </w:pPr>
    </w:p>
    <w:p w14:paraId="4D1FFAF6" w14:textId="58407B75" w:rsidR="00BD1494" w:rsidRPr="009018DF" w:rsidRDefault="00B96D02" w:rsidP="008B26CC">
      <w:pPr>
        <w:spacing w:before="0" w:after="0"/>
        <w:rPr>
          <w:rFonts w:ascii="Garamond" w:hAnsi="Garamond" w:cs="Times New Roman"/>
          <w:color w:val="000000" w:themeColor="text1"/>
          <w:sz w:val="24"/>
          <w:szCs w:val="24"/>
        </w:rPr>
      </w:pPr>
      <w:r w:rsidRPr="009018DF">
        <w:rPr>
          <w:rFonts w:ascii="Garamond" w:hAnsi="Garamond" w:cs="Times New Roman"/>
          <w:color w:val="000000" w:themeColor="text1"/>
          <w:sz w:val="24"/>
          <w:szCs w:val="24"/>
        </w:rPr>
        <w:t xml:space="preserve">The objective of offering a theological imagination that could serve the future of ecumenical </w:t>
      </w:r>
      <w:r w:rsidR="003504B5" w:rsidRPr="009018DF">
        <w:rPr>
          <w:rFonts w:ascii="Garamond" w:hAnsi="Garamond" w:cs="Times New Roman"/>
          <w:color w:val="000000" w:themeColor="text1"/>
          <w:sz w:val="24"/>
          <w:szCs w:val="24"/>
        </w:rPr>
        <w:t xml:space="preserve">and interreligious </w:t>
      </w:r>
      <w:r w:rsidRPr="009018DF">
        <w:rPr>
          <w:rFonts w:ascii="Garamond" w:hAnsi="Garamond" w:cs="Times New Roman"/>
          <w:color w:val="000000" w:themeColor="text1"/>
          <w:sz w:val="24"/>
          <w:szCs w:val="24"/>
        </w:rPr>
        <w:t xml:space="preserve">dialogue </w:t>
      </w:r>
      <w:r w:rsidR="003504B5" w:rsidRPr="009018DF">
        <w:rPr>
          <w:rFonts w:ascii="Garamond" w:hAnsi="Garamond" w:cs="Times New Roman"/>
          <w:color w:val="000000" w:themeColor="text1"/>
          <w:sz w:val="24"/>
          <w:szCs w:val="24"/>
        </w:rPr>
        <w:t xml:space="preserve">across </w:t>
      </w:r>
      <w:r w:rsidR="00A83523" w:rsidRPr="009018DF">
        <w:rPr>
          <w:rFonts w:ascii="Garamond" w:hAnsi="Garamond" w:cs="Times New Roman"/>
          <w:color w:val="000000" w:themeColor="text1"/>
          <w:sz w:val="24"/>
          <w:szCs w:val="24"/>
        </w:rPr>
        <w:t xml:space="preserve">cultures and </w:t>
      </w:r>
      <w:r w:rsidR="003504B5" w:rsidRPr="009018DF">
        <w:rPr>
          <w:rFonts w:ascii="Garamond" w:hAnsi="Garamond" w:cs="Times New Roman"/>
          <w:color w:val="000000" w:themeColor="text1"/>
          <w:sz w:val="24"/>
          <w:szCs w:val="24"/>
        </w:rPr>
        <w:t>contexts</w:t>
      </w:r>
      <w:r w:rsidRPr="009018DF">
        <w:rPr>
          <w:rFonts w:ascii="Garamond" w:hAnsi="Garamond" w:cs="Times New Roman"/>
          <w:color w:val="000000" w:themeColor="text1"/>
          <w:sz w:val="24"/>
          <w:szCs w:val="24"/>
        </w:rPr>
        <w:t xml:space="preserve"> </w:t>
      </w:r>
      <w:r w:rsidR="00B40738" w:rsidRPr="009018DF">
        <w:rPr>
          <w:rFonts w:ascii="Garamond" w:hAnsi="Garamond" w:cs="Times New Roman"/>
          <w:color w:val="000000" w:themeColor="text1"/>
          <w:sz w:val="24"/>
          <w:szCs w:val="24"/>
        </w:rPr>
        <w:t>surely</w:t>
      </w:r>
      <w:r w:rsidRPr="009018DF">
        <w:rPr>
          <w:rFonts w:ascii="Garamond" w:hAnsi="Garamond" w:cs="Times New Roman"/>
          <w:color w:val="000000" w:themeColor="text1"/>
          <w:sz w:val="24"/>
          <w:szCs w:val="24"/>
        </w:rPr>
        <w:t xml:space="preserve"> </w:t>
      </w:r>
      <w:r w:rsidR="00AE6BB4" w:rsidRPr="009018DF">
        <w:rPr>
          <w:rFonts w:ascii="Garamond" w:hAnsi="Garamond" w:cs="Times New Roman"/>
          <w:color w:val="000000" w:themeColor="text1"/>
          <w:sz w:val="24"/>
          <w:szCs w:val="24"/>
        </w:rPr>
        <w:t>requires some form of spirituality that both activates it and sustains it</w:t>
      </w:r>
      <w:r w:rsidRPr="009018DF">
        <w:rPr>
          <w:rFonts w:ascii="Garamond" w:hAnsi="Garamond" w:cs="Times New Roman"/>
          <w:color w:val="000000" w:themeColor="text1"/>
          <w:sz w:val="24"/>
          <w:szCs w:val="24"/>
        </w:rPr>
        <w:t xml:space="preserve">. </w:t>
      </w:r>
      <w:r w:rsidR="00E04CB5" w:rsidRPr="009018DF">
        <w:rPr>
          <w:rFonts w:ascii="Garamond" w:hAnsi="Garamond" w:cs="Times New Roman"/>
          <w:color w:val="000000" w:themeColor="text1"/>
          <w:sz w:val="24"/>
          <w:szCs w:val="24"/>
        </w:rPr>
        <w:t>This spirituality is defined by a fundamental openness to receive in a way that activates praxis as an inevitable consequence</w:t>
      </w:r>
      <w:r w:rsidR="00AD3675" w:rsidRPr="009018DF">
        <w:rPr>
          <w:rFonts w:ascii="Garamond" w:hAnsi="Garamond" w:cs="Times New Roman"/>
          <w:color w:val="000000" w:themeColor="text1"/>
          <w:sz w:val="24"/>
          <w:szCs w:val="24"/>
        </w:rPr>
        <w:t xml:space="preserve"> (Okpaleke 2018)</w:t>
      </w:r>
      <w:r w:rsidR="00E04CB5" w:rsidRPr="009018DF">
        <w:rPr>
          <w:rFonts w:ascii="Garamond" w:hAnsi="Garamond" w:cs="Times New Roman"/>
          <w:color w:val="000000" w:themeColor="text1"/>
          <w:sz w:val="24"/>
          <w:szCs w:val="24"/>
        </w:rPr>
        <w:t>. It is marked by an interiority and serendipity that make dialogue and action possible. T</w:t>
      </w:r>
      <w:r w:rsidR="00AE6BB4" w:rsidRPr="009018DF">
        <w:rPr>
          <w:rFonts w:ascii="Garamond" w:hAnsi="Garamond" w:cs="Times New Roman"/>
          <w:color w:val="000000" w:themeColor="text1"/>
          <w:sz w:val="24"/>
          <w:szCs w:val="24"/>
        </w:rPr>
        <w:t xml:space="preserve">herefore </w:t>
      </w:r>
      <w:r w:rsidR="00883F70" w:rsidRPr="009018DF">
        <w:rPr>
          <w:rFonts w:ascii="Garamond" w:hAnsi="Garamond" w:cs="Times New Roman"/>
          <w:color w:val="000000" w:themeColor="text1"/>
          <w:sz w:val="24"/>
          <w:szCs w:val="24"/>
        </w:rPr>
        <w:t xml:space="preserve">it is not enough </w:t>
      </w:r>
      <w:r w:rsidR="00AE6BB4" w:rsidRPr="009018DF">
        <w:rPr>
          <w:rFonts w:ascii="Garamond" w:hAnsi="Garamond" w:cs="Times New Roman"/>
          <w:color w:val="000000" w:themeColor="text1"/>
          <w:sz w:val="24"/>
          <w:szCs w:val="24"/>
        </w:rPr>
        <w:t xml:space="preserve">to </w:t>
      </w:r>
      <w:r w:rsidR="00B40738" w:rsidRPr="009018DF">
        <w:rPr>
          <w:rFonts w:ascii="Garamond" w:hAnsi="Garamond" w:cs="Times New Roman"/>
          <w:color w:val="000000" w:themeColor="text1"/>
          <w:sz w:val="24"/>
          <w:szCs w:val="24"/>
        </w:rPr>
        <w:t xml:space="preserve">simply </w:t>
      </w:r>
      <w:r w:rsidR="00AE6BB4" w:rsidRPr="009018DF">
        <w:rPr>
          <w:rFonts w:ascii="Garamond" w:hAnsi="Garamond" w:cs="Times New Roman"/>
          <w:color w:val="000000" w:themeColor="text1"/>
          <w:sz w:val="24"/>
          <w:szCs w:val="24"/>
        </w:rPr>
        <w:t>propose</w:t>
      </w:r>
      <w:r w:rsidRPr="009018DF">
        <w:rPr>
          <w:rFonts w:ascii="Garamond" w:hAnsi="Garamond" w:cs="Times New Roman"/>
          <w:color w:val="000000" w:themeColor="text1"/>
          <w:sz w:val="24"/>
          <w:szCs w:val="24"/>
        </w:rPr>
        <w:t xml:space="preserve"> a Christian </w:t>
      </w:r>
      <w:r w:rsidRPr="009018DF">
        <w:rPr>
          <w:rFonts w:ascii="Garamond" w:hAnsi="Garamond" w:cs="Times New Roman"/>
          <w:i/>
          <w:color w:val="000000" w:themeColor="text1"/>
          <w:sz w:val="24"/>
          <w:szCs w:val="24"/>
        </w:rPr>
        <w:t>identity-in-difference</w:t>
      </w:r>
      <w:r w:rsidRPr="009018DF">
        <w:rPr>
          <w:rFonts w:ascii="Garamond" w:hAnsi="Garamond" w:cs="Times New Roman"/>
          <w:color w:val="000000" w:themeColor="text1"/>
          <w:sz w:val="24"/>
          <w:szCs w:val="24"/>
        </w:rPr>
        <w:t xml:space="preserve"> </w:t>
      </w:r>
      <w:r w:rsidR="00B40738" w:rsidRPr="009018DF">
        <w:rPr>
          <w:rFonts w:ascii="Garamond" w:hAnsi="Garamond" w:cs="Times New Roman"/>
          <w:color w:val="000000" w:themeColor="text1"/>
          <w:sz w:val="24"/>
          <w:szCs w:val="24"/>
        </w:rPr>
        <w:t xml:space="preserve">framework </w:t>
      </w:r>
      <w:r w:rsidRPr="009018DF">
        <w:rPr>
          <w:rFonts w:ascii="Garamond" w:hAnsi="Garamond" w:cs="Times New Roman"/>
          <w:color w:val="000000" w:themeColor="text1"/>
          <w:sz w:val="24"/>
          <w:szCs w:val="24"/>
        </w:rPr>
        <w:t xml:space="preserve">that is rooted in the Trinitarian life of </w:t>
      </w:r>
      <w:r w:rsidRPr="009018DF">
        <w:rPr>
          <w:rFonts w:ascii="Garamond" w:hAnsi="Garamond" w:cs="Times New Roman"/>
          <w:color w:val="000000" w:themeColor="text1"/>
          <w:sz w:val="24"/>
          <w:szCs w:val="24"/>
        </w:rPr>
        <w:lastRenderedPageBreak/>
        <w:t>communion</w:t>
      </w:r>
      <w:r w:rsidR="00AE6BB4" w:rsidRPr="009018DF">
        <w:rPr>
          <w:rFonts w:ascii="Garamond" w:hAnsi="Garamond" w:cs="Times New Roman"/>
          <w:color w:val="000000" w:themeColor="text1"/>
          <w:sz w:val="24"/>
          <w:szCs w:val="24"/>
        </w:rPr>
        <w:t xml:space="preserve"> as the ground for such a dialogical hermeneutics</w:t>
      </w:r>
      <w:r w:rsidRPr="009018DF">
        <w:rPr>
          <w:rFonts w:ascii="Garamond" w:hAnsi="Garamond" w:cs="Times New Roman"/>
          <w:color w:val="000000" w:themeColor="text1"/>
          <w:sz w:val="24"/>
          <w:szCs w:val="24"/>
        </w:rPr>
        <w:t xml:space="preserve">. </w:t>
      </w:r>
      <w:r w:rsidR="00B40738" w:rsidRPr="009018DF">
        <w:rPr>
          <w:rFonts w:ascii="Garamond" w:hAnsi="Garamond" w:cs="Times New Roman"/>
          <w:color w:val="000000" w:themeColor="text1"/>
          <w:sz w:val="24"/>
          <w:szCs w:val="24"/>
        </w:rPr>
        <w:t xml:space="preserve">There ought to be an </w:t>
      </w:r>
      <w:r w:rsidR="00883F70" w:rsidRPr="009018DF">
        <w:rPr>
          <w:rFonts w:ascii="Garamond" w:hAnsi="Garamond" w:cs="Times New Roman"/>
          <w:color w:val="000000" w:themeColor="text1"/>
          <w:sz w:val="24"/>
          <w:szCs w:val="24"/>
        </w:rPr>
        <w:t>‘</w:t>
      </w:r>
      <w:r w:rsidR="00B40738" w:rsidRPr="009018DF">
        <w:rPr>
          <w:rFonts w:ascii="Garamond" w:hAnsi="Garamond" w:cs="Times New Roman"/>
          <w:color w:val="000000" w:themeColor="text1"/>
          <w:sz w:val="24"/>
          <w:szCs w:val="24"/>
        </w:rPr>
        <w:t>extra</w:t>
      </w:r>
      <w:r w:rsidR="00883F70" w:rsidRPr="009018DF">
        <w:rPr>
          <w:rFonts w:ascii="Garamond" w:hAnsi="Garamond" w:cs="Times New Roman"/>
          <w:color w:val="000000" w:themeColor="text1"/>
          <w:sz w:val="24"/>
          <w:szCs w:val="24"/>
        </w:rPr>
        <w:t>’</w:t>
      </w:r>
      <w:r w:rsidR="00B40738" w:rsidRPr="009018DF">
        <w:rPr>
          <w:rFonts w:ascii="Garamond" w:hAnsi="Garamond" w:cs="Times New Roman"/>
          <w:color w:val="000000" w:themeColor="text1"/>
          <w:sz w:val="24"/>
          <w:szCs w:val="24"/>
        </w:rPr>
        <w:t xml:space="preserve"> that begins from the place of primary faith to an understanding the dialogical implications of the faith.</w:t>
      </w:r>
      <w:r w:rsidR="00AE6BB4" w:rsidRPr="009018DF">
        <w:rPr>
          <w:rFonts w:ascii="Garamond" w:hAnsi="Garamond" w:cs="Times New Roman"/>
          <w:color w:val="000000" w:themeColor="text1"/>
          <w:sz w:val="24"/>
          <w:szCs w:val="24"/>
        </w:rPr>
        <w:t xml:space="preserve"> A</w:t>
      </w:r>
      <w:r w:rsidR="00B40738" w:rsidRPr="009018DF">
        <w:rPr>
          <w:rFonts w:ascii="Garamond" w:hAnsi="Garamond" w:cs="Times New Roman"/>
          <w:color w:val="000000" w:themeColor="text1"/>
          <w:sz w:val="24"/>
          <w:szCs w:val="24"/>
        </w:rPr>
        <w:t>s such</w:t>
      </w:r>
      <w:r w:rsidR="00AE6BB4" w:rsidRPr="009018DF">
        <w:rPr>
          <w:rFonts w:ascii="Garamond" w:hAnsi="Garamond" w:cs="Times New Roman"/>
          <w:color w:val="000000" w:themeColor="text1"/>
          <w:sz w:val="24"/>
          <w:szCs w:val="24"/>
        </w:rPr>
        <w:t>, the</w:t>
      </w:r>
      <w:r w:rsidR="009D1D5E" w:rsidRPr="009018DF">
        <w:rPr>
          <w:rFonts w:ascii="Garamond" w:hAnsi="Garamond" w:cs="Times New Roman"/>
          <w:color w:val="000000" w:themeColor="text1"/>
          <w:sz w:val="24"/>
          <w:szCs w:val="24"/>
        </w:rPr>
        <w:t xml:space="preserve"> critical </w:t>
      </w:r>
      <w:r w:rsidR="00667684" w:rsidRPr="009018DF">
        <w:rPr>
          <w:rFonts w:ascii="Garamond" w:hAnsi="Garamond" w:cs="Times New Roman"/>
          <w:color w:val="000000" w:themeColor="text1"/>
          <w:sz w:val="24"/>
          <w:szCs w:val="24"/>
        </w:rPr>
        <w:t>issue</w:t>
      </w:r>
      <w:r w:rsidR="009D1D5E" w:rsidRPr="009018DF">
        <w:rPr>
          <w:rFonts w:ascii="Garamond" w:hAnsi="Garamond" w:cs="Times New Roman"/>
          <w:color w:val="000000" w:themeColor="text1"/>
          <w:sz w:val="24"/>
          <w:szCs w:val="24"/>
        </w:rPr>
        <w:t xml:space="preserve"> </w:t>
      </w:r>
      <w:r w:rsidR="00AE6BB4" w:rsidRPr="009018DF">
        <w:rPr>
          <w:rFonts w:ascii="Garamond" w:hAnsi="Garamond" w:cs="Times New Roman"/>
          <w:color w:val="000000" w:themeColor="text1"/>
          <w:sz w:val="24"/>
          <w:szCs w:val="24"/>
        </w:rPr>
        <w:t xml:space="preserve">here </w:t>
      </w:r>
      <w:r w:rsidR="009D1D5E" w:rsidRPr="009018DF">
        <w:rPr>
          <w:rFonts w:ascii="Garamond" w:hAnsi="Garamond" w:cs="Times New Roman"/>
          <w:color w:val="000000" w:themeColor="text1"/>
          <w:sz w:val="24"/>
          <w:szCs w:val="24"/>
        </w:rPr>
        <w:t xml:space="preserve">bothers on the question of how a Christian belief in the Trinity could lead to an embrace of the orientations. Hence, </w:t>
      </w:r>
      <w:r w:rsidR="009D1D5E" w:rsidRPr="009018DF">
        <w:rPr>
          <w:rFonts w:ascii="Garamond" w:hAnsi="Garamond" w:cs="Times New Roman"/>
          <w:i/>
          <w:color w:val="000000" w:themeColor="text1"/>
          <w:sz w:val="24"/>
          <w:szCs w:val="24"/>
        </w:rPr>
        <w:t>what are the conditions that would enable a Chrisitan who confess</w:t>
      </w:r>
      <w:r w:rsidR="00A5161F" w:rsidRPr="009018DF">
        <w:rPr>
          <w:rFonts w:ascii="Garamond" w:hAnsi="Garamond" w:cs="Times New Roman"/>
          <w:i/>
          <w:color w:val="000000" w:themeColor="text1"/>
          <w:sz w:val="24"/>
          <w:szCs w:val="24"/>
        </w:rPr>
        <w:t>es</w:t>
      </w:r>
      <w:r w:rsidR="009D1D5E" w:rsidRPr="009018DF">
        <w:rPr>
          <w:rFonts w:ascii="Garamond" w:hAnsi="Garamond" w:cs="Times New Roman"/>
          <w:i/>
          <w:color w:val="000000" w:themeColor="text1"/>
          <w:sz w:val="24"/>
          <w:szCs w:val="24"/>
        </w:rPr>
        <w:t xml:space="preserve"> God as Trinity to share in these Trinitarian </w:t>
      </w:r>
      <w:r w:rsidR="00A5161F" w:rsidRPr="009018DF">
        <w:rPr>
          <w:rFonts w:ascii="Garamond" w:hAnsi="Garamond" w:cs="Times New Roman"/>
          <w:i/>
          <w:color w:val="000000" w:themeColor="text1"/>
          <w:sz w:val="24"/>
          <w:szCs w:val="24"/>
        </w:rPr>
        <w:t xml:space="preserve">dialogical </w:t>
      </w:r>
      <w:r w:rsidR="009D1D5E" w:rsidRPr="009018DF">
        <w:rPr>
          <w:rFonts w:ascii="Garamond" w:hAnsi="Garamond" w:cs="Times New Roman"/>
          <w:i/>
          <w:color w:val="000000" w:themeColor="text1"/>
          <w:sz w:val="24"/>
          <w:szCs w:val="24"/>
        </w:rPr>
        <w:t xml:space="preserve">orientations that would, in turn, lead </w:t>
      </w:r>
      <w:r w:rsidR="00A5161F" w:rsidRPr="009018DF">
        <w:rPr>
          <w:rFonts w:ascii="Garamond" w:hAnsi="Garamond" w:cs="Times New Roman"/>
          <w:i/>
          <w:color w:val="000000" w:themeColor="text1"/>
          <w:sz w:val="24"/>
          <w:szCs w:val="24"/>
        </w:rPr>
        <w:t>him or her</w:t>
      </w:r>
      <w:r w:rsidR="009D1D5E" w:rsidRPr="009018DF">
        <w:rPr>
          <w:rFonts w:ascii="Garamond" w:hAnsi="Garamond" w:cs="Times New Roman"/>
          <w:i/>
          <w:color w:val="000000" w:themeColor="text1"/>
          <w:sz w:val="24"/>
          <w:szCs w:val="24"/>
        </w:rPr>
        <w:t xml:space="preserve"> to engage in the dialogical praxes?</w:t>
      </w:r>
      <w:r w:rsidR="009D1D5E" w:rsidRPr="009018DF">
        <w:rPr>
          <w:rFonts w:ascii="Garamond" w:hAnsi="Garamond" w:cs="Times New Roman"/>
          <w:color w:val="000000" w:themeColor="text1"/>
          <w:sz w:val="24"/>
          <w:szCs w:val="24"/>
        </w:rPr>
        <w:t xml:space="preserve"> This question is important when viewed from the reality of the acts of intolerance, exclusion, and even oppression</w:t>
      </w:r>
      <w:r w:rsidR="00B40738" w:rsidRPr="009018DF">
        <w:rPr>
          <w:rFonts w:ascii="Garamond" w:hAnsi="Garamond" w:cs="Times New Roman"/>
          <w:color w:val="000000" w:themeColor="text1"/>
          <w:sz w:val="24"/>
          <w:szCs w:val="24"/>
        </w:rPr>
        <w:t xml:space="preserve">. What could have accounted for these actions that contradict the proposal for mutual understanding and peace co-existence that this article addresses? </w:t>
      </w:r>
      <w:r w:rsidR="00BD1494" w:rsidRPr="009018DF">
        <w:rPr>
          <w:rFonts w:ascii="Garamond" w:hAnsi="Garamond" w:cs="Times New Roman"/>
          <w:color w:val="000000" w:themeColor="text1"/>
          <w:sz w:val="24"/>
          <w:szCs w:val="24"/>
        </w:rPr>
        <w:t>Why is faith/belief in God (Trinity) not enough to move people towards love and acceptance of the other?</w:t>
      </w:r>
      <w:r w:rsidR="009D1D5E" w:rsidRPr="009018DF">
        <w:rPr>
          <w:rFonts w:ascii="Garamond" w:hAnsi="Garamond" w:cs="Times New Roman"/>
          <w:color w:val="000000" w:themeColor="text1"/>
          <w:sz w:val="24"/>
          <w:szCs w:val="24"/>
        </w:rPr>
        <w:t xml:space="preserve"> </w:t>
      </w:r>
    </w:p>
    <w:p w14:paraId="187B71D5" w14:textId="3059A661" w:rsidR="009D1D5E" w:rsidRPr="009018DF" w:rsidRDefault="00BD1494" w:rsidP="008B26CC">
      <w:pPr>
        <w:spacing w:before="0" w:after="0"/>
        <w:rPr>
          <w:rFonts w:ascii="Garamond" w:hAnsi="Garamond" w:cs="Times New Roman"/>
          <w:color w:val="000000" w:themeColor="text1"/>
          <w:sz w:val="24"/>
          <w:szCs w:val="24"/>
        </w:rPr>
      </w:pPr>
      <w:r w:rsidRPr="009018DF">
        <w:rPr>
          <w:rFonts w:ascii="Garamond" w:hAnsi="Garamond" w:cs="Times New Roman"/>
          <w:color w:val="000000" w:themeColor="text1"/>
          <w:sz w:val="24"/>
          <w:szCs w:val="24"/>
        </w:rPr>
        <w:tab/>
      </w:r>
      <w:r w:rsidR="009D1D5E" w:rsidRPr="009018DF">
        <w:rPr>
          <w:rFonts w:ascii="Garamond" w:hAnsi="Garamond" w:cs="Times New Roman"/>
          <w:color w:val="000000" w:themeColor="text1"/>
          <w:sz w:val="24"/>
          <w:szCs w:val="24"/>
        </w:rPr>
        <w:t>Addressing th</w:t>
      </w:r>
      <w:r w:rsidRPr="009018DF">
        <w:rPr>
          <w:rFonts w:ascii="Garamond" w:hAnsi="Garamond" w:cs="Times New Roman"/>
          <w:color w:val="000000" w:themeColor="text1"/>
          <w:sz w:val="24"/>
          <w:szCs w:val="24"/>
        </w:rPr>
        <w:t>ese</w:t>
      </w:r>
      <w:r w:rsidR="009D1D5E" w:rsidRPr="009018DF">
        <w:rPr>
          <w:rFonts w:ascii="Garamond" w:hAnsi="Garamond" w:cs="Times New Roman"/>
          <w:color w:val="000000" w:themeColor="text1"/>
          <w:sz w:val="24"/>
          <w:szCs w:val="24"/>
        </w:rPr>
        <w:t xml:space="preserve"> question</w:t>
      </w:r>
      <w:r w:rsidRPr="009018DF">
        <w:rPr>
          <w:rFonts w:ascii="Garamond" w:hAnsi="Garamond" w:cs="Times New Roman"/>
          <w:color w:val="000000" w:themeColor="text1"/>
          <w:sz w:val="24"/>
          <w:szCs w:val="24"/>
        </w:rPr>
        <w:t>s</w:t>
      </w:r>
      <w:r w:rsidR="009D1D5E" w:rsidRPr="009018DF">
        <w:rPr>
          <w:rFonts w:ascii="Garamond" w:hAnsi="Garamond" w:cs="Times New Roman"/>
          <w:color w:val="000000" w:themeColor="text1"/>
          <w:sz w:val="24"/>
          <w:szCs w:val="24"/>
        </w:rPr>
        <w:t xml:space="preserve"> raises up the need for what I would call a ‘spirituality of a Trinitarian intercultural hermeneutics of dialogue’. </w:t>
      </w:r>
      <w:r w:rsidRPr="009018DF">
        <w:rPr>
          <w:rFonts w:ascii="Garamond" w:hAnsi="Garamond" w:cs="Times New Roman"/>
          <w:color w:val="000000" w:themeColor="text1"/>
          <w:sz w:val="24"/>
          <w:szCs w:val="24"/>
        </w:rPr>
        <w:t>Through spirituality the individual believer opens himself or herself to the interior conversion and renewal by the divine. This happens by means of an inner search for the ultimate Will of God rather the rationally constructed views that often prioritize the self-preservation and self-referentiality over openness towards and love of the other. Within the parameters of a Trinitarian intercultural hermeneutics of dialogue,</w:t>
      </w:r>
      <w:r w:rsidR="009D1D5E" w:rsidRPr="009018DF">
        <w:rPr>
          <w:rFonts w:ascii="Garamond" w:hAnsi="Garamond" w:cs="Times New Roman"/>
          <w:color w:val="000000" w:themeColor="text1"/>
          <w:sz w:val="24"/>
          <w:szCs w:val="24"/>
        </w:rPr>
        <w:t xml:space="preserve"> </w:t>
      </w:r>
      <w:r w:rsidRPr="009018DF">
        <w:rPr>
          <w:rFonts w:ascii="Garamond" w:hAnsi="Garamond" w:cs="Times New Roman"/>
          <w:color w:val="000000" w:themeColor="text1"/>
          <w:sz w:val="24"/>
          <w:szCs w:val="24"/>
        </w:rPr>
        <w:t>such a</w:t>
      </w:r>
      <w:r w:rsidR="009D1D5E" w:rsidRPr="009018DF">
        <w:rPr>
          <w:rFonts w:ascii="Garamond" w:hAnsi="Garamond" w:cs="Times New Roman"/>
          <w:color w:val="000000" w:themeColor="text1"/>
          <w:sz w:val="24"/>
          <w:szCs w:val="24"/>
        </w:rPr>
        <w:t xml:space="preserve"> ‘spirituality’ is to be shaped by the following three</w:t>
      </w:r>
      <w:r w:rsidRPr="009018DF">
        <w:rPr>
          <w:rFonts w:ascii="Garamond" w:hAnsi="Garamond" w:cs="Times New Roman"/>
          <w:color w:val="000000" w:themeColor="text1"/>
          <w:sz w:val="24"/>
          <w:szCs w:val="24"/>
        </w:rPr>
        <w:t xml:space="preserve"> actions</w:t>
      </w:r>
      <w:r w:rsidR="009D1D5E" w:rsidRPr="009018DF">
        <w:rPr>
          <w:rFonts w:ascii="Garamond" w:hAnsi="Garamond" w:cs="Times New Roman"/>
          <w:color w:val="000000" w:themeColor="text1"/>
          <w:sz w:val="24"/>
          <w:szCs w:val="24"/>
        </w:rPr>
        <w:t>:</w:t>
      </w:r>
    </w:p>
    <w:p w14:paraId="412D6D7A" w14:textId="32235ED1" w:rsidR="009D1D5E" w:rsidRPr="009018DF" w:rsidRDefault="009D1D5E" w:rsidP="00E6285F">
      <w:pPr>
        <w:spacing w:before="0" w:after="0"/>
        <w:ind w:left="567"/>
        <w:rPr>
          <w:rFonts w:ascii="Garamond" w:hAnsi="Garamond" w:cs="Times New Roman"/>
          <w:color w:val="000000" w:themeColor="text1"/>
          <w:sz w:val="24"/>
          <w:szCs w:val="24"/>
        </w:rPr>
      </w:pPr>
      <w:r w:rsidRPr="009018DF">
        <w:rPr>
          <w:rFonts w:ascii="Garamond" w:hAnsi="Garamond" w:cs="Times New Roman"/>
          <w:color w:val="000000" w:themeColor="text1"/>
          <w:sz w:val="24"/>
          <w:szCs w:val="24"/>
        </w:rPr>
        <w:t xml:space="preserve">a) </w:t>
      </w:r>
      <w:r w:rsidRPr="009018DF">
        <w:rPr>
          <w:rFonts w:ascii="Garamond" w:hAnsi="Garamond" w:cs="Times New Roman"/>
          <w:i/>
          <w:iCs/>
          <w:color w:val="000000" w:themeColor="text1"/>
          <w:sz w:val="24"/>
          <w:szCs w:val="24"/>
        </w:rPr>
        <w:t>Prayer</w:t>
      </w:r>
      <w:r w:rsidRPr="009018DF">
        <w:rPr>
          <w:rFonts w:ascii="Garamond" w:hAnsi="Garamond" w:cs="Times New Roman"/>
          <w:color w:val="000000" w:themeColor="text1"/>
          <w:sz w:val="24"/>
          <w:szCs w:val="24"/>
        </w:rPr>
        <w:t xml:space="preserve"> – as a act of dependency on the Trinue God and so of the acknowledgement of our insufficiency, either as individuals or community.</w:t>
      </w:r>
      <w:r w:rsidR="00BD1494" w:rsidRPr="009018DF">
        <w:rPr>
          <w:rFonts w:ascii="Garamond" w:hAnsi="Garamond" w:cs="Times New Roman"/>
          <w:color w:val="000000" w:themeColor="text1"/>
          <w:sz w:val="24"/>
          <w:szCs w:val="24"/>
        </w:rPr>
        <w:t xml:space="preserve"> Thus, in the existential network of God and the self, a space is created for the intercultural other in a tripartite form of relationship that makes love possible, both at the vertical and horizontal dimensions.</w:t>
      </w:r>
    </w:p>
    <w:p w14:paraId="6EFC43DE" w14:textId="235D2256" w:rsidR="000177CC" w:rsidRPr="009018DF" w:rsidRDefault="009D1D5E" w:rsidP="00E6285F">
      <w:pPr>
        <w:spacing w:before="0" w:after="0"/>
        <w:ind w:left="567"/>
        <w:rPr>
          <w:rFonts w:ascii="Garamond" w:hAnsi="Garamond" w:cs="Times New Roman"/>
          <w:color w:val="000000" w:themeColor="text1"/>
          <w:sz w:val="24"/>
          <w:szCs w:val="24"/>
        </w:rPr>
      </w:pPr>
      <w:r w:rsidRPr="009018DF">
        <w:rPr>
          <w:rFonts w:ascii="Garamond" w:hAnsi="Garamond" w:cs="Times New Roman"/>
          <w:color w:val="000000" w:themeColor="text1"/>
          <w:sz w:val="24"/>
          <w:szCs w:val="24"/>
        </w:rPr>
        <w:t xml:space="preserve">b) </w:t>
      </w:r>
      <w:r w:rsidRPr="009018DF">
        <w:rPr>
          <w:rFonts w:ascii="Garamond" w:hAnsi="Garamond" w:cs="Times New Roman"/>
          <w:i/>
          <w:iCs/>
          <w:color w:val="000000" w:themeColor="text1"/>
          <w:sz w:val="24"/>
          <w:szCs w:val="24"/>
        </w:rPr>
        <w:t>Silence</w:t>
      </w:r>
      <w:r w:rsidRPr="009018DF">
        <w:rPr>
          <w:rFonts w:ascii="Garamond" w:hAnsi="Garamond" w:cs="Times New Roman"/>
          <w:color w:val="000000" w:themeColor="text1"/>
          <w:sz w:val="24"/>
          <w:szCs w:val="24"/>
        </w:rPr>
        <w:t xml:space="preserve"> – before the </w:t>
      </w:r>
      <w:r w:rsidR="000177CC" w:rsidRPr="009018DF">
        <w:rPr>
          <w:rFonts w:ascii="Garamond" w:hAnsi="Garamond" w:cs="Times New Roman"/>
          <w:color w:val="000000" w:themeColor="text1"/>
          <w:sz w:val="24"/>
          <w:szCs w:val="24"/>
        </w:rPr>
        <w:t xml:space="preserve">Wholly Other (God) and the </w:t>
      </w:r>
      <w:r w:rsidRPr="009018DF">
        <w:rPr>
          <w:rFonts w:ascii="Garamond" w:hAnsi="Garamond" w:cs="Times New Roman"/>
          <w:color w:val="000000" w:themeColor="text1"/>
          <w:sz w:val="24"/>
          <w:szCs w:val="24"/>
        </w:rPr>
        <w:t>‘other’</w:t>
      </w:r>
      <w:r w:rsidR="000177CC" w:rsidRPr="009018DF">
        <w:rPr>
          <w:rFonts w:ascii="Garamond" w:hAnsi="Garamond" w:cs="Times New Roman"/>
          <w:color w:val="000000" w:themeColor="text1"/>
          <w:sz w:val="24"/>
          <w:szCs w:val="24"/>
        </w:rPr>
        <w:t xml:space="preserve"> as the image of God</w:t>
      </w:r>
      <w:r w:rsidR="00BD1494" w:rsidRPr="009018DF">
        <w:rPr>
          <w:rFonts w:ascii="Garamond" w:hAnsi="Garamond" w:cs="Times New Roman"/>
          <w:color w:val="000000" w:themeColor="text1"/>
          <w:sz w:val="24"/>
          <w:szCs w:val="24"/>
        </w:rPr>
        <w:t>. In this</w:t>
      </w:r>
      <w:r w:rsidR="000177CC" w:rsidRPr="009018DF">
        <w:rPr>
          <w:rFonts w:ascii="Garamond" w:hAnsi="Garamond" w:cs="Times New Roman"/>
          <w:color w:val="000000" w:themeColor="text1"/>
          <w:sz w:val="24"/>
          <w:szCs w:val="24"/>
        </w:rPr>
        <w:t xml:space="preserve"> silence</w:t>
      </w:r>
      <w:r w:rsidR="00BD1494" w:rsidRPr="009018DF">
        <w:rPr>
          <w:rFonts w:ascii="Garamond" w:hAnsi="Garamond" w:cs="Times New Roman"/>
          <w:color w:val="000000" w:themeColor="text1"/>
          <w:sz w:val="24"/>
          <w:szCs w:val="24"/>
        </w:rPr>
        <w:t xml:space="preserve"> one</w:t>
      </w:r>
      <w:r w:rsidR="000177CC" w:rsidRPr="009018DF">
        <w:rPr>
          <w:rFonts w:ascii="Garamond" w:hAnsi="Garamond" w:cs="Times New Roman"/>
          <w:color w:val="000000" w:themeColor="text1"/>
          <w:sz w:val="24"/>
          <w:szCs w:val="24"/>
        </w:rPr>
        <w:t xml:space="preserve"> recognizes</w:t>
      </w:r>
      <w:r w:rsidR="00BD1494" w:rsidRPr="009018DF">
        <w:rPr>
          <w:rFonts w:ascii="Garamond" w:hAnsi="Garamond" w:cs="Times New Roman"/>
          <w:color w:val="000000" w:themeColor="text1"/>
          <w:sz w:val="24"/>
          <w:szCs w:val="24"/>
        </w:rPr>
        <w:t xml:space="preserve"> the sublime</w:t>
      </w:r>
      <w:r w:rsidR="000177CC" w:rsidRPr="009018DF">
        <w:rPr>
          <w:rFonts w:ascii="Garamond" w:hAnsi="Garamond" w:cs="Times New Roman"/>
          <w:color w:val="000000" w:themeColor="text1"/>
          <w:sz w:val="24"/>
          <w:szCs w:val="24"/>
        </w:rPr>
        <w:t xml:space="preserve"> presence of that which we are called to love and to embrace; </w:t>
      </w:r>
      <w:r w:rsidR="00BD1494" w:rsidRPr="009018DF">
        <w:rPr>
          <w:rFonts w:ascii="Garamond" w:hAnsi="Garamond" w:cs="Times New Roman"/>
          <w:color w:val="000000" w:themeColor="text1"/>
          <w:sz w:val="24"/>
          <w:szCs w:val="24"/>
        </w:rPr>
        <w:t>a</w:t>
      </w:r>
      <w:r w:rsidR="008B26CC" w:rsidRPr="009018DF">
        <w:rPr>
          <w:rFonts w:ascii="Garamond" w:hAnsi="Garamond" w:cs="Times New Roman"/>
          <w:color w:val="000000" w:themeColor="text1"/>
          <w:sz w:val="24"/>
          <w:szCs w:val="24"/>
        </w:rPr>
        <w:t>n attentive</w:t>
      </w:r>
      <w:r w:rsidR="00BD1494" w:rsidRPr="009018DF">
        <w:rPr>
          <w:rFonts w:ascii="Garamond" w:hAnsi="Garamond" w:cs="Times New Roman"/>
          <w:color w:val="000000" w:themeColor="text1"/>
          <w:sz w:val="24"/>
          <w:szCs w:val="24"/>
        </w:rPr>
        <w:t xml:space="preserve"> </w:t>
      </w:r>
      <w:r w:rsidR="000177CC" w:rsidRPr="009018DF">
        <w:rPr>
          <w:rFonts w:ascii="Garamond" w:hAnsi="Garamond" w:cs="Times New Roman"/>
          <w:color w:val="000000" w:themeColor="text1"/>
          <w:sz w:val="24"/>
          <w:szCs w:val="24"/>
        </w:rPr>
        <w:t>silence before the</w:t>
      </w:r>
      <w:r w:rsidR="008B26CC" w:rsidRPr="009018DF">
        <w:rPr>
          <w:rFonts w:ascii="Garamond" w:hAnsi="Garamond" w:cs="Times New Roman"/>
          <w:color w:val="000000" w:themeColor="text1"/>
          <w:sz w:val="24"/>
          <w:szCs w:val="24"/>
        </w:rPr>
        <w:t xml:space="preserve"> Being to whom we owe our existence as well as the</w:t>
      </w:r>
      <w:r w:rsidR="000177CC" w:rsidRPr="009018DF">
        <w:rPr>
          <w:rFonts w:ascii="Garamond" w:hAnsi="Garamond" w:cs="Times New Roman"/>
          <w:color w:val="000000" w:themeColor="text1"/>
          <w:sz w:val="24"/>
          <w:szCs w:val="24"/>
        </w:rPr>
        <w:t xml:space="preserve"> being with whom we share the same existential space and reality.</w:t>
      </w:r>
    </w:p>
    <w:p w14:paraId="5E4C97F1" w14:textId="0BD2A177" w:rsidR="009D1D5E" w:rsidRPr="009018DF" w:rsidRDefault="000177CC" w:rsidP="00E6285F">
      <w:pPr>
        <w:spacing w:before="0" w:after="0"/>
        <w:ind w:left="567"/>
        <w:rPr>
          <w:rFonts w:ascii="Garamond" w:hAnsi="Garamond" w:cs="Times New Roman"/>
          <w:color w:val="000000" w:themeColor="text1"/>
          <w:sz w:val="24"/>
          <w:szCs w:val="24"/>
        </w:rPr>
      </w:pPr>
      <w:r w:rsidRPr="009018DF">
        <w:rPr>
          <w:rFonts w:ascii="Garamond" w:hAnsi="Garamond" w:cs="Times New Roman"/>
          <w:color w:val="000000" w:themeColor="text1"/>
          <w:sz w:val="24"/>
          <w:szCs w:val="24"/>
        </w:rPr>
        <w:t xml:space="preserve">c) </w:t>
      </w:r>
      <w:r w:rsidRPr="009018DF">
        <w:rPr>
          <w:rFonts w:ascii="Garamond" w:hAnsi="Garamond" w:cs="Times New Roman"/>
          <w:i/>
          <w:iCs/>
          <w:color w:val="000000" w:themeColor="text1"/>
          <w:sz w:val="24"/>
          <w:szCs w:val="24"/>
        </w:rPr>
        <w:t>Contemplation</w:t>
      </w:r>
      <w:r w:rsidRPr="009018DF">
        <w:rPr>
          <w:rFonts w:ascii="Garamond" w:hAnsi="Garamond" w:cs="Times New Roman"/>
          <w:color w:val="000000" w:themeColor="text1"/>
          <w:sz w:val="24"/>
          <w:szCs w:val="24"/>
        </w:rPr>
        <w:t xml:space="preserve"> – of the </w:t>
      </w:r>
      <w:r w:rsidR="008B26CC" w:rsidRPr="009018DF">
        <w:rPr>
          <w:rFonts w:ascii="Garamond" w:hAnsi="Garamond" w:cs="Times New Roman"/>
          <w:color w:val="000000" w:themeColor="text1"/>
          <w:sz w:val="24"/>
          <w:szCs w:val="24"/>
        </w:rPr>
        <w:t xml:space="preserve">Other as a response to love, and of the </w:t>
      </w:r>
      <w:r w:rsidRPr="009018DF">
        <w:rPr>
          <w:rFonts w:ascii="Garamond" w:hAnsi="Garamond" w:cs="Times New Roman"/>
          <w:color w:val="000000" w:themeColor="text1"/>
          <w:sz w:val="24"/>
          <w:szCs w:val="24"/>
        </w:rPr>
        <w:t>other as deserving of our direct attention that is not mitigated by the contigent factors of biased history, misinformation, prejudice and learned hate.</w:t>
      </w:r>
      <w:r w:rsidR="008B26CC" w:rsidRPr="009018DF">
        <w:rPr>
          <w:rFonts w:ascii="Garamond" w:hAnsi="Garamond" w:cs="Times New Roman"/>
          <w:color w:val="000000" w:themeColor="text1"/>
          <w:sz w:val="24"/>
          <w:szCs w:val="24"/>
        </w:rPr>
        <w:t xml:space="preserve"> In contemplation the believer experiences the profundity of the affirmation and friendship that he or she receives through faith and also feels the weight of the obligation to share with others, irrespective of boundaries.</w:t>
      </w:r>
    </w:p>
    <w:p w14:paraId="5CE29D62" w14:textId="20900644" w:rsidR="00D20285" w:rsidRPr="009018DF" w:rsidRDefault="000177CC" w:rsidP="008B26CC">
      <w:pPr>
        <w:spacing w:before="0" w:after="0"/>
        <w:rPr>
          <w:rFonts w:ascii="Garamond" w:hAnsi="Garamond" w:cs="Times New Roman"/>
          <w:color w:val="000000" w:themeColor="text1"/>
          <w:sz w:val="24"/>
          <w:szCs w:val="24"/>
        </w:rPr>
      </w:pPr>
      <w:r w:rsidRPr="009018DF">
        <w:rPr>
          <w:rFonts w:ascii="Garamond" w:hAnsi="Garamond" w:cs="Times New Roman"/>
          <w:color w:val="000000" w:themeColor="text1"/>
          <w:sz w:val="24"/>
          <w:szCs w:val="24"/>
        </w:rPr>
        <w:t xml:space="preserve">The conditions that are reflected in this ‘spirituality’ </w:t>
      </w:r>
      <w:r w:rsidR="008B26CC" w:rsidRPr="009018DF">
        <w:rPr>
          <w:rFonts w:ascii="Garamond" w:hAnsi="Garamond" w:cs="Times New Roman"/>
          <w:color w:val="000000" w:themeColor="text1"/>
          <w:sz w:val="24"/>
          <w:szCs w:val="24"/>
        </w:rPr>
        <w:t xml:space="preserve">radically </w:t>
      </w:r>
      <w:r w:rsidRPr="009018DF">
        <w:rPr>
          <w:rFonts w:ascii="Garamond" w:hAnsi="Garamond" w:cs="Times New Roman"/>
          <w:color w:val="000000" w:themeColor="text1"/>
          <w:sz w:val="24"/>
          <w:szCs w:val="24"/>
        </w:rPr>
        <w:t>confront the believer in the Trinity with the implications of such belief and equally disposes him or her to the dialogical orientations and praxes that are derived therefrom.</w:t>
      </w:r>
    </w:p>
    <w:p w14:paraId="504D3120" w14:textId="77777777" w:rsidR="008B26CC" w:rsidRPr="009018DF" w:rsidRDefault="008B26CC" w:rsidP="008B26CC">
      <w:pPr>
        <w:spacing w:before="0" w:after="0"/>
        <w:rPr>
          <w:rFonts w:ascii="Garamond" w:hAnsi="Garamond" w:cs="Times New Roman"/>
          <w:color w:val="000000" w:themeColor="text1"/>
          <w:sz w:val="24"/>
          <w:szCs w:val="24"/>
        </w:rPr>
      </w:pPr>
    </w:p>
    <w:p w14:paraId="6A2DE081" w14:textId="77777777" w:rsidR="00D20285" w:rsidRPr="009018DF" w:rsidRDefault="00D20285" w:rsidP="008B26CC">
      <w:pPr>
        <w:spacing w:before="0" w:after="0"/>
        <w:ind w:firstLine="567"/>
        <w:rPr>
          <w:rFonts w:ascii="Garamond" w:hAnsi="Garamond" w:cs="Times New Roman"/>
          <w:color w:val="000000" w:themeColor="text1"/>
          <w:sz w:val="24"/>
          <w:szCs w:val="24"/>
        </w:rPr>
      </w:pPr>
    </w:p>
    <w:p w14:paraId="6823796D" w14:textId="7846ADD1" w:rsidR="00D20285" w:rsidRPr="009018DF" w:rsidRDefault="00B96D02" w:rsidP="008B26CC">
      <w:pPr>
        <w:pStyle w:val="Heading1"/>
        <w:spacing w:before="0"/>
        <w:ind w:left="360" w:hanging="360"/>
        <w:rPr>
          <w:rFonts w:ascii="Garamond" w:hAnsi="Garamond"/>
          <w:b w:val="0"/>
          <w:sz w:val="24"/>
          <w:szCs w:val="24"/>
        </w:rPr>
      </w:pPr>
      <w:bookmarkStart w:id="7" w:name="_Toc31190731"/>
      <w:r w:rsidRPr="009018DF">
        <w:rPr>
          <w:rFonts w:ascii="Garamond" w:hAnsi="Garamond"/>
          <w:bCs/>
          <w:sz w:val="24"/>
          <w:szCs w:val="24"/>
        </w:rPr>
        <w:t>C</w:t>
      </w:r>
      <w:r w:rsidR="0090324A" w:rsidRPr="009018DF">
        <w:rPr>
          <w:rFonts w:ascii="Garamond" w:hAnsi="Garamond"/>
          <w:bCs/>
          <w:sz w:val="24"/>
          <w:szCs w:val="24"/>
        </w:rPr>
        <w:t>onclusion</w:t>
      </w:r>
      <w:bookmarkEnd w:id="7"/>
      <w:r w:rsidRPr="009018DF">
        <w:rPr>
          <w:rFonts w:ascii="Garamond" w:hAnsi="Garamond"/>
          <w:b w:val="0"/>
          <w:sz w:val="24"/>
          <w:szCs w:val="24"/>
        </w:rPr>
        <w:t xml:space="preserve"> </w:t>
      </w:r>
    </w:p>
    <w:p w14:paraId="7CB1C428" w14:textId="77777777" w:rsidR="00667684" w:rsidRPr="009018DF" w:rsidRDefault="00667684" w:rsidP="008B26CC">
      <w:pPr>
        <w:spacing w:before="0" w:after="0"/>
        <w:rPr>
          <w:rFonts w:ascii="Garamond" w:hAnsi="Garamond" w:cs="Times New Roman"/>
          <w:color w:val="000000" w:themeColor="text1"/>
          <w:sz w:val="24"/>
          <w:szCs w:val="24"/>
        </w:rPr>
      </w:pPr>
    </w:p>
    <w:p w14:paraId="55AB1AB3" w14:textId="5221FB47" w:rsidR="00B96D02" w:rsidRPr="009018DF" w:rsidRDefault="00B96D02" w:rsidP="008B26CC">
      <w:pPr>
        <w:spacing w:before="0" w:after="0"/>
        <w:rPr>
          <w:rFonts w:ascii="Garamond" w:hAnsi="Garamond" w:cs="Times New Roman"/>
          <w:color w:val="000000" w:themeColor="text1"/>
          <w:sz w:val="24"/>
          <w:szCs w:val="24"/>
        </w:rPr>
      </w:pPr>
      <w:r w:rsidRPr="009018DF">
        <w:rPr>
          <w:rFonts w:ascii="Garamond" w:hAnsi="Garamond" w:cs="Times New Roman"/>
          <w:color w:val="000000" w:themeColor="text1"/>
          <w:sz w:val="24"/>
          <w:szCs w:val="24"/>
        </w:rPr>
        <w:t>Trinitarian patterning as a dialogical framework that focuses on the elements of differentiation</w:t>
      </w:r>
      <w:r w:rsidR="0090324A" w:rsidRPr="009018DF">
        <w:rPr>
          <w:rFonts w:ascii="Garamond" w:hAnsi="Garamond" w:cs="Times New Roman"/>
          <w:color w:val="000000" w:themeColor="text1"/>
          <w:sz w:val="24"/>
          <w:szCs w:val="24"/>
        </w:rPr>
        <w:t xml:space="preserve"> – </w:t>
      </w:r>
      <w:r w:rsidR="005817A7" w:rsidRPr="009018DF">
        <w:rPr>
          <w:rFonts w:ascii="Garamond" w:hAnsi="Garamond" w:cs="Times New Roman"/>
          <w:color w:val="000000" w:themeColor="text1"/>
          <w:sz w:val="24"/>
          <w:szCs w:val="24"/>
        </w:rPr>
        <w:t>cf.</w:t>
      </w:r>
      <w:r w:rsidR="0090324A" w:rsidRPr="009018DF">
        <w:rPr>
          <w:rFonts w:ascii="Garamond" w:hAnsi="Garamond" w:cs="Times New Roman"/>
          <w:color w:val="000000" w:themeColor="text1"/>
          <w:sz w:val="24"/>
          <w:szCs w:val="24"/>
        </w:rPr>
        <w:t xml:space="preserve"> </w:t>
      </w:r>
      <w:r w:rsidR="0090324A" w:rsidRPr="009018DF">
        <w:rPr>
          <w:rFonts w:ascii="Garamond" w:hAnsi="Garamond" w:cs="Times New Roman"/>
          <w:i/>
          <w:iCs/>
          <w:color w:val="000000" w:themeColor="text1"/>
          <w:sz w:val="24"/>
          <w:szCs w:val="24"/>
        </w:rPr>
        <w:t>identity-in-difference</w:t>
      </w:r>
      <w:r w:rsidR="0090324A" w:rsidRPr="009018DF">
        <w:rPr>
          <w:rFonts w:ascii="Garamond" w:hAnsi="Garamond" w:cs="Times New Roman"/>
          <w:color w:val="000000" w:themeColor="text1"/>
          <w:sz w:val="24"/>
          <w:szCs w:val="24"/>
        </w:rPr>
        <w:t xml:space="preserve"> –</w:t>
      </w:r>
      <w:r w:rsidRPr="009018DF">
        <w:rPr>
          <w:rFonts w:ascii="Garamond" w:hAnsi="Garamond" w:cs="Times New Roman"/>
          <w:color w:val="000000" w:themeColor="text1"/>
          <w:sz w:val="24"/>
          <w:szCs w:val="24"/>
        </w:rPr>
        <w:t xml:space="preserve"> within the Trinity highlights the dialogical orientations and praxes that are derivable from the Triune persons. The orientations of openness, rationality and experientiality are theologically derived from the Father, the Son and the Spirit, and correspond to them respectively. The dialogical praxes, namely acknowledgment, friendship and participation, follow in the same order. At the center of this theological </w:t>
      </w:r>
      <w:r w:rsidR="00504F81" w:rsidRPr="009018DF">
        <w:rPr>
          <w:rFonts w:ascii="Garamond" w:hAnsi="Garamond" w:cs="Times New Roman"/>
          <w:color w:val="000000" w:themeColor="text1"/>
          <w:sz w:val="24"/>
          <w:szCs w:val="24"/>
        </w:rPr>
        <w:t xml:space="preserve">hermeneutics </w:t>
      </w:r>
      <w:r w:rsidRPr="009018DF">
        <w:rPr>
          <w:rFonts w:ascii="Garamond" w:hAnsi="Garamond" w:cs="Times New Roman"/>
          <w:color w:val="000000" w:themeColor="text1"/>
          <w:sz w:val="24"/>
          <w:szCs w:val="24"/>
        </w:rPr>
        <w:t xml:space="preserve">is the critical core of the Christian identity, namely the Trinity. Quite clearly, the Christian identity remains the object of transformation that is addressed in this </w:t>
      </w:r>
      <w:r w:rsidR="00711CD5" w:rsidRPr="009018DF">
        <w:rPr>
          <w:rFonts w:ascii="Garamond" w:hAnsi="Garamond" w:cs="Times New Roman"/>
          <w:color w:val="000000" w:themeColor="text1"/>
          <w:sz w:val="24"/>
          <w:szCs w:val="24"/>
        </w:rPr>
        <w:t>lecture</w:t>
      </w:r>
      <w:r w:rsidRPr="009018DF">
        <w:rPr>
          <w:rFonts w:ascii="Garamond" w:hAnsi="Garamond" w:cs="Times New Roman"/>
          <w:color w:val="000000" w:themeColor="text1"/>
          <w:sz w:val="24"/>
          <w:szCs w:val="24"/>
        </w:rPr>
        <w:t xml:space="preserve">, both in its </w:t>
      </w:r>
      <w:r w:rsidRPr="009018DF">
        <w:rPr>
          <w:rFonts w:ascii="Garamond" w:hAnsi="Garamond" w:cs="Times New Roman"/>
          <w:i/>
          <w:color w:val="000000" w:themeColor="text1"/>
          <w:sz w:val="24"/>
          <w:szCs w:val="24"/>
        </w:rPr>
        <w:t>intra</w:t>
      </w:r>
      <w:r w:rsidRPr="009018DF">
        <w:rPr>
          <w:rFonts w:ascii="Garamond" w:hAnsi="Garamond" w:cs="Times New Roman"/>
          <w:color w:val="000000" w:themeColor="text1"/>
          <w:sz w:val="24"/>
          <w:szCs w:val="24"/>
        </w:rPr>
        <w:t xml:space="preserve">- and </w:t>
      </w:r>
      <w:r w:rsidRPr="009018DF">
        <w:rPr>
          <w:rFonts w:ascii="Garamond" w:hAnsi="Garamond" w:cs="Times New Roman"/>
          <w:i/>
          <w:color w:val="000000" w:themeColor="text1"/>
          <w:sz w:val="24"/>
          <w:szCs w:val="24"/>
        </w:rPr>
        <w:t>extra</w:t>
      </w:r>
      <w:r w:rsidRPr="009018DF">
        <w:rPr>
          <w:rFonts w:ascii="Garamond" w:hAnsi="Garamond" w:cs="Times New Roman"/>
          <w:color w:val="000000" w:themeColor="text1"/>
          <w:sz w:val="24"/>
          <w:szCs w:val="24"/>
        </w:rPr>
        <w:t>-dialogical engagements.</w:t>
      </w:r>
    </w:p>
    <w:p w14:paraId="1BD89743" w14:textId="4285A981" w:rsidR="009018DF" w:rsidRPr="009018DF" w:rsidRDefault="00B96D02" w:rsidP="009018DF">
      <w:pPr>
        <w:spacing w:before="0" w:after="0"/>
        <w:ind w:firstLine="567"/>
        <w:rPr>
          <w:rFonts w:ascii="Garamond" w:hAnsi="Garamond" w:cs="Times New Roman"/>
          <w:color w:val="000000" w:themeColor="text1"/>
          <w:sz w:val="24"/>
          <w:szCs w:val="24"/>
        </w:rPr>
      </w:pPr>
      <w:r w:rsidRPr="009018DF">
        <w:rPr>
          <w:rFonts w:ascii="Garamond" w:hAnsi="Garamond" w:cs="Times New Roman"/>
          <w:color w:val="000000" w:themeColor="text1"/>
          <w:sz w:val="24"/>
          <w:szCs w:val="24"/>
        </w:rPr>
        <w:lastRenderedPageBreak/>
        <w:t xml:space="preserve">Ipgrave’s Trinitarian patterning, </w:t>
      </w:r>
      <w:r w:rsidR="00667684" w:rsidRPr="009018DF">
        <w:rPr>
          <w:rFonts w:ascii="Garamond" w:hAnsi="Garamond" w:cs="Times New Roman"/>
          <w:color w:val="000000" w:themeColor="text1"/>
          <w:sz w:val="24"/>
          <w:szCs w:val="24"/>
        </w:rPr>
        <w:t xml:space="preserve">which </w:t>
      </w:r>
      <w:r w:rsidRPr="009018DF">
        <w:rPr>
          <w:rFonts w:ascii="Garamond" w:hAnsi="Garamond" w:cs="Times New Roman"/>
          <w:color w:val="000000" w:themeColor="text1"/>
          <w:sz w:val="24"/>
          <w:szCs w:val="24"/>
        </w:rPr>
        <w:t>unlike most Trinitarian approaches (D’Costa, Hick, Panikkar) appeals to ‘method’ in dialogue</w:t>
      </w:r>
      <w:r w:rsidR="00667684" w:rsidRPr="009018DF">
        <w:rPr>
          <w:rFonts w:ascii="Garamond" w:hAnsi="Garamond" w:cs="Times New Roman"/>
          <w:color w:val="000000" w:themeColor="text1"/>
          <w:sz w:val="24"/>
          <w:szCs w:val="24"/>
        </w:rPr>
        <w:t>, facilitates the construction of a Trinitarian intercultural hermeneutics of dialogue that I attempted in this paper</w:t>
      </w:r>
      <w:r w:rsidRPr="009018DF">
        <w:rPr>
          <w:rFonts w:ascii="Garamond" w:hAnsi="Garamond" w:cs="Times New Roman"/>
          <w:color w:val="000000" w:themeColor="text1"/>
          <w:sz w:val="24"/>
          <w:szCs w:val="24"/>
        </w:rPr>
        <w:t xml:space="preserve">. </w:t>
      </w:r>
      <w:r w:rsidR="00711CD5" w:rsidRPr="009018DF">
        <w:rPr>
          <w:rFonts w:ascii="Garamond" w:hAnsi="Garamond" w:cs="Times New Roman"/>
          <w:color w:val="000000" w:themeColor="text1"/>
          <w:sz w:val="24"/>
          <w:szCs w:val="24"/>
        </w:rPr>
        <w:t>The threefold dialogical praxes that emerge from the inter</w:t>
      </w:r>
      <w:r w:rsidR="005817A7" w:rsidRPr="009018DF">
        <w:rPr>
          <w:rFonts w:ascii="Garamond" w:hAnsi="Garamond" w:cs="Times New Roman"/>
          <w:color w:val="000000" w:themeColor="text1"/>
          <w:sz w:val="24"/>
          <w:szCs w:val="24"/>
        </w:rPr>
        <w:t xml:space="preserve">pretation of the Trinitarian appraoch that I have argued out, provide sites for a transformative dialogical engagement by Christians in the face of the many iterations of the ‘other’. </w:t>
      </w:r>
      <w:r w:rsidR="00ED5237" w:rsidRPr="009018DF">
        <w:rPr>
          <w:rFonts w:ascii="Garamond" w:hAnsi="Garamond" w:cs="Times New Roman"/>
          <w:color w:val="000000" w:themeColor="text1"/>
          <w:sz w:val="24"/>
          <w:szCs w:val="24"/>
        </w:rPr>
        <w:t xml:space="preserve">Nevertheless, the entire systematic theological framework stands the risk of being disconnected from </w:t>
      </w:r>
      <w:r w:rsidR="00ED5237" w:rsidRPr="009018DF">
        <w:rPr>
          <w:rFonts w:ascii="Garamond" w:hAnsi="Garamond" w:cs="Times New Roman"/>
          <w:i/>
          <w:color w:val="000000" w:themeColor="text1"/>
          <w:sz w:val="24"/>
          <w:szCs w:val="24"/>
        </w:rPr>
        <w:t>lived</w:t>
      </w:r>
      <w:r w:rsidR="00ED5237" w:rsidRPr="009018DF">
        <w:rPr>
          <w:rFonts w:ascii="Garamond" w:hAnsi="Garamond" w:cs="Times New Roman"/>
          <w:color w:val="000000" w:themeColor="text1"/>
          <w:sz w:val="24"/>
          <w:szCs w:val="24"/>
        </w:rPr>
        <w:t xml:space="preserve"> faith if it is not grounded in a ‘spirituality’ that emerges from the belief in the Trinity.</w:t>
      </w:r>
    </w:p>
    <w:p w14:paraId="5F2F931F" w14:textId="77777777" w:rsidR="009018DF" w:rsidRPr="009018DF" w:rsidRDefault="009018DF" w:rsidP="00BB75C6">
      <w:pPr>
        <w:pStyle w:val="FootnoteText"/>
        <w:spacing w:before="0" w:after="0" w:line="240" w:lineRule="auto"/>
        <w:rPr>
          <w:rFonts w:ascii="Garamond" w:hAnsi="Garamond" w:cs="Times New Roman"/>
          <w:color w:val="000000" w:themeColor="text1"/>
          <w:sz w:val="20"/>
          <w:szCs w:val="20"/>
        </w:rPr>
      </w:pPr>
    </w:p>
    <w:p w14:paraId="3F2BE56D" w14:textId="77777777" w:rsidR="009018DF" w:rsidRPr="009018DF" w:rsidRDefault="009018DF" w:rsidP="00BB75C6">
      <w:pPr>
        <w:pStyle w:val="FootnoteText"/>
        <w:spacing w:before="0" w:after="0" w:line="240" w:lineRule="auto"/>
        <w:rPr>
          <w:rFonts w:ascii="Garamond" w:hAnsi="Garamond" w:cs="Times New Roman"/>
          <w:color w:val="000000" w:themeColor="text1"/>
          <w:sz w:val="20"/>
          <w:szCs w:val="20"/>
        </w:rPr>
      </w:pPr>
    </w:p>
    <w:p w14:paraId="71D8DF64" w14:textId="43C84E11" w:rsidR="009018DF" w:rsidRPr="009018DF" w:rsidRDefault="009018DF" w:rsidP="00BB75C6">
      <w:pPr>
        <w:pStyle w:val="FootnoteText"/>
        <w:spacing w:before="0" w:after="0" w:line="240" w:lineRule="auto"/>
        <w:rPr>
          <w:rFonts w:ascii="Garamond" w:hAnsi="Garamond" w:cs="Times New Roman"/>
          <w:color w:val="000000" w:themeColor="text1"/>
          <w:sz w:val="20"/>
          <w:szCs w:val="20"/>
        </w:rPr>
      </w:pPr>
      <w:r w:rsidRPr="009018DF">
        <w:rPr>
          <w:rFonts w:ascii="Garamond" w:hAnsi="Garamond" w:cs="Times New Roman"/>
          <w:color w:val="000000" w:themeColor="text1"/>
          <w:sz w:val="20"/>
          <w:szCs w:val="20"/>
          <w:lang w:val="de-DE"/>
        </w:rPr>
        <w:t>Reference</w:t>
      </w:r>
    </w:p>
    <w:p w14:paraId="27FEFF3C" w14:textId="77777777" w:rsidR="009018DF" w:rsidRPr="009018DF" w:rsidRDefault="009018DF" w:rsidP="008B26CC">
      <w:pPr>
        <w:spacing w:before="0" w:after="0"/>
        <w:rPr>
          <w:rFonts w:ascii="Garamond" w:hAnsi="Garamond"/>
          <w:color w:val="000000" w:themeColor="text1"/>
        </w:rPr>
      </w:pPr>
    </w:p>
    <w:p w14:paraId="7C9256AB" w14:textId="77777777" w:rsidR="009018DF" w:rsidRPr="009018DF" w:rsidRDefault="009018DF" w:rsidP="009018DF">
      <w:pPr>
        <w:pStyle w:val="FootnoteText"/>
        <w:spacing w:before="0" w:line="240" w:lineRule="auto"/>
        <w:ind w:left="567" w:hanging="567"/>
        <w:rPr>
          <w:rFonts w:ascii="Garamond" w:hAnsi="Garamond" w:cs="Times New Roman"/>
          <w:color w:val="000000" w:themeColor="text1"/>
          <w:sz w:val="20"/>
          <w:szCs w:val="20"/>
        </w:rPr>
      </w:pPr>
      <w:r w:rsidRPr="009018DF">
        <w:rPr>
          <w:rFonts w:ascii="Garamond" w:hAnsi="Garamond" w:cs="Times New Roman"/>
          <w:color w:val="000000" w:themeColor="text1"/>
          <w:sz w:val="20"/>
          <w:szCs w:val="20"/>
        </w:rPr>
        <w:t>D’Costa,</w:t>
      </w:r>
      <w:r w:rsidRPr="009018DF">
        <w:rPr>
          <w:rFonts w:ascii="Garamond" w:hAnsi="Garamond" w:cs="Times New Roman"/>
          <w:color w:val="000000" w:themeColor="text1"/>
          <w:sz w:val="20"/>
          <w:szCs w:val="20"/>
        </w:rPr>
        <w:t xml:space="preserve"> Gavin.</w:t>
      </w:r>
      <w:r w:rsidRPr="009018DF">
        <w:rPr>
          <w:rFonts w:ascii="Garamond" w:hAnsi="Garamond" w:cs="Times New Roman"/>
          <w:color w:val="000000" w:themeColor="text1"/>
          <w:sz w:val="20"/>
          <w:szCs w:val="20"/>
        </w:rPr>
        <w:t xml:space="preserve"> </w:t>
      </w:r>
      <w:r w:rsidRPr="009018DF">
        <w:rPr>
          <w:rFonts w:ascii="Garamond" w:hAnsi="Garamond" w:cs="Times New Roman"/>
          <w:color w:val="000000" w:themeColor="text1"/>
          <w:sz w:val="20"/>
          <w:szCs w:val="20"/>
        </w:rPr>
        <w:t xml:space="preserve">2010. </w:t>
      </w:r>
      <w:r w:rsidRPr="009018DF">
        <w:rPr>
          <w:rFonts w:ascii="Garamond" w:hAnsi="Garamond" w:cs="Times New Roman"/>
          <w:color w:val="000000" w:themeColor="text1"/>
          <w:sz w:val="20"/>
          <w:szCs w:val="20"/>
        </w:rPr>
        <w:t>“Pluralist Arguments: Prominent Tendencies and Methods</w:t>
      </w:r>
      <w:r w:rsidRPr="009018DF">
        <w:rPr>
          <w:rFonts w:ascii="Garamond" w:hAnsi="Garamond" w:cs="Times New Roman"/>
          <w:color w:val="000000" w:themeColor="text1"/>
          <w:sz w:val="20"/>
          <w:szCs w:val="20"/>
        </w:rPr>
        <w:t>.</w:t>
      </w:r>
      <w:r w:rsidRPr="009018DF">
        <w:rPr>
          <w:rFonts w:ascii="Garamond" w:hAnsi="Garamond" w:cs="Times New Roman"/>
          <w:color w:val="000000" w:themeColor="text1"/>
          <w:sz w:val="20"/>
          <w:szCs w:val="20"/>
        </w:rPr>
        <w:t xml:space="preserve">” </w:t>
      </w:r>
      <w:r w:rsidRPr="009018DF">
        <w:rPr>
          <w:rFonts w:ascii="Garamond" w:hAnsi="Garamond" w:cs="Times New Roman"/>
          <w:color w:val="000000" w:themeColor="text1"/>
          <w:sz w:val="20"/>
          <w:szCs w:val="20"/>
        </w:rPr>
        <w:t>I</w:t>
      </w:r>
      <w:r w:rsidRPr="009018DF">
        <w:rPr>
          <w:rFonts w:ascii="Garamond" w:hAnsi="Garamond" w:cs="Times New Roman"/>
          <w:color w:val="000000" w:themeColor="text1"/>
          <w:sz w:val="20"/>
          <w:szCs w:val="20"/>
        </w:rPr>
        <w:t xml:space="preserve">n </w:t>
      </w:r>
      <w:r w:rsidRPr="009018DF">
        <w:rPr>
          <w:rFonts w:ascii="Garamond" w:hAnsi="Garamond" w:cs="Times New Roman"/>
          <w:i/>
          <w:color w:val="000000" w:themeColor="text1"/>
          <w:sz w:val="20"/>
          <w:szCs w:val="20"/>
        </w:rPr>
        <w:t>Catholic Engagement with World Religions</w:t>
      </w:r>
      <w:r w:rsidRPr="009018DF">
        <w:rPr>
          <w:rFonts w:ascii="Garamond" w:hAnsi="Garamond" w:cs="Times New Roman"/>
          <w:iCs/>
          <w:color w:val="000000" w:themeColor="text1"/>
          <w:sz w:val="20"/>
          <w:szCs w:val="20"/>
        </w:rPr>
        <w:t>, edited by</w:t>
      </w:r>
      <w:r w:rsidRPr="009018DF">
        <w:rPr>
          <w:rFonts w:ascii="Garamond" w:hAnsi="Garamond" w:cs="Times New Roman"/>
          <w:color w:val="000000" w:themeColor="text1"/>
          <w:sz w:val="20"/>
          <w:szCs w:val="20"/>
        </w:rPr>
        <w:t xml:space="preserve"> Karl Josef Becker, Ilaria </w:t>
      </w:r>
      <w:proofErr w:type="spellStart"/>
      <w:r w:rsidRPr="009018DF">
        <w:rPr>
          <w:rFonts w:ascii="Garamond" w:hAnsi="Garamond" w:cs="Times New Roman"/>
          <w:color w:val="000000" w:themeColor="text1"/>
          <w:sz w:val="20"/>
          <w:szCs w:val="20"/>
        </w:rPr>
        <w:t>Morali</w:t>
      </w:r>
      <w:proofErr w:type="spellEnd"/>
      <w:r w:rsidRPr="009018DF">
        <w:rPr>
          <w:rFonts w:ascii="Garamond" w:hAnsi="Garamond" w:cs="Times New Roman"/>
          <w:color w:val="000000" w:themeColor="text1"/>
          <w:sz w:val="20"/>
          <w:szCs w:val="20"/>
        </w:rPr>
        <w:t xml:space="preserve">, and Gavin D’Costa, </w:t>
      </w:r>
      <w:r w:rsidRPr="009018DF">
        <w:rPr>
          <w:rFonts w:ascii="Garamond" w:hAnsi="Garamond" w:cs="Times New Roman"/>
          <w:color w:val="000000" w:themeColor="text1"/>
          <w:sz w:val="20"/>
          <w:szCs w:val="20"/>
        </w:rPr>
        <w:t xml:space="preserve">329-44. </w:t>
      </w:r>
      <w:r w:rsidRPr="009018DF">
        <w:rPr>
          <w:rFonts w:ascii="Garamond" w:hAnsi="Garamond" w:cs="Times New Roman"/>
          <w:color w:val="000000" w:themeColor="text1"/>
          <w:sz w:val="20"/>
          <w:szCs w:val="20"/>
        </w:rPr>
        <w:t>Maryknoll: Orbis Books.</w:t>
      </w:r>
    </w:p>
    <w:p w14:paraId="1513CEF7" w14:textId="7770233F" w:rsidR="009018DF" w:rsidRPr="009018DF" w:rsidRDefault="009018DF" w:rsidP="009018DF">
      <w:pPr>
        <w:pStyle w:val="FootnoteText"/>
        <w:spacing w:before="0" w:line="240" w:lineRule="auto"/>
        <w:ind w:left="567" w:hanging="567"/>
        <w:rPr>
          <w:rFonts w:ascii="Garamond" w:hAnsi="Garamond" w:cs="Times New Roman"/>
          <w:color w:val="000000" w:themeColor="text1"/>
          <w:sz w:val="20"/>
          <w:szCs w:val="20"/>
        </w:rPr>
      </w:pPr>
      <w:r w:rsidRPr="009018DF">
        <w:rPr>
          <w:rFonts w:ascii="Garamond" w:hAnsi="Garamond" w:cs="Times New Roman"/>
          <w:color w:val="000000" w:themeColor="text1"/>
          <w:sz w:val="20"/>
          <w:szCs w:val="20"/>
        </w:rPr>
        <w:t>__________. 2014.</w:t>
      </w:r>
      <w:r w:rsidRPr="009018DF">
        <w:rPr>
          <w:rFonts w:ascii="Garamond" w:hAnsi="Garamond" w:cs="Times New Roman"/>
          <w:color w:val="000000" w:themeColor="text1"/>
          <w:sz w:val="20"/>
          <w:szCs w:val="20"/>
        </w:rPr>
        <w:t xml:space="preserve"> “The Trinity and the World Religions: Perils and Promise</w:t>
      </w:r>
      <w:r w:rsidRPr="009018DF">
        <w:rPr>
          <w:rFonts w:ascii="Garamond" w:hAnsi="Garamond" w:cs="Times New Roman"/>
          <w:color w:val="000000" w:themeColor="text1"/>
          <w:sz w:val="20"/>
          <w:szCs w:val="20"/>
        </w:rPr>
        <w:t>.</w:t>
      </w:r>
      <w:r w:rsidRPr="009018DF">
        <w:rPr>
          <w:rFonts w:ascii="Garamond" w:hAnsi="Garamond" w:cs="Times New Roman"/>
          <w:color w:val="000000" w:themeColor="text1"/>
          <w:sz w:val="20"/>
          <w:szCs w:val="20"/>
        </w:rPr>
        <w:t>”</w:t>
      </w:r>
      <w:r w:rsidRPr="009018DF">
        <w:rPr>
          <w:rFonts w:ascii="Garamond" w:hAnsi="Garamond" w:cs="Times New Roman"/>
          <w:color w:val="000000" w:themeColor="text1"/>
          <w:sz w:val="20"/>
          <w:szCs w:val="20"/>
        </w:rPr>
        <w:t xml:space="preserve"> In</w:t>
      </w:r>
      <w:r w:rsidRPr="009018DF">
        <w:rPr>
          <w:rFonts w:ascii="Garamond" w:hAnsi="Garamond" w:cs="Times New Roman"/>
          <w:color w:val="000000" w:themeColor="text1"/>
          <w:sz w:val="20"/>
          <w:szCs w:val="20"/>
        </w:rPr>
        <w:t xml:space="preserve"> </w:t>
      </w:r>
      <w:r w:rsidRPr="009018DF">
        <w:rPr>
          <w:rFonts w:ascii="Garamond" w:hAnsi="Garamond" w:cs="Times New Roman"/>
          <w:i/>
          <w:color w:val="000000" w:themeColor="text1"/>
          <w:sz w:val="20"/>
          <w:szCs w:val="20"/>
        </w:rPr>
        <w:t>Recent Developments in Trinitarian Theology: An International Symposium</w:t>
      </w:r>
      <w:r w:rsidRPr="009018DF">
        <w:rPr>
          <w:rFonts w:ascii="Garamond" w:hAnsi="Garamond" w:cs="Times New Roman"/>
          <w:iCs/>
          <w:color w:val="000000" w:themeColor="text1"/>
          <w:sz w:val="20"/>
          <w:szCs w:val="20"/>
        </w:rPr>
        <w:t xml:space="preserve">, edited by </w:t>
      </w:r>
      <w:r w:rsidRPr="009018DF">
        <w:rPr>
          <w:rFonts w:ascii="Garamond" w:hAnsi="Garamond" w:cs="Times New Roman"/>
          <w:color w:val="000000" w:themeColor="text1"/>
          <w:sz w:val="20"/>
          <w:szCs w:val="20"/>
        </w:rPr>
        <w:t xml:space="preserve">Christophe </w:t>
      </w:r>
      <w:proofErr w:type="spellStart"/>
      <w:r w:rsidRPr="009018DF">
        <w:rPr>
          <w:rFonts w:ascii="Garamond" w:hAnsi="Garamond" w:cs="Times New Roman"/>
          <w:color w:val="000000" w:themeColor="text1"/>
          <w:sz w:val="20"/>
          <w:szCs w:val="20"/>
        </w:rPr>
        <w:t>Chalamet</w:t>
      </w:r>
      <w:proofErr w:type="spellEnd"/>
      <w:r w:rsidRPr="009018DF">
        <w:rPr>
          <w:rFonts w:ascii="Garamond" w:hAnsi="Garamond" w:cs="Times New Roman"/>
          <w:color w:val="000000" w:themeColor="text1"/>
          <w:sz w:val="20"/>
          <w:szCs w:val="20"/>
        </w:rPr>
        <w:t xml:space="preserve"> and Marc Vial</w:t>
      </w:r>
      <w:r w:rsidRPr="009018DF">
        <w:rPr>
          <w:rFonts w:ascii="Garamond" w:hAnsi="Garamond" w:cs="Times New Roman"/>
          <w:color w:val="000000" w:themeColor="text1"/>
          <w:sz w:val="20"/>
          <w:szCs w:val="20"/>
        </w:rPr>
        <w:t>,</w:t>
      </w:r>
      <w:r w:rsidRPr="009018DF">
        <w:rPr>
          <w:rFonts w:ascii="Garamond" w:hAnsi="Garamond" w:cs="Times New Roman"/>
          <w:color w:val="000000" w:themeColor="text1"/>
          <w:sz w:val="20"/>
          <w:szCs w:val="20"/>
        </w:rPr>
        <w:t xml:space="preserve"> 107-25</w:t>
      </w:r>
      <w:r w:rsidRPr="009018DF">
        <w:rPr>
          <w:rFonts w:ascii="Garamond" w:hAnsi="Garamond" w:cs="Times New Roman"/>
          <w:color w:val="000000" w:themeColor="text1"/>
          <w:sz w:val="20"/>
          <w:szCs w:val="20"/>
        </w:rPr>
        <w:t>.</w:t>
      </w:r>
      <w:r w:rsidRPr="009018DF">
        <w:rPr>
          <w:rFonts w:ascii="Garamond" w:hAnsi="Garamond" w:cs="Times New Roman"/>
          <w:color w:val="000000" w:themeColor="text1"/>
          <w:sz w:val="20"/>
          <w:szCs w:val="20"/>
        </w:rPr>
        <w:t xml:space="preserve"> Minneapolis: Fortress Press</w:t>
      </w:r>
      <w:r w:rsidRPr="009018DF">
        <w:rPr>
          <w:rFonts w:ascii="Garamond" w:hAnsi="Garamond" w:cs="Times New Roman"/>
          <w:color w:val="000000" w:themeColor="text1"/>
          <w:sz w:val="20"/>
          <w:szCs w:val="20"/>
        </w:rPr>
        <w:t>.</w:t>
      </w:r>
    </w:p>
    <w:p w14:paraId="33F7A256" w14:textId="77777777" w:rsidR="009018DF" w:rsidRPr="009018DF" w:rsidRDefault="009018DF" w:rsidP="009018DF">
      <w:pPr>
        <w:pStyle w:val="FootnoteText"/>
        <w:spacing w:before="0" w:line="240" w:lineRule="auto"/>
        <w:ind w:left="567" w:hanging="567"/>
        <w:rPr>
          <w:rFonts w:ascii="Garamond" w:hAnsi="Garamond" w:cs="Times New Roman"/>
          <w:color w:val="000000" w:themeColor="text1"/>
          <w:sz w:val="20"/>
          <w:szCs w:val="20"/>
        </w:rPr>
      </w:pPr>
      <w:r w:rsidRPr="009018DF">
        <w:rPr>
          <w:rFonts w:ascii="Garamond" w:hAnsi="Garamond" w:cs="Times New Roman"/>
          <w:color w:val="000000" w:themeColor="text1"/>
          <w:sz w:val="20"/>
          <w:szCs w:val="20"/>
        </w:rPr>
        <w:t>Gruber,</w:t>
      </w:r>
      <w:r w:rsidRPr="009018DF">
        <w:rPr>
          <w:rFonts w:ascii="Garamond" w:hAnsi="Garamond" w:cs="Times New Roman"/>
          <w:color w:val="000000" w:themeColor="text1"/>
          <w:sz w:val="20"/>
          <w:szCs w:val="20"/>
        </w:rPr>
        <w:t xml:space="preserve"> </w:t>
      </w:r>
      <w:r w:rsidRPr="009018DF">
        <w:rPr>
          <w:rFonts w:ascii="Garamond" w:hAnsi="Garamond" w:cs="Times New Roman"/>
          <w:color w:val="000000" w:themeColor="text1"/>
          <w:sz w:val="20"/>
          <w:szCs w:val="20"/>
        </w:rPr>
        <w:t>Judith</w:t>
      </w:r>
      <w:r w:rsidRPr="009018DF">
        <w:rPr>
          <w:rFonts w:ascii="Garamond" w:hAnsi="Garamond" w:cs="Times New Roman"/>
          <w:color w:val="000000" w:themeColor="text1"/>
          <w:sz w:val="20"/>
          <w:szCs w:val="20"/>
        </w:rPr>
        <w:t>. 2018.</w:t>
      </w:r>
      <w:r w:rsidRPr="009018DF">
        <w:rPr>
          <w:rFonts w:ascii="Garamond" w:hAnsi="Garamond" w:cs="Times New Roman"/>
          <w:color w:val="000000" w:themeColor="text1"/>
          <w:sz w:val="20"/>
          <w:szCs w:val="20"/>
        </w:rPr>
        <w:t xml:space="preserve"> </w:t>
      </w:r>
      <w:r w:rsidRPr="009018DF">
        <w:rPr>
          <w:rFonts w:ascii="Garamond" w:hAnsi="Garamond" w:cs="Times New Roman"/>
          <w:i/>
          <w:color w:val="000000" w:themeColor="text1"/>
          <w:sz w:val="20"/>
          <w:szCs w:val="20"/>
        </w:rPr>
        <w:t>Intercultural Theology: Exploring World Christianity after the Cultural Turn</w:t>
      </w:r>
      <w:r w:rsidRPr="009018DF">
        <w:rPr>
          <w:rFonts w:ascii="Garamond" w:hAnsi="Garamond" w:cs="Times New Roman"/>
          <w:i/>
          <w:color w:val="000000" w:themeColor="text1"/>
          <w:sz w:val="20"/>
          <w:szCs w:val="20"/>
        </w:rPr>
        <w:t>.</w:t>
      </w:r>
      <w:r w:rsidRPr="009018DF">
        <w:rPr>
          <w:rFonts w:ascii="Garamond" w:hAnsi="Garamond" w:cs="Times New Roman"/>
          <w:color w:val="000000" w:themeColor="text1"/>
          <w:sz w:val="20"/>
          <w:szCs w:val="20"/>
        </w:rPr>
        <w:t xml:space="preserve"> Göttingen: V</w:t>
      </w:r>
      <w:proofErr w:type="spellStart"/>
      <w:r w:rsidRPr="009018DF">
        <w:rPr>
          <w:rFonts w:ascii="Garamond" w:hAnsi="Garamond" w:cs="Times New Roman"/>
          <w:color w:val="000000" w:themeColor="text1"/>
          <w:sz w:val="20"/>
          <w:szCs w:val="20"/>
        </w:rPr>
        <w:t>andenhoeck</w:t>
      </w:r>
      <w:proofErr w:type="spellEnd"/>
      <w:r w:rsidRPr="009018DF">
        <w:rPr>
          <w:rFonts w:ascii="Garamond" w:hAnsi="Garamond" w:cs="Times New Roman"/>
          <w:color w:val="000000" w:themeColor="text1"/>
          <w:sz w:val="20"/>
          <w:szCs w:val="20"/>
        </w:rPr>
        <w:t xml:space="preserve"> and Ruprecht</w:t>
      </w:r>
      <w:r w:rsidRPr="009018DF">
        <w:rPr>
          <w:rFonts w:ascii="Garamond" w:hAnsi="Garamond" w:cs="Times New Roman"/>
          <w:color w:val="000000" w:themeColor="text1"/>
          <w:sz w:val="20"/>
          <w:szCs w:val="20"/>
        </w:rPr>
        <w:t>.</w:t>
      </w:r>
    </w:p>
    <w:p w14:paraId="3E1B9775" w14:textId="77777777" w:rsidR="009018DF" w:rsidRPr="009018DF" w:rsidRDefault="009018DF" w:rsidP="009018DF">
      <w:pPr>
        <w:pStyle w:val="FootnoteText"/>
        <w:spacing w:before="0" w:line="240" w:lineRule="auto"/>
        <w:ind w:left="567" w:hanging="567"/>
        <w:rPr>
          <w:rFonts w:ascii="Garamond" w:hAnsi="Garamond"/>
          <w:color w:val="000000" w:themeColor="text1"/>
          <w:sz w:val="20"/>
          <w:szCs w:val="20"/>
        </w:rPr>
      </w:pPr>
      <w:r w:rsidRPr="009018DF">
        <w:rPr>
          <w:rFonts w:ascii="Garamond" w:hAnsi="Garamond"/>
          <w:color w:val="000000" w:themeColor="text1"/>
          <w:sz w:val="20"/>
          <w:szCs w:val="20"/>
        </w:rPr>
        <w:t>Heim,</w:t>
      </w:r>
      <w:r w:rsidRPr="009018DF">
        <w:rPr>
          <w:rFonts w:ascii="Garamond" w:hAnsi="Garamond"/>
          <w:color w:val="000000" w:themeColor="text1"/>
          <w:sz w:val="20"/>
          <w:szCs w:val="20"/>
        </w:rPr>
        <w:t xml:space="preserve"> S. </w:t>
      </w:r>
      <w:r w:rsidRPr="009018DF">
        <w:rPr>
          <w:rFonts w:ascii="Garamond" w:hAnsi="Garamond"/>
          <w:color w:val="000000" w:themeColor="text1"/>
          <w:sz w:val="20"/>
          <w:szCs w:val="20"/>
        </w:rPr>
        <w:t>Mark</w:t>
      </w:r>
      <w:r w:rsidRPr="009018DF">
        <w:rPr>
          <w:rFonts w:ascii="Garamond" w:hAnsi="Garamond"/>
          <w:color w:val="000000" w:themeColor="text1"/>
          <w:sz w:val="20"/>
          <w:szCs w:val="20"/>
        </w:rPr>
        <w:t>. 2001.</w:t>
      </w:r>
      <w:r w:rsidRPr="009018DF">
        <w:rPr>
          <w:rFonts w:ascii="Garamond" w:hAnsi="Garamond"/>
          <w:color w:val="000000" w:themeColor="text1"/>
          <w:sz w:val="20"/>
          <w:szCs w:val="20"/>
        </w:rPr>
        <w:t xml:space="preserve"> “The Depth of the Riches: Trinity and Religious Ends</w:t>
      </w:r>
      <w:r w:rsidRPr="009018DF">
        <w:rPr>
          <w:rFonts w:ascii="Garamond" w:hAnsi="Garamond"/>
          <w:color w:val="000000" w:themeColor="text1"/>
          <w:sz w:val="20"/>
          <w:szCs w:val="20"/>
        </w:rPr>
        <w:t>.</w:t>
      </w:r>
      <w:r w:rsidRPr="009018DF">
        <w:rPr>
          <w:rFonts w:ascii="Garamond" w:hAnsi="Garamond"/>
          <w:color w:val="000000" w:themeColor="text1"/>
          <w:sz w:val="20"/>
          <w:szCs w:val="20"/>
        </w:rPr>
        <w:t xml:space="preserve">” </w:t>
      </w:r>
      <w:r w:rsidRPr="009018DF">
        <w:rPr>
          <w:rFonts w:ascii="Garamond" w:hAnsi="Garamond"/>
          <w:i/>
          <w:iCs/>
          <w:color w:val="000000" w:themeColor="text1"/>
          <w:sz w:val="20"/>
          <w:szCs w:val="20"/>
        </w:rPr>
        <w:t>Modern Theology</w:t>
      </w:r>
      <w:r w:rsidRPr="009018DF">
        <w:rPr>
          <w:rFonts w:ascii="Garamond" w:hAnsi="Garamond"/>
          <w:color w:val="000000" w:themeColor="text1"/>
          <w:sz w:val="20"/>
          <w:szCs w:val="20"/>
        </w:rPr>
        <w:t xml:space="preserve"> 17</w:t>
      </w:r>
      <w:r w:rsidRPr="009018DF">
        <w:rPr>
          <w:rFonts w:ascii="Garamond" w:hAnsi="Garamond"/>
          <w:color w:val="000000" w:themeColor="text1"/>
          <w:sz w:val="20"/>
          <w:szCs w:val="20"/>
        </w:rPr>
        <w:t>(</w:t>
      </w:r>
      <w:r w:rsidRPr="009018DF">
        <w:rPr>
          <w:rFonts w:ascii="Garamond" w:hAnsi="Garamond"/>
          <w:color w:val="000000" w:themeColor="text1"/>
          <w:sz w:val="20"/>
          <w:szCs w:val="20"/>
        </w:rPr>
        <w:t>1): 3-116.</w:t>
      </w:r>
    </w:p>
    <w:p w14:paraId="438E31A7" w14:textId="77777777" w:rsidR="009018DF" w:rsidRPr="009018DF" w:rsidRDefault="009018DF" w:rsidP="009018DF">
      <w:pPr>
        <w:pStyle w:val="FootnoteText"/>
        <w:spacing w:before="0" w:line="240" w:lineRule="auto"/>
        <w:ind w:left="567" w:hanging="567"/>
        <w:rPr>
          <w:rFonts w:ascii="Garamond" w:hAnsi="Garamond" w:cs="Times New Roman"/>
          <w:color w:val="000000" w:themeColor="text1"/>
          <w:sz w:val="20"/>
          <w:szCs w:val="20"/>
        </w:rPr>
      </w:pPr>
      <w:proofErr w:type="spellStart"/>
      <w:r w:rsidRPr="009018DF">
        <w:rPr>
          <w:rFonts w:ascii="Garamond" w:hAnsi="Garamond" w:cs="Times New Roman"/>
          <w:color w:val="000000" w:themeColor="text1"/>
          <w:sz w:val="20"/>
          <w:szCs w:val="20"/>
        </w:rPr>
        <w:t>Ilo</w:t>
      </w:r>
      <w:proofErr w:type="spellEnd"/>
      <w:r w:rsidRPr="009018DF">
        <w:rPr>
          <w:rFonts w:ascii="Garamond" w:hAnsi="Garamond" w:cs="Times New Roman"/>
          <w:color w:val="000000" w:themeColor="text1"/>
          <w:sz w:val="20"/>
          <w:szCs w:val="20"/>
        </w:rPr>
        <w:t>,</w:t>
      </w:r>
      <w:r w:rsidRPr="009018DF">
        <w:rPr>
          <w:rFonts w:ascii="Garamond" w:hAnsi="Garamond" w:cs="Times New Roman"/>
          <w:color w:val="000000" w:themeColor="text1"/>
          <w:sz w:val="20"/>
          <w:szCs w:val="20"/>
        </w:rPr>
        <w:t xml:space="preserve"> </w:t>
      </w:r>
      <w:r w:rsidRPr="009018DF">
        <w:rPr>
          <w:rFonts w:ascii="Garamond" w:hAnsi="Garamond" w:cs="Times New Roman"/>
          <w:color w:val="000000" w:themeColor="text1"/>
          <w:sz w:val="20"/>
          <w:szCs w:val="20"/>
        </w:rPr>
        <w:t>Stan Chu</w:t>
      </w:r>
      <w:r w:rsidRPr="009018DF">
        <w:rPr>
          <w:rFonts w:ascii="Garamond" w:hAnsi="Garamond" w:cs="Times New Roman"/>
          <w:color w:val="000000" w:themeColor="text1"/>
          <w:sz w:val="20"/>
          <w:szCs w:val="20"/>
        </w:rPr>
        <w:t>.</w:t>
      </w:r>
      <w:r w:rsidRPr="009018DF">
        <w:rPr>
          <w:rFonts w:ascii="Garamond" w:hAnsi="Garamond" w:cs="Times New Roman"/>
          <w:color w:val="000000" w:themeColor="text1"/>
          <w:sz w:val="20"/>
          <w:szCs w:val="20"/>
        </w:rPr>
        <w:t xml:space="preserve"> “Africa’s Place in the World Christianity: Towards a Theology of Intercultural Friendship</w:t>
      </w:r>
      <w:r w:rsidRPr="009018DF">
        <w:rPr>
          <w:rFonts w:ascii="Garamond" w:hAnsi="Garamond" w:cs="Times New Roman"/>
          <w:color w:val="000000" w:themeColor="text1"/>
          <w:sz w:val="20"/>
          <w:szCs w:val="20"/>
        </w:rPr>
        <w:t>.</w:t>
      </w:r>
      <w:r w:rsidRPr="009018DF">
        <w:rPr>
          <w:rFonts w:ascii="Garamond" w:hAnsi="Garamond" w:cs="Times New Roman"/>
          <w:color w:val="000000" w:themeColor="text1"/>
          <w:sz w:val="20"/>
          <w:szCs w:val="20"/>
        </w:rPr>
        <w:t xml:space="preserve">” </w:t>
      </w:r>
      <w:r w:rsidRPr="009018DF">
        <w:rPr>
          <w:rFonts w:ascii="Garamond" w:hAnsi="Garamond" w:cs="Times New Roman"/>
          <w:i/>
          <w:color w:val="000000" w:themeColor="text1"/>
          <w:sz w:val="20"/>
          <w:szCs w:val="20"/>
        </w:rPr>
        <w:t>Toronto Journal of Theology</w:t>
      </w:r>
      <w:r w:rsidRPr="009018DF">
        <w:rPr>
          <w:rFonts w:ascii="Garamond" w:hAnsi="Garamond" w:cs="Times New Roman"/>
          <w:color w:val="000000" w:themeColor="text1"/>
          <w:sz w:val="20"/>
          <w:szCs w:val="20"/>
        </w:rPr>
        <w:t xml:space="preserve"> 29</w:t>
      </w:r>
      <w:r w:rsidRPr="009018DF">
        <w:rPr>
          <w:rFonts w:ascii="Garamond" w:hAnsi="Garamond" w:cs="Times New Roman"/>
          <w:color w:val="000000" w:themeColor="text1"/>
          <w:sz w:val="20"/>
          <w:szCs w:val="20"/>
        </w:rPr>
        <w:t>(</w:t>
      </w:r>
      <w:r w:rsidRPr="009018DF">
        <w:rPr>
          <w:rFonts w:ascii="Garamond" w:hAnsi="Garamond" w:cs="Times New Roman"/>
          <w:color w:val="000000" w:themeColor="text1"/>
          <w:sz w:val="20"/>
          <w:szCs w:val="20"/>
        </w:rPr>
        <w:t>1): 125-42.</w:t>
      </w:r>
    </w:p>
    <w:p w14:paraId="4113BED1" w14:textId="2A08574D" w:rsidR="009018DF" w:rsidRPr="009018DF" w:rsidRDefault="009018DF" w:rsidP="009018DF">
      <w:pPr>
        <w:pStyle w:val="FootnoteText"/>
        <w:spacing w:before="0" w:line="240" w:lineRule="auto"/>
        <w:ind w:left="567" w:hanging="567"/>
        <w:rPr>
          <w:rFonts w:ascii="Garamond" w:hAnsi="Garamond" w:cs="Times New Roman"/>
          <w:color w:val="000000" w:themeColor="text1"/>
          <w:sz w:val="20"/>
          <w:szCs w:val="20"/>
        </w:rPr>
      </w:pPr>
      <w:r w:rsidRPr="009018DF">
        <w:rPr>
          <w:rFonts w:ascii="Garamond" w:hAnsi="Garamond" w:cs="Times New Roman"/>
          <w:color w:val="000000" w:themeColor="text1"/>
          <w:sz w:val="20"/>
          <w:szCs w:val="20"/>
        </w:rPr>
        <w:t>__________. 2016.</w:t>
      </w:r>
      <w:r w:rsidRPr="009018DF">
        <w:rPr>
          <w:rFonts w:ascii="Garamond" w:hAnsi="Garamond" w:cs="Times New Roman"/>
          <w:color w:val="000000" w:themeColor="text1"/>
          <w:sz w:val="20"/>
          <w:szCs w:val="20"/>
        </w:rPr>
        <w:t xml:space="preserve"> “Crosscurrents in African Christianity: Lessons for Intercultural Hermeneutics of Friendship and Participation</w:t>
      </w:r>
      <w:r w:rsidRPr="009018DF">
        <w:rPr>
          <w:rFonts w:ascii="Garamond" w:hAnsi="Garamond" w:cs="Times New Roman"/>
          <w:color w:val="000000" w:themeColor="text1"/>
          <w:sz w:val="20"/>
          <w:szCs w:val="20"/>
        </w:rPr>
        <w:t>.</w:t>
      </w:r>
      <w:r w:rsidRPr="009018DF">
        <w:rPr>
          <w:rFonts w:ascii="Garamond" w:hAnsi="Garamond" w:cs="Times New Roman"/>
          <w:color w:val="000000" w:themeColor="text1"/>
          <w:sz w:val="20"/>
          <w:szCs w:val="20"/>
        </w:rPr>
        <w:t>”</w:t>
      </w:r>
      <w:r w:rsidRPr="009018DF">
        <w:rPr>
          <w:rFonts w:ascii="Garamond" w:hAnsi="Garamond" w:cs="Times New Roman"/>
          <w:color w:val="000000" w:themeColor="text1"/>
          <w:sz w:val="20"/>
          <w:szCs w:val="20"/>
        </w:rPr>
        <w:t xml:space="preserve"> In</w:t>
      </w:r>
      <w:r w:rsidRPr="009018DF">
        <w:rPr>
          <w:rFonts w:ascii="Garamond" w:hAnsi="Garamond" w:cs="Times New Roman"/>
          <w:color w:val="000000" w:themeColor="text1"/>
          <w:sz w:val="20"/>
          <w:szCs w:val="20"/>
        </w:rPr>
        <w:t xml:space="preserve"> </w:t>
      </w:r>
      <w:r w:rsidRPr="009018DF">
        <w:rPr>
          <w:rFonts w:ascii="Garamond" w:hAnsi="Garamond" w:cs="Times New Roman"/>
          <w:i/>
          <w:color w:val="000000" w:themeColor="text1"/>
          <w:sz w:val="20"/>
          <w:szCs w:val="20"/>
        </w:rPr>
        <w:t xml:space="preserve">Pathways for Interreligious Dialogue in the Twenty-First Century </w:t>
      </w:r>
      <w:r w:rsidRPr="009018DF">
        <w:rPr>
          <w:rFonts w:ascii="Garamond" w:hAnsi="Garamond" w:cs="Times New Roman"/>
          <w:color w:val="000000" w:themeColor="text1"/>
          <w:sz w:val="20"/>
          <w:szCs w:val="20"/>
        </w:rPr>
        <w:sym w:font="Symbol" w:char="F05B"/>
      </w:r>
      <w:r w:rsidRPr="009018DF">
        <w:rPr>
          <w:rFonts w:ascii="Garamond" w:hAnsi="Garamond" w:cs="Times New Roman"/>
          <w:color w:val="000000" w:themeColor="text1"/>
          <w:sz w:val="20"/>
          <w:szCs w:val="20"/>
        </w:rPr>
        <w:t>Pathways for Ecumenical and Interreligious Dialogue Series</w:t>
      </w:r>
      <w:r w:rsidRPr="009018DF">
        <w:rPr>
          <w:rFonts w:ascii="Garamond" w:hAnsi="Garamond" w:cs="Times New Roman"/>
          <w:color w:val="000000" w:themeColor="text1"/>
          <w:sz w:val="20"/>
          <w:szCs w:val="20"/>
        </w:rPr>
        <w:sym w:font="Symbol" w:char="F05D"/>
      </w:r>
      <w:r w:rsidRPr="009018DF">
        <w:rPr>
          <w:rFonts w:ascii="Garamond" w:hAnsi="Garamond" w:cs="Times New Roman"/>
          <w:color w:val="000000" w:themeColor="text1"/>
          <w:sz w:val="20"/>
          <w:szCs w:val="20"/>
        </w:rPr>
        <w:t>, edited by</w:t>
      </w:r>
      <w:r w:rsidRPr="009018DF">
        <w:rPr>
          <w:rFonts w:ascii="Garamond" w:hAnsi="Garamond" w:cs="Times New Roman"/>
          <w:color w:val="000000" w:themeColor="text1"/>
          <w:sz w:val="20"/>
          <w:szCs w:val="20"/>
        </w:rPr>
        <w:t xml:space="preserve"> Vladimir </w:t>
      </w:r>
      <w:proofErr w:type="spellStart"/>
      <w:r w:rsidRPr="009018DF">
        <w:rPr>
          <w:rFonts w:ascii="Garamond" w:hAnsi="Garamond" w:cs="Times New Roman"/>
          <w:color w:val="000000" w:themeColor="text1"/>
          <w:sz w:val="20"/>
          <w:szCs w:val="20"/>
        </w:rPr>
        <w:t>Latinovic</w:t>
      </w:r>
      <w:proofErr w:type="spellEnd"/>
      <w:r w:rsidRPr="009018DF">
        <w:rPr>
          <w:rFonts w:ascii="Garamond" w:hAnsi="Garamond" w:cs="Times New Roman"/>
          <w:color w:val="000000" w:themeColor="text1"/>
          <w:sz w:val="20"/>
          <w:szCs w:val="20"/>
        </w:rPr>
        <w:t>, Gerard Mannion and Peter C. Phan,</w:t>
      </w:r>
      <w:r w:rsidRPr="009018DF">
        <w:rPr>
          <w:rFonts w:ascii="Garamond" w:hAnsi="Garamond" w:cs="Times New Roman"/>
          <w:color w:val="000000" w:themeColor="text1"/>
          <w:sz w:val="20"/>
          <w:szCs w:val="20"/>
        </w:rPr>
        <w:t xml:space="preserve"> </w:t>
      </w:r>
      <w:r w:rsidRPr="009018DF">
        <w:rPr>
          <w:rFonts w:ascii="Garamond" w:hAnsi="Garamond" w:cs="Times New Roman"/>
          <w:color w:val="000000" w:themeColor="text1"/>
          <w:sz w:val="20"/>
          <w:szCs w:val="20"/>
        </w:rPr>
        <w:t>183-96</w:t>
      </w:r>
      <w:r w:rsidRPr="009018DF">
        <w:rPr>
          <w:rFonts w:ascii="Garamond" w:hAnsi="Garamond" w:cs="Times New Roman"/>
          <w:color w:val="000000" w:themeColor="text1"/>
          <w:sz w:val="20"/>
          <w:szCs w:val="20"/>
        </w:rPr>
        <w:t>.</w:t>
      </w:r>
      <w:r w:rsidRPr="009018DF">
        <w:rPr>
          <w:rFonts w:ascii="Garamond" w:hAnsi="Garamond" w:cs="Times New Roman"/>
          <w:color w:val="000000" w:themeColor="text1"/>
          <w:sz w:val="20"/>
          <w:szCs w:val="20"/>
        </w:rPr>
        <w:t xml:space="preserve"> Hampshire: Palgrave Macmillan</w:t>
      </w:r>
      <w:r w:rsidRPr="009018DF">
        <w:rPr>
          <w:rFonts w:ascii="Garamond" w:hAnsi="Garamond" w:cs="Times New Roman"/>
          <w:color w:val="000000" w:themeColor="text1"/>
          <w:sz w:val="20"/>
          <w:szCs w:val="20"/>
        </w:rPr>
        <w:t>.</w:t>
      </w:r>
    </w:p>
    <w:p w14:paraId="2D8C2807" w14:textId="77777777" w:rsidR="009018DF" w:rsidRPr="009018DF" w:rsidRDefault="009018DF" w:rsidP="009018DF">
      <w:pPr>
        <w:spacing w:before="0" w:line="240" w:lineRule="auto"/>
        <w:ind w:left="567" w:hanging="567"/>
        <w:rPr>
          <w:rFonts w:ascii="Garamond" w:hAnsi="Garamond" w:cs="Times New Roman"/>
          <w:color w:val="000000" w:themeColor="text1"/>
          <w:sz w:val="20"/>
          <w:szCs w:val="20"/>
          <w:lang w:val="en-US"/>
        </w:rPr>
      </w:pPr>
      <w:proofErr w:type="spellStart"/>
      <w:r w:rsidRPr="009018DF">
        <w:rPr>
          <w:rFonts w:ascii="Garamond" w:hAnsi="Garamond" w:cs="Times New Roman"/>
          <w:color w:val="000000" w:themeColor="text1"/>
          <w:sz w:val="20"/>
          <w:szCs w:val="20"/>
          <w:lang w:val="en-US"/>
        </w:rPr>
        <w:t>Ipgrave</w:t>
      </w:r>
      <w:proofErr w:type="spellEnd"/>
      <w:r w:rsidRPr="009018DF">
        <w:rPr>
          <w:rFonts w:ascii="Garamond" w:hAnsi="Garamond" w:cs="Times New Roman"/>
          <w:color w:val="000000" w:themeColor="text1"/>
          <w:sz w:val="20"/>
          <w:szCs w:val="20"/>
          <w:lang w:val="en-US"/>
        </w:rPr>
        <w:t>,</w:t>
      </w:r>
      <w:r w:rsidRPr="009018DF">
        <w:rPr>
          <w:rFonts w:ascii="Garamond" w:hAnsi="Garamond" w:cs="Times New Roman"/>
          <w:color w:val="000000" w:themeColor="text1"/>
          <w:sz w:val="20"/>
          <w:szCs w:val="20"/>
          <w:lang w:val="en-US"/>
        </w:rPr>
        <w:t xml:space="preserve"> </w:t>
      </w:r>
      <w:r w:rsidRPr="009018DF">
        <w:rPr>
          <w:rFonts w:ascii="Garamond" w:hAnsi="Garamond" w:cs="Times New Roman"/>
          <w:color w:val="000000" w:themeColor="text1"/>
          <w:sz w:val="20"/>
          <w:szCs w:val="20"/>
          <w:lang w:val="en-US"/>
        </w:rPr>
        <w:t>Michael</w:t>
      </w:r>
      <w:r w:rsidRPr="009018DF">
        <w:rPr>
          <w:rFonts w:ascii="Garamond" w:hAnsi="Garamond" w:cs="Times New Roman"/>
          <w:color w:val="000000" w:themeColor="text1"/>
          <w:sz w:val="20"/>
          <w:szCs w:val="20"/>
          <w:lang w:val="en-US"/>
        </w:rPr>
        <w:t>. 2003.</w:t>
      </w:r>
      <w:r w:rsidRPr="009018DF">
        <w:rPr>
          <w:rFonts w:ascii="Garamond" w:hAnsi="Garamond" w:cs="Times New Roman"/>
          <w:color w:val="000000" w:themeColor="text1"/>
          <w:sz w:val="20"/>
          <w:szCs w:val="20"/>
          <w:lang w:val="en-US"/>
        </w:rPr>
        <w:t xml:space="preserve"> </w:t>
      </w:r>
      <w:r w:rsidRPr="009018DF">
        <w:rPr>
          <w:rFonts w:ascii="Garamond" w:hAnsi="Garamond" w:cs="Times New Roman"/>
          <w:i/>
          <w:color w:val="000000" w:themeColor="text1"/>
          <w:sz w:val="20"/>
          <w:szCs w:val="20"/>
          <w:lang w:val="en-US"/>
        </w:rPr>
        <w:t>Trinity and Inter Faith Dialogue: Plenitude and Plurality</w:t>
      </w:r>
      <w:r w:rsidRPr="009018DF">
        <w:rPr>
          <w:rFonts w:ascii="Garamond" w:hAnsi="Garamond" w:cs="Times New Roman"/>
          <w:iCs/>
          <w:color w:val="000000" w:themeColor="text1"/>
          <w:sz w:val="20"/>
          <w:szCs w:val="20"/>
          <w:lang w:val="en-US"/>
        </w:rPr>
        <w:t>.</w:t>
      </w:r>
      <w:r w:rsidRPr="009018DF">
        <w:rPr>
          <w:rFonts w:ascii="Garamond" w:hAnsi="Garamond" w:cs="Times New Roman"/>
          <w:color w:val="000000" w:themeColor="text1"/>
          <w:sz w:val="20"/>
          <w:szCs w:val="20"/>
          <w:lang w:val="en-US"/>
        </w:rPr>
        <w:t xml:space="preserve"> Bern: Peter Lang</w:t>
      </w:r>
      <w:r w:rsidRPr="009018DF">
        <w:rPr>
          <w:rFonts w:ascii="Garamond" w:hAnsi="Garamond" w:cs="Times New Roman"/>
          <w:color w:val="000000" w:themeColor="text1"/>
          <w:sz w:val="20"/>
          <w:szCs w:val="20"/>
          <w:lang w:val="en-US"/>
        </w:rPr>
        <w:t>.</w:t>
      </w:r>
    </w:p>
    <w:p w14:paraId="74E84EAF" w14:textId="77777777" w:rsidR="009018DF" w:rsidRPr="009018DF" w:rsidRDefault="009018DF" w:rsidP="009018DF">
      <w:pPr>
        <w:pStyle w:val="FootnoteText"/>
        <w:spacing w:before="0" w:line="240" w:lineRule="auto"/>
        <w:ind w:left="567" w:hanging="567"/>
        <w:rPr>
          <w:rFonts w:ascii="Garamond" w:hAnsi="Garamond" w:cs="Times New Roman"/>
          <w:color w:val="000000" w:themeColor="text1"/>
          <w:sz w:val="20"/>
          <w:szCs w:val="20"/>
        </w:rPr>
      </w:pPr>
      <w:proofErr w:type="spellStart"/>
      <w:r w:rsidRPr="009018DF">
        <w:rPr>
          <w:rFonts w:ascii="Garamond" w:hAnsi="Garamond" w:cs="Times New Roman"/>
          <w:color w:val="000000" w:themeColor="text1"/>
          <w:sz w:val="20"/>
          <w:szCs w:val="20"/>
        </w:rPr>
        <w:t>Merrigan</w:t>
      </w:r>
      <w:proofErr w:type="spellEnd"/>
      <w:r w:rsidRPr="009018DF">
        <w:rPr>
          <w:rFonts w:ascii="Garamond" w:hAnsi="Garamond" w:cs="Times New Roman"/>
          <w:color w:val="000000" w:themeColor="text1"/>
          <w:sz w:val="20"/>
          <w:szCs w:val="20"/>
        </w:rPr>
        <w:t>,</w:t>
      </w:r>
      <w:r w:rsidRPr="009018DF">
        <w:rPr>
          <w:rFonts w:ascii="Garamond" w:hAnsi="Garamond" w:cs="Times New Roman"/>
          <w:color w:val="000000" w:themeColor="text1"/>
          <w:sz w:val="20"/>
          <w:szCs w:val="20"/>
        </w:rPr>
        <w:t xml:space="preserve"> </w:t>
      </w:r>
      <w:r w:rsidRPr="009018DF">
        <w:rPr>
          <w:rFonts w:ascii="Garamond" w:hAnsi="Garamond" w:cs="Times New Roman"/>
          <w:color w:val="000000" w:themeColor="text1"/>
          <w:sz w:val="20"/>
          <w:szCs w:val="20"/>
        </w:rPr>
        <w:t>Terrence</w:t>
      </w:r>
      <w:r w:rsidRPr="009018DF">
        <w:rPr>
          <w:rFonts w:ascii="Garamond" w:hAnsi="Garamond" w:cs="Times New Roman"/>
          <w:color w:val="000000" w:themeColor="text1"/>
          <w:sz w:val="20"/>
          <w:szCs w:val="20"/>
        </w:rPr>
        <w:t>. 2017.</w:t>
      </w:r>
      <w:r w:rsidRPr="009018DF">
        <w:rPr>
          <w:rFonts w:ascii="Garamond" w:hAnsi="Garamond" w:cs="Times New Roman"/>
          <w:color w:val="000000" w:themeColor="text1"/>
          <w:sz w:val="20"/>
          <w:szCs w:val="20"/>
        </w:rPr>
        <w:t xml:space="preserve"> “Introduction: Rethinking Theologies of Interreligious Dialogue</w:t>
      </w:r>
      <w:r w:rsidRPr="009018DF">
        <w:rPr>
          <w:rFonts w:ascii="Garamond" w:hAnsi="Garamond" w:cs="Times New Roman"/>
          <w:color w:val="000000" w:themeColor="text1"/>
          <w:sz w:val="20"/>
          <w:szCs w:val="20"/>
        </w:rPr>
        <w:t>.</w:t>
      </w:r>
      <w:r w:rsidRPr="009018DF">
        <w:rPr>
          <w:rFonts w:ascii="Garamond" w:hAnsi="Garamond" w:cs="Times New Roman"/>
          <w:color w:val="000000" w:themeColor="text1"/>
          <w:sz w:val="20"/>
          <w:szCs w:val="20"/>
        </w:rPr>
        <w:t>”</w:t>
      </w:r>
      <w:r w:rsidRPr="009018DF">
        <w:rPr>
          <w:rFonts w:ascii="Garamond" w:hAnsi="Garamond" w:cs="Times New Roman"/>
          <w:color w:val="000000" w:themeColor="text1"/>
          <w:sz w:val="20"/>
          <w:szCs w:val="20"/>
        </w:rPr>
        <w:t xml:space="preserve"> In </w:t>
      </w:r>
      <w:r w:rsidRPr="009018DF">
        <w:rPr>
          <w:rFonts w:ascii="Garamond" w:hAnsi="Garamond" w:cs="Times New Roman"/>
          <w:i/>
          <w:color w:val="000000" w:themeColor="text1"/>
          <w:sz w:val="20"/>
          <w:szCs w:val="20"/>
        </w:rPr>
        <w:t>The Past, Present, and Future of Theologies of Interreligious Dialogue</w:t>
      </w:r>
      <w:r w:rsidRPr="009018DF">
        <w:rPr>
          <w:rFonts w:ascii="Garamond" w:hAnsi="Garamond" w:cs="Times New Roman"/>
          <w:iCs/>
          <w:color w:val="000000" w:themeColor="text1"/>
          <w:sz w:val="20"/>
          <w:szCs w:val="20"/>
        </w:rPr>
        <w:t>, edited by</w:t>
      </w:r>
      <w:r w:rsidRPr="009018DF">
        <w:rPr>
          <w:rFonts w:ascii="Garamond" w:hAnsi="Garamond" w:cs="Times New Roman"/>
          <w:color w:val="000000" w:themeColor="text1"/>
          <w:sz w:val="20"/>
          <w:szCs w:val="20"/>
        </w:rPr>
        <w:t xml:space="preserve"> Terrence </w:t>
      </w:r>
      <w:proofErr w:type="spellStart"/>
      <w:r w:rsidRPr="009018DF">
        <w:rPr>
          <w:rFonts w:ascii="Garamond" w:hAnsi="Garamond" w:cs="Times New Roman"/>
          <w:color w:val="000000" w:themeColor="text1"/>
          <w:sz w:val="20"/>
          <w:szCs w:val="20"/>
        </w:rPr>
        <w:t>Merrigan</w:t>
      </w:r>
      <w:proofErr w:type="spellEnd"/>
      <w:r w:rsidRPr="009018DF">
        <w:rPr>
          <w:rFonts w:ascii="Garamond" w:hAnsi="Garamond" w:cs="Times New Roman"/>
          <w:color w:val="000000" w:themeColor="text1"/>
          <w:sz w:val="20"/>
          <w:szCs w:val="20"/>
        </w:rPr>
        <w:t xml:space="preserve"> and John Friday, </w:t>
      </w:r>
      <w:r w:rsidRPr="009018DF">
        <w:rPr>
          <w:rFonts w:ascii="Garamond" w:hAnsi="Garamond" w:cs="Times New Roman"/>
          <w:color w:val="000000" w:themeColor="text1"/>
          <w:sz w:val="20"/>
          <w:szCs w:val="20"/>
        </w:rPr>
        <w:t>1-13</w:t>
      </w:r>
      <w:r w:rsidRPr="009018DF">
        <w:rPr>
          <w:rFonts w:ascii="Garamond" w:hAnsi="Garamond" w:cs="Times New Roman"/>
          <w:i/>
          <w:color w:val="000000" w:themeColor="text1"/>
          <w:sz w:val="20"/>
          <w:szCs w:val="20"/>
        </w:rPr>
        <w:t>.</w:t>
      </w:r>
      <w:r w:rsidRPr="009018DF">
        <w:rPr>
          <w:rFonts w:ascii="Garamond" w:hAnsi="Garamond" w:cs="Times New Roman"/>
          <w:color w:val="000000" w:themeColor="text1"/>
          <w:sz w:val="20"/>
          <w:szCs w:val="20"/>
        </w:rPr>
        <w:t xml:space="preserve"> Oxford: Oxford University Pres</w:t>
      </w:r>
      <w:r w:rsidRPr="009018DF">
        <w:rPr>
          <w:rFonts w:ascii="Garamond" w:hAnsi="Garamond" w:cs="Times New Roman"/>
          <w:color w:val="000000" w:themeColor="text1"/>
          <w:sz w:val="20"/>
          <w:szCs w:val="20"/>
        </w:rPr>
        <w:t>s.</w:t>
      </w:r>
    </w:p>
    <w:p w14:paraId="0F1F8DFB" w14:textId="77777777" w:rsidR="009018DF" w:rsidRPr="009018DF" w:rsidRDefault="009018DF" w:rsidP="009018DF">
      <w:pPr>
        <w:pStyle w:val="FootnoteText"/>
        <w:spacing w:before="0" w:line="240" w:lineRule="auto"/>
        <w:ind w:left="567" w:hanging="567"/>
        <w:rPr>
          <w:rFonts w:ascii="Garamond" w:hAnsi="Garamond" w:cs="Times New Roman"/>
          <w:color w:val="000000" w:themeColor="text1"/>
          <w:sz w:val="20"/>
          <w:szCs w:val="20"/>
        </w:rPr>
      </w:pPr>
      <w:r w:rsidRPr="009018DF">
        <w:rPr>
          <w:rFonts w:ascii="Garamond" w:hAnsi="Garamond" w:cs="Times New Roman"/>
          <w:color w:val="000000" w:themeColor="text1"/>
          <w:sz w:val="20"/>
          <w:szCs w:val="20"/>
        </w:rPr>
        <w:t xml:space="preserve">Minna </w:t>
      </w:r>
      <w:proofErr w:type="spellStart"/>
      <w:r w:rsidRPr="009018DF">
        <w:rPr>
          <w:rFonts w:ascii="Garamond" w:hAnsi="Garamond" w:cs="Times New Roman"/>
          <w:color w:val="000000" w:themeColor="text1"/>
          <w:sz w:val="20"/>
          <w:szCs w:val="20"/>
        </w:rPr>
        <w:t>Hietamäki</w:t>
      </w:r>
      <w:proofErr w:type="spellEnd"/>
      <w:r w:rsidRPr="009018DF">
        <w:rPr>
          <w:rFonts w:ascii="Garamond" w:hAnsi="Garamond" w:cs="Times New Roman"/>
          <w:color w:val="000000" w:themeColor="text1"/>
          <w:sz w:val="20"/>
          <w:szCs w:val="20"/>
        </w:rPr>
        <w:t xml:space="preserve">, “‘Ecumenical Recognition’ in the Faith and Order Movement,” </w:t>
      </w:r>
      <w:r w:rsidRPr="009018DF">
        <w:rPr>
          <w:rStyle w:val="CSITALIC"/>
          <w:rFonts w:ascii="Garamond" w:hAnsi="Garamond"/>
          <w:color w:val="000000" w:themeColor="text1"/>
          <w:sz w:val="20"/>
          <w:szCs w:val="20"/>
        </w:rPr>
        <w:t>Open Theology</w:t>
      </w:r>
      <w:r w:rsidRPr="009018DF">
        <w:rPr>
          <w:rFonts w:ascii="Garamond" w:hAnsi="Garamond" w:cs="Times New Roman"/>
          <w:color w:val="000000" w:themeColor="text1"/>
          <w:sz w:val="20"/>
          <w:szCs w:val="20"/>
        </w:rPr>
        <w:t xml:space="preserve"> 1, no.1 (2015): 204-219</w:t>
      </w:r>
      <w:r w:rsidRPr="009018DF">
        <w:rPr>
          <w:rFonts w:ascii="Garamond" w:hAnsi="Garamond" w:cs="Times New Roman"/>
          <w:color w:val="000000" w:themeColor="text1"/>
          <w:sz w:val="20"/>
          <w:szCs w:val="20"/>
        </w:rPr>
        <w:t>.</w:t>
      </w:r>
    </w:p>
    <w:p w14:paraId="48969A25" w14:textId="77777777" w:rsidR="009018DF" w:rsidRPr="009018DF" w:rsidRDefault="009018DF" w:rsidP="009018DF">
      <w:pPr>
        <w:pStyle w:val="FootnoteText"/>
        <w:spacing w:before="0" w:line="240" w:lineRule="auto"/>
        <w:ind w:left="567" w:hanging="567"/>
        <w:rPr>
          <w:rFonts w:ascii="Garamond" w:hAnsi="Garamond" w:cs="Times New Roman"/>
          <w:color w:val="000000" w:themeColor="text1"/>
          <w:sz w:val="20"/>
          <w:szCs w:val="20"/>
        </w:rPr>
      </w:pPr>
      <w:proofErr w:type="spellStart"/>
      <w:r w:rsidRPr="009018DF">
        <w:rPr>
          <w:rFonts w:ascii="Garamond" w:hAnsi="Garamond" w:cs="Times New Roman"/>
          <w:color w:val="000000" w:themeColor="text1"/>
          <w:sz w:val="20"/>
          <w:szCs w:val="20"/>
        </w:rPr>
        <w:t>Moratta</w:t>
      </w:r>
      <w:proofErr w:type="spellEnd"/>
      <w:r w:rsidRPr="009018DF">
        <w:rPr>
          <w:rFonts w:ascii="Garamond" w:hAnsi="Garamond" w:cs="Times New Roman"/>
          <w:color w:val="000000" w:themeColor="text1"/>
          <w:sz w:val="20"/>
          <w:szCs w:val="20"/>
        </w:rPr>
        <w:t xml:space="preserve">, Vince. 2009. “Intercultural Hermeneutics and the Cross-cultural Subject.” </w:t>
      </w:r>
      <w:r w:rsidRPr="009018DF">
        <w:rPr>
          <w:rFonts w:ascii="Garamond" w:hAnsi="Garamond" w:cs="Times New Roman"/>
          <w:i/>
          <w:iCs/>
          <w:color w:val="000000" w:themeColor="text1"/>
          <w:sz w:val="20"/>
          <w:szCs w:val="20"/>
        </w:rPr>
        <w:t>Journal of Intercultural Studies</w:t>
      </w:r>
      <w:r w:rsidRPr="009018DF">
        <w:rPr>
          <w:rFonts w:ascii="Garamond" w:hAnsi="Garamond" w:cs="Times New Roman"/>
          <w:color w:val="000000" w:themeColor="text1"/>
          <w:sz w:val="20"/>
          <w:szCs w:val="20"/>
        </w:rPr>
        <w:t xml:space="preserve"> 30(3): 267-84.</w:t>
      </w:r>
    </w:p>
    <w:p w14:paraId="54A44D9D" w14:textId="77777777" w:rsidR="009018DF" w:rsidRPr="009018DF" w:rsidRDefault="009018DF" w:rsidP="009018DF">
      <w:pPr>
        <w:pStyle w:val="FootnoteText"/>
        <w:spacing w:before="0" w:line="240" w:lineRule="auto"/>
        <w:ind w:left="567" w:hanging="567"/>
        <w:rPr>
          <w:rFonts w:ascii="Garamond" w:hAnsi="Garamond"/>
          <w:color w:val="000000" w:themeColor="text1"/>
          <w:sz w:val="20"/>
          <w:szCs w:val="20"/>
        </w:rPr>
      </w:pPr>
      <w:r w:rsidRPr="009018DF">
        <w:rPr>
          <w:rFonts w:ascii="Garamond" w:hAnsi="Garamond"/>
          <w:color w:val="000000" w:themeColor="text1"/>
          <w:sz w:val="20"/>
          <w:szCs w:val="20"/>
        </w:rPr>
        <w:t>Okpaleke,</w:t>
      </w:r>
      <w:r w:rsidRPr="009018DF">
        <w:rPr>
          <w:rFonts w:ascii="Garamond" w:hAnsi="Garamond"/>
          <w:color w:val="000000" w:themeColor="text1"/>
          <w:sz w:val="20"/>
          <w:szCs w:val="20"/>
        </w:rPr>
        <w:t xml:space="preserve"> </w:t>
      </w:r>
      <w:r w:rsidRPr="009018DF">
        <w:rPr>
          <w:rFonts w:ascii="Garamond" w:hAnsi="Garamond"/>
          <w:color w:val="000000" w:themeColor="text1"/>
          <w:sz w:val="20"/>
          <w:szCs w:val="20"/>
        </w:rPr>
        <w:t>Ikenna Paschal</w:t>
      </w:r>
      <w:r w:rsidRPr="009018DF">
        <w:rPr>
          <w:rFonts w:ascii="Garamond" w:hAnsi="Garamond"/>
          <w:color w:val="000000" w:themeColor="text1"/>
          <w:sz w:val="20"/>
          <w:szCs w:val="20"/>
        </w:rPr>
        <w:t>.</w:t>
      </w:r>
      <w:r w:rsidRPr="009018DF">
        <w:rPr>
          <w:rFonts w:ascii="Garamond" w:hAnsi="Garamond"/>
          <w:color w:val="000000" w:themeColor="text1"/>
          <w:sz w:val="20"/>
          <w:szCs w:val="20"/>
        </w:rPr>
        <w:t xml:space="preserve"> “On the Borderline between Consensus and Reception: The Spirituality of Openness as a Necessary Criterion for Ecumenical Reception</w:t>
      </w:r>
      <w:r w:rsidRPr="009018DF">
        <w:rPr>
          <w:rFonts w:ascii="Garamond" w:hAnsi="Garamond"/>
          <w:color w:val="000000" w:themeColor="text1"/>
          <w:sz w:val="20"/>
          <w:szCs w:val="20"/>
        </w:rPr>
        <w:t>.</w:t>
      </w:r>
      <w:r w:rsidRPr="009018DF">
        <w:rPr>
          <w:rFonts w:ascii="Garamond" w:hAnsi="Garamond"/>
          <w:color w:val="000000" w:themeColor="text1"/>
          <w:sz w:val="20"/>
          <w:szCs w:val="20"/>
        </w:rPr>
        <w:t xml:space="preserve">” </w:t>
      </w:r>
      <w:r w:rsidRPr="009018DF">
        <w:rPr>
          <w:rFonts w:ascii="Garamond" w:hAnsi="Garamond"/>
          <w:i/>
          <w:iCs/>
          <w:color w:val="000000" w:themeColor="text1"/>
          <w:sz w:val="20"/>
          <w:szCs w:val="20"/>
        </w:rPr>
        <w:t>Journal of Ecumenical Studies</w:t>
      </w:r>
      <w:r w:rsidRPr="009018DF">
        <w:rPr>
          <w:rFonts w:ascii="Garamond" w:hAnsi="Garamond"/>
          <w:color w:val="000000" w:themeColor="text1"/>
          <w:sz w:val="20"/>
          <w:szCs w:val="20"/>
        </w:rPr>
        <w:t xml:space="preserve"> 53</w:t>
      </w:r>
      <w:r w:rsidRPr="009018DF">
        <w:rPr>
          <w:rFonts w:ascii="Garamond" w:hAnsi="Garamond"/>
          <w:color w:val="000000" w:themeColor="text1"/>
          <w:sz w:val="20"/>
          <w:szCs w:val="20"/>
        </w:rPr>
        <w:t>(</w:t>
      </w:r>
      <w:r w:rsidRPr="009018DF">
        <w:rPr>
          <w:rFonts w:ascii="Garamond" w:hAnsi="Garamond"/>
          <w:color w:val="000000" w:themeColor="text1"/>
          <w:sz w:val="20"/>
          <w:szCs w:val="20"/>
        </w:rPr>
        <w:t>3): 348-69.</w:t>
      </w:r>
    </w:p>
    <w:p w14:paraId="3E426783" w14:textId="77777777" w:rsidR="009018DF" w:rsidRPr="009018DF" w:rsidRDefault="009018DF" w:rsidP="009018DF">
      <w:pPr>
        <w:pStyle w:val="FootnoteText"/>
        <w:spacing w:before="0" w:line="240" w:lineRule="auto"/>
        <w:ind w:left="567" w:hanging="567"/>
        <w:rPr>
          <w:rFonts w:ascii="Garamond" w:hAnsi="Garamond"/>
          <w:color w:val="000000" w:themeColor="text1"/>
          <w:sz w:val="20"/>
          <w:szCs w:val="20"/>
        </w:rPr>
      </w:pPr>
      <w:proofErr w:type="spellStart"/>
      <w:r w:rsidRPr="009018DF">
        <w:rPr>
          <w:rFonts w:ascii="Garamond" w:hAnsi="Garamond"/>
          <w:color w:val="000000" w:themeColor="text1"/>
          <w:sz w:val="20"/>
          <w:szCs w:val="20"/>
        </w:rPr>
        <w:t>Pannikar</w:t>
      </w:r>
      <w:proofErr w:type="spellEnd"/>
      <w:r w:rsidRPr="009018DF">
        <w:rPr>
          <w:rFonts w:ascii="Garamond" w:hAnsi="Garamond"/>
          <w:color w:val="000000" w:themeColor="text1"/>
          <w:sz w:val="20"/>
          <w:szCs w:val="20"/>
        </w:rPr>
        <w:t>,</w:t>
      </w:r>
      <w:r w:rsidRPr="009018DF">
        <w:rPr>
          <w:rFonts w:ascii="Garamond" w:hAnsi="Garamond"/>
          <w:color w:val="000000" w:themeColor="text1"/>
          <w:sz w:val="20"/>
          <w:szCs w:val="20"/>
        </w:rPr>
        <w:t xml:space="preserve"> </w:t>
      </w:r>
      <w:r w:rsidRPr="009018DF">
        <w:rPr>
          <w:rFonts w:ascii="Garamond" w:hAnsi="Garamond"/>
          <w:color w:val="000000" w:themeColor="text1"/>
          <w:sz w:val="20"/>
          <w:szCs w:val="20"/>
        </w:rPr>
        <w:t>Raimundo</w:t>
      </w:r>
      <w:r w:rsidRPr="009018DF">
        <w:rPr>
          <w:rFonts w:ascii="Garamond" w:hAnsi="Garamond"/>
          <w:color w:val="000000" w:themeColor="text1"/>
          <w:sz w:val="20"/>
          <w:szCs w:val="20"/>
        </w:rPr>
        <w:t>.</w:t>
      </w:r>
      <w:r w:rsidRPr="009018DF">
        <w:rPr>
          <w:rFonts w:ascii="Garamond" w:hAnsi="Garamond"/>
          <w:color w:val="000000" w:themeColor="text1"/>
          <w:sz w:val="20"/>
          <w:szCs w:val="20"/>
        </w:rPr>
        <w:t xml:space="preserve"> </w:t>
      </w:r>
      <w:r w:rsidRPr="009018DF">
        <w:rPr>
          <w:rFonts w:ascii="Garamond" w:hAnsi="Garamond"/>
          <w:color w:val="000000" w:themeColor="text1"/>
          <w:sz w:val="20"/>
          <w:szCs w:val="20"/>
        </w:rPr>
        <w:t xml:space="preserve">1993. </w:t>
      </w:r>
      <w:r w:rsidRPr="009018DF">
        <w:rPr>
          <w:rFonts w:ascii="Garamond" w:hAnsi="Garamond"/>
          <w:i/>
          <w:iCs/>
          <w:color w:val="000000" w:themeColor="text1"/>
          <w:sz w:val="20"/>
          <w:szCs w:val="20"/>
        </w:rPr>
        <w:t xml:space="preserve">The </w:t>
      </w:r>
      <w:proofErr w:type="spellStart"/>
      <w:r w:rsidRPr="009018DF">
        <w:rPr>
          <w:rFonts w:ascii="Garamond" w:hAnsi="Garamond"/>
          <w:i/>
          <w:iCs/>
          <w:color w:val="000000" w:themeColor="text1"/>
          <w:sz w:val="20"/>
          <w:szCs w:val="20"/>
        </w:rPr>
        <w:t>Cosmotheandric</w:t>
      </w:r>
      <w:proofErr w:type="spellEnd"/>
      <w:r w:rsidRPr="009018DF">
        <w:rPr>
          <w:rFonts w:ascii="Garamond" w:hAnsi="Garamond"/>
          <w:i/>
          <w:iCs/>
          <w:color w:val="000000" w:themeColor="text1"/>
          <w:sz w:val="20"/>
          <w:szCs w:val="20"/>
        </w:rPr>
        <w:t xml:space="preserve"> Experience</w:t>
      </w:r>
      <w:r w:rsidRPr="009018DF">
        <w:rPr>
          <w:rFonts w:ascii="Garamond" w:hAnsi="Garamond"/>
          <w:i/>
          <w:iCs/>
          <w:color w:val="000000" w:themeColor="text1"/>
          <w:sz w:val="20"/>
          <w:szCs w:val="20"/>
        </w:rPr>
        <w:t>.</w:t>
      </w:r>
      <w:r w:rsidRPr="009018DF">
        <w:rPr>
          <w:rFonts w:ascii="Garamond" w:hAnsi="Garamond"/>
          <w:color w:val="000000" w:themeColor="text1"/>
          <w:sz w:val="20"/>
          <w:szCs w:val="20"/>
        </w:rPr>
        <w:t xml:space="preserve"> Maryknoll: Orbis Books.</w:t>
      </w:r>
    </w:p>
    <w:p w14:paraId="1489E083" w14:textId="77777777" w:rsidR="009018DF" w:rsidRPr="009018DF" w:rsidRDefault="009018DF" w:rsidP="009018DF">
      <w:pPr>
        <w:widowControl w:val="0"/>
        <w:spacing w:before="0" w:line="240" w:lineRule="auto"/>
        <w:ind w:left="567" w:hanging="567"/>
        <w:rPr>
          <w:rFonts w:ascii="Garamond" w:hAnsi="Garamond" w:cs="Times New Roman"/>
          <w:bCs/>
          <w:color w:val="000000" w:themeColor="text1"/>
          <w:sz w:val="20"/>
          <w:szCs w:val="20"/>
          <w:lang w:val="en-US"/>
        </w:rPr>
      </w:pPr>
      <w:r w:rsidRPr="009018DF">
        <w:rPr>
          <w:rFonts w:ascii="Garamond" w:hAnsi="Garamond" w:cs="Times New Roman"/>
          <w:color w:val="000000" w:themeColor="text1"/>
          <w:sz w:val="20"/>
          <w:szCs w:val="20"/>
          <w:lang w:val="en-US"/>
        </w:rPr>
        <w:t>Pontifical Council for Interreligious Dialogue (PCID)</w:t>
      </w:r>
      <w:r w:rsidRPr="009018DF">
        <w:rPr>
          <w:rFonts w:ascii="Garamond" w:hAnsi="Garamond" w:cs="Times New Roman"/>
          <w:color w:val="000000" w:themeColor="text1"/>
          <w:sz w:val="20"/>
          <w:szCs w:val="20"/>
          <w:lang w:val="en-US"/>
        </w:rPr>
        <w:t>. 1991.</w:t>
      </w:r>
      <w:r w:rsidRPr="009018DF">
        <w:rPr>
          <w:rFonts w:ascii="Garamond" w:hAnsi="Garamond" w:cs="Times New Roman"/>
          <w:color w:val="000000" w:themeColor="text1"/>
          <w:sz w:val="20"/>
          <w:szCs w:val="20"/>
          <w:lang w:val="en-US"/>
        </w:rPr>
        <w:t xml:space="preserve"> </w:t>
      </w:r>
      <w:r w:rsidRPr="009018DF">
        <w:rPr>
          <w:rFonts w:ascii="Garamond" w:hAnsi="Garamond" w:cs="Times New Roman"/>
          <w:bCs/>
          <w:i/>
          <w:iCs/>
          <w:color w:val="000000" w:themeColor="text1"/>
          <w:sz w:val="20"/>
          <w:szCs w:val="20"/>
          <w:lang w:val="en-US"/>
        </w:rPr>
        <w:t xml:space="preserve">Dialogue and Proclamation: </w:t>
      </w:r>
      <w:r w:rsidRPr="009018DF">
        <w:rPr>
          <w:rFonts w:ascii="Garamond" w:hAnsi="Garamond" w:cs="Times New Roman"/>
          <w:bCs/>
          <w:i/>
          <w:color w:val="000000" w:themeColor="text1"/>
          <w:sz w:val="20"/>
          <w:szCs w:val="20"/>
          <w:lang w:val="en-US"/>
        </w:rPr>
        <w:t xml:space="preserve">Reflection and Orientations on Interreligious Dialogue </w:t>
      </w:r>
      <w:r w:rsidRPr="009018DF">
        <w:rPr>
          <w:rFonts w:ascii="Garamond" w:eastAsia="MS Mincho" w:hAnsi="Garamond" w:cs="Times New Roman"/>
          <w:bCs/>
          <w:i/>
          <w:color w:val="000000" w:themeColor="text1"/>
          <w:sz w:val="20"/>
          <w:szCs w:val="20"/>
          <w:lang w:val="en-US"/>
        </w:rPr>
        <w:t>a</w:t>
      </w:r>
      <w:r w:rsidRPr="009018DF">
        <w:rPr>
          <w:rFonts w:ascii="Garamond" w:hAnsi="Garamond" w:cs="Times New Roman"/>
          <w:bCs/>
          <w:i/>
          <w:color w:val="000000" w:themeColor="text1"/>
          <w:sz w:val="20"/>
          <w:szCs w:val="20"/>
          <w:lang w:val="en-US"/>
        </w:rPr>
        <w:t>nd The Proclamation of the Gospel of Jesus Christ</w:t>
      </w:r>
      <w:r w:rsidRPr="009018DF">
        <w:rPr>
          <w:rFonts w:ascii="Garamond" w:hAnsi="Garamond" w:cs="Times New Roman"/>
          <w:bCs/>
          <w:color w:val="000000" w:themeColor="text1"/>
          <w:sz w:val="20"/>
          <w:szCs w:val="20"/>
          <w:lang w:val="en-US"/>
        </w:rPr>
        <w:t xml:space="preserve"> (1991)</w:t>
      </w:r>
      <w:r w:rsidRPr="009018DF">
        <w:rPr>
          <w:rFonts w:ascii="Garamond" w:hAnsi="Garamond" w:cs="Times New Roman"/>
          <w:color w:val="000000" w:themeColor="text1"/>
          <w:sz w:val="20"/>
          <w:szCs w:val="20"/>
          <w:lang w:val="en-US"/>
        </w:rPr>
        <w:t xml:space="preserve"> </w:t>
      </w:r>
      <w:r w:rsidRPr="009018DF">
        <w:rPr>
          <w:rStyle w:val="InternetLink"/>
          <w:rFonts w:ascii="Garamond" w:hAnsi="Garamond" w:cs="Times New Roman"/>
          <w:bCs/>
          <w:color w:val="000000" w:themeColor="text1"/>
          <w:sz w:val="20"/>
          <w:szCs w:val="20"/>
          <w:u w:val="none"/>
        </w:rPr>
        <w:t>http://www.vatican.va/roman_curia/pontifical_councils/interelg/documents/rc_pc_interelg_doc_19051991_dialogue-and-proclamatio_en.html</w:t>
      </w:r>
      <w:r w:rsidRPr="009018DF">
        <w:rPr>
          <w:rFonts w:ascii="Garamond" w:hAnsi="Garamond" w:cs="Times New Roman"/>
          <w:bCs/>
          <w:color w:val="000000" w:themeColor="text1"/>
          <w:sz w:val="20"/>
          <w:szCs w:val="20"/>
          <w:lang w:val="en-US"/>
        </w:rPr>
        <w:t xml:space="preserve"> (accessed </w:t>
      </w:r>
      <w:r w:rsidRPr="009018DF">
        <w:rPr>
          <w:rFonts w:ascii="Garamond" w:hAnsi="Garamond" w:cs="Times New Roman"/>
          <w:bCs/>
          <w:color w:val="000000" w:themeColor="text1"/>
          <w:sz w:val="20"/>
          <w:szCs w:val="20"/>
          <w:lang w:val="en-US"/>
        </w:rPr>
        <w:t>1</w:t>
      </w:r>
      <w:r w:rsidRPr="009018DF">
        <w:rPr>
          <w:rFonts w:ascii="Garamond" w:hAnsi="Garamond" w:cs="Times New Roman"/>
          <w:bCs/>
          <w:color w:val="000000" w:themeColor="text1"/>
          <w:sz w:val="20"/>
          <w:szCs w:val="20"/>
          <w:lang w:val="en-US"/>
        </w:rPr>
        <w:t>3 October 2023)</w:t>
      </w:r>
    </w:p>
    <w:p w14:paraId="0876C5DA" w14:textId="2176217F" w:rsidR="009018DF" w:rsidRPr="009018DF" w:rsidRDefault="009018DF" w:rsidP="009018DF">
      <w:pPr>
        <w:widowControl w:val="0"/>
        <w:spacing w:before="0" w:line="240" w:lineRule="auto"/>
        <w:ind w:left="567" w:hanging="567"/>
        <w:rPr>
          <w:rFonts w:ascii="Garamond" w:hAnsi="Garamond" w:cs="Times New Roman"/>
          <w:bCs/>
          <w:color w:val="000000" w:themeColor="text1"/>
          <w:sz w:val="20"/>
          <w:szCs w:val="20"/>
          <w:lang w:val="en-US"/>
        </w:rPr>
      </w:pPr>
      <w:r w:rsidRPr="009018DF">
        <w:rPr>
          <w:rFonts w:ascii="Garamond" w:hAnsi="Garamond" w:cs="Times New Roman"/>
          <w:color w:val="000000" w:themeColor="text1"/>
          <w:sz w:val="20"/>
          <w:szCs w:val="20"/>
          <w:lang w:val="en-US"/>
        </w:rPr>
        <w:t>__________. 2014.</w:t>
      </w:r>
      <w:r w:rsidRPr="009018DF">
        <w:rPr>
          <w:rFonts w:ascii="Garamond" w:hAnsi="Garamond" w:cs="Times New Roman"/>
          <w:bCs/>
          <w:color w:val="000000" w:themeColor="text1"/>
          <w:sz w:val="20"/>
          <w:szCs w:val="20"/>
          <w:lang w:val="en-US"/>
        </w:rPr>
        <w:t xml:space="preserve"> </w:t>
      </w:r>
      <w:r w:rsidRPr="009018DF">
        <w:rPr>
          <w:rFonts w:ascii="Garamond" w:hAnsi="Garamond" w:cs="Times New Roman"/>
          <w:bCs/>
          <w:i/>
          <w:color w:val="000000" w:themeColor="text1"/>
          <w:sz w:val="20"/>
          <w:szCs w:val="20"/>
          <w:lang w:val="en-US"/>
        </w:rPr>
        <w:t>Dialogue in Truth and Charity: Pastoral Orientations for Interreligious Dialogue</w:t>
      </w:r>
      <w:r w:rsidRPr="009018DF">
        <w:rPr>
          <w:rFonts w:ascii="Garamond" w:hAnsi="Garamond" w:cs="Times New Roman"/>
          <w:bCs/>
          <w:i/>
          <w:color w:val="000000" w:themeColor="text1"/>
          <w:sz w:val="20"/>
          <w:szCs w:val="20"/>
          <w:lang w:val="en-US"/>
        </w:rPr>
        <w:t>.</w:t>
      </w:r>
      <w:r w:rsidRPr="009018DF">
        <w:rPr>
          <w:rFonts w:ascii="Garamond" w:hAnsi="Garamond" w:cs="Times New Roman"/>
          <w:bCs/>
          <w:color w:val="000000" w:themeColor="text1"/>
          <w:sz w:val="20"/>
          <w:szCs w:val="20"/>
          <w:lang w:val="en-US"/>
        </w:rPr>
        <w:t xml:space="preserve"> Rome: </w:t>
      </w:r>
      <w:proofErr w:type="spellStart"/>
      <w:r w:rsidRPr="009018DF">
        <w:rPr>
          <w:rFonts w:ascii="Garamond" w:hAnsi="Garamond" w:cs="Times New Roman"/>
          <w:bCs/>
          <w:color w:val="000000" w:themeColor="text1"/>
          <w:sz w:val="20"/>
          <w:szCs w:val="20"/>
          <w:lang w:val="en-US"/>
        </w:rPr>
        <w:t>Libreria</w:t>
      </w:r>
      <w:proofErr w:type="spellEnd"/>
      <w:r w:rsidRPr="009018DF">
        <w:rPr>
          <w:rFonts w:ascii="Garamond" w:hAnsi="Garamond" w:cs="Times New Roman"/>
          <w:bCs/>
          <w:color w:val="000000" w:themeColor="text1"/>
          <w:sz w:val="20"/>
          <w:szCs w:val="20"/>
          <w:lang w:val="en-US"/>
        </w:rPr>
        <w:t xml:space="preserve"> </w:t>
      </w:r>
      <w:proofErr w:type="spellStart"/>
      <w:r w:rsidRPr="009018DF">
        <w:rPr>
          <w:rFonts w:ascii="Garamond" w:hAnsi="Garamond" w:cs="Times New Roman"/>
          <w:bCs/>
          <w:color w:val="000000" w:themeColor="text1"/>
          <w:sz w:val="20"/>
          <w:szCs w:val="20"/>
          <w:lang w:val="en-US"/>
        </w:rPr>
        <w:t>Editrice</w:t>
      </w:r>
      <w:proofErr w:type="spellEnd"/>
      <w:r w:rsidRPr="009018DF">
        <w:rPr>
          <w:rFonts w:ascii="Garamond" w:hAnsi="Garamond" w:cs="Times New Roman"/>
          <w:bCs/>
          <w:color w:val="000000" w:themeColor="text1"/>
          <w:sz w:val="20"/>
          <w:szCs w:val="20"/>
          <w:lang w:val="en-US"/>
        </w:rPr>
        <w:t xml:space="preserve"> </w:t>
      </w:r>
      <w:proofErr w:type="spellStart"/>
      <w:r w:rsidRPr="009018DF">
        <w:rPr>
          <w:rFonts w:ascii="Garamond" w:hAnsi="Garamond" w:cs="Times New Roman"/>
          <w:bCs/>
          <w:color w:val="000000" w:themeColor="text1"/>
          <w:sz w:val="20"/>
          <w:szCs w:val="20"/>
          <w:lang w:val="en-US"/>
        </w:rPr>
        <w:t>Vaticana</w:t>
      </w:r>
      <w:proofErr w:type="spellEnd"/>
      <w:r w:rsidRPr="009018DF">
        <w:rPr>
          <w:rFonts w:ascii="Garamond" w:hAnsi="Garamond" w:cs="Times New Roman"/>
          <w:bCs/>
          <w:color w:val="000000" w:themeColor="text1"/>
          <w:sz w:val="20"/>
          <w:szCs w:val="20"/>
          <w:lang w:val="en-US"/>
        </w:rPr>
        <w:t>.</w:t>
      </w:r>
    </w:p>
    <w:p w14:paraId="4F9101E1" w14:textId="77777777" w:rsidR="009018DF" w:rsidRPr="009018DF" w:rsidRDefault="009018DF" w:rsidP="009018DF">
      <w:pPr>
        <w:widowControl w:val="0"/>
        <w:spacing w:before="0" w:line="240" w:lineRule="auto"/>
        <w:ind w:left="567" w:hanging="567"/>
        <w:rPr>
          <w:rFonts w:ascii="Garamond" w:hAnsi="Garamond" w:cs="Times New Roman"/>
          <w:color w:val="000000" w:themeColor="text1"/>
          <w:sz w:val="20"/>
          <w:szCs w:val="20"/>
          <w:lang w:val="en-US"/>
        </w:rPr>
      </w:pPr>
      <w:r w:rsidRPr="009018DF">
        <w:rPr>
          <w:rFonts w:ascii="Garamond" w:hAnsi="Garamond" w:cs="Times New Roman"/>
          <w:color w:val="000000" w:themeColor="text1"/>
          <w:sz w:val="20"/>
          <w:szCs w:val="20"/>
          <w:lang w:val="en-US"/>
        </w:rPr>
        <w:t>Secretariat for Non-Christians</w:t>
      </w:r>
      <w:r w:rsidRPr="009018DF">
        <w:rPr>
          <w:rFonts w:ascii="Garamond" w:hAnsi="Garamond" w:cs="Times New Roman"/>
          <w:color w:val="000000" w:themeColor="text1"/>
          <w:sz w:val="20"/>
          <w:szCs w:val="20"/>
          <w:lang w:val="en-US"/>
        </w:rPr>
        <w:t>. 1984.</w:t>
      </w:r>
      <w:r w:rsidRPr="009018DF">
        <w:rPr>
          <w:rFonts w:ascii="Garamond" w:hAnsi="Garamond" w:cs="Times New Roman"/>
          <w:i/>
          <w:color w:val="000000" w:themeColor="text1"/>
          <w:sz w:val="20"/>
          <w:szCs w:val="20"/>
          <w:lang w:val="en-US"/>
        </w:rPr>
        <w:t xml:space="preserve"> The Attitude of the Church Towards the Followers of Other Religions: Reflections and Orientations on Dialogue and Mission</w:t>
      </w:r>
      <w:r w:rsidRPr="009018DF">
        <w:rPr>
          <w:rFonts w:ascii="Garamond" w:hAnsi="Garamond" w:cs="Times New Roman"/>
          <w:i/>
          <w:color w:val="000000" w:themeColor="text1"/>
          <w:sz w:val="20"/>
          <w:szCs w:val="20"/>
          <w:lang w:val="en-US"/>
        </w:rPr>
        <w:t>.</w:t>
      </w:r>
      <w:r w:rsidRPr="009018DF">
        <w:rPr>
          <w:rFonts w:ascii="Garamond" w:hAnsi="Garamond" w:cs="Times New Roman"/>
          <w:color w:val="000000" w:themeColor="text1"/>
          <w:sz w:val="20"/>
          <w:szCs w:val="20"/>
          <w:lang w:val="en-US"/>
        </w:rPr>
        <w:t xml:space="preserve"> AAS 75</w:t>
      </w:r>
      <w:r w:rsidRPr="009018DF">
        <w:rPr>
          <w:rFonts w:ascii="Garamond" w:hAnsi="Garamond" w:cs="Times New Roman"/>
          <w:color w:val="000000" w:themeColor="text1"/>
          <w:sz w:val="20"/>
          <w:szCs w:val="20"/>
          <w:lang w:val="en-US"/>
        </w:rPr>
        <w:t>:</w:t>
      </w:r>
      <w:r w:rsidRPr="009018DF">
        <w:rPr>
          <w:rFonts w:ascii="Garamond" w:hAnsi="Garamond" w:cs="Times New Roman"/>
          <w:color w:val="000000" w:themeColor="text1"/>
          <w:sz w:val="20"/>
          <w:szCs w:val="20"/>
          <w:lang w:val="en-US"/>
        </w:rPr>
        <w:t xml:space="preserve"> 816-69. </w:t>
      </w:r>
    </w:p>
    <w:p w14:paraId="0901EBBC" w14:textId="77777777" w:rsidR="009018DF" w:rsidRPr="009018DF" w:rsidRDefault="009018DF" w:rsidP="009018DF">
      <w:pPr>
        <w:pStyle w:val="FootnoteText"/>
        <w:spacing w:before="0" w:line="240" w:lineRule="auto"/>
        <w:ind w:left="567" w:hanging="567"/>
        <w:rPr>
          <w:rFonts w:ascii="Garamond" w:hAnsi="Garamond" w:cs="Times New Roman"/>
          <w:color w:val="000000" w:themeColor="text1"/>
          <w:sz w:val="20"/>
          <w:szCs w:val="20"/>
        </w:rPr>
      </w:pPr>
      <w:r w:rsidRPr="009018DF">
        <w:rPr>
          <w:rFonts w:ascii="Garamond" w:hAnsi="Garamond" w:cs="Times New Roman"/>
          <w:color w:val="000000" w:themeColor="text1"/>
          <w:sz w:val="20"/>
          <w:szCs w:val="20"/>
        </w:rPr>
        <w:t>W</w:t>
      </w:r>
      <w:r w:rsidRPr="009018DF">
        <w:rPr>
          <w:rFonts w:ascii="Garamond" w:hAnsi="Garamond" w:cs="Times New Roman"/>
          <w:color w:val="000000" w:themeColor="text1"/>
          <w:sz w:val="20"/>
          <w:szCs w:val="20"/>
        </w:rPr>
        <w:t xml:space="preserve">orld </w:t>
      </w:r>
      <w:r w:rsidRPr="009018DF">
        <w:rPr>
          <w:rFonts w:ascii="Garamond" w:hAnsi="Garamond" w:cs="Times New Roman"/>
          <w:color w:val="000000" w:themeColor="text1"/>
          <w:sz w:val="20"/>
          <w:szCs w:val="20"/>
        </w:rPr>
        <w:t>C</w:t>
      </w:r>
      <w:r w:rsidRPr="009018DF">
        <w:rPr>
          <w:rFonts w:ascii="Garamond" w:hAnsi="Garamond" w:cs="Times New Roman"/>
          <w:color w:val="000000" w:themeColor="text1"/>
          <w:sz w:val="20"/>
          <w:szCs w:val="20"/>
        </w:rPr>
        <w:t xml:space="preserve">ouncil of </w:t>
      </w:r>
      <w:r w:rsidRPr="009018DF">
        <w:rPr>
          <w:rFonts w:ascii="Garamond" w:hAnsi="Garamond" w:cs="Times New Roman"/>
          <w:color w:val="000000" w:themeColor="text1"/>
          <w:sz w:val="20"/>
          <w:szCs w:val="20"/>
        </w:rPr>
        <w:t>C</w:t>
      </w:r>
      <w:r w:rsidRPr="009018DF">
        <w:rPr>
          <w:rFonts w:ascii="Garamond" w:hAnsi="Garamond" w:cs="Times New Roman"/>
          <w:color w:val="000000" w:themeColor="text1"/>
          <w:sz w:val="20"/>
          <w:szCs w:val="20"/>
        </w:rPr>
        <w:t>hurches. 1997.</w:t>
      </w:r>
      <w:r w:rsidRPr="009018DF">
        <w:rPr>
          <w:rFonts w:ascii="Garamond" w:hAnsi="Garamond" w:cs="Times New Roman"/>
          <w:color w:val="000000" w:themeColor="text1"/>
          <w:sz w:val="20"/>
          <w:szCs w:val="20"/>
        </w:rPr>
        <w:t xml:space="preserve"> </w:t>
      </w:r>
      <w:r w:rsidRPr="009018DF">
        <w:rPr>
          <w:rFonts w:ascii="Garamond" w:hAnsi="Garamond" w:cs="Times New Roman"/>
          <w:i/>
          <w:color w:val="000000" w:themeColor="text1"/>
          <w:sz w:val="20"/>
          <w:szCs w:val="20"/>
        </w:rPr>
        <w:t>Common Understanding and Vision of the WCC</w:t>
      </w:r>
      <w:r w:rsidRPr="009018DF">
        <w:rPr>
          <w:rFonts w:ascii="Garamond" w:hAnsi="Garamond" w:cs="Times New Roman"/>
          <w:iCs/>
          <w:color w:val="000000" w:themeColor="text1"/>
          <w:sz w:val="20"/>
          <w:szCs w:val="20"/>
        </w:rPr>
        <w:t>.</w:t>
      </w:r>
      <w:r w:rsidRPr="009018DF">
        <w:rPr>
          <w:rFonts w:ascii="Garamond" w:hAnsi="Garamond" w:cs="Times New Roman"/>
          <w:i/>
          <w:color w:val="000000" w:themeColor="text1"/>
          <w:sz w:val="20"/>
          <w:szCs w:val="20"/>
        </w:rPr>
        <w:t xml:space="preserve"> </w:t>
      </w:r>
      <w:r w:rsidRPr="009018DF">
        <w:rPr>
          <w:rFonts w:ascii="Garamond" w:hAnsi="Garamond" w:cs="Times New Roman"/>
          <w:color w:val="000000" w:themeColor="text1"/>
          <w:sz w:val="20"/>
          <w:szCs w:val="20"/>
        </w:rPr>
        <w:t>Geneva: WCC</w:t>
      </w:r>
      <w:r w:rsidRPr="009018DF">
        <w:rPr>
          <w:rFonts w:ascii="Garamond" w:hAnsi="Garamond" w:cs="Times New Roman"/>
          <w:color w:val="000000" w:themeColor="text1"/>
          <w:sz w:val="20"/>
          <w:szCs w:val="20"/>
        </w:rPr>
        <w:t xml:space="preserve"> Publications.</w:t>
      </w:r>
    </w:p>
    <w:p w14:paraId="29BD3A5B" w14:textId="77777777" w:rsidR="009018DF" w:rsidRPr="009018DF" w:rsidRDefault="009018DF" w:rsidP="009018DF">
      <w:pPr>
        <w:pStyle w:val="FootnoteText"/>
        <w:spacing w:before="0" w:line="240" w:lineRule="auto"/>
        <w:ind w:left="567" w:hanging="567"/>
        <w:rPr>
          <w:rFonts w:ascii="Garamond" w:hAnsi="Garamond" w:cs="Times New Roman"/>
          <w:color w:val="000000" w:themeColor="text1"/>
          <w:sz w:val="20"/>
          <w:szCs w:val="20"/>
          <w:lang w:val="de-DE"/>
        </w:rPr>
      </w:pPr>
      <w:proofErr w:type="spellStart"/>
      <w:r w:rsidRPr="009018DF">
        <w:rPr>
          <w:rFonts w:ascii="Garamond" w:hAnsi="Garamond" w:cs="Times New Roman"/>
          <w:color w:val="000000" w:themeColor="text1"/>
          <w:sz w:val="20"/>
          <w:szCs w:val="20"/>
          <w:lang w:val="de-DE"/>
        </w:rPr>
        <w:t>Wrogemann</w:t>
      </w:r>
      <w:proofErr w:type="spellEnd"/>
      <w:r w:rsidRPr="009018DF">
        <w:rPr>
          <w:rFonts w:ascii="Garamond" w:hAnsi="Garamond" w:cs="Times New Roman"/>
          <w:color w:val="000000" w:themeColor="text1"/>
          <w:sz w:val="20"/>
          <w:szCs w:val="20"/>
          <w:lang w:val="de-DE"/>
        </w:rPr>
        <w:t xml:space="preserve">, </w:t>
      </w:r>
      <w:r w:rsidRPr="009018DF">
        <w:rPr>
          <w:rFonts w:ascii="Garamond" w:hAnsi="Garamond" w:cs="Times New Roman"/>
          <w:color w:val="000000" w:themeColor="text1"/>
          <w:sz w:val="20"/>
          <w:szCs w:val="20"/>
          <w:lang w:val="de-DE"/>
        </w:rPr>
        <w:t>Henning</w:t>
      </w:r>
      <w:r w:rsidRPr="009018DF">
        <w:rPr>
          <w:rFonts w:ascii="Garamond" w:hAnsi="Garamond" w:cs="Times New Roman"/>
          <w:color w:val="000000" w:themeColor="text1"/>
          <w:sz w:val="20"/>
          <w:szCs w:val="20"/>
          <w:lang w:val="de-DE"/>
        </w:rPr>
        <w:t>. 2012/2016.</w:t>
      </w:r>
      <w:r w:rsidRPr="009018DF">
        <w:rPr>
          <w:rFonts w:ascii="Garamond" w:hAnsi="Garamond" w:cs="Times New Roman"/>
          <w:color w:val="000000" w:themeColor="text1"/>
          <w:sz w:val="20"/>
          <w:szCs w:val="20"/>
          <w:lang w:val="de-DE"/>
        </w:rPr>
        <w:t xml:space="preserve"> </w:t>
      </w:r>
      <w:r w:rsidRPr="009018DF">
        <w:rPr>
          <w:rFonts w:ascii="Garamond" w:hAnsi="Garamond" w:cs="Times New Roman"/>
          <w:i/>
          <w:color w:val="000000" w:themeColor="text1"/>
          <w:sz w:val="20"/>
          <w:szCs w:val="20"/>
          <w:lang w:val="de-DE"/>
        </w:rPr>
        <w:t>Interkulturelle Theologie und Hermeneutik: Grundfragen, aktuelle Beispiele, theoretische Perspektiven</w:t>
      </w:r>
      <w:r w:rsidRPr="009018DF">
        <w:rPr>
          <w:rFonts w:ascii="Garamond" w:hAnsi="Garamond" w:cs="Times New Roman"/>
          <w:color w:val="000000" w:themeColor="text1"/>
          <w:sz w:val="20"/>
          <w:szCs w:val="20"/>
          <w:lang w:val="de-DE"/>
        </w:rPr>
        <w:t>, Band 1</w:t>
      </w:r>
      <w:r w:rsidRPr="009018DF">
        <w:rPr>
          <w:rFonts w:ascii="Garamond" w:hAnsi="Garamond" w:cs="Times New Roman"/>
          <w:color w:val="000000" w:themeColor="text1"/>
          <w:sz w:val="20"/>
          <w:szCs w:val="20"/>
          <w:lang w:val="de-DE"/>
        </w:rPr>
        <w:t>/</w:t>
      </w:r>
      <w:r w:rsidRPr="009018DF">
        <w:rPr>
          <w:rFonts w:ascii="Garamond" w:hAnsi="Garamond" w:cs="Times New Roman"/>
          <w:i/>
          <w:color w:val="000000" w:themeColor="text1"/>
          <w:sz w:val="20"/>
          <w:szCs w:val="20"/>
        </w:rPr>
        <w:t xml:space="preserve"> </w:t>
      </w:r>
      <w:r w:rsidRPr="009018DF">
        <w:rPr>
          <w:rFonts w:ascii="Garamond" w:hAnsi="Garamond" w:cs="Times New Roman"/>
          <w:i/>
          <w:color w:val="000000" w:themeColor="text1"/>
          <w:sz w:val="20"/>
          <w:szCs w:val="20"/>
        </w:rPr>
        <w:t>Intercultural Hermeneutics</w:t>
      </w:r>
      <w:r w:rsidRPr="009018DF">
        <w:rPr>
          <w:rFonts w:ascii="Garamond" w:hAnsi="Garamond" w:cs="Times New Roman"/>
          <w:i/>
          <w:color w:val="000000" w:themeColor="text1"/>
          <w:sz w:val="20"/>
          <w:szCs w:val="20"/>
        </w:rPr>
        <w:t>.</w:t>
      </w:r>
      <w:r w:rsidRPr="009018DF">
        <w:rPr>
          <w:rFonts w:ascii="Garamond" w:hAnsi="Garamond" w:cs="Times New Roman"/>
          <w:color w:val="000000" w:themeColor="text1"/>
          <w:sz w:val="20"/>
          <w:szCs w:val="20"/>
          <w:lang w:val="de-DE"/>
        </w:rPr>
        <w:t xml:space="preserve"> Downers Grove: </w:t>
      </w:r>
      <w:proofErr w:type="spellStart"/>
      <w:r w:rsidRPr="009018DF">
        <w:rPr>
          <w:rFonts w:ascii="Garamond" w:hAnsi="Garamond" w:cs="Times New Roman"/>
          <w:color w:val="000000" w:themeColor="text1"/>
          <w:sz w:val="20"/>
          <w:szCs w:val="20"/>
          <w:lang w:val="de-DE"/>
        </w:rPr>
        <w:t>InterVarsity</w:t>
      </w:r>
      <w:proofErr w:type="spellEnd"/>
      <w:r w:rsidRPr="009018DF">
        <w:rPr>
          <w:rFonts w:ascii="Garamond" w:hAnsi="Garamond" w:cs="Times New Roman"/>
          <w:color w:val="000000" w:themeColor="text1"/>
          <w:sz w:val="20"/>
          <w:szCs w:val="20"/>
          <w:lang w:val="de-DE"/>
        </w:rPr>
        <w:t xml:space="preserve"> Press.</w:t>
      </w:r>
    </w:p>
    <w:p w14:paraId="5B746B3B" w14:textId="42F61C51" w:rsidR="009018DF" w:rsidRPr="009018DF" w:rsidRDefault="009018DF" w:rsidP="009018DF">
      <w:pPr>
        <w:pStyle w:val="FootnoteText"/>
        <w:spacing w:before="0" w:line="240" w:lineRule="auto"/>
        <w:ind w:left="567" w:hanging="567"/>
        <w:rPr>
          <w:rFonts w:ascii="Garamond" w:hAnsi="Garamond" w:cs="Times New Roman"/>
          <w:color w:val="000000" w:themeColor="text1"/>
          <w:sz w:val="20"/>
          <w:szCs w:val="20"/>
          <w:lang w:val="de-DE"/>
        </w:rPr>
      </w:pPr>
      <w:r w:rsidRPr="009018DF">
        <w:rPr>
          <w:rFonts w:ascii="Garamond" w:hAnsi="Garamond" w:cs="Times New Roman"/>
          <w:color w:val="000000" w:themeColor="text1"/>
          <w:sz w:val="20"/>
          <w:szCs w:val="20"/>
          <w:lang w:val="de-DE"/>
        </w:rPr>
        <w:lastRenderedPageBreak/>
        <w:t>__________</w:t>
      </w:r>
      <w:r w:rsidRPr="009018DF">
        <w:rPr>
          <w:rFonts w:ascii="Garamond" w:hAnsi="Garamond" w:cs="Times New Roman"/>
          <w:color w:val="000000" w:themeColor="text1"/>
          <w:sz w:val="20"/>
          <w:szCs w:val="20"/>
          <w:lang w:val="de-DE"/>
        </w:rPr>
        <w:t>.</w:t>
      </w:r>
      <w:r w:rsidRPr="009018DF">
        <w:rPr>
          <w:rFonts w:ascii="Garamond" w:hAnsi="Garamond" w:cs="Times New Roman"/>
          <w:color w:val="000000" w:themeColor="text1"/>
          <w:sz w:val="20"/>
          <w:szCs w:val="20"/>
          <w:lang w:val="de-DE"/>
        </w:rPr>
        <w:t xml:space="preserve"> 2013/2018.</w:t>
      </w:r>
      <w:r w:rsidRPr="009018DF">
        <w:rPr>
          <w:rFonts w:ascii="Garamond" w:hAnsi="Garamond" w:cs="Times New Roman"/>
          <w:color w:val="000000" w:themeColor="text1"/>
          <w:sz w:val="20"/>
          <w:szCs w:val="20"/>
          <w:lang w:val="de-DE"/>
        </w:rPr>
        <w:t xml:space="preserve"> </w:t>
      </w:r>
      <w:r w:rsidRPr="009018DF">
        <w:rPr>
          <w:rFonts w:ascii="Garamond" w:hAnsi="Garamond" w:cs="Times New Roman"/>
          <w:i/>
          <w:color w:val="000000" w:themeColor="text1"/>
          <w:sz w:val="20"/>
          <w:szCs w:val="20"/>
          <w:lang w:val="de-DE"/>
        </w:rPr>
        <w:t>Missionstheologien der Gegenwart. Globale Entwicklungen, kontextuelle Profile und ökumenische Herausforderungen</w:t>
      </w:r>
      <w:r w:rsidRPr="009018DF">
        <w:rPr>
          <w:rFonts w:ascii="Garamond" w:hAnsi="Garamond" w:cs="Times New Roman"/>
          <w:color w:val="000000" w:themeColor="text1"/>
          <w:sz w:val="20"/>
          <w:szCs w:val="20"/>
          <w:lang w:val="de-DE"/>
        </w:rPr>
        <w:t xml:space="preserve">, Band 2 </w:t>
      </w:r>
      <w:r w:rsidRPr="009018DF">
        <w:rPr>
          <w:rFonts w:ascii="Garamond" w:hAnsi="Garamond" w:cs="Times New Roman"/>
          <w:color w:val="000000" w:themeColor="text1"/>
          <w:sz w:val="20"/>
          <w:szCs w:val="20"/>
          <w:lang w:val="de-DE"/>
        </w:rPr>
        <w:t>/</w:t>
      </w:r>
      <w:r w:rsidRPr="009018DF">
        <w:rPr>
          <w:rFonts w:ascii="Garamond" w:hAnsi="Garamond" w:cs="Times New Roman"/>
          <w:i/>
          <w:color w:val="000000" w:themeColor="text1"/>
          <w:sz w:val="20"/>
          <w:szCs w:val="20"/>
        </w:rPr>
        <w:t xml:space="preserve"> </w:t>
      </w:r>
      <w:r w:rsidRPr="009018DF">
        <w:rPr>
          <w:rFonts w:ascii="Garamond" w:hAnsi="Garamond" w:cs="Times New Roman"/>
          <w:i/>
          <w:color w:val="000000" w:themeColor="text1"/>
          <w:sz w:val="20"/>
          <w:szCs w:val="20"/>
        </w:rPr>
        <w:t>Theologies of Mission</w:t>
      </w:r>
      <w:r w:rsidRPr="009018DF">
        <w:rPr>
          <w:rFonts w:ascii="Garamond" w:hAnsi="Garamond" w:cs="Times New Roman"/>
          <w:i/>
          <w:color w:val="000000" w:themeColor="text1"/>
          <w:sz w:val="20"/>
          <w:szCs w:val="20"/>
        </w:rPr>
        <w:t>.</w:t>
      </w:r>
      <w:r w:rsidRPr="009018DF">
        <w:rPr>
          <w:rFonts w:ascii="Garamond" w:hAnsi="Garamond" w:cs="Times New Roman"/>
          <w:color w:val="000000" w:themeColor="text1"/>
          <w:sz w:val="20"/>
          <w:szCs w:val="20"/>
        </w:rPr>
        <w:t xml:space="preserve"> </w:t>
      </w:r>
      <w:r w:rsidRPr="009018DF">
        <w:rPr>
          <w:rFonts w:ascii="Garamond" w:hAnsi="Garamond" w:cs="Times New Roman"/>
          <w:color w:val="000000" w:themeColor="text1"/>
          <w:sz w:val="20"/>
          <w:szCs w:val="20"/>
          <w:lang w:val="de-DE"/>
        </w:rPr>
        <w:t xml:space="preserve">Downers Grove: </w:t>
      </w:r>
      <w:proofErr w:type="spellStart"/>
      <w:r w:rsidRPr="009018DF">
        <w:rPr>
          <w:rFonts w:ascii="Garamond" w:hAnsi="Garamond" w:cs="Times New Roman"/>
          <w:color w:val="000000" w:themeColor="text1"/>
          <w:sz w:val="20"/>
          <w:szCs w:val="20"/>
          <w:lang w:val="de-DE"/>
        </w:rPr>
        <w:t>InterVarsity</w:t>
      </w:r>
      <w:proofErr w:type="spellEnd"/>
      <w:r w:rsidRPr="009018DF">
        <w:rPr>
          <w:rFonts w:ascii="Garamond" w:hAnsi="Garamond" w:cs="Times New Roman"/>
          <w:color w:val="000000" w:themeColor="text1"/>
          <w:sz w:val="20"/>
          <w:szCs w:val="20"/>
          <w:lang w:val="de-DE"/>
        </w:rPr>
        <w:t xml:space="preserve"> Press.</w:t>
      </w:r>
    </w:p>
    <w:p w14:paraId="1C429CCA" w14:textId="61D0AA41" w:rsidR="009018DF" w:rsidRPr="009018DF" w:rsidRDefault="009018DF" w:rsidP="009018DF">
      <w:pPr>
        <w:pStyle w:val="FootnoteText"/>
        <w:spacing w:before="0" w:line="240" w:lineRule="auto"/>
        <w:ind w:left="567" w:hanging="567"/>
        <w:rPr>
          <w:rFonts w:ascii="Garamond" w:hAnsi="Garamond" w:cs="Times New Roman"/>
          <w:color w:val="000000" w:themeColor="text1"/>
          <w:sz w:val="20"/>
          <w:szCs w:val="20"/>
        </w:rPr>
      </w:pPr>
      <w:r w:rsidRPr="009018DF">
        <w:rPr>
          <w:rFonts w:ascii="Garamond" w:hAnsi="Garamond" w:cs="Times New Roman"/>
          <w:color w:val="000000" w:themeColor="text1"/>
          <w:sz w:val="20"/>
          <w:szCs w:val="20"/>
          <w:lang w:val="de-DE"/>
        </w:rPr>
        <w:t>__________</w:t>
      </w:r>
      <w:r w:rsidRPr="009018DF">
        <w:rPr>
          <w:rFonts w:ascii="Garamond" w:hAnsi="Garamond" w:cs="Times New Roman"/>
          <w:color w:val="000000" w:themeColor="text1"/>
          <w:sz w:val="20"/>
          <w:szCs w:val="20"/>
          <w:lang w:val="de-DE"/>
        </w:rPr>
        <w:t xml:space="preserve">. </w:t>
      </w:r>
      <w:r w:rsidRPr="009018DF">
        <w:rPr>
          <w:rFonts w:ascii="Garamond" w:hAnsi="Garamond" w:cs="Times New Roman"/>
          <w:color w:val="000000" w:themeColor="text1"/>
          <w:sz w:val="20"/>
          <w:szCs w:val="20"/>
          <w:lang w:val="de-DE"/>
        </w:rPr>
        <w:t xml:space="preserve">2015/2019. </w:t>
      </w:r>
      <w:r w:rsidRPr="009018DF">
        <w:rPr>
          <w:rFonts w:ascii="Garamond" w:hAnsi="Garamond" w:cs="Times New Roman"/>
          <w:i/>
          <w:color w:val="000000" w:themeColor="text1"/>
          <w:sz w:val="20"/>
          <w:szCs w:val="20"/>
          <w:lang w:val="de-DE"/>
        </w:rPr>
        <w:t xml:space="preserve">Theologie interreligiöser Beziehungen. </w:t>
      </w:r>
      <w:proofErr w:type="spellStart"/>
      <w:r w:rsidRPr="009018DF">
        <w:rPr>
          <w:rFonts w:ascii="Garamond" w:hAnsi="Garamond" w:cs="Times New Roman"/>
          <w:i/>
          <w:color w:val="000000" w:themeColor="text1"/>
          <w:sz w:val="20"/>
          <w:szCs w:val="20"/>
        </w:rPr>
        <w:t>Religionstheologische</w:t>
      </w:r>
      <w:proofErr w:type="spellEnd"/>
      <w:r w:rsidRPr="009018DF">
        <w:rPr>
          <w:rFonts w:ascii="Garamond" w:hAnsi="Garamond" w:cs="Times New Roman"/>
          <w:i/>
          <w:color w:val="000000" w:themeColor="text1"/>
          <w:sz w:val="20"/>
          <w:szCs w:val="20"/>
        </w:rPr>
        <w:t xml:space="preserve"> </w:t>
      </w:r>
      <w:proofErr w:type="spellStart"/>
      <w:r w:rsidRPr="009018DF">
        <w:rPr>
          <w:rFonts w:ascii="Garamond" w:hAnsi="Garamond" w:cs="Times New Roman"/>
          <w:i/>
          <w:color w:val="000000" w:themeColor="text1"/>
          <w:sz w:val="20"/>
          <w:szCs w:val="20"/>
        </w:rPr>
        <w:t>Denkwege</w:t>
      </w:r>
      <w:proofErr w:type="spellEnd"/>
      <w:r w:rsidRPr="009018DF">
        <w:rPr>
          <w:rFonts w:ascii="Garamond" w:hAnsi="Garamond" w:cs="Times New Roman"/>
          <w:i/>
          <w:color w:val="000000" w:themeColor="text1"/>
          <w:sz w:val="20"/>
          <w:szCs w:val="20"/>
        </w:rPr>
        <w:t xml:space="preserve">, </w:t>
      </w:r>
      <w:proofErr w:type="spellStart"/>
      <w:r w:rsidRPr="009018DF">
        <w:rPr>
          <w:rFonts w:ascii="Garamond" w:hAnsi="Garamond" w:cs="Times New Roman"/>
          <w:i/>
          <w:color w:val="000000" w:themeColor="text1"/>
          <w:sz w:val="20"/>
          <w:szCs w:val="20"/>
        </w:rPr>
        <w:t>kulturwissenschaftliche</w:t>
      </w:r>
      <w:proofErr w:type="spellEnd"/>
      <w:r w:rsidRPr="009018DF">
        <w:rPr>
          <w:rFonts w:ascii="Garamond" w:hAnsi="Garamond" w:cs="Times New Roman"/>
          <w:i/>
          <w:color w:val="000000" w:themeColor="text1"/>
          <w:sz w:val="20"/>
          <w:szCs w:val="20"/>
        </w:rPr>
        <w:t xml:space="preserve"> </w:t>
      </w:r>
      <w:proofErr w:type="spellStart"/>
      <w:r w:rsidRPr="009018DF">
        <w:rPr>
          <w:rFonts w:ascii="Garamond" w:hAnsi="Garamond" w:cs="Times New Roman"/>
          <w:i/>
          <w:color w:val="000000" w:themeColor="text1"/>
          <w:sz w:val="20"/>
          <w:szCs w:val="20"/>
        </w:rPr>
        <w:t>Anfragen</w:t>
      </w:r>
      <w:proofErr w:type="spellEnd"/>
      <w:r w:rsidRPr="009018DF">
        <w:rPr>
          <w:rFonts w:ascii="Garamond" w:hAnsi="Garamond" w:cs="Times New Roman"/>
          <w:i/>
          <w:color w:val="000000" w:themeColor="text1"/>
          <w:sz w:val="20"/>
          <w:szCs w:val="20"/>
        </w:rPr>
        <w:t xml:space="preserve"> und </w:t>
      </w:r>
      <w:proofErr w:type="spellStart"/>
      <w:r w:rsidRPr="009018DF">
        <w:rPr>
          <w:rFonts w:ascii="Garamond" w:hAnsi="Garamond" w:cs="Times New Roman"/>
          <w:i/>
          <w:color w:val="000000" w:themeColor="text1"/>
          <w:sz w:val="20"/>
          <w:szCs w:val="20"/>
        </w:rPr>
        <w:t>ein</w:t>
      </w:r>
      <w:proofErr w:type="spellEnd"/>
      <w:r w:rsidRPr="009018DF">
        <w:rPr>
          <w:rFonts w:ascii="Garamond" w:hAnsi="Garamond" w:cs="Times New Roman"/>
          <w:i/>
          <w:color w:val="000000" w:themeColor="text1"/>
          <w:sz w:val="20"/>
          <w:szCs w:val="20"/>
        </w:rPr>
        <w:t xml:space="preserve"> </w:t>
      </w:r>
      <w:proofErr w:type="spellStart"/>
      <w:r w:rsidRPr="009018DF">
        <w:rPr>
          <w:rFonts w:ascii="Garamond" w:hAnsi="Garamond" w:cs="Times New Roman"/>
          <w:i/>
          <w:color w:val="000000" w:themeColor="text1"/>
          <w:sz w:val="20"/>
          <w:szCs w:val="20"/>
        </w:rPr>
        <w:t>methodischer</w:t>
      </w:r>
      <w:proofErr w:type="spellEnd"/>
      <w:r w:rsidRPr="009018DF">
        <w:rPr>
          <w:rFonts w:ascii="Garamond" w:hAnsi="Garamond" w:cs="Times New Roman"/>
          <w:i/>
          <w:color w:val="000000" w:themeColor="text1"/>
          <w:sz w:val="20"/>
          <w:szCs w:val="20"/>
        </w:rPr>
        <w:t xml:space="preserve"> </w:t>
      </w:r>
      <w:proofErr w:type="spellStart"/>
      <w:r w:rsidRPr="009018DF">
        <w:rPr>
          <w:rFonts w:ascii="Garamond" w:hAnsi="Garamond" w:cs="Times New Roman"/>
          <w:i/>
          <w:color w:val="000000" w:themeColor="text1"/>
          <w:sz w:val="20"/>
          <w:szCs w:val="20"/>
        </w:rPr>
        <w:t>Neuansatz</w:t>
      </w:r>
      <w:proofErr w:type="spellEnd"/>
      <w:r w:rsidRPr="009018DF">
        <w:rPr>
          <w:rFonts w:ascii="Garamond" w:hAnsi="Garamond" w:cs="Times New Roman"/>
          <w:color w:val="000000" w:themeColor="text1"/>
          <w:sz w:val="20"/>
          <w:szCs w:val="20"/>
        </w:rPr>
        <w:t>, Band 3</w:t>
      </w:r>
      <w:r w:rsidRPr="009018DF">
        <w:rPr>
          <w:rFonts w:ascii="Garamond" w:hAnsi="Garamond" w:cs="Times New Roman"/>
          <w:color w:val="000000" w:themeColor="text1"/>
          <w:sz w:val="20"/>
          <w:szCs w:val="20"/>
        </w:rPr>
        <w:t xml:space="preserve">/ </w:t>
      </w:r>
      <w:r w:rsidRPr="009018DF">
        <w:rPr>
          <w:rFonts w:ascii="Garamond" w:hAnsi="Garamond" w:cs="Times New Roman"/>
          <w:i/>
          <w:iCs/>
          <w:color w:val="000000" w:themeColor="text1"/>
          <w:sz w:val="20"/>
          <w:szCs w:val="20"/>
        </w:rPr>
        <w:t>A Theology of Interreligious Relations.</w:t>
      </w:r>
      <w:r w:rsidRPr="009018DF">
        <w:rPr>
          <w:rFonts w:ascii="Garamond" w:hAnsi="Garamond" w:cs="Times New Roman"/>
          <w:color w:val="000000" w:themeColor="text1"/>
          <w:sz w:val="20"/>
          <w:szCs w:val="20"/>
        </w:rPr>
        <w:t xml:space="preserve"> </w:t>
      </w:r>
      <w:r w:rsidRPr="009018DF">
        <w:rPr>
          <w:rFonts w:ascii="Garamond" w:hAnsi="Garamond" w:cs="Times New Roman"/>
          <w:color w:val="000000" w:themeColor="text1"/>
          <w:sz w:val="20"/>
          <w:szCs w:val="20"/>
          <w:lang w:val="de-DE"/>
        </w:rPr>
        <w:t xml:space="preserve">Downers Grove: </w:t>
      </w:r>
      <w:r w:rsidRPr="009018DF">
        <w:rPr>
          <w:rFonts w:ascii="Garamond" w:hAnsi="Garamond" w:cs="Times New Roman"/>
          <w:color w:val="000000" w:themeColor="text1"/>
          <w:sz w:val="20"/>
          <w:szCs w:val="20"/>
        </w:rPr>
        <w:t>InterVarsity Press.</w:t>
      </w:r>
      <w:r w:rsidRPr="009018DF">
        <w:rPr>
          <w:rFonts w:ascii="Garamond" w:hAnsi="Garamond" w:cs="Times New Roman"/>
          <w:color w:val="000000" w:themeColor="text1"/>
          <w:sz w:val="20"/>
          <w:szCs w:val="20"/>
        </w:rPr>
        <w:t xml:space="preserve"> </w:t>
      </w:r>
    </w:p>
    <w:p w14:paraId="36E3E692" w14:textId="77777777" w:rsidR="00BB75C6" w:rsidRPr="009018DF" w:rsidRDefault="00BB75C6" w:rsidP="008B26CC">
      <w:pPr>
        <w:spacing w:before="0" w:after="0"/>
        <w:rPr>
          <w:rFonts w:ascii="Garamond" w:hAnsi="Garamond"/>
          <w:color w:val="000000" w:themeColor="text1"/>
        </w:rPr>
      </w:pPr>
    </w:p>
    <w:p w14:paraId="139B609A" w14:textId="77777777" w:rsidR="00BB75C6" w:rsidRPr="009018DF" w:rsidRDefault="00BB75C6" w:rsidP="008B26CC">
      <w:pPr>
        <w:spacing w:before="0" w:after="0"/>
        <w:rPr>
          <w:rFonts w:ascii="Garamond" w:hAnsi="Garamond"/>
          <w:color w:val="000000" w:themeColor="text1"/>
        </w:rPr>
      </w:pPr>
    </w:p>
    <w:p w14:paraId="01A72A5C" w14:textId="77777777" w:rsidR="00BB75C6" w:rsidRPr="009018DF" w:rsidRDefault="00BB75C6" w:rsidP="008B26CC">
      <w:pPr>
        <w:spacing w:before="0" w:after="0"/>
        <w:rPr>
          <w:rFonts w:ascii="Garamond" w:hAnsi="Garamond"/>
          <w:color w:val="000000" w:themeColor="text1"/>
        </w:rPr>
      </w:pPr>
    </w:p>
    <w:p w14:paraId="1A0A4E31" w14:textId="77777777" w:rsidR="00F87DB9" w:rsidRPr="009018DF" w:rsidRDefault="00F87DB9" w:rsidP="008B26CC">
      <w:pPr>
        <w:spacing w:before="0" w:after="0"/>
        <w:rPr>
          <w:rFonts w:ascii="Garamond" w:hAnsi="Garamond"/>
          <w:color w:val="000000" w:themeColor="text1"/>
        </w:rPr>
      </w:pPr>
    </w:p>
    <w:p w14:paraId="505BBEB4" w14:textId="77777777" w:rsidR="00762DBA" w:rsidRPr="009018DF" w:rsidRDefault="00762DBA" w:rsidP="008B26CC">
      <w:pPr>
        <w:spacing w:before="0" w:after="0"/>
        <w:rPr>
          <w:rFonts w:ascii="Garamond" w:hAnsi="Garamond"/>
          <w:i/>
          <w:color w:val="000000" w:themeColor="text1"/>
          <w:lang w:val="en-GB"/>
        </w:rPr>
      </w:pPr>
      <w:r w:rsidRPr="009018DF">
        <w:rPr>
          <w:rFonts w:ascii="Garamond" w:hAnsi="Garamond"/>
          <w:i/>
          <w:color w:val="000000" w:themeColor="text1"/>
          <w:lang w:val="en-GB"/>
        </w:rPr>
        <w:t>Ikenna Paschal Okpaleke</w:t>
      </w:r>
    </w:p>
    <w:p w14:paraId="75A68FB1" w14:textId="77777777" w:rsidR="00762DBA" w:rsidRPr="009018DF" w:rsidRDefault="00762DBA" w:rsidP="008B26CC">
      <w:pPr>
        <w:spacing w:before="0" w:after="0"/>
        <w:rPr>
          <w:rFonts w:ascii="Garamond" w:hAnsi="Garamond"/>
          <w:i/>
          <w:color w:val="000000" w:themeColor="text1"/>
          <w:lang w:val="de-DE"/>
        </w:rPr>
      </w:pPr>
      <w:proofErr w:type="spellStart"/>
      <w:r w:rsidRPr="009018DF">
        <w:rPr>
          <w:rFonts w:ascii="Garamond" w:hAnsi="Garamond"/>
          <w:i/>
          <w:color w:val="000000" w:themeColor="text1"/>
          <w:lang w:val="de-DE"/>
        </w:rPr>
        <w:t>Faculté</w:t>
      </w:r>
      <w:proofErr w:type="spellEnd"/>
      <w:r w:rsidRPr="009018DF">
        <w:rPr>
          <w:rFonts w:ascii="Garamond" w:hAnsi="Garamond"/>
          <w:i/>
          <w:color w:val="000000" w:themeColor="text1"/>
          <w:lang w:val="de-DE"/>
        </w:rPr>
        <w:t xml:space="preserve"> de </w:t>
      </w:r>
      <w:proofErr w:type="spellStart"/>
      <w:r w:rsidRPr="009018DF">
        <w:rPr>
          <w:rFonts w:ascii="Garamond" w:hAnsi="Garamond"/>
          <w:i/>
          <w:color w:val="000000" w:themeColor="text1"/>
          <w:lang w:val="de-DE"/>
        </w:rPr>
        <w:t>théologie</w:t>
      </w:r>
      <w:proofErr w:type="spellEnd"/>
      <w:r w:rsidRPr="009018DF">
        <w:rPr>
          <w:rFonts w:ascii="Garamond" w:hAnsi="Garamond"/>
          <w:i/>
          <w:color w:val="000000" w:themeColor="text1"/>
          <w:lang w:val="de-DE"/>
        </w:rPr>
        <w:t xml:space="preserve"> et </w:t>
      </w:r>
      <w:proofErr w:type="spellStart"/>
      <w:r w:rsidRPr="009018DF">
        <w:rPr>
          <w:rFonts w:ascii="Garamond" w:hAnsi="Garamond"/>
          <w:i/>
          <w:color w:val="000000" w:themeColor="text1"/>
          <w:lang w:val="de-DE"/>
        </w:rPr>
        <w:t>d’étude</w:t>
      </w:r>
      <w:proofErr w:type="spellEnd"/>
      <w:r w:rsidRPr="009018DF">
        <w:rPr>
          <w:rFonts w:ascii="Garamond" w:hAnsi="Garamond"/>
          <w:i/>
          <w:color w:val="000000" w:themeColor="text1"/>
          <w:lang w:val="de-DE"/>
        </w:rPr>
        <w:t xml:space="preserve"> des </w:t>
      </w:r>
      <w:proofErr w:type="spellStart"/>
      <w:r w:rsidRPr="009018DF">
        <w:rPr>
          <w:rFonts w:ascii="Garamond" w:hAnsi="Garamond"/>
          <w:i/>
          <w:color w:val="000000" w:themeColor="text1"/>
          <w:lang w:val="de-DE"/>
        </w:rPr>
        <w:t>religions</w:t>
      </w:r>
      <w:proofErr w:type="spellEnd"/>
    </w:p>
    <w:p w14:paraId="5C68F640" w14:textId="4CA347B0" w:rsidR="00762DBA" w:rsidRPr="009018DF" w:rsidRDefault="00762DBA" w:rsidP="008B26CC">
      <w:pPr>
        <w:spacing w:before="0" w:after="0"/>
        <w:rPr>
          <w:rFonts w:ascii="Garamond" w:hAnsi="Garamond"/>
          <w:i/>
          <w:color w:val="000000" w:themeColor="text1"/>
          <w:lang w:val="en-US"/>
        </w:rPr>
      </w:pPr>
      <w:proofErr w:type="spellStart"/>
      <w:r w:rsidRPr="009018DF">
        <w:rPr>
          <w:rFonts w:ascii="Garamond" w:hAnsi="Garamond"/>
          <w:i/>
          <w:color w:val="000000" w:themeColor="text1"/>
          <w:lang w:val="en-US"/>
        </w:rPr>
        <w:t>UCLouvain</w:t>
      </w:r>
      <w:proofErr w:type="spellEnd"/>
      <w:r w:rsidR="00F87DB9" w:rsidRPr="009018DF">
        <w:rPr>
          <w:rFonts w:ascii="Garamond" w:hAnsi="Garamond"/>
          <w:i/>
          <w:color w:val="000000" w:themeColor="text1"/>
          <w:lang w:val="en-US"/>
        </w:rPr>
        <w:t xml:space="preserve">, </w:t>
      </w:r>
      <w:r w:rsidRPr="009018DF">
        <w:rPr>
          <w:rFonts w:ascii="Garamond" w:hAnsi="Garamond"/>
          <w:i/>
          <w:color w:val="000000" w:themeColor="text1"/>
        </w:rPr>
        <w:t>Grand Place 45/L3.01.01</w:t>
      </w:r>
    </w:p>
    <w:p w14:paraId="41BBDA8E" w14:textId="77777777" w:rsidR="00762DBA" w:rsidRPr="009018DF" w:rsidRDefault="00762DBA" w:rsidP="008B26CC">
      <w:pPr>
        <w:spacing w:before="0" w:after="0"/>
        <w:rPr>
          <w:rFonts w:ascii="Garamond" w:hAnsi="Garamond"/>
          <w:i/>
          <w:color w:val="000000" w:themeColor="text1"/>
        </w:rPr>
      </w:pPr>
      <w:r w:rsidRPr="009018DF">
        <w:rPr>
          <w:rFonts w:ascii="Garamond" w:hAnsi="Garamond"/>
          <w:i/>
          <w:color w:val="000000" w:themeColor="text1"/>
        </w:rPr>
        <w:t>1348 Louvain-la-Neuve, Belgium</w:t>
      </w:r>
    </w:p>
    <w:p w14:paraId="5EBC433D" w14:textId="77777777" w:rsidR="00762DBA" w:rsidRPr="009018DF" w:rsidRDefault="00762DBA" w:rsidP="008B26CC">
      <w:pPr>
        <w:spacing w:before="0" w:after="0"/>
        <w:rPr>
          <w:rFonts w:ascii="Garamond" w:hAnsi="Garamond"/>
          <w:i/>
          <w:color w:val="000000" w:themeColor="text1"/>
        </w:rPr>
      </w:pPr>
      <w:r w:rsidRPr="009018DF">
        <w:rPr>
          <w:rFonts w:ascii="Garamond" w:hAnsi="Garamond"/>
          <w:i/>
          <w:color w:val="000000" w:themeColor="text1"/>
        </w:rPr>
        <w:t>Ikenna.okpaleke@uclouvain.be</w:t>
      </w:r>
    </w:p>
    <w:p w14:paraId="2B47F4B6" w14:textId="77777777" w:rsidR="009D60E3" w:rsidRPr="009018DF" w:rsidRDefault="009D60E3" w:rsidP="008B26CC">
      <w:pPr>
        <w:spacing w:before="0" w:after="0"/>
        <w:rPr>
          <w:rFonts w:ascii="Garamond" w:hAnsi="Garamond"/>
          <w:color w:val="000000" w:themeColor="text1"/>
        </w:rPr>
      </w:pPr>
    </w:p>
    <w:sectPr w:rsidR="009D60E3" w:rsidRPr="009018DF" w:rsidSect="002809B4">
      <w:footerReference w:type="even" r:id="rId8"/>
      <w:footerReference w:type="default" r:id="rId9"/>
      <w:pgSz w:w="11900" w:h="16840"/>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60A33B" w14:textId="77777777" w:rsidR="009B0EFB" w:rsidRDefault="009B0EFB" w:rsidP="00B96D02">
      <w:pPr>
        <w:spacing w:before="0" w:after="0" w:line="240" w:lineRule="auto"/>
      </w:pPr>
      <w:r>
        <w:separator/>
      </w:r>
    </w:p>
  </w:endnote>
  <w:endnote w:type="continuationSeparator" w:id="0">
    <w:p w14:paraId="2B9D3EE8" w14:textId="77777777" w:rsidR="009B0EFB" w:rsidRDefault="009B0EFB" w:rsidP="00B96D02">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Garamond">
    <w:panose1 w:val="02020404030301010803"/>
    <w:charset w:val="00"/>
    <w:family w:val="roman"/>
    <w:pitch w:val="variable"/>
    <w:sig w:usb0="00000287" w:usb1="00000002"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934893979"/>
      <w:docPartObj>
        <w:docPartGallery w:val="Page Numbers (Bottom of Page)"/>
        <w:docPartUnique/>
      </w:docPartObj>
    </w:sdtPr>
    <w:sdtContent>
      <w:p w14:paraId="28D08FEB" w14:textId="53CEE403" w:rsidR="0082061C" w:rsidRDefault="0082061C" w:rsidP="00F722BC">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8672A59" w14:textId="77777777" w:rsidR="0082061C" w:rsidRDefault="0082061C" w:rsidP="002809B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868341199"/>
      <w:docPartObj>
        <w:docPartGallery w:val="Page Numbers (Bottom of Page)"/>
        <w:docPartUnique/>
      </w:docPartObj>
    </w:sdtPr>
    <w:sdtContent>
      <w:p w14:paraId="4E6878DD" w14:textId="3223D6D9" w:rsidR="0082061C" w:rsidRDefault="0082061C" w:rsidP="00F722BC">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p w14:paraId="77DC02E8" w14:textId="77777777" w:rsidR="0082061C" w:rsidRDefault="0082061C" w:rsidP="002809B4">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E89E99" w14:textId="77777777" w:rsidR="009B0EFB" w:rsidRDefault="009B0EFB" w:rsidP="00B96D02">
      <w:pPr>
        <w:spacing w:before="0" w:after="0" w:line="240" w:lineRule="auto"/>
      </w:pPr>
      <w:r>
        <w:separator/>
      </w:r>
    </w:p>
  </w:footnote>
  <w:footnote w:type="continuationSeparator" w:id="0">
    <w:p w14:paraId="00D8D86A" w14:textId="77777777" w:rsidR="009B0EFB" w:rsidRDefault="009B0EFB" w:rsidP="00B96D02">
      <w:pPr>
        <w:spacing w:before="0" w:after="0" w:line="240" w:lineRule="auto"/>
      </w:pPr>
      <w:r>
        <w:continuationSeparator/>
      </w:r>
    </w:p>
  </w:footnote>
  <w:footnote w:id="1">
    <w:p w14:paraId="0079B0F8" w14:textId="58821149" w:rsidR="00F23EF5" w:rsidRPr="00130248" w:rsidRDefault="00F23EF5" w:rsidP="00130248">
      <w:pPr>
        <w:spacing w:before="0" w:after="0" w:line="240" w:lineRule="auto"/>
        <w:rPr>
          <w:rFonts w:ascii="Garamond" w:hAnsi="Garamond"/>
          <w:i/>
          <w:sz w:val="20"/>
          <w:szCs w:val="20"/>
        </w:rPr>
      </w:pPr>
      <w:r w:rsidRPr="00130248">
        <w:rPr>
          <w:rStyle w:val="FootnoteReference"/>
          <w:rFonts w:ascii="Garamond" w:hAnsi="Garamond"/>
          <w:b/>
          <w:i/>
          <w:sz w:val="20"/>
          <w:szCs w:val="20"/>
        </w:rPr>
        <w:footnoteRef/>
      </w:r>
      <w:r w:rsidRPr="00130248">
        <w:rPr>
          <w:rFonts w:ascii="Garamond" w:hAnsi="Garamond"/>
          <w:i/>
          <w:sz w:val="20"/>
          <w:szCs w:val="20"/>
        </w:rPr>
        <w:t xml:space="preserve"> This article is a redacted version of the paper that I presented at the Crossculture Religious Studies Summer School of the University of Salzburg as part of the Ulrich Winkler 2022</w:t>
      </w:r>
      <w:r w:rsidR="00931AA5" w:rsidRPr="00130248">
        <w:rPr>
          <w:rFonts w:ascii="Garamond" w:hAnsi="Garamond"/>
          <w:i/>
          <w:sz w:val="20"/>
          <w:szCs w:val="20"/>
        </w:rPr>
        <w:t xml:space="preserve"> Prize event</w:t>
      </w:r>
      <w:r w:rsidRPr="00130248">
        <w:rPr>
          <w:rFonts w:ascii="Garamond" w:hAnsi="Garamond"/>
          <w:i/>
          <w:sz w:val="20"/>
          <w:szCs w:val="20"/>
        </w:rPr>
        <w:t>. I feel honored to be the first recipient of this prestigious prize, which I dedicate to my doktor-mutter, Prof. Dr. Annemarie Mayer.</w:t>
      </w:r>
    </w:p>
  </w:footnote>
  <w:footnote w:id="2">
    <w:p w14:paraId="5132FD40" w14:textId="3A7CDD87" w:rsidR="00724F7B" w:rsidRPr="00130248" w:rsidRDefault="00724F7B" w:rsidP="00130248">
      <w:pPr>
        <w:spacing w:before="0" w:after="0" w:line="240" w:lineRule="auto"/>
        <w:rPr>
          <w:rFonts w:ascii="Garamond" w:hAnsi="Garamond" w:cs="Times New Roman"/>
          <w:color w:val="000000" w:themeColor="text1"/>
          <w:sz w:val="20"/>
          <w:szCs w:val="20"/>
          <w:lang w:val="en-US"/>
        </w:rPr>
      </w:pPr>
      <w:r w:rsidRPr="00130248">
        <w:rPr>
          <w:rStyle w:val="FootnoteReference"/>
          <w:rFonts w:ascii="Garamond" w:hAnsi="Garamond" w:cs="Times New Roman"/>
          <w:color w:val="000000" w:themeColor="text1"/>
          <w:sz w:val="20"/>
          <w:szCs w:val="20"/>
        </w:rPr>
        <w:footnoteRef/>
      </w:r>
      <w:r w:rsidRPr="00130248">
        <w:rPr>
          <w:rFonts w:ascii="Garamond" w:hAnsi="Garamond" w:cs="Times New Roman"/>
          <w:color w:val="000000" w:themeColor="text1"/>
          <w:sz w:val="20"/>
          <w:szCs w:val="20"/>
          <w:lang w:val="en-US"/>
        </w:rPr>
        <w:t xml:space="preserve"> </w:t>
      </w:r>
      <w:proofErr w:type="spellStart"/>
      <w:r w:rsidRPr="00130248">
        <w:rPr>
          <w:rFonts w:ascii="Garamond" w:hAnsi="Garamond" w:cs="Times New Roman"/>
          <w:color w:val="000000" w:themeColor="text1"/>
          <w:sz w:val="20"/>
          <w:szCs w:val="20"/>
          <w:lang w:val="en-US"/>
        </w:rPr>
        <w:t>Ipgrave</w:t>
      </w:r>
      <w:proofErr w:type="spellEnd"/>
      <w:r w:rsidRPr="00130248">
        <w:rPr>
          <w:rFonts w:ascii="Garamond" w:hAnsi="Garamond" w:cs="Times New Roman"/>
          <w:color w:val="000000" w:themeColor="text1"/>
          <w:sz w:val="20"/>
          <w:szCs w:val="20"/>
          <w:lang w:val="en-US"/>
        </w:rPr>
        <w:t xml:space="preserve"> distinguishes the ‘Trinity’ referring to the traditional names of the divine persons, Father, Son</w:t>
      </w:r>
      <w:r w:rsidR="00E6285F" w:rsidRPr="00130248">
        <w:rPr>
          <w:rFonts w:ascii="Garamond" w:hAnsi="Garamond" w:cs="Times New Roman"/>
          <w:color w:val="000000" w:themeColor="text1"/>
          <w:sz w:val="20"/>
          <w:szCs w:val="20"/>
          <w:lang w:val="en-US"/>
        </w:rPr>
        <w:t>,</w:t>
      </w:r>
      <w:r w:rsidRPr="00130248">
        <w:rPr>
          <w:rFonts w:ascii="Garamond" w:hAnsi="Garamond" w:cs="Times New Roman"/>
          <w:color w:val="000000" w:themeColor="text1"/>
          <w:sz w:val="20"/>
          <w:szCs w:val="20"/>
          <w:lang w:val="en-US"/>
        </w:rPr>
        <w:t xml:space="preserve"> and Holy Spirit, from ‘trinity’ which “serves as a generic name for any triadic account of divinity sharing to some recognizable extent in the patterns of Christian understanding of the Trinity.” As an Anglican theologian (recently consecrated a bishop) with a considerable Roman Catholic influence, as evident in his many works, </w:t>
      </w:r>
      <w:proofErr w:type="spellStart"/>
      <w:r w:rsidRPr="00130248">
        <w:rPr>
          <w:rFonts w:ascii="Garamond" w:hAnsi="Garamond" w:cs="Times New Roman"/>
          <w:color w:val="000000" w:themeColor="text1"/>
          <w:sz w:val="20"/>
          <w:szCs w:val="20"/>
          <w:lang w:val="en-US"/>
        </w:rPr>
        <w:t>Ipgrave’s</w:t>
      </w:r>
      <w:proofErr w:type="spellEnd"/>
      <w:r w:rsidRPr="00130248">
        <w:rPr>
          <w:rFonts w:ascii="Garamond" w:hAnsi="Garamond" w:cs="Times New Roman"/>
          <w:color w:val="000000" w:themeColor="text1"/>
          <w:sz w:val="20"/>
          <w:szCs w:val="20"/>
          <w:lang w:val="en-US"/>
        </w:rPr>
        <w:t xml:space="preserve"> profile fits into the bilateral ecumenical approach of this entire investigation.</w:t>
      </w:r>
    </w:p>
  </w:footnote>
  <w:footnote w:id="3">
    <w:p w14:paraId="2C2A65EE" w14:textId="1BED2223" w:rsidR="00724F7B" w:rsidRPr="00130248" w:rsidRDefault="00724F7B" w:rsidP="00130248">
      <w:pPr>
        <w:pStyle w:val="FootnoteText"/>
        <w:spacing w:before="0" w:after="0" w:line="240" w:lineRule="auto"/>
        <w:rPr>
          <w:rFonts w:ascii="Garamond" w:hAnsi="Garamond" w:cs="Times New Roman"/>
          <w:color w:val="000000" w:themeColor="text1"/>
          <w:sz w:val="20"/>
          <w:szCs w:val="20"/>
        </w:rPr>
      </w:pPr>
      <w:r w:rsidRPr="00130248">
        <w:rPr>
          <w:rStyle w:val="FootnoteReference"/>
          <w:rFonts w:ascii="Garamond" w:hAnsi="Garamond" w:cs="Times New Roman"/>
          <w:color w:val="000000" w:themeColor="text1"/>
          <w:sz w:val="20"/>
          <w:szCs w:val="20"/>
        </w:rPr>
        <w:footnoteRef/>
      </w:r>
      <w:r w:rsidRPr="00130248">
        <w:rPr>
          <w:rFonts w:ascii="Garamond" w:hAnsi="Garamond" w:cs="Times New Roman"/>
          <w:color w:val="000000" w:themeColor="text1"/>
          <w:sz w:val="20"/>
          <w:szCs w:val="20"/>
        </w:rPr>
        <w:t xml:space="preserve"> I deliberately wish to use the expression interreligious dialogue since I pay attention to communities that are specifically understood as religions rather than faith groups, like for example Buddhism and Neoplatonism.</w:t>
      </w:r>
    </w:p>
  </w:footnote>
  <w:footnote w:id="4">
    <w:p w14:paraId="75A41D82" w14:textId="1AC9F3B1" w:rsidR="00724F7B" w:rsidRPr="00130248" w:rsidRDefault="00724F7B" w:rsidP="00130248">
      <w:pPr>
        <w:widowControl w:val="0"/>
        <w:spacing w:before="0" w:after="0" w:line="240" w:lineRule="auto"/>
        <w:rPr>
          <w:rFonts w:ascii="Garamond" w:hAnsi="Garamond" w:cs="Times New Roman"/>
          <w:color w:val="000000" w:themeColor="text1"/>
          <w:sz w:val="20"/>
          <w:szCs w:val="20"/>
          <w:lang w:val="en-US"/>
        </w:rPr>
      </w:pPr>
      <w:r w:rsidRPr="00130248">
        <w:rPr>
          <w:rStyle w:val="FootnoteReference"/>
          <w:rFonts w:ascii="Garamond" w:hAnsi="Garamond" w:cs="Times New Roman"/>
          <w:color w:val="000000" w:themeColor="text1"/>
          <w:sz w:val="20"/>
          <w:szCs w:val="20"/>
        </w:rPr>
        <w:footnoteRef/>
      </w:r>
      <w:r w:rsidRPr="00130248">
        <w:rPr>
          <w:rFonts w:ascii="Garamond" w:hAnsi="Garamond" w:cs="Times New Roman"/>
          <w:color w:val="000000" w:themeColor="text1"/>
          <w:sz w:val="20"/>
          <w:szCs w:val="20"/>
          <w:lang w:val="en-US"/>
        </w:rPr>
        <w:t xml:space="preserve"> The Pontifical Council for Interreligious Dialogue (PCID), which succeeded the Secretariat for Non-Christians has since published two documents that re-articulated the above mentioned four forms of dialogue</w:t>
      </w:r>
      <w:r w:rsidRPr="00130248">
        <w:rPr>
          <w:rFonts w:ascii="Garamond" w:hAnsi="Garamond" w:cs="Times New Roman"/>
          <w:i/>
          <w:color w:val="000000" w:themeColor="text1"/>
          <w:sz w:val="20"/>
          <w:szCs w:val="20"/>
          <w:lang w:val="en-US"/>
        </w:rPr>
        <w:t>:</w:t>
      </w:r>
      <w:r w:rsidRPr="00130248">
        <w:rPr>
          <w:rFonts w:ascii="Garamond" w:hAnsi="Garamond" w:cs="Times New Roman"/>
          <w:b/>
          <w:bCs/>
          <w:i/>
          <w:iCs/>
          <w:color w:val="000000" w:themeColor="text1"/>
          <w:sz w:val="20"/>
          <w:szCs w:val="20"/>
          <w:lang w:val="en-US"/>
        </w:rPr>
        <w:t xml:space="preserve"> </w:t>
      </w:r>
      <w:r w:rsidRPr="00130248">
        <w:rPr>
          <w:rFonts w:ascii="Garamond" w:hAnsi="Garamond" w:cs="Times New Roman"/>
          <w:bCs/>
          <w:i/>
          <w:iCs/>
          <w:color w:val="000000" w:themeColor="text1"/>
          <w:sz w:val="20"/>
          <w:szCs w:val="20"/>
          <w:lang w:val="en-US"/>
        </w:rPr>
        <w:t xml:space="preserve">Dialogue and Proclamation: </w:t>
      </w:r>
      <w:r w:rsidRPr="00130248">
        <w:rPr>
          <w:rFonts w:ascii="Garamond" w:hAnsi="Garamond" w:cs="Times New Roman"/>
          <w:bCs/>
          <w:i/>
          <w:color w:val="000000" w:themeColor="text1"/>
          <w:sz w:val="20"/>
          <w:szCs w:val="20"/>
          <w:lang w:val="en-US"/>
        </w:rPr>
        <w:t xml:space="preserve">Reflection and Orientations on Interreligious Dialogue </w:t>
      </w:r>
      <w:r w:rsidRPr="00130248">
        <w:rPr>
          <w:rFonts w:ascii="Garamond" w:eastAsia="MS Mincho" w:hAnsi="Garamond" w:cs="Times New Roman"/>
          <w:bCs/>
          <w:i/>
          <w:color w:val="000000" w:themeColor="text1"/>
          <w:sz w:val="20"/>
          <w:szCs w:val="20"/>
          <w:lang w:val="en-US"/>
        </w:rPr>
        <w:t>a</w:t>
      </w:r>
      <w:r w:rsidRPr="00130248">
        <w:rPr>
          <w:rFonts w:ascii="Garamond" w:hAnsi="Garamond" w:cs="Times New Roman"/>
          <w:bCs/>
          <w:i/>
          <w:color w:val="000000" w:themeColor="text1"/>
          <w:sz w:val="20"/>
          <w:szCs w:val="20"/>
          <w:lang w:val="en-US"/>
        </w:rPr>
        <w:t>nd The Proclamation of the Gospel of Jesus Christ</w:t>
      </w:r>
      <w:r w:rsidRPr="00130248">
        <w:rPr>
          <w:rFonts w:ascii="Garamond" w:hAnsi="Garamond" w:cs="Times New Roman"/>
          <w:bCs/>
          <w:color w:val="000000" w:themeColor="text1"/>
          <w:sz w:val="20"/>
          <w:szCs w:val="20"/>
          <w:lang w:val="en-US"/>
        </w:rPr>
        <w:t xml:space="preserve"> (1991)</w:t>
      </w:r>
      <w:r w:rsidRPr="00130248">
        <w:rPr>
          <w:rFonts w:ascii="Garamond" w:hAnsi="Garamond" w:cs="Times New Roman"/>
          <w:color w:val="000000" w:themeColor="text1"/>
          <w:sz w:val="20"/>
          <w:szCs w:val="20"/>
          <w:lang w:val="en-US"/>
        </w:rPr>
        <w:t xml:space="preserve"> </w:t>
      </w:r>
      <w:r w:rsidRPr="00130248">
        <w:rPr>
          <w:rStyle w:val="InternetLink"/>
          <w:rFonts w:ascii="Garamond" w:hAnsi="Garamond" w:cs="Times New Roman"/>
          <w:bCs/>
          <w:color w:val="000000" w:themeColor="text1"/>
          <w:sz w:val="20"/>
          <w:szCs w:val="20"/>
          <w:u w:val="none"/>
        </w:rPr>
        <w:t>http://www.vatican.va/roman_curia/pontifical_councils/interelg/documents/rc_pc_interelg_doc_19051991_dialogue-and-proclamatio_en.html</w:t>
      </w:r>
      <w:r w:rsidRPr="00130248">
        <w:rPr>
          <w:rFonts w:ascii="Garamond" w:hAnsi="Garamond" w:cs="Times New Roman"/>
          <w:bCs/>
          <w:color w:val="000000" w:themeColor="text1"/>
          <w:sz w:val="20"/>
          <w:szCs w:val="20"/>
          <w:lang w:val="en-US"/>
        </w:rPr>
        <w:t xml:space="preserve"> (accessed </w:t>
      </w:r>
      <w:r w:rsidR="00883F70" w:rsidRPr="00130248">
        <w:rPr>
          <w:rFonts w:ascii="Garamond" w:hAnsi="Garamond" w:cs="Times New Roman"/>
          <w:bCs/>
          <w:color w:val="000000" w:themeColor="text1"/>
          <w:sz w:val="20"/>
          <w:szCs w:val="20"/>
          <w:lang w:val="en-US"/>
        </w:rPr>
        <w:t>03</w:t>
      </w:r>
      <w:r w:rsidR="00644F03" w:rsidRPr="00130248">
        <w:rPr>
          <w:rFonts w:ascii="Garamond" w:hAnsi="Garamond" w:cs="Times New Roman"/>
          <w:bCs/>
          <w:color w:val="000000" w:themeColor="text1"/>
          <w:sz w:val="20"/>
          <w:szCs w:val="20"/>
          <w:lang w:val="en-US"/>
        </w:rPr>
        <w:t xml:space="preserve"> </w:t>
      </w:r>
      <w:r w:rsidR="00883F70" w:rsidRPr="00130248">
        <w:rPr>
          <w:rFonts w:ascii="Garamond" w:hAnsi="Garamond" w:cs="Times New Roman"/>
          <w:bCs/>
          <w:color w:val="000000" w:themeColor="text1"/>
          <w:sz w:val="20"/>
          <w:szCs w:val="20"/>
          <w:lang w:val="en-US"/>
        </w:rPr>
        <w:t>Octo</w:t>
      </w:r>
      <w:r w:rsidR="00F23EF5" w:rsidRPr="00130248">
        <w:rPr>
          <w:rFonts w:ascii="Garamond" w:hAnsi="Garamond" w:cs="Times New Roman"/>
          <w:bCs/>
          <w:color w:val="000000" w:themeColor="text1"/>
          <w:sz w:val="20"/>
          <w:szCs w:val="20"/>
          <w:lang w:val="en-US"/>
        </w:rPr>
        <w:t>ber</w:t>
      </w:r>
      <w:r w:rsidR="00514829" w:rsidRPr="00130248">
        <w:rPr>
          <w:rFonts w:ascii="Garamond" w:hAnsi="Garamond" w:cs="Times New Roman"/>
          <w:bCs/>
          <w:color w:val="000000" w:themeColor="text1"/>
          <w:sz w:val="20"/>
          <w:szCs w:val="20"/>
          <w:lang w:val="en-US"/>
        </w:rPr>
        <w:t xml:space="preserve"> 202</w:t>
      </w:r>
      <w:r w:rsidR="00883F70" w:rsidRPr="00130248">
        <w:rPr>
          <w:rFonts w:ascii="Garamond" w:hAnsi="Garamond" w:cs="Times New Roman"/>
          <w:bCs/>
          <w:color w:val="000000" w:themeColor="text1"/>
          <w:sz w:val="20"/>
          <w:szCs w:val="20"/>
          <w:lang w:val="en-US"/>
        </w:rPr>
        <w:t>3</w:t>
      </w:r>
      <w:r w:rsidRPr="00130248">
        <w:rPr>
          <w:rFonts w:ascii="Garamond" w:hAnsi="Garamond" w:cs="Times New Roman"/>
          <w:bCs/>
          <w:color w:val="000000" w:themeColor="text1"/>
          <w:sz w:val="20"/>
          <w:szCs w:val="20"/>
          <w:lang w:val="en-US"/>
        </w:rPr>
        <w:t xml:space="preserve">), no.42; </w:t>
      </w:r>
      <w:r w:rsidRPr="00130248">
        <w:rPr>
          <w:rFonts w:ascii="Garamond" w:hAnsi="Garamond" w:cs="Times New Roman"/>
          <w:bCs/>
          <w:i/>
          <w:color w:val="000000" w:themeColor="text1"/>
          <w:sz w:val="20"/>
          <w:szCs w:val="20"/>
          <w:lang w:val="en-US"/>
        </w:rPr>
        <w:t>Dialogue in Truth and Charity: Pastoral Orientations for Interreligious Dialogue</w:t>
      </w:r>
      <w:r w:rsidRPr="00130248">
        <w:rPr>
          <w:rFonts w:ascii="Garamond" w:hAnsi="Garamond" w:cs="Times New Roman"/>
          <w:bCs/>
          <w:color w:val="000000" w:themeColor="text1"/>
          <w:sz w:val="20"/>
          <w:szCs w:val="20"/>
          <w:lang w:val="en-US"/>
        </w:rPr>
        <w:t xml:space="preserve"> (Rome: </w:t>
      </w:r>
      <w:proofErr w:type="spellStart"/>
      <w:r w:rsidRPr="00130248">
        <w:rPr>
          <w:rFonts w:ascii="Garamond" w:hAnsi="Garamond" w:cs="Times New Roman"/>
          <w:bCs/>
          <w:color w:val="000000" w:themeColor="text1"/>
          <w:sz w:val="20"/>
          <w:szCs w:val="20"/>
          <w:lang w:val="en-US"/>
        </w:rPr>
        <w:t>Libreria</w:t>
      </w:r>
      <w:proofErr w:type="spellEnd"/>
      <w:r w:rsidRPr="00130248">
        <w:rPr>
          <w:rFonts w:ascii="Garamond" w:hAnsi="Garamond" w:cs="Times New Roman"/>
          <w:bCs/>
          <w:color w:val="000000" w:themeColor="text1"/>
          <w:sz w:val="20"/>
          <w:szCs w:val="20"/>
          <w:lang w:val="en-US"/>
        </w:rPr>
        <w:t xml:space="preserve"> </w:t>
      </w:r>
      <w:proofErr w:type="spellStart"/>
      <w:r w:rsidRPr="00130248">
        <w:rPr>
          <w:rFonts w:ascii="Garamond" w:hAnsi="Garamond" w:cs="Times New Roman"/>
          <w:bCs/>
          <w:color w:val="000000" w:themeColor="text1"/>
          <w:sz w:val="20"/>
          <w:szCs w:val="20"/>
          <w:lang w:val="en-US"/>
        </w:rPr>
        <w:t>Editrice</w:t>
      </w:r>
      <w:proofErr w:type="spellEnd"/>
      <w:r w:rsidRPr="00130248">
        <w:rPr>
          <w:rFonts w:ascii="Garamond" w:hAnsi="Garamond" w:cs="Times New Roman"/>
          <w:bCs/>
          <w:color w:val="000000" w:themeColor="text1"/>
          <w:sz w:val="20"/>
          <w:szCs w:val="20"/>
          <w:lang w:val="en-US"/>
        </w:rPr>
        <w:t xml:space="preserve"> </w:t>
      </w:r>
      <w:proofErr w:type="spellStart"/>
      <w:r w:rsidRPr="00130248">
        <w:rPr>
          <w:rFonts w:ascii="Garamond" w:hAnsi="Garamond" w:cs="Times New Roman"/>
          <w:bCs/>
          <w:color w:val="000000" w:themeColor="text1"/>
          <w:sz w:val="20"/>
          <w:szCs w:val="20"/>
          <w:lang w:val="en-US"/>
        </w:rPr>
        <w:t>Vaticana</w:t>
      </w:r>
      <w:proofErr w:type="spellEnd"/>
      <w:r w:rsidRPr="00130248">
        <w:rPr>
          <w:rFonts w:ascii="Garamond" w:hAnsi="Garamond" w:cs="Times New Roman"/>
          <w:bCs/>
          <w:color w:val="000000" w:themeColor="text1"/>
          <w:sz w:val="20"/>
          <w:szCs w:val="20"/>
          <w:lang w:val="en-US"/>
        </w:rPr>
        <w:t>, 2014), no.34.</w:t>
      </w:r>
    </w:p>
  </w:footnote>
  <w:footnote w:id="5">
    <w:p w14:paraId="0EC68157" w14:textId="77777777" w:rsidR="00B96D02" w:rsidRPr="00130248" w:rsidRDefault="00B96D02" w:rsidP="00130248">
      <w:pPr>
        <w:pStyle w:val="FootnoteText"/>
        <w:spacing w:before="0" w:after="0" w:line="240" w:lineRule="auto"/>
        <w:rPr>
          <w:rFonts w:ascii="Garamond" w:hAnsi="Garamond" w:cs="Times New Roman"/>
          <w:color w:val="000000" w:themeColor="text1"/>
          <w:sz w:val="20"/>
          <w:szCs w:val="20"/>
        </w:rPr>
      </w:pPr>
      <w:r w:rsidRPr="00130248">
        <w:rPr>
          <w:rStyle w:val="FootnoteReference"/>
          <w:rFonts w:ascii="Garamond" w:hAnsi="Garamond" w:cs="Times New Roman"/>
          <w:color w:val="000000" w:themeColor="text1"/>
          <w:sz w:val="20"/>
          <w:szCs w:val="20"/>
        </w:rPr>
        <w:footnoteRef/>
      </w:r>
      <w:r w:rsidRPr="00130248">
        <w:rPr>
          <w:rFonts w:ascii="Garamond" w:hAnsi="Garamond" w:cs="Times New Roman"/>
          <w:color w:val="000000" w:themeColor="text1"/>
          <w:sz w:val="20"/>
          <w:szCs w:val="20"/>
        </w:rPr>
        <w:t xml:space="preserve"> WCC recognizes the Trinity as precondition for membership. At the Third Assembly (New Delhi 1961), the Council affirms itself as “a fellowship of churches which confess the Lord Jesus Christ as God and Savior according to the Scriptures and therefore seek to fulfill together their common calling to the glory of the </w:t>
      </w:r>
      <w:r w:rsidRPr="00130248">
        <w:rPr>
          <w:rFonts w:ascii="Garamond" w:hAnsi="Garamond" w:cs="Times New Roman"/>
          <w:i/>
          <w:color w:val="000000" w:themeColor="text1"/>
          <w:sz w:val="20"/>
          <w:szCs w:val="20"/>
        </w:rPr>
        <w:t>one God, Father, Son and Holy Spirit</w:t>
      </w:r>
      <w:r w:rsidRPr="00130248">
        <w:rPr>
          <w:rFonts w:ascii="Garamond" w:hAnsi="Garamond" w:cs="Times New Roman"/>
          <w:color w:val="000000" w:themeColor="text1"/>
          <w:sz w:val="20"/>
          <w:szCs w:val="20"/>
        </w:rPr>
        <w:t xml:space="preserve">.” </w:t>
      </w:r>
      <w:r w:rsidRPr="00130248">
        <w:rPr>
          <w:rFonts w:ascii="Garamond" w:hAnsi="Garamond" w:cs="Times New Roman"/>
          <w:color w:val="000000" w:themeColor="text1"/>
          <w:sz w:val="20"/>
          <w:szCs w:val="20"/>
        </w:rPr>
        <w:sym w:font="Symbol" w:char="F05B"/>
      </w:r>
      <w:r w:rsidRPr="00130248">
        <w:rPr>
          <w:rFonts w:ascii="Garamond" w:hAnsi="Garamond" w:cs="Times New Roman"/>
          <w:color w:val="000000" w:themeColor="text1"/>
          <w:sz w:val="20"/>
          <w:szCs w:val="20"/>
        </w:rPr>
        <w:t>Italics mine</w:t>
      </w:r>
      <w:r w:rsidRPr="00130248">
        <w:rPr>
          <w:rFonts w:ascii="Garamond" w:hAnsi="Garamond" w:cs="Times New Roman"/>
          <w:color w:val="000000" w:themeColor="text1"/>
          <w:sz w:val="20"/>
          <w:szCs w:val="20"/>
        </w:rPr>
        <w:sym w:font="Symbol" w:char="F05D"/>
      </w:r>
      <w:r w:rsidRPr="00130248">
        <w:rPr>
          <w:rFonts w:ascii="Garamond" w:hAnsi="Garamond" w:cs="Times New Roman"/>
          <w:color w:val="000000" w:themeColor="text1"/>
          <w:sz w:val="20"/>
          <w:szCs w:val="20"/>
        </w:rPr>
        <w:t xml:space="preserve"> It is important to note that this Trinitarian basis was absent in the original version that was adopted at the Amsterdam 1948 inaugural Assembly. Cf. WCC, </w:t>
      </w:r>
      <w:r w:rsidRPr="00130248">
        <w:rPr>
          <w:rFonts w:ascii="Garamond" w:hAnsi="Garamond" w:cs="Times New Roman"/>
          <w:i/>
          <w:color w:val="000000" w:themeColor="text1"/>
          <w:sz w:val="20"/>
          <w:szCs w:val="20"/>
        </w:rPr>
        <w:t>Common Understanding and Vision of the WCC (CUV)</w:t>
      </w:r>
      <w:r w:rsidRPr="00130248">
        <w:rPr>
          <w:rFonts w:ascii="Garamond" w:hAnsi="Garamond" w:cs="Times New Roman"/>
          <w:color w:val="000000" w:themeColor="text1"/>
          <w:sz w:val="20"/>
          <w:szCs w:val="20"/>
        </w:rPr>
        <w:t xml:space="preserve"> (Geneva: WCC, 1997), 1:13; 3.16.1.</w:t>
      </w:r>
    </w:p>
  </w:footnote>
  <w:footnote w:id="6">
    <w:p w14:paraId="17421605" w14:textId="0D0D3808" w:rsidR="00B96D02" w:rsidRPr="00130248" w:rsidRDefault="00B96D02" w:rsidP="00130248">
      <w:pPr>
        <w:pStyle w:val="FootnoteText"/>
        <w:spacing w:before="0" w:after="0" w:line="240" w:lineRule="auto"/>
        <w:rPr>
          <w:rFonts w:ascii="Garamond" w:hAnsi="Garamond" w:cs="Times New Roman"/>
          <w:color w:val="000000" w:themeColor="text1"/>
          <w:sz w:val="20"/>
          <w:szCs w:val="20"/>
        </w:rPr>
      </w:pPr>
      <w:r w:rsidRPr="00130248">
        <w:rPr>
          <w:rStyle w:val="FootnoteReference"/>
          <w:rFonts w:ascii="Garamond" w:hAnsi="Garamond" w:cs="Times New Roman"/>
          <w:color w:val="000000" w:themeColor="text1"/>
          <w:sz w:val="20"/>
          <w:szCs w:val="20"/>
        </w:rPr>
        <w:footnoteRef/>
      </w:r>
      <w:r w:rsidRPr="00130248">
        <w:rPr>
          <w:rFonts w:ascii="Garamond" w:hAnsi="Garamond" w:cs="Times New Roman"/>
          <w:color w:val="000000" w:themeColor="text1"/>
          <w:sz w:val="20"/>
          <w:szCs w:val="20"/>
        </w:rPr>
        <w:t xml:space="preserve"> It is important to note that this primary acceptance remains a fundamental ground in dialogue, and that it gradually develops </w:t>
      </w:r>
      <w:r w:rsidRPr="00130248">
        <w:rPr>
          <w:rFonts w:ascii="Garamond" w:hAnsi="Garamond" w:cs="Times New Roman"/>
          <w:i/>
          <w:color w:val="000000" w:themeColor="text1"/>
          <w:sz w:val="20"/>
          <w:szCs w:val="20"/>
        </w:rPr>
        <w:t>within dialogue</w:t>
      </w:r>
      <w:r w:rsidRPr="00130248">
        <w:rPr>
          <w:rFonts w:ascii="Garamond" w:hAnsi="Garamond" w:cs="Times New Roman"/>
          <w:color w:val="000000" w:themeColor="text1"/>
          <w:sz w:val="20"/>
          <w:szCs w:val="20"/>
        </w:rPr>
        <w:t xml:space="preserve"> to the level of ‘normative approval’. Normative approval is required in mutual recognition if it must affirm the values that undergird the beliefs and practices of dialogical partners. </w:t>
      </w:r>
      <w:proofErr w:type="spellStart"/>
      <w:r w:rsidRPr="00130248">
        <w:rPr>
          <w:rFonts w:ascii="Garamond" w:hAnsi="Garamond" w:cs="Times New Roman"/>
          <w:color w:val="000000" w:themeColor="text1"/>
          <w:sz w:val="20"/>
          <w:szCs w:val="20"/>
        </w:rPr>
        <w:t>Hietamäki</w:t>
      </w:r>
      <w:proofErr w:type="spellEnd"/>
      <w:r w:rsidRPr="00130248">
        <w:rPr>
          <w:rFonts w:ascii="Garamond" w:hAnsi="Garamond" w:cs="Times New Roman"/>
          <w:color w:val="000000" w:themeColor="text1"/>
          <w:sz w:val="20"/>
          <w:szCs w:val="20"/>
        </w:rPr>
        <w:t xml:space="preserve"> describes this as constituting the third characteristic of mutual recognition.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0587F72"/>
    <w:multiLevelType w:val="hybridMultilevel"/>
    <w:tmpl w:val="0A886AD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272D183E"/>
    <w:multiLevelType w:val="hybridMultilevel"/>
    <w:tmpl w:val="7BFE53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B205EE4"/>
    <w:multiLevelType w:val="hybridMultilevel"/>
    <w:tmpl w:val="B242FCA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num w:numId="1" w16cid:durableId="925651220">
    <w:abstractNumId w:val="1"/>
  </w:num>
  <w:num w:numId="2" w16cid:durableId="2107071854">
    <w:abstractNumId w:val="2"/>
  </w:num>
  <w:num w:numId="3" w16cid:durableId="192912206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6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96D02"/>
    <w:rsid w:val="00001D00"/>
    <w:rsid w:val="00003D80"/>
    <w:rsid w:val="000177CC"/>
    <w:rsid w:val="00051F31"/>
    <w:rsid w:val="00056377"/>
    <w:rsid w:val="00085BA5"/>
    <w:rsid w:val="00087E29"/>
    <w:rsid w:val="00092541"/>
    <w:rsid w:val="000C1562"/>
    <w:rsid w:val="000C4F14"/>
    <w:rsid w:val="000D3C47"/>
    <w:rsid w:val="000D4D6A"/>
    <w:rsid w:val="000E1FCE"/>
    <w:rsid w:val="00101E6C"/>
    <w:rsid w:val="00115E52"/>
    <w:rsid w:val="00121C0B"/>
    <w:rsid w:val="001263F5"/>
    <w:rsid w:val="00127666"/>
    <w:rsid w:val="00130248"/>
    <w:rsid w:val="00135ED3"/>
    <w:rsid w:val="00144F4D"/>
    <w:rsid w:val="00147DEC"/>
    <w:rsid w:val="0016429D"/>
    <w:rsid w:val="001956E2"/>
    <w:rsid w:val="00197AEB"/>
    <w:rsid w:val="001C5AB0"/>
    <w:rsid w:val="001D0E55"/>
    <w:rsid w:val="001E1243"/>
    <w:rsid w:val="001E298B"/>
    <w:rsid w:val="001E3E2F"/>
    <w:rsid w:val="002134A6"/>
    <w:rsid w:val="00240AB6"/>
    <w:rsid w:val="00251036"/>
    <w:rsid w:val="002809B4"/>
    <w:rsid w:val="00285CCC"/>
    <w:rsid w:val="00292AF7"/>
    <w:rsid w:val="002C13E7"/>
    <w:rsid w:val="002D50B2"/>
    <w:rsid w:val="002E137C"/>
    <w:rsid w:val="002F231B"/>
    <w:rsid w:val="002F3A1C"/>
    <w:rsid w:val="002F5A2C"/>
    <w:rsid w:val="0032497F"/>
    <w:rsid w:val="003504B5"/>
    <w:rsid w:val="00360312"/>
    <w:rsid w:val="00381E76"/>
    <w:rsid w:val="00391EDD"/>
    <w:rsid w:val="003C1831"/>
    <w:rsid w:val="003C1B0E"/>
    <w:rsid w:val="003C5CBD"/>
    <w:rsid w:val="003F6A3C"/>
    <w:rsid w:val="00416FCC"/>
    <w:rsid w:val="0042221C"/>
    <w:rsid w:val="00436404"/>
    <w:rsid w:val="004442AC"/>
    <w:rsid w:val="00460477"/>
    <w:rsid w:val="00467B90"/>
    <w:rsid w:val="004A6EA8"/>
    <w:rsid w:val="004B4F15"/>
    <w:rsid w:val="004C48EC"/>
    <w:rsid w:val="00504F81"/>
    <w:rsid w:val="005071F3"/>
    <w:rsid w:val="00514829"/>
    <w:rsid w:val="0054349D"/>
    <w:rsid w:val="00543E4B"/>
    <w:rsid w:val="00547F98"/>
    <w:rsid w:val="005817A7"/>
    <w:rsid w:val="00583757"/>
    <w:rsid w:val="00587507"/>
    <w:rsid w:val="00594DDF"/>
    <w:rsid w:val="005B18A9"/>
    <w:rsid w:val="005D37D3"/>
    <w:rsid w:val="005E4BE7"/>
    <w:rsid w:val="005F7A17"/>
    <w:rsid w:val="0060087B"/>
    <w:rsid w:val="00644F03"/>
    <w:rsid w:val="00662D6C"/>
    <w:rsid w:val="00667684"/>
    <w:rsid w:val="0067057E"/>
    <w:rsid w:val="006A6C4E"/>
    <w:rsid w:val="006B74AF"/>
    <w:rsid w:val="006D2711"/>
    <w:rsid w:val="006F4624"/>
    <w:rsid w:val="00707C1B"/>
    <w:rsid w:val="007114E4"/>
    <w:rsid w:val="00711CD5"/>
    <w:rsid w:val="00713849"/>
    <w:rsid w:val="00724F7B"/>
    <w:rsid w:val="0072754D"/>
    <w:rsid w:val="007311CE"/>
    <w:rsid w:val="007352B9"/>
    <w:rsid w:val="007363DB"/>
    <w:rsid w:val="00762DBA"/>
    <w:rsid w:val="007631D8"/>
    <w:rsid w:val="00775557"/>
    <w:rsid w:val="0079105F"/>
    <w:rsid w:val="007B30F9"/>
    <w:rsid w:val="007C21A1"/>
    <w:rsid w:val="008139CD"/>
    <w:rsid w:val="0082061C"/>
    <w:rsid w:val="0082326F"/>
    <w:rsid w:val="0082506A"/>
    <w:rsid w:val="00830876"/>
    <w:rsid w:val="00836F1B"/>
    <w:rsid w:val="00856047"/>
    <w:rsid w:val="00867E36"/>
    <w:rsid w:val="0088111A"/>
    <w:rsid w:val="00883F70"/>
    <w:rsid w:val="0089488C"/>
    <w:rsid w:val="00896F96"/>
    <w:rsid w:val="008B0758"/>
    <w:rsid w:val="008B26CC"/>
    <w:rsid w:val="008B75A3"/>
    <w:rsid w:val="008E2CFC"/>
    <w:rsid w:val="009018DF"/>
    <w:rsid w:val="0090324A"/>
    <w:rsid w:val="00914ACF"/>
    <w:rsid w:val="00922599"/>
    <w:rsid w:val="00922872"/>
    <w:rsid w:val="00922CA8"/>
    <w:rsid w:val="00931935"/>
    <w:rsid w:val="00931AA5"/>
    <w:rsid w:val="009358C0"/>
    <w:rsid w:val="0097105F"/>
    <w:rsid w:val="00984985"/>
    <w:rsid w:val="009B0DDC"/>
    <w:rsid w:val="009B0EFB"/>
    <w:rsid w:val="009B42CB"/>
    <w:rsid w:val="009C02D5"/>
    <w:rsid w:val="009C4F9D"/>
    <w:rsid w:val="009C5883"/>
    <w:rsid w:val="009D1D5E"/>
    <w:rsid w:val="009D60E3"/>
    <w:rsid w:val="009E12C6"/>
    <w:rsid w:val="009E5C25"/>
    <w:rsid w:val="009E5FA7"/>
    <w:rsid w:val="00A35E14"/>
    <w:rsid w:val="00A4790A"/>
    <w:rsid w:val="00A5161F"/>
    <w:rsid w:val="00A51C56"/>
    <w:rsid w:val="00A52BC4"/>
    <w:rsid w:val="00A83523"/>
    <w:rsid w:val="00A83FF2"/>
    <w:rsid w:val="00A86B7C"/>
    <w:rsid w:val="00A95B0C"/>
    <w:rsid w:val="00AC6B19"/>
    <w:rsid w:val="00AC7017"/>
    <w:rsid w:val="00AD3675"/>
    <w:rsid w:val="00AE6BB4"/>
    <w:rsid w:val="00AF7688"/>
    <w:rsid w:val="00B12798"/>
    <w:rsid w:val="00B40738"/>
    <w:rsid w:val="00B90A02"/>
    <w:rsid w:val="00B96D02"/>
    <w:rsid w:val="00BB75C6"/>
    <w:rsid w:val="00BD1494"/>
    <w:rsid w:val="00BF1E97"/>
    <w:rsid w:val="00C1146A"/>
    <w:rsid w:val="00C260A7"/>
    <w:rsid w:val="00C50E0F"/>
    <w:rsid w:val="00C55806"/>
    <w:rsid w:val="00C61567"/>
    <w:rsid w:val="00CB32B7"/>
    <w:rsid w:val="00CC1327"/>
    <w:rsid w:val="00CC73F3"/>
    <w:rsid w:val="00CD07A5"/>
    <w:rsid w:val="00CD26CC"/>
    <w:rsid w:val="00CF08BE"/>
    <w:rsid w:val="00CF3CD8"/>
    <w:rsid w:val="00D20285"/>
    <w:rsid w:val="00D4000D"/>
    <w:rsid w:val="00D43907"/>
    <w:rsid w:val="00D47ADF"/>
    <w:rsid w:val="00D530CD"/>
    <w:rsid w:val="00D56E70"/>
    <w:rsid w:val="00D61C52"/>
    <w:rsid w:val="00D760AD"/>
    <w:rsid w:val="00DB5F47"/>
    <w:rsid w:val="00DE21B8"/>
    <w:rsid w:val="00DE785E"/>
    <w:rsid w:val="00E00910"/>
    <w:rsid w:val="00E01C67"/>
    <w:rsid w:val="00E04CB5"/>
    <w:rsid w:val="00E170DE"/>
    <w:rsid w:val="00E22A0F"/>
    <w:rsid w:val="00E2756A"/>
    <w:rsid w:val="00E373A0"/>
    <w:rsid w:val="00E425C3"/>
    <w:rsid w:val="00E6285F"/>
    <w:rsid w:val="00E860C0"/>
    <w:rsid w:val="00EA0DC7"/>
    <w:rsid w:val="00EB4CAA"/>
    <w:rsid w:val="00EB65E3"/>
    <w:rsid w:val="00ED29D1"/>
    <w:rsid w:val="00ED5237"/>
    <w:rsid w:val="00EE630D"/>
    <w:rsid w:val="00EF5530"/>
    <w:rsid w:val="00EF5F10"/>
    <w:rsid w:val="00F051E6"/>
    <w:rsid w:val="00F23EF5"/>
    <w:rsid w:val="00F80B50"/>
    <w:rsid w:val="00F87DB9"/>
    <w:rsid w:val="00F90299"/>
    <w:rsid w:val="00F90765"/>
    <w:rsid w:val="00FF042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C7E244"/>
  <w15:chartTrackingRefBased/>
  <w15:docId w15:val="{9B7B87D5-19CD-B245-BE1A-3D01D8AC8C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pPr>
        <w:spacing w:line="264" w:lineRule="auto"/>
        <w:ind w:firstLine="567"/>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96D02"/>
    <w:pPr>
      <w:spacing w:before="120" w:after="120" w:line="276" w:lineRule="auto"/>
      <w:ind w:firstLine="0"/>
    </w:pPr>
    <w:rPr>
      <w:rFonts w:ascii="Times New Roman" w:eastAsia="Calibri" w:hAnsi="Times New Roman"/>
      <w:color w:val="00000A"/>
      <w:sz w:val="22"/>
      <w:szCs w:val="22"/>
      <w:lang w:val="nl-BE"/>
    </w:rPr>
  </w:style>
  <w:style w:type="paragraph" w:styleId="Heading1">
    <w:name w:val="heading 1"/>
    <w:basedOn w:val="ListParagraph"/>
    <w:next w:val="Normal"/>
    <w:link w:val="Heading1Char"/>
    <w:uiPriority w:val="9"/>
    <w:qFormat/>
    <w:rsid w:val="00B96D02"/>
    <w:pPr>
      <w:spacing w:line="276" w:lineRule="auto"/>
      <w:ind w:left="0"/>
      <w:outlineLvl w:val="0"/>
    </w:pPr>
    <w:rPr>
      <w:rFonts w:cs="Times New Roman"/>
      <w:b/>
      <w:color w:val="000000" w:themeColor="text1"/>
      <w:sz w:val="22"/>
      <w:szCs w:val="22"/>
    </w:rPr>
  </w:style>
  <w:style w:type="paragraph" w:styleId="Heading2">
    <w:name w:val="heading 2"/>
    <w:basedOn w:val="ListParagraph"/>
    <w:next w:val="Normal"/>
    <w:link w:val="Heading2Char"/>
    <w:autoRedefine/>
    <w:uiPriority w:val="9"/>
    <w:unhideWhenUsed/>
    <w:qFormat/>
    <w:rsid w:val="008B26CC"/>
    <w:pPr>
      <w:spacing w:before="0" w:line="276" w:lineRule="auto"/>
      <w:ind w:left="0"/>
      <w:outlineLvl w:val="1"/>
    </w:pPr>
    <w:rPr>
      <w:rFonts w:ascii="Garamond" w:hAnsi="Garamond" w:cs="Times New Roman"/>
      <w:bCs/>
      <w:i/>
      <w:color w:val="000000" w:themeColor="text1"/>
      <w:sz w:val="20"/>
      <w:szCs w:val="20"/>
    </w:rPr>
  </w:style>
  <w:style w:type="paragraph" w:styleId="Heading3">
    <w:name w:val="heading 3"/>
    <w:basedOn w:val="Normal"/>
    <w:next w:val="Normal"/>
    <w:link w:val="Heading3Char"/>
    <w:autoRedefine/>
    <w:uiPriority w:val="9"/>
    <w:unhideWhenUsed/>
    <w:qFormat/>
    <w:rsid w:val="00B96D02"/>
    <w:pPr>
      <w:spacing w:before="360" w:after="240" w:line="252" w:lineRule="auto"/>
      <w:ind w:left="360"/>
      <w:jc w:val="left"/>
      <w:outlineLvl w:val="2"/>
    </w:pPr>
    <w:rPr>
      <w:rFonts w:eastAsiaTheme="majorEastAsia" w:cs="Times New Roman"/>
      <w:i/>
      <w:color w:val="000000" w:themeColor="text1"/>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96D02"/>
    <w:rPr>
      <w:rFonts w:ascii="Times New Roman" w:eastAsia="Calibri" w:hAnsi="Times New Roman" w:cs="Times New Roman"/>
      <w:b/>
      <w:color w:val="000000" w:themeColor="text1"/>
      <w:sz w:val="22"/>
      <w:szCs w:val="22"/>
    </w:rPr>
  </w:style>
  <w:style w:type="character" w:customStyle="1" w:styleId="Heading2Char">
    <w:name w:val="Heading 2 Char"/>
    <w:basedOn w:val="DefaultParagraphFont"/>
    <w:link w:val="Heading2"/>
    <w:uiPriority w:val="9"/>
    <w:rsid w:val="008B26CC"/>
    <w:rPr>
      <w:rFonts w:ascii="Garamond" w:eastAsia="Calibri" w:hAnsi="Garamond" w:cs="Times New Roman"/>
      <w:bCs/>
      <w:i/>
      <w:color w:val="000000" w:themeColor="text1"/>
      <w:sz w:val="20"/>
      <w:szCs w:val="20"/>
    </w:rPr>
  </w:style>
  <w:style w:type="character" w:customStyle="1" w:styleId="Heading3Char">
    <w:name w:val="Heading 3 Char"/>
    <w:basedOn w:val="DefaultParagraphFont"/>
    <w:link w:val="Heading3"/>
    <w:uiPriority w:val="9"/>
    <w:rsid w:val="00B96D02"/>
    <w:rPr>
      <w:rFonts w:ascii="Times New Roman" w:eastAsiaTheme="majorEastAsia" w:hAnsi="Times New Roman" w:cs="Times New Roman"/>
      <w:i/>
      <w:color w:val="000000" w:themeColor="text1"/>
      <w:sz w:val="22"/>
      <w:szCs w:val="22"/>
    </w:rPr>
  </w:style>
  <w:style w:type="character" w:styleId="FootnoteReference">
    <w:name w:val="footnote reference"/>
    <w:basedOn w:val="DefaultParagraphFont"/>
    <w:uiPriority w:val="99"/>
    <w:unhideWhenUsed/>
    <w:qFormat/>
    <w:rsid w:val="00B96D02"/>
    <w:rPr>
      <w:vertAlign w:val="superscript"/>
    </w:rPr>
  </w:style>
  <w:style w:type="character" w:customStyle="1" w:styleId="FootnoteTextChar">
    <w:name w:val="Footnote Text Char"/>
    <w:basedOn w:val="DefaultParagraphFont"/>
    <w:link w:val="FootnoteText"/>
    <w:uiPriority w:val="99"/>
    <w:qFormat/>
    <w:rsid w:val="00B96D02"/>
    <w:rPr>
      <w:color w:val="00000A"/>
    </w:rPr>
  </w:style>
  <w:style w:type="paragraph" w:styleId="FootnoteText">
    <w:name w:val="footnote text"/>
    <w:basedOn w:val="Normal"/>
    <w:link w:val="FootnoteTextChar"/>
    <w:uiPriority w:val="99"/>
    <w:rsid w:val="00B96D02"/>
    <w:rPr>
      <w:rFonts w:asciiTheme="minorHAnsi" w:eastAsiaTheme="minorHAnsi" w:hAnsiTheme="minorHAnsi"/>
      <w:sz w:val="24"/>
      <w:szCs w:val="24"/>
      <w:lang w:val="en-US"/>
    </w:rPr>
  </w:style>
  <w:style w:type="character" w:customStyle="1" w:styleId="FootnoteTextChar1">
    <w:name w:val="Footnote Text Char1"/>
    <w:basedOn w:val="DefaultParagraphFont"/>
    <w:uiPriority w:val="99"/>
    <w:semiHidden/>
    <w:rsid w:val="00B96D02"/>
    <w:rPr>
      <w:rFonts w:ascii="Times New Roman" w:eastAsia="Calibri" w:hAnsi="Times New Roman"/>
      <w:color w:val="00000A"/>
      <w:sz w:val="20"/>
      <w:szCs w:val="20"/>
      <w:lang w:val="nl-BE"/>
    </w:rPr>
  </w:style>
  <w:style w:type="paragraph" w:styleId="ListParagraph">
    <w:name w:val="List Paragraph"/>
    <w:basedOn w:val="Normal"/>
    <w:uiPriority w:val="34"/>
    <w:qFormat/>
    <w:rsid w:val="00B96D02"/>
    <w:pPr>
      <w:spacing w:after="0" w:line="240" w:lineRule="auto"/>
      <w:ind w:left="720"/>
      <w:contextualSpacing/>
    </w:pPr>
    <w:rPr>
      <w:sz w:val="24"/>
      <w:szCs w:val="24"/>
      <w:lang w:val="en-US"/>
    </w:rPr>
  </w:style>
  <w:style w:type="character" w:customStyle="1" w:styleId="CSITALIC">
    <w:name w:val="CS ITALIC"/>
    <w:basedOn w:val="DefaultParagraphFont"/>
    <w:qFormat/>
    <w:rsid w:val="00B96D02"/>
    <w:rPr>
      <w:rFonts w:cs="Times New Roman"/>
      <w:i/>
    </w:rPr>
  </w:style>
  <w:style w:type="table" w:customStyle="1" w:styleId="GridTable1Light1">
    <w:name w:val="Grid Table 1 Light1"/>
    <w:basedOn w:val="TableNormal"/>
    <w:uiPriority w:val="46"/>
    <w:rsid w:val="00B96D02"/>
    <w:pPr>
      <w:spacing w:line="240" w:lineRule="auto"/>
      <w:ind w:firstLine="0"/>
      <w:jc w:val="left"/>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BalloonText">
    <w:name w:val="Balloon Text"/>
    <w:basedOn w:val="Normal"/>
    <w:link w:val="BalloonTextChar"/>
    <w:uiPriority w:val="99"/>
    <w:semiHidden/>
    <w:unhideWhenUsed/>
    <w:rsid w:val="002F3A1C"/>
    <w:pPr>
      <w:spacing w:before="0" w:after="0" w:line="240" w:lineRule="auto"/>
    </w:pPr>
    <w:rPr>
      <w:rFonts w:cs="Times New Roman"/>
      <w:sz w:val="18"/>
      <w:szCs w:val="18"/>
    </w:rPr>
  </w:style>
  <w:style w:type="character" w:customStyle="1" w:styleId="BalloonTextChar">
    <w:name w:val="Balloon Text Char"/>
    <w:basedOn w:val="DefaultParagraphFont"/>
    <w:link w:val="BalloonText"/>
    <w:uiPriority w:val="99"/>
    <w:semiHidden/>
    <w:rsid w:val="002F3A1C"/>
    <w:rPr>
      <w:rFonts w:ascii="Times New Roman" w:eastAsia="Calibri" w:hAnsi="Times New Roman" w:cs="Times New Roman"/>
      <w:color w:val="00000A"/>
      <w:sz w:val="18"/>
      <w:szCs w:val="18"/>
      <w:lang w:val="nl-BE"/>
    </w:rPr>
  </w:style>
  <w:style w:type="character" w:customStyle="1" w:styleId="FootnoteAnchor">
    <w:name w:val="Footnote Anchor"/>
    <w:qFormat/>
    <w:rsid w:val="00724F7B"/>
    <w:rPr>
      <w:vertAlign w:val="superscript"/>
    </w:rPr>
  </w:style>
  <w:style w:type="character" w:customStyle="1" w:styleId="InternetLink">
    <w:name w:val="Internet Link"/>
    <w:uiPriority w:val="99"/>
    <w:unhideWhenUsed/>
    <w:rsid w:val="00724F7B"/>
    <w:rPr>
      <w:color w:val="0563C1"/>
      <w:u w:val="single"/>
    </w:rPr>
  </w:style>
  <w:style w:type="paragraph" w:styleId="Footer">
    <w:name w:val="footer"/>
    <w:basedOn w:val="Normal"/>
    <w:link w:val="FooterChar"/>
    <w:uiPriority w:val="99"/>
    <w:unhideWhenUsed/>
    <w:rsid w:val="0082061C"/>
    <w:pPr>
      <w:tabs>
        <w:tab w:val="center" w:pos="4680"/>
        <w:tab w:val="right" w:pos="9360"/>
      </w:tabs>
      <w:spacing w:before="0" w:after="0" w:line="240" w:lineRule="auto"/>
    </w:pPr>
  </w:style>
  <w:style w:type="character" w:customStyle="1" w:styleId="FooterChar">
    <w:name w:val="Footer Char"/>
    <w:basedOn w:val="DefaultParagraphFont"/>
    <w:link w:val="Footer"/>
    <w:uiPriority w:val="99"/>
    <w:rsid w:val="0082061C"/>
    <w:rPr>
      <w:rFonts w:ascii="Times New Roman" w:eastAsia="Calibri" w:hAnsi="Times New Roman"/>
      <w:color w:val="00000A"/>
      <w:sz w:val="22"/>
      <w:szCs w:val="22"/>
      <w:lang w:val="nl-BE"/>
    </w:rPr>
  </w:style>
  <w:style w:type="character" w:styleId="PageNumber">
    <w:name w:val="page number"/>
    <w:basedOn w:val="DefaultParagraphFont"/>
    <w:uiPriority w:val="99"/>
    <w:semiHidden/>
    <w:unhideWhenUsed/>
    <w:rsid w:val="0082061C"/>
  </w:style>
  <w:style w:type="character" w:styleId="CommentReference">
    <w:name w:val="annotation reference"/>
    <w:basedOn w:val="DefaultParagraphFont"/>
    <w:uiPriority w:val="99"/>
    <w:semiHidden/>
    <w:unhideWhenUsed/>
    <w:rsid w:val="000C4F14"/>
    <w:rPr>
      <w:sz w:val="16"/>
      <w:szCs w:val="16"/>
    </w:rPr>
  </w:style>
  <w:style w:type="paragraph" w:styleId="CommentText">
    <w:name w:val="annotation text"/>
    <w:basedOn w:val="Normal"/>
    <w:link w:val="CommentTextChar"/>
    <w:uiPriority w:val="99"/>
    <w:semiHidden/>
    <w:unhideWhenUsed/>
    <w:rsid w:val="000C4F14"/>
    <w:pPr>
      <w:spacing w:line="240" w:lineRule="auto"/>
    </w:pPr>
    <w:rPr>
      <w:sz w:val="20"/>
      <w:szCs w:val="20"/>
    </w:rPr>
  </w:style>
  <w:style w:type="character" w:customStyle="1" w:styleId="CommentTextChar">
    <w:name w:val="Comment Text Char"/>
    <w:basedOn w:val="DefaultParagraphFont"/>
    <w:link w:val="CommentText"/>
    <w:uiPriority w:val="99"/>
    <w:semiHidden/>
    <w:rsid w:val="000C4F14"/>
    <w:rPr>
      <w:rFonts w:ascii="Times New Roman" w:eastAsia="Calibri" w:hAnsi="Times New Roman"/>
      <w:color w:val="00000A"/>
      <w:sz w:val="20"/>
      <w:szCs w:val="20"/>
      <w:lang w:val="nl-BE"/>
    </w:rPr>
  </w:style>
  <w:style w:type="paragraph" w:styleId="CommentSubject">
    <w:name w:val="annotation subject"/>
    <w:basedOn w:val="CommentText"/>
    <w:next w:val="CommentText"/>
    <w:link w:val="CommentSubjectChar"/>
    <w:uiPriority w:val="99"/>
    <w:semiHidden/>
    <w:unhideWhenUsed/>
    <w:rsid w:val="000C4F14"/>
    <w:rPr>
      <w:b/>
      <w:bCs/>
    </w:rPr>
  </w:style>
  <w:style w:type="character" w:customStyle="1" w:styleId="CommentSubjectChar">
    <w:name w:val="Comment Subject Char"/>
    <w:basedOn w:val="CommentTextChar"/>
    <w:link w:val="CommentSubject"/>
    <w:uiPriority w:val="99"/>
    <w:semiHidden/>
    <w:rsid w:val="000C4F14"/>
    <w:rPr>
      <w:rFonts w:ascii="Times New Roman" w:eastAsia="Calibri" w:hAnsi="Times New Roman"/>
      <w:b/>
      <w:bCs/>
      <w:color w:val="00000A"/>
      <w:sz w:val="20"/>
      <w:szCs w:val="20"/>
      <w:lang w:val="nl-BE"/>
    </w:rPr>
  </w:style>
  <w:style w:type="paragraph" w:styleId="Revision">
    <w:name w:val="Revision"/>
    <w:hidden/>
    <w:uiPriority w:val="99"/>
    <w:semiHidden/>
    <w:rsid w:val="00A83FF2"/>
    <w:pPr>
      <w:spacing w:line="240" w:lineRule="auto"/>
      <w:ind w:firstLine="0"/>
      <w:jc w:val="left"/>
    </w:pPr>
    <w:rPr>
      <w:rFonts w:ascii="Times New Roman" w:eastAsia="Calibri" w:hAnsi="Times New Roman"/>
      <w:color w:val="00000A"/>
      <w:sz w:val="22"/>
      <w:szCs w:val="22"/>
      <w:lang w:val="nl-BE"/>
    </w:rPr>
  </w:style>
  <w:style w:type="paragraph" w:styleId="NormalWeb">
    <w:name w:val="Normal (Web)"/>
    <w:basedOn w:val="Normal"/>
    <w:uiPriority w:val="99"/>
    <w:unhideWhenUsed/>
    <w:rsid w:val="00984985"/>
    <w:pPr>
      <w:spacing w:before="100" w:beforeAutospacing="1" w:after="100" w:afterAutospacing="1" w:line="240" w:lineRule="auto"/>
      <w:jc w:val="left"/>
    </w:pPr>
    <w:rPr>
      <w:rFonts w:eastAsia="Times New Roman" w:cs="Times New Roman"/>
      <w:color w:val="auto"/>
      <w:sz w:val="24"/>
      <w:szCs w:val="24"/>
      <w:lang w:val="en-BE"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28493378">
      <w:bodyDiv w:val="1"/>
      <w:marLeft w:val="0"/>
      <w:marRight w:val="0"/>
      <w:marTop w:val="0"/>
      <w:marBottom w:val="0"/>
      <w:divBdr>
        <w:top w:val="none" w:sz="0" w:space="0" w:color="auto"/>
        <w:left w:val="none" w:sz="0" w:space="0" w:color="auto"/>
        <w:bottom w:val="none" w:sz="0" w:space="0" w:color="auto"/>
        <w:right w:val="none" w:sz="0" w:space="0" w:color="auto"/>
      </w:divBdr>
    </w:div>
    <w:div w:id="1877884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Version="6"/>
</file>

<file path=customXml/itemProps1.xml><?xml version="1.0" encoding="utf-8"?>
<ds:datastoreItem xmlns:ds="http://schemas.openxmlformats.org/officeDocument/2006/customXml" ds:itemID="{236672F4-F86B-A841-B007-A3DEF91071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933</TotalTime>
  <Pages>14</Pages>
  <Words>7130</Words>
  <Characters>40645</Characters>
  <Application>Microsoft Office Word</Application>
  <DocSecurity>0</DocSecurity>
  <Lines>338</Lines>
  <Paragraphs>95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47680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Ikenna Paschal Okpaleke</cp:lastModifiedBy>
  <cp:revision>108</cp:revision>
  <dcterms:created xsi:type="dcterms:W3CDTF">2022-06-30T09:32:00Z</dcterms:created>
  <dcterms:modified xsi:type="dcterms:W3CDTF">2023-10-12T14:47:00Z</dcterms:modified>
</cp:coreProperties>
</file>