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4ED85" w14:textId="686E21B5" w:rsidR="001D2829" w:rsidRDefault="00BD7094" w:rsidP="008C7D06">
      <w:pPr>
        <w:pStyle w:val="Titre"/>
      </w:pPr>
      <w:r>
        <w:t xml:space="preserve">Le non-sens </w:t>
      </w:r>
      <w:r w:rsidRPr="008C7D06">
        <w:t>comme</w:t>
      </w:r>
      <w:r>
        <w:t xml:space="preserve"> absence de contexte</w:t>
      </w:r>
    </w:p>
    <w:p w14:paraId="6410013B" w14:textId="0FC6037F" w:rsidR="00EC2761" w:rsidRPr="00EC2761" w:rsidRDefault="00EC2761" w:rsidP="008C7D06">
      <w:r>
        <w:t xml:space="preserve">Valérie </w:t>
      </w:r>
      <w:r w:rsidRPr="008C7D06">
        <w:t>Aucouturier</w:t>
      </w:r>
      <w:r>
        <w:t xml:space="preserve"> (Université Saint-Louis, Bruxelles – Centre </w:t>
      </w:r>
      <w:proofErr w:type="spellStart"/>
      <w:r>
        <w:t>Prospéro</w:t>
      </w:r>
      <w:proofErr w:type="spellEnd"/>
      <w:r>
        <w:t>)</w:t>
      </w:r>
    </w:p>
    <w:p w14:paraId="5797DB01" w14:textId="77777777" w:rsidR="005B3D9E" w:rsidRDefault="005B3D9E" w:rsidP="008C7D06"/>
    <w:p w14:paraId="1E511713" w14:textId="0FB66D05" w:rsidR="00A73482" w:rsidRDefault="005B3D9E" w:rsidP="008C7D06">
      <w:r>
        <w:t>A en croire certaines remarques et lectures de Ludwig Wittgenstein, la question des limites du sens est une question centrale, pour ne pas dire la question centrale</w:t>
      </w:r>
      <w:r w:rsidR="00D64D87">
        <w:t>,</w:t>
      </w:r>
      <w:r>
        <w:t xml:space="preserve"> dans la mesure où </w:t>
      </w:r>
      <w:r w:rsidR="00D64D87">
        <w:t>cette question</w:t>
      </w:r>
      <w:r>
        <w:t xml:space="preserve"> caractérise ni plus ni moins </w:t>
      </w:r>
      <w:r w:rsidR="008C7A27">
        <w:t xml:space="preserve">la tâche de la philosophie. </w:t>
      </w:r>
      <w:r w:rsidR="006D1CA5">
        <w:t xml:space="preserve">Mais c’est aussi dans le fait qu’une partie au moins du travail philosophique consiste à débusquer le non-sens que ce travail s’avère d’une immense complexité à caractériser et à mettre en œuvre. </w:t>
      </w:r>
      <w:r w:rsidR="008C7A27">
        <w:t xml:space="preserve">Je partirai donc de cette citation rebattue de Wittgenstein au § 116 des </w:t>
      </w:r>
      <w:r w:rsidR="008C7A27" w:rsidRPr="008C7A27">
        <w:rPr>
          <w:i/>
        </w:rPr>
        <w:t>Recherches philosophiques</w:t>
      </w:r>
      <w:r w:rsidR="00EE3042">
        <w:t xml:space="preserve"> (désormais RP)</w:t>
      </w:r>
      <w:r w:rsidR="008C7A27">
        <w:t xml:space="preserve"> – qui fait d’ailleurs l’objet d’un lumineux article déjà ancien </w:t>
      </w:r>
      <w:r w:rsidR="00562A71">
        <w:t>(</w:t>
      </w:r>
      <w:r w:rsidR="00EE3042">
        <w:t xml:space="preserve">puisqu’il date de </w:t>
      </w:r>
      <w:r w:rsidR="00562A71">
        <w:t xml:space="preserve">2001) </w:t>
      </w:r>
      <w:r w:rsidR="008C7A27">
        <w:t xml:space="preserve">de Jocelyn Benoist </w:t>
      </w:r>
      <w:r w:rsidR="00EE3042">
        <w:t xml:space="preserve">intitulé </w:t>
      </w:r>
      <w:r w:rsidR="008C7A27">
        <w:t>« Sur quelques sens possibles d’une formule de Wittgenstein ou de la difficulté de sortir de la métaphysique »</w:t>
      </w:r>
      <w:r w:rsidR="007D7CBA">
        <w:rPr>
          <w:rStyle w:val="Appelnotedebasdep"/>
        </w:rPr>
        <w:footnoteReference w:id="1"/>
      </w:r>
      <w:r w:rsidR="00EE3042">
        <w:t> </w:t>
      </w:r>
      <w:r w:rsidR="00D72D1F">
        <w:t>:</w:t>
      </w:r>
    </w:p>
    <w:p w14:paraId="36F13477" w14:textId="27A7B58F" w:rsidR="00D72D1F" w:rsidRDefault="00D72D1F" w:rsidP="008C7D06">
      <w:pPr>
        <w:pStyle w:val="Citation"/>
      </w:pPr>
      <w:r>
        <w:t>Lorsque les philosophes utilisent un mot – « savoir », « être », « objet », « moi », « proposition », « nom »</w:t>
      </w:r>
      <w:r w:rsidR="00045B57">
        <w:t xml:space="preserve"> –</w:t>
      </w:r>
      <w:r>
        <w:t xml:space="preserve"> et cherchent à saisir l’</w:t>
      </w:r>
      <w:r w:rsidRPr="00042E63">
        <w:rPr>
          <w:i/>
        </w:rPr>
        <w:t>essence</w:t>
      </w:r>
      <w:r>
        <w:t xml:space="preserve"> de la chose, il faut toujours se demander : ce mot est-il effectivement employé ainsi dans la lang</w:t>
      </w:r>
      <w:r w:rsidR="00042E63">
        <w:t>ue dans laquelle il a sa patrie ?</w:t>
      </w:r>
    </w:p>
    <w:p w14:paraId="5FABC116" w14:textId="1EDFBCAA" w:rsidR="00D72D1F" w:rsidRDefault="00D72D1F" w:rsidP="008C7D06">
      <w:pPr>
        <w:pStyle w:val="Citation"/>
      </w:pPr>
      <w:r w:rsidRPr="00042E63">
        <w:rPr>
          <w:i/>
        </w:rPr>
        <w:t>Nous</w:t>
      </w:r>
      <w:r>
        <w:t xml:space="preserve"> reconduisons les mots (</w:t>
      </w:r>
      <w:r w:rsidRPr="00EE3042">
        <w:rPr>
          <w:i/>
        </w:rPr>
        <w:t xml:space="preserve">die </w:t>
      </w:r>
      <w:proofErr w:type="spellStart"/>
      <w:r w:rsidRPr="00EE3042">
        <w:rPr>
          <w:i/>
        </w:rPr>
        <w:t>Wörter</w:t>
      </w:r>
      <w:proofErr w:type="spellEnd"/>
      <w:r>
        <w:t>) de leur usage métaphysique à leur usage quotidien</w:t>
      </w:r>
      <w:r w:rsidR="00042E63">
        <w:rPr>
          <w:rStyle w:val="Appelnotedebasdep"/>
        </w:rPr>
        <w:footnoteReference w:id="2"/>
      </w:r>
      <w:r>
        <w:t>.</w:t>
      </w:r>
    </w:p>
    <w:p w14:paraId="65CE4431" w14:textId="13314FE0" w:rsidR="007749BD" w:rsidRDefault="00F832BE" w:rsidP="008C7D06">
      <w:r>
        <w:t>Suivant</w:t>
      </w:r>
      <w:r w:rsidR="00E00313">
        <w:t xml:space="preserve"> cette </w:t>
      </w:r>
      <w:r w:rsidR="00A24700">
        <w:t>remarque</w:t>
      </w:r>
      <w:r w:rsidR="00E00313">
        <w:t xml:space="preserve">, le rôle du </w:t>
      </w:r>
      <w:r w:rsidR="00574878">
        <w:t xml:space="preserve">« bon » </w:t>
      </w:r>
      <w:r w:rsidR="00E00313">
        <w:t>philosophe</w:t>
      </w:r>
      <w:r w:rsidR="00045B57">
        <w:rPr>
          <w:rStyle w:val="Appelnotedebasdep"/>
        </w:rPr>
        <w:footnoteReference w:id="3"/>
      </w:r>
      <w:r w:rsidR="00E00313">
        <w:t xml:space="preserve"> serait donc de débusquer les usages métaphysiques</w:t>
      </w:r>
      <w:r w:rsidR="00045B57">
        <w:rPr>
          <w:rStyle w:val="Appelnotedebasdep"/>
        </w:rPr>
        <w:footnoteReference w:id="4"/>
      </w:r>
      <w:r w:rsidR="00E00313">
        <w:t xml:space="preserve"> du langage – c’est-à-dire, j’y reviendrai, déracinés – et de les faire redescendre dans le langage ordinaire où ils ont leur place – c’est-à-dire où ils font sens, ou du moins sont susceptibles de faire sens</w:t>
      </w:r>
      <w:r w:rsidR="00F83072">
        <w:t xml:space="preserve">. </w:t>
      </w:r>
    </w:p>
    <w:p w14:paraId="68F05C4F" w14:textId="40E1DD0A" w:rsidR="007749BD" w:rsidRDefault="007749BD" w:rsidP="008C7D06">
      <w:pPr>
        <w:pStyle w:val="Citation"/>
      </w:pPr>
      <w:bookmarkStart w:id="0" w:name="_GoBack"/>
      <w:bookmarkEnd w:id="0"/>
      <w:r>
        <w:t>Ce</w:t>
      </w:r>
      <w:r w:rsidRPr="00EA529C">
        <w:t xml:space="preserve"> que je veux enseigner c’</w:t>
      </w:r>
      <w:r>
        <w:t>est</w:t>
      </w:r>
      <w:r w:rsidRPr="00EA529C">
        <w:t xml:space="preserve"> comment passer d’un non-sens non man</w:t>
      </w:r>
      <w:r>
        <w:t>ifeste à un non-sens manifeste</w:t>
      </w:r>
      <w:r w:rsidR="00E85676">
        <w:rPr>
          <w:rStyle w:val="Appelnotedebasdep"/>
        </w:rPr>
        <w:footnoteReference w:id="5"/>
      </w:r>
      <w:r>
        <w:t>.</w:t>
      </w:r>
    </w:p>
    <w:p w14:paraId="539CF0CF" w14:textId="2C4C5103" w:rsidR="00042E63" w:rsidRDefault="00F83072" w:rsidP="008C7D06">
      <w:r>
        <w:t>Ce thème de l’exil et du retour, pour reprendre la belle expression de Denis Perrin</w:t>
      </w:r>
      <w:r w:rsidR="00043C1A">
        <w:rPr>
          <w:rStyle w:val="Appelnotedebasdep"/>
        </w:rPr>
        <w:footnoteReference w:id="6"/>
      </w:r>
      <w:r>
        <w:t xml:space="preserve">, </w:t>
      </w:r>
      <w:r w:rsidR="00002673">
        <w:t xml:space="preserve">du déracinement de nos mots qui leur fait perdre leur sens, est un thème qui occupe l’ensemble de la philosophie de Wittgenstein, comme l’ont montré, à la suite de Cora </w:t>
      </w:r>
      <w:proofErr w:type="spellStart"/>
      <w:r w:rsidR="00002673">
        <w:t>Diamond</w:t>
      </w:r>
      <w:proofErr w:type="spellEnd"/>
      <w:r w:rsidR="00002673">
        <w:t>, ceux qui se désignent eux-mêmes comme les « </w:t>
      </w:r>
      <w:r w:rsidR="00043C1A">
        <w:t>n</w:t>
      </w:r>
      <w:r w:rsidR="00002673">
        <w:t>ew wittgensteinien</w:t>
      </w:r>
      <w:r w:rsidR="00C64F98">
        <w:t>s</w:t>
      </w:r>
      <w:r w:rsidR="00002673">
        <w:t> ».</w:t>
      </w:r>
      <w:r w:rsidR="006958D8">
        <w:t xml:space="preserve"> Ainsi, le rôle de la philosophie serait de nous </w:t>
      </w:r>
      <w:r w:rsidR="006958D8" w:rsidRPr="006958D8">
        <w:rPr>
          <w:i/>
        </w:rPr>
        <w:t>apprendre à voir</w:t>
      </w:r>
      <w:r w:rsidR="006958D8">
        <w:t xml:space="preserve"> le non-sens</w:t>
      </w:r>
      <w:r w:rsidR="001D525B">
        <w:t>, c’est-à-dire le moment où le langage « tourne à vide » quand bien même il aurait l’air de vouloir dire quelque chose.</w:t>
      </w:r>
    </w:p>
    <w:p w14:paraId="554CEB40" w14:textId="56E8A80C" w:rsidR="001D525B" w:rsidRDefault="004903FD" w:rsidP="008C7D06">
      <w:r>
        <w:t xml:space="preserve">L’objet de </w:t>
      </w:r>
      <w:r w:rsidR="00472529">
        <w:t>cet article n’est</w:t>
      </w:r>
      <w:r>
        <w:t xml:space="preserve"> pas de procéder à une analyse exégétique de la remarque de Wittgenstein, ou même de la question du non-sens chez Wittgenstein. Mais je voudrais essayer </w:t>
      </w:r>
      <w:r>
        <w:lastRenderedPageBreak/>
        <w:t>de saisir en quoi une conception du non-sens qu’on pourrait extraire de la philosophie wittgensteinienne peut avoir un intérêt pour saisir et interroger la question des limites du langage.</w:t>
      </w:r>
      <w:r w:rsidR="000A5ECF">
        <w:t xml:space="preserve"> </w:t>
      </w:r>
      <w:r w:rsidR="001D525B">
        <w:t xml:space="preserve">Bien entendu, cette perspective n’a rien de gratuit puisque c’est tout bonnement le projet de Wittgenstein dans le </w:t>
      </w:r>
      <w:proofErr w:type="spellStart"/>
      <w:r w:rsidR="001D525B">
        <w:rPr>
          <w:i/>
        </w:rPr>
        <w:t>Tractatus</w:t>
      </w:r>
      <w:proofErr w:type="spellEnd"/>
      <w:r w:rsidR="000F570F">
        <w:rPr>
          <w:rStyle w:val="Appelnotedebasdep"/>
        </w:rPr>
        <w:footnoteReference w:id="7"/>
      </w:r>
      <w:r w:rsidR="002F51D6">
        <w:t xml:space="preserve"> (désormais TLP)</w:t>
      </w:r>
      <w:r w:rsidR="00BA6E41">
        <w:t xml:space="preserve">, comme l’écrit Sandra Laugier : « Le </w:t>
      </w:r>
      <w:proofErr w:type="spellStart"/>
      <w:r w:rsidR="00BA6E41" w:rsidRPr="000B11E3">
        <w:rPr>
          <w:i/>
        </w:rPr>
        <w:t>Tractatus</w:t>
      </w:r>
      <w:proofErr w:type="spellEnd"/>
      <w:r w:rsidR="00BA6E41">
        <w:t xml:space="preserve"> a pour but de tracer les limites du langage par les limites du sens, ou plutôt du non-sens</w:t>
      </w:r>
      <w:r w:rsidR="00BA6E41">
        <w:rPr>
          <w:rStyle w:val="Appelnotedebasdep"/>
        </w:rPr>
        <w:footnoteReference w:id="8"/>
      </w:r>
      <w:r w:rsidR="00BA6E41">
        <w:t> »</w:t>
      </w:r>
      <w:r w:rsidR="000F570F">
        <w:t xml:space="preserve">. Plus exactement, Wittgenstein voudrait tracer </w:t>
      </w:r>
      <w:r w:rsidR="000F570F">
        <w:rPr>
          <w:i/>
        </w:rPr>
        <w:t xml:space="preserve">dans </w:t>
      </w:r>
      <w:r w:rsidR="000F570F">
        <w:t xml:space="preserve">le langage les limites de ce qui est pensable, comme il le dit dans la préface du TLP : </w:t>
      </w:r>
    </w:p>
    <w:p w14:paraId="57BB7ACA" w14:textId="7D25B957" w:rsidR="001D525B" w:rsidRDefault="000F570F" w:rsidP="008C7D06">
      <w:pPr>
        <w:pStyle w:val="Citation"/>
      </w:pPr>
      <w:r>
        <w:t xml:space="preserve">Le livre </w:t>
      </w:r>
      <w:r w:rsidR="00445EB5">
        <w:t>tracera donc une</w:t>
      </w:r>
      <w:r>
        <w:t xml:space="preserve"> limite</w:t>
      </w:r>
      <w:r w:rsidR="00445EB5">
        <w:t xml:space="preserve"> a</w:t>
      </w:r>
      <w:r>
        <w:t>u penser – ou bien plutôt non au penser, mais à l’expression des pensées : car pour tracer une limite autour du penser, il faudrait que nous puissions penser des deux côtés de cette limite (il nous faudrait pouvoir penser ce qui ne se laisse pas penser). La limite ne pourra donc être tracée que dans le langage, et ce qu’il y a au-delà de la limite sera simplement non-sens (</w:t>
      </w:r>
      <w:proofErr w:type="spellStart"/>
      <w:r w:rsidRPr="00BB3CA2">
        <w:rPr>
          <w:i/>
        </w:rPr>
        <w:t>Unsinn</w:t>
      </w:r>
      <w:proofErr w:type="spellEnd"/>
      <w:r>
        <w:t>)</w:t>
      </w:r>
      <w:r>
        <w:rPr>
          <w:rStyle w:val="Appelnotedebasdep"/>
        </w:rPr>
        <w:footnoteReference w:id="9"/>
      </w:r>
      <w:r w:rsidR="00A1340F">
        <w:t>.</w:t>
      </w:r>
    </w:p>
    <w:p w14:paraId="4C64A04D" w14:textId="3774C6EF" w:rsidR="005258E8" w:rsidRDefault="00582433" w:rsidP="008C7D06">
      <w:r>
        <w:t>Mais attention, c</w:t>
      </w:r>
      <w:r w:rsidR="005258E8">
        <w:t xml:space="preserve">omme le fait remarquer </w:t>
      </w:r>
      <w:r w:rsidR="00660D32">
        <w:t xml:space="preserve">Jocelyn </w:t>
      </w:r>
      <w:r w:rsidR="005258E8">
        <w:t>Benoist :</w:t>
      </w:r>
    </w:p>
    <w:p w14:paraId="42161A94" w14:textId="474CF28E" w:rsidR="005258E8" w:rsidRDefault="005258E8" w:rsidP="008C7D06">
      <w:pPr>
        <w:pStyle w:val="Citation"/>
      </w:pPr>
      <w:r>
        <w:t xml:space="preserve">Wittgenstein ne parle pas, dans la préface, de « limites du langage », mais de « limites </w:t>
      </w:r>
      <w:r w:rsidRPr="005D2AA7">
        <w:rPr>
          <w:i/>
        </w:rPr>
        <w:t>dans</w:t>
      </w:r>
      <w:r>
        <w:t xml:space="preserve"> le langage (</w:t>
      </w:r>
      <w:r>
        <w:rPr>
          <w:i/>
        </w:rPr>
        <w:t xml:space="preserve">in der </w:t>
      </w:r>
      <w:proofErr w:type="spellStart"/>
      <w:r>
        <w:rPr>
          <w:i/>
        </w:rPr>
        <w:t>Sprache</w:t>
      </w:r>
      <w:proofErr w:type="spellEnd"/>
      <w:r>
        <w:t xml:space="preserve">) ». On peut tracer les limites de l’expression des pensées </w:t>
      </w:r>
      <w:r w:rsidRPr="005D2AA7">
        <w:rPr>
          <w:i/>
        </w:rPr>
        <w:t>dans</w:t>
      </w:r>
      <w:r>
        <w:t xml:space="preserve"> le langage</w:t>
      </w:r>
      <w:r>
        <w:rPr>
          <w:rStyle w:val="Appelnotedebasdep"/>
        </w:rPr>
        <w:footnoteReference w:id="10"/>
      </w:r>
      <w:r>
        <w:t>.</w:t>
      </w:r>
    </w:p>
    <w:p w14:paraId="6E020CB2" w14:textId="59BA9BB8" w:rsidR="00330B29" w:rsidRDefault="008D286F" w:rsidP="008C7D06">
      <w:r>
        <w:t>Ainsi, la question des limites du langage ne peut pas s’envisager depuis un point de vue transcendantal ou « </w:t>
      </w:r>
      <w:proofErr w:type="spellStart"/>
      <w:r w:rsidRPr="008D286F">
        <w:rPr>
          <w:i/>
        </w:rPr>
        <w:t>from</w:t>
      </w:r>
      <w:proofErr w:type="spellEnd"/>
      <w:r w:rsidRPr="008D286F">
        <w:rPr>
          <w:i/>
        </w:rPr>
        <w:t xml:space="preserve"> </w:t>
      </w:r>
      <w:proofErr w:type="spellStart"/>
      <w:r w:rsidRPr="008D286F">
        <w:rPr>
          <w:i/>
        </w:rPr>
        <w:t>sideways</w:t>
      </w:r>
      <w:proofErr w:type="spellEnd"/>
      <w:r w:rsidRPr="008D286F">
        <w:rPr>
          <w:i/>
        </w:rPr>
        <w:t xml:space="preserve"> on</w:t>
      </w:r>
      <w:r>
        <w:t xml:space="preserve"> » comme le dit John </w:t>
      </w:r>
      <w:proofErr w:type="spellStart"/>
      <w:r>
        <w:t>McDowell</w:t>
      </w:r>
      <w:proofErr w:type="spellEnd"/>
      <w:r w:rsidR="006B18D6">
        <w:rPr>
          <w:rStyle w:val="Appelnotedebasdep"/>
        </w:rPr>
        <w:footnoteReference w:id="11"/>
      </w:r>
      <w:r w:rsidR="008E0CFA">
        <w:t xml:space="preserve">. D’ailleurs, elle n’est pas la question des limites du langage, mais la question des limites du pensable. Et cette limite ne peut être vue que depuis un point de vue d’immanence, </w:t>
      </w:r>
      <w:r w:rsidR="008E0CFA" w:rsidRPr="008E0CFA">
        <w:rPr>
          <w:i/>
        </w:rPr>
        <w:t>dans</w:t>
      </w:r>
      <w:r w:rsidR="008E0CFA">
        <w:t xml:space="preserve"> le langage.</w:t>
      </w:r>
      <w:r w:rsidR="00471D9F">
        <w:t xml:space="preserve"> Ce qui </w:t>
      </w:r>
      <w:r w:rsidR="00A7200E">
        <w:t>exige</w:t>
      </w:r>
      <w:r w:rsidR="00471D9F">
        <w:t xml:space="preserve"> de déterminer ce qui est du langage.</w:t>
      </w:r>
    </w:p>
    <w:p w14:paraId="429A261B" w14:textId="5FD3330C" w:rsidR="00002D5D" w:rsidRDefault="00276D2F" w:rsidP="008C7D06">
      <w:r>
        <w:t>Or, n</w:t>
      </w:r>
      <w:r w:rsidR="00002D5D">
        <w:t xml:space="preserve">ous allons voir que cette position implique </w:t>
      </w:r>
      <w:r w:rsidR="00C90C6B">
        <w:t xml:space="preserve">en outre </w:t>
      </w:r>
      <w:r w:rsidR="00002D5D">
        <w:t>une conception radicale du non-sens, comme ce qui est radicalement hors langage, ce qui n’est pas un coup dans le jeu</w:t>
      </w:r>
      <w:r w:rsidR="00C90C6B">
        <w:rPr>
          <w:rStyle w:val="Appelnotedebasdep"/>
        </w:rPr>
        <w:footnoteReference w:id="12"/>
      </w:r>
      <w:r w:rsidR="00002D5D">
        <w:t>. Le non-sens n’est pas un lieu au-delà de la limite du sens, il constitue cette limite.</w:t>
      </w:r>
    </w:p>
    <w:p w14:paraId="5F3FA13C" w14:textId="7C9C9BC7" w:rsidR="00002D5D" w:rsidRPr="00330B29" w:rsidRDefault="00002D5D" w:rsidP="008C7D06">
      <w:r>
        <w:t xml:space="preserve">Ainsi, je voudrais tenter d’envisager </w:t>
      </w:r>
      <w:r w:rsidR="00804201">
        <w:t>trois</w:t>
      </w:r>
      <w:r>
        <w:t xml:space="preserve"> choses. Premièrement, comment comprendre cette conception radicale</w:t>
      </w:r>
      <w:r w:rsidR="00CF0349">
        <w:t xml:space="preserve">, </w:t>
      </w:r>
      <w:r w:rsidR="00FB39A3">
        <w:t xml:space="preserve">austère ou </w:t>
      </w:r>
      <w:r w:rsidR="00CF0349">
        <w:t>quiétiste du non-sens et comment la rendre opérante dans le cadre du « retour au sol raboteux »</w:t>
      </w:r>
      <w:r w:rsidR="006A3A09">
        <w:t xml:space="preserve"> (RP, § 107)</w:t>
      </w:r>
      <w:r w:rsidR="00CF0349">
        <w:t xml:space="preserve"> auquel nous invite Wittgenstein ?</w:t>
      </w:r>
      <w:r w:rsidR="00804201">
        <w:t xml:space="preserve"> Deuxièmement – et la question est liée – comment déceler le non-sens depuis </w:t>
      </w:r>
      <w:r w:rsidR="00411360">
        <w:t xml:space="preserve">la perspective du sens, </w:t>
      </w:r>
      <w:r w:rsidR="00171531">
        <w:t>c’est-à-dire</w:t>
      </w:r>
      <w:r w:rsidR="00411360">
        <w:t xml:space="preserve"> depuis </w:t>
      </w:r>
      <w:r w:rsidR="00804201">
        <w:t>les usages quotidien</w:t>
      </w:r>
      <w:r w:rsidR="000A1D45">
        <w:t>s</w:t>
      </w:r>
      <w:r w:rsidR="00804201">
        <w:t xml:space="preserve"> du langage ; ou plutôt quel est le lieu depuis lequel le philosophe débusque le non-sens ? Enfin, si, comme nous allons le voir, c’est l’usage qui fixe le sens, comment </w:t>
      </w:r>
      <w:r w:rsidR="00707F89">
        <w:t xml:space="preserve">repérer les faux usages ou </w:t>
      </w:r>
      <w:r w:rsidR="00804201">
        <w:t>déterminer qu’un usage n’en est pas un ?</w:t>
      </w:r>
    </w:p>
    <w:p w14:paraId="26CA4C17" w14:textId="2CB0534D" w:rsidR="009C3DBD" w:rsidRDefault="009C3DBD" w:rsidP="008C7D06"/>
    <w:p w14:paraId="5B11DC2D" w14:textId="255B1D94" w:rsidR="009C3DBD" w:rsidRPr="00421A24" w:rsidRDefault="00421A24" w:rsidP="008C7D06">
      <w:pPr>
        <w:pStyle w:val="Paragraphedeliste"/>
        <w:numPr>
          <w:ilvl w:val="0"/>
          <w:numId w:val="1"/>
        </w:numPr>
        <w:rPr>
          <w:b/>
        </w:rPr>
      </w:pPr>
      <w:r>
        <w:rPr>
          <w:b/>
        </w:rPr>
        <w:t>La c</w:t>
      </w:r>
      <w:r w:rsidR="00107063" w:rsidRPr="00421A24">
        <w:rPr>
          <w:b/>
        </w:rPr>
        <w:t>onception austère du non-sens</w:t>
      </w:r>
    </w:p>
    <w:p w14:paraId="6CEFE884" w14:textId="3B2FFB99" w:rsidR="008875D0" w:rsidRDefault="008875D0" w:rsidP="008C7D06"/>
    <w:p w14:paraId="72B51A92" w14:textId="32C40A52" w:rsidR="005E70A1" w:rsidRDefault="008875D0" w:rsidP="008C7D06">
      <w:r>
        <w:t xml:space="preserve">Commençons donc par essayer de déterminer </w:t>
      </w:r>
      <w:r w:rsidR="000376B7">
        <w:t>quelle est la conception wittgensteinienne du non-sens</w:t>
      </w:r>
      <w:r w:rsidR="00171531">
        <w:rPr>
          <w:rStyle w:val="Appelnotedebasdep"/>
        </w:rPr>
        <w:footnoteReference w:id="13"/>
      </w:r>
      <w:r w:rsidR="000376B7">
        <w:t xml:space="preserve">. </w:t>
      </w:r>
      <w:r w:rsidR="005E70A1">
        <w:t>En effet, à en croire les lecture</w:t>
      </w:r>
      <w:r w:rsidR="00171531">
        <w:t>s dites</w:t>
      </w:r>
      <w:r w:rsidR="005E70A1">
        <w:t xml:space="preserve"> austères ou quiétiste du non-sens, il y a bien une conception wittgensteinienne – et même </w:t>
      </w:r>
      <w:proofErr w:type="spellStart"/>
      <w:r w:rsidR="005E70A1">
        <w:t>freégéenne</w:t>
      </w:r>
      <w:proofErr w:type="spellEnd"/>
      <w:r w:rsidR="005E70A1">
        <w:t xml:space="preserve">-wittgensteinienne – du non-sens qu’on peut synthétiser ainsi </w:t>
      </w:r>
      <w:r w:rsidR="00FA3AF1">
        <w:t xml:space="preserve">en reprenant cette citation de Cora </w:t>
      </w:r>
      <w:proofErr w:type="spellStart"/>
      <w:r w:rsidR="00FA3AF1">
        <w:t>Diamond</w:t>
      </w:r>
      <w:proofErr w:type="spellEnd"/>
      <w:r w:rsidR="005E70A1">
        <w:t xml:space="preserve"> : </w:t>
      </w:r>
    </w:p>
    <w:p w14:paraId="08E86BFF" w14:textId="23DE13E4" w:rsidR="005E70A1" w:rsidRDefault="005E70A1" w:rsidP="008C7D06">
      <w:pPr>
        <w:pStyle w:val="Citation"/>
      </w:pPr>
      <w:r>
        <w:t>D’après la conception Frege-Wittgenstein, si une phrase n’a pas de sens (</w:t>
      </w:r>
      <w:proofErr w:type="spellStart"/>
      <w:r w:rsidRPr="005E70A1">
        <w:rPr>
          <w:i/>
        </w:rPr>
        <w:t>makes</w:t>
      </w:r>
      <w:proofErr w:type="spellEnd"/>
      <w:r w:rsidRPr="005E70A1">
        <w:rPr>
          <w:i/>
        </w:rPr>
        <w:t xml:space="preserve"> no </w:t>
      </w:r>
      <w:proofErr w:type="spellStart"/>
      <w:r w:rsidRPr="005E70A1">
        <w:rPr>
          <w:i/>
        </w:rPr>
        <w:t>sense</w:t>
      </w:r>
      <w:proofErr w:type="spellEnd"/>
      <w:r>
        <w:t>), on ne peut dire d’</w:t>
      </w:r>
      <w:r w:rsidRPr="001253E6">
        <w:rPr>
          <w:i/>
        </w:rPr>
        <w:t>aucune</w:t>
      </w:r>
      <w:r>
        <w:t xml:space="preserve"> de ses parties qu’elle signifie </w:t>
      </w:r>
      <w:r>
        <w:lastRenderedPageBreak/>
        <w:t>(</w:t>
      </w:r>
      <w:proofErr w:type="spellStart"/>
      <w:r w:rsidRPr="005E70A1">
        <w:rPr>
          <w:i/>
        </w:rPr>
        <w:t>mean</w:t>
      </w:r>
      <w:proofErr w:type="spellEnd"/>
      <w:r>
        <w:t>) ce qu’elle signifie dans une autre phrase qui a du sens (</w:t>
      </w:r>
      <w:proofErr w:type="spellStart"/>
      <w:r w:rsidRPr="005E70A1">
        <w:rPr>
          <w:i/>
        </w:rPr>
        <w:t>which</w:t>
      </w:r>
      <w:proofErr w:type="spellEnd"/>
      <w:r w:rsidRPr="005E70A1">
        <w:rPr>
          <w:i/>
        </w:rPr>
        <w:t xml:space="preserve"> </w:t>
      </w:r>
      <w:proofErr w:type="spellStart"/>
      <w:r w:rsidRPr="005E70A1">
        <w:rPr>
          <w:i/>
        </w:rPr>
        <w:t>does</w:t>
      </w:r>
      <w:proofErr w:type="spellEnd"/>
      <w:r w:rsidRPr="005E70A1">
        <w:rPr>
          <w:i/>
        </w:rPr>
        <w:t xml:space="preserve"> </w:t>
      </w:r>
      <w:proofErr w:type="spellStart"/>
      <w:r w:rsidRPr="005E70A1">
        <w:rPr>
          <w:i/>
        </w:rPr>
        <w:t>make</w:t>
      </w:r>
      <w:proofErr w:type="spellEnd"/>
      <w:r w:rsidRPr="005E70A1">
        <w:rPr>
          <w:i/>
        </w:rPr>
        <w:t xml:space="preserve"> </w:t>
      </w:r>
      <w:proofErr w:type="spellStart"/>
      <w:r w:rsidRPr="005E70A1">
        <w:rPr>
          <w:i/>
        </w:rPr>
        <w:t>sense</w:t>
      </w:r>
      <w:proofErr w:type="spellEnd"/>
      <w:r>
        <w:t>) – pas plus qu’on ne peut dire d’un mot qu’il signifie (</w:t>
      </w:r>
      <w:proofErr w:type="spellStart"/>
      <w:r w:rsidRPr="005E70A1">
        <w:rPr>
          <w:i/>
        </w:rPr>
        <w:t>mean</w:t>
      </w:r>
      <w:proofErr w:type="spellEnd"/>
      <w:r>
        <w:t>) quelque chose pris isolément. Si « C</w:t>
      </w:r>
      <w:r w:rsidR="001778CA">
        <w:t>é</w:t>
      </w:r>
      <w:r>
        <w:t>sar est un nombre premier » est un non-sens (</w:t>
      </w:r>
      <w:r w:rsidRPr="005E70A1">
        <w:rPr>
          <w:i/>
        </w:rPr>
        <w:t>nonsense</w:t>
      </w:r>
      <w:r>
        <w:t>), alors « C</w:t>
      </w:r>
      <w:r w:rsidR="001778CA">
        <w:t>é</w:t>
      </w:r>
      <w:r>
        <w:t>sar » ne signifie pas ce qu’il signifie lorsqu’il est utilisé comme un nom propre, et les quatre derniers mots ne signifient pas ce qu’ils signifient dans une phrase qui a du sens. Et « </w:t>
      </w:r>
      <w:r w:rsidRPr="005E70A1">
        <w:rPr>
          <w:i/>
        </w:rPr>
        <w:t xml:space="preserve">Scott </w:t>
      </w:r>
      <w:proofErr w:type="spellStart"/>
      <w:r w:rsidRPr="005E70A1">
        <w:rPr>
          <w:i/>
        </w:rPr>
        <w:t>kept</w:t>
      </w:r>
      <w:proofErr w:type="spellEnd"/>
      <w:r w:rsidRPr="005E70A1">
        <w:rPr>
          <w:i/>
        </w:rPr>
        <w:t xml:space="preserve"> a </w:t>
      </w:r>
      <w:proofErr w:type="spellStart"/>
      <w:r w:rsidRPr="005E70A1">
        <w:rPr>
          <w:i/>
        </w:rPr>
        <w:t>runcible</w:t>
      </w:r>
      <w:proofErr w:type="spellEnd"/>
      <w:r w:rsidRPr="005E70A1">
        <w:rPr>
          <w:i/>
        </w:rPr>
        <w:t xml:space="preserve"> at </w:t>
      </w:r>
      <w:proofErr w:type="spellStart"/>
      <w:r w:rsidRPr="005E70A1">
        <w:rPr>
          <w:i/>
        </w:rPr>
        <w:t>Abbotsford</w:t>
      </w:r>
      <w:proofErr w:type="spellEnd"/>
      <w:r>
        <w:t> » n’a pas en commun avec « </w:t>
      </w:r>
      <w:r w:rsidRPr="005E70A1">
        <w:rPr>
          <w:i/>
        </w:rPr>
        <w:t xml:space="preserve">Scott </w:t>
      </w:r>
      <w:proofErr w:type="spellStart"/>
      <w:r w:rsidRPr="005E70A1">
        <w:rPr>
          <w:i/>
        </w:rPr>
        <w:t>kept</w:t>
      </w:r>
      <w:proofErr w:type="spellEnd"/>
      <w:r w:rsidRPr="005E70A1">
        <w:rPr>
          <w:i/>
        </w:rPr>
        <w:t xml:space="preserve"> a </w:t>
      </w:r>
      <w:proofErr w:type="spellStart"/>
      <w:r w:rsidRPr="005E70A1">
        <w:rPr>
          <w:i/>
        </w:rPr>
        <w:t>cow</w:t>
      </w:r>
      <w:proofErr w:type="spellEnd"/>
      <w:r w:rsidRPr="005E70A1">
        <w:rPr>
          <w:i/>
        </w:rPr>
        <w:t xml:space="preserve"> at </w:t>
      </w:r>
      <w:proofErr w:type="spellStart"/>
      <w:r w:rsidRPr="005E70A1">
        <w:rPr>
          <w:i/>
        </w:rPr>
        <w:t>Abbotsford</w:t>
      </w:r>
      <w:proofErr w:type="spellEnd"/>
      <w:r>
        <w:t> » ce que cette dernière phrase a en commun avec « </w:t>
      </w:r>
      <w:r w:rsidRPr="005E70A1">
        <w:rPr>
          <w:i/>
        </w:rPr>
        <w:t xml:space="preserve">Scott </w:t>
      </w:r>
      <w:proofErr w:type="spellStart"/>
      <w:r w:rsidRPr="005E70A1">
        <w:rPr>
          <w:i/>
        </w:rPr>
        <w:t>kept</w:t>
      </w:r>
      <w:proofErr w:type="spellEnd"/>
      <w:r w:rsidRPr="005E70A1">
        <w:rPr>
          <w:i/>
        </w:rPr>
        <w:t xml:space="preserve"> a </w:t>
      </w:r>
      <w:proofErr w:type="spellStart"/>
      <w:r w:rsidRPr="005E70A1">
        <w:rPr>
          <w:i/>
        </w:rPr>
        <w:t>tiger</w:t>
      </w:r>
      <w:proofErr w:type="spellEnd"/>
      <w:r w:rsidRPr="005E70A1">
        <w:rPr>
          <w:i/>
        </w:rPr>
        <w:t xml:space="preserve"> at </w:t>
      </w:r>
      <w:proofErr w:type="spellStart"/>
      <w:r w:rsidRPr="005E70A1">
        <w:rPr>
          <w:i/>
        </w:rPr>
        <w:t>Abbotsford</w:t>
      </w:r>
      <w:proofErr w:type="spellEnd"/>
      <w:r>
        <w:t> »</w:t>
      </w:r>
      <w:r>
        <w:rPr>
          <w:rStyle w:val="Appelnotedebasdep"/>
        </w:rPr>
        <w:footnoteReference w:id="14"/>
      </w:r>
      <w:r>
        <w:t>.</w:t>
      </w:r>
    </w:p>
    <w:p w14:paraId="71D1106A" w14:textId="1442FBEF" w:rsidR="0010047C" w:rsidRDefault="00673A0E" w:rsidP="008C7D06">
      <w:r>
        <w:t>Qu’elle soit fidèle ou non à la lettre de Frege ou de Wittgenstein, c</w:t>
      </w:r>
      <w:r w:rsidR="00C479FA">
        <w:t xml:space="preserve">ette conception austère du non-sens s’oppose à la conception dite « naturelle » du non-sens, notamment en un point particulier : elle ne distingue pas un type de non-sens </w:t>
      </w:r>
      <w:r w:rsidR="00F824A3">
        <w:t>suivant lequel une phrase n’aurait pas de sens en raison du fait qu’elle comprend un mot qui n’existe pas (comme « </w:t>
      </w:r>
      <w:proofErr w:type="spellStart"/>
      <w:r w:rsidR="00F824A3">
        <w:t>runcible</w:t>
      </w:r>
      <w:proofErr w:type="spellEnd"/>
      <w:r w:rsidR="00F824A3">
        <w:t> » dans l’exemple ci-dessus), d’un autre type de non-sens suivant lequel une phrase n’aurait pas de sens parce qu’elle emploierai</w:t>
      </w:r>
      <w:r w:rsidR="0010047C">
        <w:t>t un terme de façon illégitime, dans un emploi qui ne correspond pas à ce qu’il devrait signifier. Ce qu’on pourrait caractériser comme une « erreur de catégorie »</w:t>
      </w:r>
      <w:r w:rsidR="006F1EBD">
        <w:t xml:space="preserve"> logique</w:t>
      </w:r>
      <w:r w:rsidR="0010047C">
        <w:t xml:space="preserve">. Ainsi, précise </w:t>
      </w:r>
      <w:proofErr w:type="spellStart"/>
      <w:r w:rsidR="0010047C">
        <w:t>Diamond</w:t>
      </w:r>
      <w:proofErr w:type="spellEnd"/>
      <w:r w:rsidR="0010047C">
        <w:t xml:space="preserve"> : </w:t>
      </w:r>
    </w:p>
    <w:p w14:paraId="78B17619" w14:textId="03E2B0B6" w:rsidR="009B3707" w:rsidRPr="009B3707" w:rsidRDefault="00C479FA" w:rsidP="008C7D06">
      <w:pPr>
        <w:pStyle w:val="Citation"/>
      </w:pPr>
      <w:r>
        <w:t xml:space="preserve"> </w:t>
      </w:r>
      <w:r w:rsidR="0010047C">
        <w:t>Il n’y a pas de non-sens « positif », pas de non-sens qui soit non-sens en raison de ce qu’il devrait signifier (</w:t>
      </w:r>
      <w:proofErr w:type="spellStart"/>
      <w:r w:rsidR="0010047C" w:rsidRPr="007B7EBF">
        <w:rPr>
          <w:i/>
        </w:rPr>
        <w:t>mean</w:t>
      </w:r>
      <w:proofErr w:type="spellEnd"/>
      <w:r w:rsidR="0010047C">
        <w:t>), étant donné les significations déjà fixées des termes qu’il contient</w:t>
      </w:r>
      <w:r w:rsidR="0010047C">
        <w:rPr>
          <w:rStyle w:val="Appelnotedebasdep"/>
        </w:rPr>
        <w:footnoteReference w:id="15"/>
      </w:r>
      <w:r w:rsidR="0010047C">
        <w:t>.</w:t>
      </w:r>
    </w:p>
    <w:p w14:paraId="0E779E77" w14:textId="2B157109" w:rsidR="00D33404" w:rsidRDefault="00D33404" w:rsidP="008C7D06">
      <w:r>
        <w:t>Ou encore :</w:t>
      </w:r>
    </w:p>
    <w:p w14:paraId="709E2AAD" w14:textId="0DB9C94D" w:rsidR="00D33404" w:rsidRDefault="00D33404" w:rsidP="008C7D06">
      <w:pPr>
        <w:pStyle w:val="Citation"/>
      </w:pPr>
      <w:r w:rsidRPr="00827A7B">
        <w:rPr>
          <w:i/>
        </w:rPr>
        <w:t>Tout</w:t>
      </w:r>
      <w:r>
        <w:t xml:space="preserve"> ce qui relève du non-sens en relève parce qu’un</w:t>
      </w:r>
      <w:r w:rsidR="000A1D45">
        <w:t>e</w:t>
      </w:r>
      <w:r>
        <w:t xml:space="preserve"> certaine détermination de sens (</w:t>
      </w:r>
      <w:proofErr w:type="spellStart"/>
      <w:r w:rsidRPr="00827A7B">
        <w:rPr>
          <w:i/>
        </w:rPr>
        <w:t>meaning</w:t>
      </w:r>
      <w:proofErr w:type="spellEnd"/>
      <w:r>
        <w:t xml:space="preserve">) n’a </w:t>
      </w:r>
      <w:r w:rsidRPr="00827A7B">
        <w:rPr>
          <w:i/>
        </w:rPr>
        <w:t>pas</w:t>
      </w:r>
      <w:r>
        <w:t xml:space="preserve"> été faite ; ce n’est pas du non-sens en raison de déterminations logiques qui </w:t>
      </w:r>
      <w:r w:rsidRPr="00827A7B">
        <w:rPr>
          <w:i/>
        </w:rPr>
        <w:t>ont</w:t>
      </w:r>
      <w:r>
        <w:t xml:space="preserve"> été faites</w:t>
      </w:r>
      <w:r>
        <w:rPr>
          <w:rStyle w:val="Appelnotedebasdep"/>
        </w:rPr>
        <w:footnoteReference w:id="16"/>
      </w:r>
      <w:r>
        <w:t>.</w:t>
      </w:r>
    </w:p>
    <w:p w14:paraId="2203CCF3" w14:textId="1092845A" w:rsidR="009B3707" w:rsidRDefault="00FE69C0" w:rsidP="008C7D06">
      <w:r>
        <w:rPr>
          <w:color w:val="000000" w:themeColor="text1"/>
        </w:rPr>
        <w:t xml:space="preserve">Autrement dit, dans la mesure où </w:t>
      </w:r>
      <w:r>
        <w:t>« l</w:t>
      </w:r>
      <w:r w:rsidRPr="00FE69C0">
        <w:t xml:space="preserve">e mot n’appartient pas à une catégorie qui lui a été assignée </w:t>
      </w:r>
      <w:r w:rsidR="008F705A">
        <w:t xml:space="preserve">et </w:t>
      </w:r>
      <w:r w:rsidRPr="00FE69C0">
        <w:t xml:space="preserve">qu’il transporterait avec lui </w:t>
      </w:r>
      <w:r w:rsidRPr="00FE69C0">
        <w:rPr>
          <w:i/>
        </w:rPr>
        <w:t>quel que soit</w:t>
      </w:r>
      <w:r w:rsidRPr="00FE69C0">
        <w:t xml:space="preserve"> le contexte</w:t>
      </w:r>
      <w:r w:rsidRPr="00FE69C0">
        <w:rPr>
          <w:vertAlign w:val="superscript"/>
        </w:rPr>
        <w:footnoteReference w:id="17"/>
      </w:r>
      <w:r>
        <w:t> », la raison pour laquelle une phrase comme « César est un nombre premier » ou « Socrate est identique</w:t>
      </w:r>
      <w:r w:rsidR="00FF3E3B">
        <w:rPr>
          <w:rStyle w:val="Appelnotedebasdep"/>
        </w:rPr>
        <w:footnoteReference w:id="18"/>
      </w:r>
      <w:r>
        <w:t xml:space="preserve"> » sont des non-sens ne tient pas au fait, par exemple, qu’on emploierait un nom propre là où devrait figurer un nombre, ou </w:t>
      </w:r>
      <w:r w:rsidR="002B7D4F">
        <w:t>encore au</w:t>
      </w:r>
      <w:r>
        <w:t xml:space="preserve"> fait que « identique » n’est pas un adjectif. Mais ces phrases sont des non-sens parce qu’on ne peut pas déterminer le sens de leurs parties dans le contexte de la phrase. Ainsi, en réalité, dans ces phrases</w:t>
      </w:r>
      <w:r w:rsidR="006A6311">
        <w:t>,</w:t>
      </w:r>
      <w:r>
        <w:t xml:space="preserve"> « César » ou « identique » n’ont ni plus ni moins de sens que les autres mots de la phrase. </w:t>
      </w:r>
      <w:r w:rsidR="00B142A2">
        <w:t>I</w:t>
      </w:r>
      <w:r w:rsidR="00220175">
        <w:t>l n’y a simplement rien que nous ayons pu vouloir dire par de telles phrases, car, comme le souligne Sandra Laugier, ici, « </w:t>
      </w:r>
      <w:r w:rsidR="00220175">
        <w:rPr>
          <w:i/>
        </w:rPr>
        <w:t>d</w:t>
      </w:r>
      <w:r w:rsidR="00220175" w:rsidRPr="000B11E3">
        <w:rPr>
          <w:i/>
        </w:rPr>
        <w:t>ire</w:t>
      </w:r>
      <w:r w:rsidR="00220175">
        <w:t xml:space="preserve"> et </w:t>
      </w:r>
      <w:r w:rsidR="00220175" w:rsidRPr="000B11E3">
        <w:rPr>
          <w:i/>
        </w:rPr>
        <w:t>avoir un sens</w:t>
      </w:r>
      <w:r w:rsidR="00220175">
        <w:t>, c’est la même chose</w:t>
      </w:r>
      <w:r w:rsidR="00220175">
        <w:rPr>
          <w:rStyle w:val="Appelnotedebasdep"/>
        </w:rPr>
        <w:footnoteReference w:id="19"/>
      </w:r>
      <w:r w:rsidR="00220175">
        <w:t> ». La conséquence, dir</w:t>
      </w:r>
      <w:r w:rsidR="001359D2">
        <w:t>a</w:t>
      </w:r>
      <w:r w:rsidR="00220175">
        <w:t xml:space="preserve"> Jacques Bouveresse, de cette conception du non-sens est que pour Wittgenstein il est impossible « qu’il existe des degrés intermédiaires entre la signifiance et l’absence complète de signification</w:t>
      </w:r>
      <w:r w:rsidR="00220175">
        <w:rPr>
          <w:rStyle w:val="Appelnotedebasdep"/>
        </w:rPr>
        <w:footnoteReference w:id="20"/>
      </w:r>
      <w:r w:rsidR="00220175">
        <w:t>. »</w:t>
      </w:r>
      <w:r w:rsidR="00CB372D">
        <w:t xml:space="preserve"> </w:t>
      </w:r>
      <w:proofErr w:type="spellStart"/>
      <w:r w:rsidR="009B3707">
        <w:t>Diamond</w:t>
      </w:r>
      <w:proofErr w:type="spellEnd"/>
      <w:r w:rsidR="009B3707">
        <w:t xml:space="preserve"> poursuit :</w:t>
      </w:r>
    </w:p>
    <w:p w14:paraId="485DDC95" w14:textId="20DC3E97" w:rsidR="009B3707" w:rsidRPr="00294975" w:rsidRDefault="009B3707" w:rsidP="008C7D06">
      <w:pPr>
        <w:pStyle w:val="Citation"/>
      </w:pPr>
      <w:r>
        <w:t xml:space="preserve">Un énoncé vide de sens n’est pas un type spécial d’énoncé ; c’est un symbole qui a la forme générale d’une proposition et qui est dépourvu de sens </w:t>
      </w:r>
      <w:r>
        <w:lastRenderedPageBreak/>
        <w:t>simplement parce qu’on ne lui en a donné aucun (T</w:t>
      </w:r>
      <w:r w:rsidR="003D67D7">
        <w:t>LP</w:t>
      </w:r>
      <w:r>
        <w:t xml:space="preserve"> 5.4733, et aussi T</w:t>
      </w:r>
      <w:r w:rsidR="003D67D7">
        <w:t>LP</w:t>
      </w:r>
      <w:r>
        <w:t xml:space="preserve"> 4.5)</w:t>
      </w:r>
      <w:r>
        <w:rPr>
          <w:rStyle w:val="Appelnotedebasdep"/>
        </w:rPr>
        <w:footnoteReference w:id="21"/>
      </w:r>
      <w:r>
        <w:t>.</w:t>
      </w:r>
    </w:p>
    <w:p w14:paraId="784D4BB2" w14:textId="77777777" w:rsidR="009B3707" w:rsidRDefault="009B3707" w:rsidP="008C7D06"/>
    <w:p w14:paraId="34422F94" w14:textId="336E4232" w:rsidR="00FE69C0" w:rsidRDefault="009B3707" w:rsidP="008C7D06">
      <w:pPr>
        <w:rPr>
          <w:iCs/>
        </w:rPr>
      </w:pPr>
      <w:r>
        <w:t>Si l’énoncé vide de sens n’est pas « un type spécial d’énoncé », c’est qu’il n’est pas un énoncé du tout.</w:t>
      </w:r>
      <w:r>
        <w:rPr>
          <w:iCs/>
        </w:rPr>
        <w:t xml:space="preserve"> </w:t>
      </w:r>
      <w:r w:rsidR="00FE69C0">
        <w:rPr>
          <w:iCs/>
        </w:rPr>
        <w:t xml:space="preserve">C’est la phrase prise dans son entier qui n’a pas de sens parce qu’on n’en a pas </w:t>
      </w:r>
      <w:r w:rsidR="00FE69C0" w:rsidRPr="00CB372D">
        <w:rPr>
          <w:i/>
          <w:iCs/>
        </w:rPr>
        <w:t>déterminé</w:t>
      </w:r>
      <w:r w:rsidR="00FE69C0">
        <w:rPr>
          <w:iCs/>
        </w:rPr>
        <w:t xml:space="preserve"> le sens : </w:t>
      </w:r>
    </w:p>
    <w:p w14:paraId="7590AEB3" w14:textId="4E6C1EDC" w:rsidR="00FE69C0" w:rsidRDefault="00FE69C0" w:rsidP="008C7D06">
      <w:pPr>
        <w:pStyle w:val="Citation"/>
      </w:pPr>
      <w:r>
        <w:t>La phrase [Caesar est un nombre premier] est un non-sens parce que nous n’avons pas déterminé des significations (</w:t>
      </w:r>
      <w:r w:rsidRPr="00FE69C0">
        <w:rPr>
          <w:i/>
        </w:rPr>
        <w:t xml:space="preserve">made certain </w:t>
      </w:r>
      <w:proofErr w:type="spellStart"/>
      <w:r w:rsidRPr="00FE69C0">
        <w:rPr>
          <w:i/>
        </w:rPr>
        <w:t>determinations</w:t>
      </w:r>
      <w:proofErr w:type="spellEnd"/>
      <w:r w:rsidRPr="00FE69C0">
        <w:rPr>
          <w:i/>
        </w:rPr>
        <w:t xml:space="preserve"> of </w:t>
      </w:r>
      <w:proofErr w:type="spellStart"/>
      <w:r w:rsidRPr="00FE69C0">
        <w:rPr>
          <w:i/>
        </w:rPr>
        <w:t>meaning</w:t>
      </w:r>
      <w:proofErr w:type="spellEnd"/>
      <w:r>
        <w:t>) que nous aurions pu déterminer</w:t>
      </w:r>
      <w:r>
        <w:rPr>
          <w:rStyle w:val="Appelnotedebasdep"/>
        </w:rPr>
        <w:footnoteReference w:id="22"/>
      </w:r>
      <w:r>
        <w:t>.</w:t>
      </w:r>
    </w:p>
    <w:p w14:paraId="61700027" w14:textId="42712998" w:rsidR="00906BA1" w:rsidRDefault="005A7F46" w:rsidP="008C7D06">
      <w:r>
        <w:t>Ce thème de la détermination et de l’indétermination des significations, sur lequel je vais revenir</w:t>
      </w:r>
      <w:r w:rsidR="00863905">
        <w:t>,</w:t>
      </w:r>
      <w:r>
        <w:t xml:space="preserve"> est absolument central</w:t>
      </w:r>
      <w:r w:rsidR="00F11290">
        <w:t>, c</w:t>
      </w:r>
      <w:r>
        <w:t xml:space="preserve">ar il pose évidemment la question de savoir ce qui </w:t>
      </w:r>
      <w:r w:rsidR="001C5855">
        <w:t>(ou qui</w:t>
      </w:r>
      <w:r w:rsidR="00F11290">
        <w:t> :</w:t>
      </w:r>
      <w:r w:rsidR="001C5855">
        <w:t xml:space="preserve"> nous ?) </w:t>
      </w:r>
      <w:r>
        <w:t>détermine</w:t>
      </w:r>
      <w:r w:rsidR="001C5855">
        <w:t xml:space="preserve"> la signification. Et c’est sans doute dans la compréhension de cette détermination que se joue la question avec laquelle j’ai inauguré </w:t>
      </w:r>
      <w:r w:rsidR="00A32F3F">
        <w:t>cet article</w:t>
      </w:r>
      <w:r w:rsidR="001C5855">
        <w:t>, à savoir celle de savoir d’</w:t>
      </w:r>
      <w:r w:rsidR="001C5855" w:rsidRPr="00345423">
        <w:rPr>
          <w:i/>
        </w:rPr>
        <w:t>où</w:t>
      </w:r>
      <w:r w:rsidR="001C5855">
        <w:t xml:space="preserve"> parle le philosop</w:t>
      </w:r>
      <w:r w:rsidR="00906BA1">
        <w:t>he qui conjure la métaphysique.</w:t>
      </w:r>
    </w:p>
    <w:p w14:paraId="10DE2E7F" w14:textId="2EC90713" w:rsidR="004A04D0" w:rsidRDefault="001C5855" w:rsidP="008C7D06">
      <w:r>
        <w:t xml:space="preserve">Retenons pour le moment que cette détermination se fait </w:t>
      </w:r>
      <w:r w:rsidR="003A7E4D">
        <w:t>(</w:t>
      </w:r>
      <w:r>
        <w:t>du moins en ce qui concerne le TLP</w:t>
      </w:r>
      <w:r w:rsidR="003A7E4D">
        <w:t>)</w:t>
      </w:r>
      <w:r>
        <w:t xml:space="preserve"> dans le contexte de la phrase</w:t>
      </w:r>
      <w:r w:rsidR="00EC42A8">
        <w:t> : i</w:t>
      </w:r>
      <w:r w:rsidR="00BF1DE8">
        <w:t xml:space="preserve">l nous va donc falloir </w:t>
      </w:r>
      <w:r>
        <w:t xml:space="preserve">préciser cette notion de contexte. </w:t>
      </w:r>
      <w:r w:rsidR="003D69D0">
        <w:t>Mais la phrase elle-même n’a de sens qu’en usage</w:t>
      </w:r>
      <w:r w:rsidR="00EC42A8">
        <w:t>, l</w:t>
      </w:r>
      <w:r w:rsidR="003D69D0">
        <w:t xml:space="preserve">’enjeu étant de spécifier l’articulation entre l’usage et le contexte. </w:t>
      </w:r>
      <w:r w:rsidR="00906BA1">
        <w:t xml:space="preserve">Cette articulation, je voudrais surtout l’envisager dans la perspective de la seconde philosophie de Wittgenstein, sans trop m’embarrasser ici de la question </w:t>
      </w:r>
      <w:r w:rsidR="00B85304">
        <w:t xml:space="preserve">(qui a occupé les « new wittgensteiniens ») </w:t>
      </w:r>
      <w:r w:rsidR="00906BA1">
        <w:t>de savoir dans quelle mesure les idées que je vais avancer s’appliquent déjà à la conception du non-sens issue du TLP.</w:t>
      </w:r>
    </w:p>
    <w:p w14:paraId="07C5593D" w14:textId="5DE813FE" w:rsidR="00906BA1" w:rsidRDefault="00906BA1" w:rsidP="008C7D06">
      <w:r>
        <w:t>Mais, avant de m’engager sur cette voie</w:t>
      </w:r>
      <w:r w:rsidR="000376B7">
        <w:t>, plusieurs remarques s’imposent. D’abord, il est un peu cavalier de parler d’</w:t>
      </w:r>
      <w:r w:rsidR="000376B7">
        <w:rPr>
          <w:i/>
        </w:rPr>
        <w:t>une</w:t>
      </w:r>
      <w:r w:rsidR="000376B7">
        <w:t xml:space="preserve"> conception wittgensteinienne du non-sens, car le thème des limites du sens prend plusieurs formes dans la philosophie de Wittgenstein, ne serait-ce qu’à travers la distinction tractarienne entre le </w:t>
      </w:r>
      <w:proofErr w:type="spellStart"/>
      <w:r w:rsidR="000376B7" w:rsidRPr="000376B7">
        <w:rPr>
          <w:i/>
        </w:rPr>
        <w:t>Sinnlos</w:t>
      </w:r>
      <w:proofErr w:type="spellEnd"/>
      <w:r w:rsidR="00F27806" w:rsidRPr="00F27806">
        <w:t xml:space="preserve">, </w:t>
      </w:r>
      <w:r w:rsidR="000376B7">
        <w:t>la proposition dépourvue de sens</w:t>
      </w:r>
      <w:r w:rsidR="00850A00">
        <w:t xml:space="preserve"> (</w:t>
      </w:r>
      <w:r w:rsidR="000376B7">
        <w:t>qui renvoie aux propositions de la logique</w:t>
      </w:r>
      <w:r w:rsidR="00850A00">
        <w:t>,</w:t>
      </w:r>
      <w:r w:rsidR="000376B7">
        <w:t xml:space="preserve"> comme les tautologies et les contradictions</w:t>
      </w:r>
      <w:r w:rsidR="00850A00">
        <w:t>,</w:t>
      </w:r>
      <w:r w:rsidR="000376B7">
        <w:t xml:space="preserve"> en tant qu’elles ne représentent pas des états de choses mais appartiennent quand même au langage et au symbolisme</w:t>
      </w:r>
      <w:r w:rsidR="00850A00">
        <w:t>)</w:t>
      </w:r>
      <w:r w:rsidR="000376B7">
        <w:t xml:space="preserve"> et le </w:t>
      </w:r>
      <w:proofErr w:type="spellStart"/>
      <w:r w:rsidR="000376B7">
        <w:rPr>
          <w:i/>
        </w:rPr>
        <w:t>Unsinn</w:t>
      </w:r>
      <w:proofErr w:type="spellEnd"/>
      <w:r w:rsidR="00850A00">
        <w:t xml:space="preserve">, </w:t>
      </w:r>
      <w:r w:rsidR="000376B7">
        <w:t>le non-sens à proprement parler</w:t>
      </w:r>
      <w:r w:rsidR="00850A00">
        <w:t xml:space="preserve"> (</w:t>
      </w:r>
      <w:r w:rsidR="00411360">
        <w:t>qui est hors langage</w:t>
      </w:r>
      <w:r w:rsidR="00850A00">
        <w:t>)</w:t>
      </w:r>
      <w:r w:rsidR="00411360">
        <w:t>.</w:t>
      </w:r>
      <w:r w:rsidR="00F403F1">
        <w:t xml:space="preserve"> </w:t>
      </w:r>
      <w:r>
        <w:t xml:space="preserve">En effet, dans le </w:t>
      </w:r>
      <w:proofErr w:type="spellStart"/>
      <w:r w:rsidRPr="003875D5">
        <w:rPr>
          <w:i/>
        </w:rPr>
        <w:t>Tractatus</w:t>
      </w:r>
      <w:proofErr w:type="spellEnd"/>
      <w:r>
        <w:t>, comme le rappelle Laugier :</w:t>
      </w:r>
    </w:p>
    <w:p w14:paraId="1561C34F" w14:textId="1E329834" w:rsidR="003875D5" w:rsidRDefault="00906BA1" w:rsidP="008C7D06">
      <w:pPr>
        <w:pStyle w:val="Citation"/>
      </w:pPr>
      <w:r>
        <w:t>Les propositions de la science empirique, qui décrivent des faits, sont seules à être pourvues de sens (</w:t>
      </w:r>
      <w:proofErr w:type="spellStart"/>
      <w:r w:rsidRPr="000A640C">
        <w:rPr>
          <w:i/>
        </w:rPr>
        <w:t>sinnvoll</w:t>
      </w:r>
      <w:proofErr w:type="spellEnd"/>
      <w:r>
        <w:t xml:space="preserve">). Les propositions de la logique, sont dépourvues de sens, </w:t>
      </w:r>
      <w:proofErr w:type="spellStart"/>
      <w:r w:rsidRPr="000A640C">
        <w:rPr>
          <w:i/>
        </w:rPr>
        <w:t>sinnlos</w:t>
      </w:r>
      <w:proofErr w:type="spellEnd"/>
      <w:r>
        <w:t>, car elles ne représentent pa</w:t>
      </w:r>
      <w:r w:rsidR="002968ED">
        <w:t>s</w:t>
      </w:r>
      <w:r>
        <w:t xml:space="preserve"> un état de choses donné (mais elles ne sont pas du </w:t>
      </w:r>
      <w:proofErr w:type="spellStart"/>
      <w:r w:rsidRPr="000A640C">
        <w:rPr>
          <w:i/>
        </w:rPr>
        <w:t>Unsinn</w:t>
      </w:r>
      <w:proofErr w:type="spellEnd"/>
      <w:r>
        <w:t>, elles appartiennent au langage et au symbolisme)</w:t>
      </w:r>
      <w:r>
        <w:rPr>
          <w:rStyle w:val="Appelnotedebasdep"/>
        </w:rPr>
        <w:footnoteReference w:id="23"/>
      </w:r>
      <w:r>
        <w:t>.</w:t>
      </w:r>
    </w:p>
    <w:p w14:paraId="10417F5B" w14:textId="56714383" w:rsidR="000C0440" w:rsidRDefault="00F403F1" w:rsidP="008C7D06">
      <w:pPr>
        <w:rPr>
          <w:iCs/>
        </w:rPr>
      </w:pPr>
      <w:r>
        <w:t xml:space="preserve">D’ailleurs cette distinction est quelques peu brouillée dans </w:t>
      </w:r>
      <w:r w:rsidR="00180B32">
        <w:t xml:space="preserve">la lecture austère </w:t>
      </w:r>
      <w:r>
        <w:t>du non-sens (</w:t>
      </w:r>
      <w:r w:rsidR="002B72C1">
        <w:t xml:space="preserve">par exemple </w:t>
      </w:r>
      <w:r>
        <w:t xml:space="preserve">chez </w:t>
      </w:r>
      <w:proofErr w:type="spellStart"/>
      <w:r>
        <w:t>Diamond</w:t>
      </w:r>
      <w:proofErr w:type="spellEnd"/>
      <w:r>
        <w:t>)</w:t>
      </w:r>
      <w:r w:rsidR="000D6A57">
        <w:t>, notamment par l’importance qu</w:t>
      </w:r>
      <w:r w:rsidR="00180B32">
        <w:t>e cette dernière</w:t>
      </w:r>
      <w:r w:rsidR="000D6A57">
        <w:t xml:space="preserve"> </w:t>
      </w:r>
      <w:r w:rsidR="002B72C1">
        <w:t>accorde</w:t>
      </w:r>
      <w:r w:rsidR="000D6A57">
        <w:t xml:space="preserve"> au §</w:t>
      </w:r>
      <w:r w:rsidR="002B72C1">
        <w:t> </w:t>
      </w:r>
      <w:r w:rsidR="000D6A57">
        <w:t xml:space="preserve">500 des </w:t>
      </w:r>
      <w:r w:rsidR="000D6A57" w:rsidRPr="002B72C1">
        <w:rPr>
          <w:i/>
        </w:rPr>
        <w:t>R</w:t>
      </w:r>
      <w:r w:rsidR="002B72C1">
        <w:rPr>
          <w:i/>
        </w:rPr>
        <w:t>echerches philosophiques</w:t>
      </w:r>
      <w:r w:rsidR="00955FA7">
        <w:rPr>
          <w:rStyle w:val="Appelnotedebasdep"/>
          <w:i/>
        </w:rPr>
        <w:footnoteReference w:id="24"/>
      </w:r>
      <w:r w:rsidR="000D6A57">
        <w:t xml:space="preserve">, où il est question de </w:t>
      </w:r>
      <w:proofErr w:type="spellStart"/>
      <w:r w:rsidR="000D6A57">
        <w:rPr>
          <w:i/>
        </w:rPr>
        <w:t>Sinnlos</w:t>
      </w:r>
      <w:proofErr w:type="spellEnd"/>
      <w:r w:rsidR="000D6A57">
        <w:t xml:space="preserve"> et précisément pas de </w:t>
      </w:r>
      <w:proofErr w:type="spellStart"/>
      <w:r w:rsidR="000D6A57">
        <w:rPr>
          <w:i/>
        </w:rPr>
        <w:t>Unsinn</w:t>
      </w:r>
      <w:proofErr w:type="spellEnd"/>
      <w:r w:rsidR="000D6A57">
        <w:t xml:space="preserve"> – j’y reviendrai. Cependant, deuxième remarque, il faut rendre jus</w:t>
      </w:r>
      <w:r w:rsidR="002909B1">
        <w:t xml:space="preserve">tice à cette lecture austère du non-sens qui établit une </w:t>
      </w:r>
      <w:r w:rsidR="00D912FC">
        <w:t xml:space="preserve">importante </w:t>
      </w:r>
      <w:r w:rsidR="002909B1">
        <w:t xml:space="preserve">ligne de continuité dans la philosophie de Wittgenstein </w:t>
      </w:r>
      <w:r w:rsidR="00022ACB">
        <w:t>en maintenant</w:t>
      </w:r>
      <w:r w:rsidR="002909B1">
        <w:t xml:space="preserve"> l’idée que le non-sens n’est pas une forme atténuée du </w:t>
      </w:r>
      <w:r w:rsidR="00346721">
        <w:t xml:space="preserve">sens. </w:t>
      </w:r>
      <w:r w:rsidR="000C0440">
        <w:t xml:space="preserve">Il est également vrai qu’il y a une forme de continuité dans </w:t>
      </w:r>
      <w:r w:rsidR="00BF195A">
        <w:t>l</w:t>
      </w:r>
      <w:r w:rsidR="000C0440">
        <w:t xml:space="preserve">a conception </w:t>
      </w:r>
      <w:r w:rsidR="00BF195A">
        <w:t xml:space="preserve">wittgensteinienne </w:t>
      </w:r>
      <w:r w:rsidR="000C0440">
        <w:t xml:space="preserve">du non-sens </w:t>
      </w:r>
      <w:r w:rsidR="00BF195A">
        <w:t xml:space="preserve">en lien avec </w:t>
      </w:r>
      <w:r w:rsidR="00BF195A">
        <w:lastRenderedPageBreak/>
        <w:t>les</w:t>
      </w:r>
      <w:r w:rsidR="000C0440">
        <w:t xml:space="preserve"> </w:t>
      </w:r>
      <w:r w:rsidR="000C0440" w:rsidRPr="000C4723">
        <w:rPr>
          <w:i/>
        </w:rPr>
        <w:t>usages</w:t>
      </w:r>
      <w:r w:rsidR="000C0440">
        <w:t xml:space="preserve"> du langage</w:t>
      </w:r>
      <w:r w:rsidR="00FB6ABC">
        <w:rPr>
          <w:rStyle w:val="Appelnotedebasdep"/>
        </w:rPr>
        <w:footnoteReference w:id="25"/>
      </w:r>
      <w:r w:rsidR="00DF36E4">
        <w:t>,</w:t>
      </w:r>
      <w:r w:rsidR="00A46CA9">
        <w:t xml:space="preserve"> e</w:t>
      </w:r>
      <w:r w:rsidR="000C0440">
        <w:t>n ce</w:t>
      </w:r>
      <w:r w:rsidR="00A46CA9">
        <w:t>ci</w:t>
      </w:r>
      <w:r w:rsidR="000C0440">
        <w:t xml:space="preserve"> que le non-sens ne serait pas simplement un mésusage du langage mais un non-usage, dans </w:t>
      </w:r>
      <w:r w:rsidR="00022ACB">
        <w:t>une tension</w:t>
      </w:r>
      <w:r w:rsidR="000C0440">
        <w:t xml:space="preserve"> qu’il me reste à expliciter. </w:t>
      </w:r>
      <w:r w:rsidR="00EE78F2">
        <w:t xml:space="preserve">Comme le dit Benoist, </w:t>
      </w:r>
      <w:r w:rsidR="00EE78F2">
        <w:rPr>
          <w:iCs/>
        </w:rPr>
        <w:t>« l</w:t>
      </w:r>
      <w:r w:rsidR="00EE78F2" w:rsidRPr="00EE78F2">
        <w:rPr>
          <w:iCs/>
        </w:rPr>
        <w:t>e non-sens n</w:t>
      </w:r>
      <w:r w:rsidR="00EE78F2">
        <w:rPr>
          <w:iCs/>
        </w:rPr>
        <w:t xml:space="preserve">e peut plus avoir de réalité “substantielle” </w:t>
      </w:r>
      <w:r w:rsidR="00DF36E4">
        <w:rPr>
          <w:iCs/>
        </w:rPr>
        <w:t>–</w:t>
      </w:r>
      <w:r w:rsidR="00EE78F2">
        <w:rPr>
          <w:iCs/>
        </w:rPr>
        <w:t xml:space="preserve"> celle d’une quelconque “faute”</w:t>
      </w:r>
      <w:r w:rsidR="00EE78F2" w:rsidRPr="00EE78F2">
        <w:rPr>
          <w:iCs/>
        </w:rPr>
        <w:t xml:space="preserve"> de grammaire</w:t>
      </w:r>
      <w:r w:rsidR="00EE78F2" w:rsidRPr="00EE78F2">
        <w:rPr>
          <w:iCs/>
          <w:vertAlign w:val="superscript"/>
        </w:rPr>
        <w:footnoteReference w:id="26"/>
      </w:r>
      <w:r w:rsidR="00EE78F2" w:rsidRPr="00EE78F2">
        <w:rPr>
          <w:iCs/>
        </w:rPr>
        <w:t>.</w:t>
      </w:r>
      <w:r w:rsidR="00EE78F2">
        <w:rPr>
          <w:iCs/>
        </w:rPr>
        <w:t> »</w:t>
      </w:r>
    </w:p>
    <w:p w14:paraId="7F78CDF6" w14:textId="77777777" w:rsidR="00107063" w:rsidRDefault="00107063" w:rsidP="008C7D06"/>
    <w:p w14:paraId="49B569B8" w14:textId="4A4DE13C" w:rsidR="00797D1C" w:rsidRPr="008D2458" w:rsidRDefault="00107063" w:rsidP="008C7D06">
      <w:pPr>
        <w:pStyle w:val="Paragraphedeliste"/>
        <w:numPr>
          <w:ilvl w:val="0"/>
          <w:numId w:val="1"/>
        </w:numPr>
        <w:rPr>
          <w:b/>
        </w:rPr>
      </w:pPr>
      <w:r w:rsidRPr="008D2458">
        <w:rPr>
          <w:b/>
        </w:rPr>
        <w:t>La grammaire</w:t>
      </w:r>
      <w:r w:rsidR="008D2458">
        <w:rPr>
          <w:b/>
        </w:rPr>
        <w:t xml:space="preserve"> et les jeux de langage</w:t>
      </w:r>
    </w:p>
    <w:p w14:paraId="43D80778" w14:textId="77777777" w:rsidR="00F7557C" w:rsidRPr="00F7557C" w:rsidRDefault="00F7557C" w:rsidP="008C7D06"/>
    <w:p w14:paraId="1CBEC4AA" w14:textId="75BE7E36" w:rsidR="00797D1C" w:rsidRDefault="00797D1C" w:rsidP="008C7D06">
      <w:r>
        <w:t>Venons-en donc à la grammaire</w:t>
      </w:r>
      <w:r w:rsidR="00620A50">
        <w:t xml:space="preserve">, qui est l’héritière directe de la logique du TLP. Le déplacement de la question du non-sens dans les RP s’opère en effet </w:t>
      </w:r>
      <w:r w:rsidR="00022BCC">
        <w:t>par</w:t>
      </w:r>
      <w:r w:rsidR="00620A50">
        <w:t xml:space="preserve"> l’introduction de la notion de « jeux de langage ». Comme le dit Laugier :</w:t>
      </w:r>
    </w:p>
    <w:p w14:paraId="25022426" w14:textId="77777777" w:rsidR="00620A50" w:rsidRDefault="00620A50" w:rsidP="008C7D06">
      <w:pPr>
        <w:pStyle w:val="Citation"/>
      </w:pPr>
      <w:r>
        <w:t xml:space="preserve">Dans les RP, Wittgenstein va développer sa conception du non-sens en se préoccupant d’un autre type de non-sens, lié au caractère approprié en quelque sorte d’un énoncé à son contexte. La seconde philosophie de Wittgenstein définit un non-sens par l’absence d’un </w:t>
      </w:r>
      <w:r w:rsidRPr="000B11E3">
        <w:rPr>
          <w:i/>
        </w:rPr>
        <w:t>jeu de langage</w:t>
      </w:r>
      <w:r>
        <w:t xml:space="preserve"> dans lequel l’expression puisse être utilisée</w:t>
      </w:r>
      <w:r>
        <w:rPr>
          <w:rStyle w:val="Appelnotedebasdep"/>
        </w:rPr>
        <w:footnoteReference w:id="27"/>
      </w:r>
      <w:r>
        <w:t>.</w:t>
      </w:r>
    </w:p>
    <w:p w14:paraId="31D139B1" w14:textId="038AA41B" w:rsidR="0038378A" w:rsidRDefault="0038378A" w:rsidP="008C7D06">
      <w:r>
        <w:t>S’agit-il vraiment d’un « autre type de non-sens » ? Oui et non. Non dans la mesure où il conserve son caractère non substantiel ; dans la mesure où de même que le non-sens tractarien cessait simplement de pouvoir revendiquer un quelconque rapport, même en négatif, à la sphère du sens, le non-sens des RP est hors de tout jeu de langage, il n’est pas simplement « hors-jeu », ce qui serait encore faire partie du jeu en en transgressant les règles ; il n’est pas du tout « un coup dans le jeu ». Il flotte comme décroché de tout usage, de toute pratique et de toute possibilité de réussite ou d’échec de l’acte de langage.</w:t>
      </w:r>
      <w:r w:rsidR="000213CB">
        <w:t xml:space="preserve"> Son seul lien avec le langage est de créer, par sa forme, l’illusion du sens. Mais il n’est, à strictement parler, même pas composé de mots, puisqu’un mot</w:t>
      </w:r>
      <w:r w:rsidR="00A60FB3">
        <w:t xml:space="preserve"> est ce à quoi on peut prêter un sens.</w:t>
      </w:r>
      <w:r w:rsidR="006723F5">
        <w:t xml:space="preserve"> Ainsi se met en place une distinction, relevée notamment par Perrin, entre des usages du langage </w:t>
      </w:r>
      <w:r w:rsidR="00906087">
        <w:t xml:space="preserve">à proprement parler, </w:t>
      </w:r>
      <w:r w:rsidR="006723F5">
        <w:t>dans des « jeux de langage »</w:t>
      </w:r>
      <w:r w:rsidR="00906087">
        <w:t>,</w:t>
      </w:r>
      <w:r w:rsidR="006723F5">
        <w:t xml:space="preserve"> et des usages « seulement apparents » :</w:t>
      </w:r>
    </w:p>
    <w:p w14:paraId="429F05B4" w14:textId="22444238" w:rsidR="0038378A" w:rsidRDefault="0038378A" w:rsidP="008C7D06">
      <w:pPr>
        <w:pStyle w:val="Citation"/>
      </w:pPr>
      <w:r>
        <w:t>On peut en première approximation définir l’« usage quotidien » comme l’ensemble des utilisations de nos mots qui les mettent « au travail », c’est-à-dire les multiples façons de les employer qui leur donnent une fonction effective dans nos vies ordinaires, ce que Wittgenstein appelle les « jeux de langage</w:t>
      </w:r>
      <w:r w:rsidR="006723F5">
        <w:t> »</w:t>
      </w:r>
      <w:r>
        <w:t xml:space="preserve"> (…) – et cela par opposition aux emplois seulement apparents, à l’occasion desquels le langage « tourne à vide » (</w:t>
      </w:r>
      <w:r w:rsidR="0038407A">
        <w:t>RP § </w:t>
      </w:r>
      <w:r>
        <w:t>132), comme lorsqu’on croit avoir donné un nom à sa sensation privée</w:t>
      </w:r>
      <w:r>
        <w:rPr>
          <w:rStyle w:val="Appelnotedebasdep"/>
        </w:rPr>
        <w:footnoteReference w:id="28"/>
      </w:r>
      <w:r>
        <w:t>.</w:t>
      </w:r>
    </w:p>
    <w:p w14:paraId="07484410" w14:textId="41DC9083" w:rsidR="000C0723" w:rsidRPr="000C0723" w:rsidRDefault="000C0723" w:rsidP="008C7D06">
      <w:r>
        <w:t>Ce qu’introduit cette notion de « jeux de langage » n’est pas seulement une forme de normativité propre au langage, dans la mesure où les « jeux de langage » fixent leurs propres règles d’usage. Car, en réalité, le « jeu de langage » ne précède pas l’usage, il en est un modèle</w:t>
      </w:r>
      <w:r w:rsidR="000E469D">
        <w:t> </w:t>
      </w:r>
      <w:r>
        <w:t>–</w:t>
      </w:r>
      <w:r w:rsidR="000E469D">
        <w:t> </w:t>
      </w:r>
      <w:r>
        <w:t>possible ou réel. Ainsi, le jeu de langage est avant tout un modèle, un objet de comparaison mais n’est en rien une « définition » normative de l’usage, comme ce qui serait réglé d’avance.</w:t>
      </w:r>
      <w:r w:rsidR="001B6EAC">
        <w:t xml:space="preserve"> Comme le dit Pierre Hadot :</w:t>
      </w:r>
    </w:p>
    <w:p w14:paraId="0E757EA7" w14:textId="2F51584C" w:rsidR="000C0723" w:rsidRDefault="00A12E14" w:rsidP="008C7D06">
      <w:pPr>
        <w:pStyle w:val="Citation"/>
      </w:pPr>
      <w:r>
        <w:t>I</w:t>
      </w:r>
      <w:r w:rsidR="000C0723">
        <w:t xml:space="preserve">l n’y </w:t>
      </w:r>
      <w:r w:rsidR="001B6EAC">
        <w:t>[a]</w:t>
      </w:r>
      <w:r w:rsidR="000C0723">
        <w:t xml:space="preserve"> donc pas </w:t>
      </w:r>
      <w:r w:rsidR="00154602">
        <w:t>« </w:t>
      </w:r>
      <w:r w:rsidR="000C0723">
        <w:t>le</w:t>
      </w:r>
      <w:r w:rsidR="00154602">
        <w:t> »</w:t>
      </w:r>
      <w:r w:rsidR="000C0723">
        <w:t xml:space="preserve"> langage, mais des </w:t>
      </w:r>
      <w:r w:rsidR="00154602">
        <w:t>« </w:t>
      </w:r>
      <w:r w:rsidR="000C0723">
        <w:t>jeux de langage</w:t>
      </w:r>
      <w:r w:rsidR="00154602">
        <w:t> »</w:t>
      </w:r>
      <w:r w:rsidR="000C0723">
        <w:t>, se situant toujours, disait Wittgenstein, dans la perspective d’une activité déterminée, d’une situation concrète ou d’une forme de vie</w:t>
      </w:r>
      <w:r w:rsidR="000C0723">
        <w:rPr>
          <w:rStyle w:val="Appelnotedebasdep"/>
        </w:rPr>
        <w:footnoteReference w:id="29"/>
      </w:r>
      <w:r w:rsidR="000C0723">
        <w:t>.</w:t>
      </w:r>
    </w:p>
    <w:p w14:paraId="0D4B626F" w14:textId="12EA010D" w:rsidR="001B6EAC" w:rsidRPr="001B6EAC" w:rsidRDefault="001B6EAC" w:rsidP="008C7D06">
      <w:pPr>
        <w:pStyle w:val="Citation"/>
      </w:pPr>
      <w:r>
        <w:lastRenderedPageBreak/>
        <w:t xml:space="preserve">Pour Wittgenstein, on ne comprend pas le langage en soi, on comprend tel jeu de langage déterminé, en se plaçant soi-même dans tel jeu de langage déterminé, c’est-à-dire dans une attitude particulière, dans un modèle d’activité, dans une </w:t>
      </w:r>
      <w:r w:rsidR="00154602">
        <w:t>« </w:t>
      </w:r>
      <w:r>
        <w:t>forme de vie</w:t>
      </w:r>
      <w:r w:rsidR="00154602">
        <w:t> »</w:t>
      </w:r>
      <w:r>
        <w:rPr>
          <w:rStyle w:val="Appelnotedebasdep"/>
        </w:rPr>
        <w:footnoteReference w:id="30"/>
      </w:r>
      <w:r>
        <w:t>.</w:t>
      </w:r>
    </w:p>
    <w:p w14:paraId="0E9B8740" w14:textId="5920FFD3" w:rsidR="00375DE7" w:rsidRDefault="001B6EAC" w:rsidP="008C7D06">
      <w:r>
        <w:t>Le jeu de langage n’est rien d’autre que la mise en scène d’une activité ou d’une forme de vie, au sein de laquelle nous pouvons en effet repérer des règles d’usage ou des manières de continuer à utiliser les mots et les phrases. Mais il n’y a là rien de prescriptif. Un usage ne saurait exclure d’autres usages possibles ou réels.</w:t>
      </w:r>
      <w:r w:rsidR="00C71D0E">
        <w:t xml:space="preserve"> Il n’y a pas des phrases typiquement sensées ou qui auraient </w:t>
      </w:r>
      <w:r w:rsidR="00FB30B3">
        <w:t xml:space="preserve">en </w:t>
      </w:r>
      <w:r w:rsidR="00C71D0E">
        <w:t>elles-mêmes un sens o</w:t>
      </w:r>
      <w:r w:rsidR="00B26C28">
        <w:t>u qui</w:t>
      </w:r>
      <w:r w:rsidR="00C71D0E">
        <w:t xml:space="preserve"> renverraient d’elles-mêmes à un jeu de langage, par plus qu’il n’y a de phrases en elles-mêmes dépourvues de sens. </w:t>
      </w:r>
      <w:r w:rsidR="00375DE7">
        <w:t xml:space="preserve">Ainsi, comme </w:t>
      </w:r>
      <w:r w:rsidR="00C64557">
        <w:t xml:space="preserve">l’indique Lars Herzberg, </w:t>
      </w:r>
      <w:r w:rsidR="00375DE7">
        <w:t>ce qu’il fallait rejeter dans la conception « naturelle » du non-sens</w:t>
      </w:r>
      <w:r w:rsidR="00C64557">
        <w:t xml:space="preserve"> (combattue par </w:t>
      </w:r>
      <w:proofErr w:type="spellStart"/>
      <w:r w:rsidR="00C64557">
        <w:t>Diamond</w:t>
      </w:r>
      <w:proofErr w:type="spellEnd"/>
      <w:r w:rsidR="00C64557">
        <w:t xml:space="preserve"> et les new wittgensteiniens)</w:t>
      </w:r>
      <w:r w:rsidR="00375DE7">
        <w:t>, c’est notamment l’idée qu’une phrase prise en elle-même a ou n’a pas de sens. Cette erreur est parallèle</w:t>
      </w:r>
      <w:r w:rsidR="00C71D0E">
        <w:t>, ajoute-t-il</w:t>
      </w:r>
      <w:r w:rsidR="00640B24">
        <w:t>,</w:t>
      </w:r>
      <w:r w:rsidR="00375DE7">
        <w:t xml:space="preserve"> à celle qui consiste à penser que la signification du mot serait comme une atmosphère que le mot transporte avec lui (RP § 117)</w:t>
      </w:r>
      <w:r w:rsidR="00375DE7">
        <w:rPr>
          <w:rStyle w:val="Appelnotedebasdep"/>
        </w:rPr>
        <w:footnoteReference w:id="31"/>
      </w:r>
      <w:r w:rsidR="00375DE7">
        <w:t>.</w:t>
      </w:r>
    </w:p>
    <w:p w14:paraId="7C8DB188" w14:textId="63EEE398" w:rsidR="004263AF" w:rsidRDefault="004263AF" w:rsidP="008C7D06">
      <w:r>
        <w:t>Mais si le mot ne transporte pas sa signification avec lui, si la signification n’a lieu que dans l’usage, comment faisons-nous le partage entre ce qui est un usage et ce qui n’en est pas un, si cette détermination ne peut se faire a priori ou du point de vue d’une</w:t>
      </w:r>
      <w:r w:rsidR="00F855BD">
        <w:t xml:space="preserve"> norme ou d’une grammaire qui serait fixé</w:t>
      </w:r>
      <w:r w:rsidR="00280CAB">
        <w:t>es</w:t>
      </w:r>
      <w:r w:rsidR="00F855BD">
        <w:t xml:space="preserve"> d’avance ? En effet, dans les RP pas plus que dans le TLP, les mots ne sont pas assignés à des fonctions grammaticales </w:t>
      </w:r>
      <w:r w:rsidR="00F50E1E">
        <w:t xml:space="preserve">pour ainsi dire </w:t>
      </w:r>
      <w:proofErr w:type="spellStart"/>
      <w:r w:rsidR="00F50E1E">
        <w:t>pré-déterminées</w:t>
      </w:r>
      <w:proofErr w:type="spellEnd"/>
      <w:r w:rsidR="00F50E1E">
        <w:t>. Mais ces fonctions se déterminent dans l’usage sensé.</w:t>
      </w:r>
    </w:p>
    <w:p w14:paraId="04F4FD0E" w14:textId="77777777" w:rsidR="00372473" w:rsidRDefault="00372473" w:rsidP="008C7D06"/>
    <w:p w14:paraId="691AE5B1" w14:textId="6E9A8B5D" w:rsidR="00372473" w:rsidRDefault="00372473" w:rsidP="008C7D06">
      <w:r>
        <w:t>L’extension de la notion de contexte – du contexte de la proposition au contexte d’usage – qui se produit dans le passage du TLP aux RP permet, dans un premier temps, de reconfigurer le non-sens et de sortir du paradoxe (apparent ?) du TLP.</w:t>
      </w:r>
    </w:p>
    <w:p w14:paraId="47EAA778" w14:textId="745CEC96" w:rsidR="00372473" w:rsidRDefault="00372473" w:rsidP="008C7D06">
      <w:r>
        <w:t>En effet, l’entreprise du TLP semble paradoxale ou ironique</w:t>
      </w:r>
      <w:r w:rsidR="009A003E">
        <w:rPr>
          <w:rStyle w:val="Appelnotedebasdep"/>
        </w:rPr>
        <w:footnoteReference w:id="32"/>
      </w:r>
      <w:r>
        <w:t xml:space="preserve"> – je n’ai pas l’intention de discuter </w:t>
      </w:r>
      <w:r w:rsidR="007143A0">
        <w:t xml:space="preserve">ici </w:t>
      </w:r>
      <w:r>
        <w:t>la question de savoir si elle l’est – car la conception que Wittgenstein y donne du non-sens peut conduire le lecteur à considérer la caractérisation philosophique du non-sens comme étant elle-même un non-sens et, du même coup, nous ne savons plus depuis quelle position le diagnostic de non-sens peut être fait.</w:t>
      </w:r>
    </w:p>
    <w:p w14:paraId="10277D37" w14:textId="53A3EC87" w:rsidR="00372473" w:rsidRDefault="00372473" w:rsidP="008C7D06">
      <w:r>
        <w:t xml:space="preserve">En revanche, dans les RP, le non-sens est identifiable du point de vue des usages et des jeux de langage, au moyen du contraste entre ce qui constitue véritablement un usage du langage et un pseudo-usage. De ce point de vue, le non-sens est une forme d’échec du langage bien particulière puisqu’il est précisément ce pour quoi on ne peut déterminer de quoi il est l’échec. On ne peut pas le mesurer à l’aune de </w:t>
      </w:r>
      <w:r w:rsidRPr="000D3D7A">
        <w:rPr>
          <w:i/>
        </w:rPr>
        <w:t>ce qui a voulu être dit</w:t>
      </w:r>
      <w:r>
        <w:t>, car il n’y a rien qu’il ait pu vouloir dire. En réalité, le non-sens n’est pas du tout un échec du langage, mais il est une parodie de langage ; comme je le disais plus haut, un pseudo-usage, une pseudo-tentative de dire quelque chose.</w:t>
      </w:r>
    </w:p>
    <w:p w14:paraId="53F49592" w14:textId="38F4B69A" w:rsidR="00372473" w:rsidRDefault="00372473" w:rsidP="008C7D06">
      <w:r>
        <w:t>Il faudrait, pour bien faire, nuancer ce contraste entre le TLP et les RP</w:t>
      </w:r>
      <w:r w:rsidR="003A5609">
        <w:t>, c</w:t>
      </w:r>
      <w:r>
        <w:t xml:space="preserve">ar il y a bien, dès le TLP, un lieu depuis lequel le non-sens apparaît : il s’agit de la logique des usages du langage. En un sens, les RP ne font qu’étendre le concept d’usage pour le conformer à la pratique, plutôt que de le cantonner à une conception </w:t>
      </w:r>
      <w:proofErr w:type="spellStart"/>
      <w:r>
        <w:t>vériconditionnelle</w:t>
      </w:r>
      <w:proofErr w:type="spellEnd"/>
      <w:r>
        <w:t xml:space="preserve"> de la signification. Il n’en reste pas moins que cette extension (qui n’est pas la seule évolution du TLP aux RP) permet de sortir du paradoxe du TLP, car la caractérisation du non-sens n’appartient plus au registre </w:t>
      </w:r>
      <w:r w:rsidR="00CB63BD">
        <w:t>(</w:t>
      </w:r>
      <w:r>
        <w:t xml:space="preserve">lui-même </w:t>
      </w:r>
      <w:proofErr w:type="spellStart"/>
      <w:r>
        <w:lastRenderedPageBreak/>
        <w:t>non-sensé</w:t>
      </w:r>
      <w:proofErr w:type="spellEnd"/>
      <w:r w:rsidR="00CB63BD">
        <w:t>)</w:t>
      </w:r>
      <w:r>
        <w:t xml:space="preserve"> de la métaphysique, mais à la logique du langage lui-même (qui </w:t>
      </w:r>
      <w:r w:rsidR="005611E7">
        <w:t>« </w:t>
      </w:r>
      <w:r>
        <w:t>va très bien</w:t>
      </w:r>
      <w:r w:rsidR="005611E7">
        <w:t> »</w:t>
      </w:r>
      <w:r>
        <w:t xml:space="preserve"> comme il est</w:t>
      </w:r>
      <w:r w:rsidR="00CB63BD">
        <w:rPr>
          <w:rStyle w:val="Appelnotedebasdep"/>
        </w:rPr>
        <w:footnoteReference w:id="33"/>
      </w:r>
      <w:r>
        <w:t>).</w:t>
      </w:r>
    </w:p>
    <w:p w14:paraId="1F0E0199" w14:textId="77777777" w:rsidR="004722F2" w:rsidRPr="00004360" w:rsidRDefault="004722F2" w:rsidP="008C7D06"/>
    <w:p w14:paraId="6F34DC8F" w14:textId="012E80EE" w:rsidR="001579B8" w:rsidRDefault="00372473" w:rsidP="008C7D06">
      <w:pPr>
        <w:rPr>
          <w:iCs/>
        </w:rPr>
      </w:pPr>
      <w:r>
        <w:t xml:space="preserve">Ce qui </w:t>
      </w:r>
      <w:r w:rsidR="0062012E">
        <w:t>demeure</w:t>
      </w:r>
      <w:r>
        <w:t xml:space="preserve"> en reste</w:t>
      </w:r>
      <w:r w:rsidR="0062012E">
        <w:t>, une fois cela dit,</w:t>
      </w:r>
      <w:r>
        <w:t xml:space="preserve"> c’est l</w:t>
      </w:r>
      <w:r w:rsidR="00F50E1E">
        <w:t>e t</w:t>
      </w:r>
      <w:r w:rsidR="000C0723">
        <w:t xml:space="preserve">hème </w:t>
      </w:r>
      <w:r w:rsidR="00F50E1E">
        <w:t xml:space="preserve">problématique </w:t>
      </w:r>
      <w:r w:rsidR="000C0723">
        <w:t>de la « détermination » du sens</w:t>
      </w:r>
      <w:r>
        <w:t xml:space="preserve"> depuis les usages du langage</w:t>
      </w:r>
      <w:r w:rsidR="000C0723">
        <w:t xml:space="preserve">. Le dehors du jeu de langage, c’est la </w:t>
      </w:r>
      <w:r w:rsidR="000C0723" w:rsidRPr="002A1E89">
        <w:rPr>
          <w:i/>
        </w:rPr>
        <w:t>non</w:t>
      </w:r>
      <w:r w:rsidR="000C0723">
        <w:t>-</w:t>
      </w:r>
      <w:r w:rsidR="000C0723" w:rsidRPr="002A1E89">
        <w:rPr>
          <w:i/>
        </w:rPr>
        <w:t>détermination</w:t>
      </w:r>
      <w:r w:rsidR="000C0723">
        <w:t xml:space="preserve"> </w:t>
      </w:r>
      <w:r w:rsidR="005002E8">
        <w:t xml:space="preserve">du sens </w:t>
      </w:r>
      <w:r w:rsidR="000C0723">
        <w:t xml:space="preserve">(et pas seulement </w:t>
      </w:r>
      <w:r w:rsidR="004722F2">
        <w:t xml:space="preserve">son </w:t>
      </w:r>
      <w:r w:rsidR="000C0723" w:rsidRPr="002A1E89">
        <w:rPr>
          <w:i/>
        </w:rPr>
        <w:t>indétermination</w:t>
      </w:r>
      <w:r w:rsidR="002A1E89">
        <w:t>,</w:t>
      </w:r>
      <w:r w:rsidR="000C0723">
        <w:t xml:space="preserve"> qui peut être caractéristique de l’ambiguïté du langage). Mais</w:t>
      </w:r>
      <w:r w:rsidR="009714E6">
        <w:t>,</w:t>
      </w:r>
      <w:r w:rsidR="000C0723">
        <w:t xml:space="preserve"> </w:t>
      </w:r>
      <w:r w:rsidR="007B45BB">
        <w:t>alors que</w:t>
      </w:r>
      <w:r w:rsidR="000C0723">
        <w:t xml:space="preserve"> cette détermination pouvait </w:t>
      </w:r>
      <w:r w:rsidR="00F50E1E">
        <w:t xml:space="preserve">(à la limite) </w:t>
      </w:r>
      <w:r w:rsidR="000C0723">
        <w:t>prendre dans le TLP la forme d’un geste explicite de clarification logique des phrases, elle se produit, dans les RP</w:t>
      </w:r>
      <w:r w:rsidR="00CB7AEC">
        <w:t>,</w:t>
      </w:r>
      <w:r w:rsidR="000C0723">
        <w:t xml:space="preserve"> au sein d’un jeu de langage : donner le sens d’une phrase c’est l’intégrer à un jeu de langage déterminé, c’est-à-dire dans une forme de vie.</w:t>
      </w:r>
      <w:r w:rsidR="001579B8">
        <w:t xml:space="preserve"> Toute la difficulté de la position tient </w:t>
      </w:r>
      <w:r w:rsidR="00512392">
        <w:t>en</w:t>
      </w:r>
      <w:r w:rsidR="001579B8">
        <w:t xml:space="preserve"> ceci que, comme le dit Benoist, « </w:t>
      </w:r>
      <w:r w:rsidR="001579B8">
        <w:rPr>
          <w:iCs/>
        </w:rPr>
        <w:t>[l</w:t>
      </w:r>
      <w:r w:rsidR="001579B8" w:rsidRPr="001579B8">
        <w:rPr>
          <w:iCs/>
        </w:rPr>
        <w:t>a logique de l’emploi] n’est prescrite par rien d’autre que par l’emploi lui-même</w:t>
      </w:r>
      <w:r w:rsidR="001579B8" w:rsidRPr="001579B8">
        <w:rPr>
          <w:iCs/>
          <w:vertAlign w:val="superscript"/>
        </w:rPr>
        <w:footnoteReference w:id="34"/>
      </w:r>
      <w:r w:rsidR="001579B8">
        <w:rPr>
          <w:iCs/>
        </w:rPr>
        <w:t> »</w:t>
      </w:r>
      <w:r w:rsidR="00CE3842">
        <w:rPr>
          <w:iCs/>
        </w:rPr>
        <w:t>.</w:t>
      </w:r>
    </w:p>
    <w:p w14:paraId="447A5A7C" w14:textId="77777777" w:rsidR="00C95B3A" w:rsidRDefault="00C95B3A" w:rsidP="008C7D06"/>
    <w:p w14:paraId="0BB5FB93" w14:textId="4E78E162" w:rsidR="00C95B3A" w:rsidRPr="00154602" w:rsidRDefault="00C95B3A" w:rsidP="008C7D06">
      <w:pPr>
        <w:pStyle w:val="Paragraphedeliste"/>
        <w:numPr>
          <w:ilvl w:val="0"/>
          <w:numId w:val="1"/>
        </w:numPr>
        <w:rPr>
          <w:b/>
        </w:rPr>
      </w:pPr>
      <w:r w:rsidRPr="00154602">
        <w:rPr>
          <w:b/>
        </w:rPr>
        <w:t>La métaphysique</w:t>
      </w:r>
    </w:p>
    <w:p w14:paraId="0E6B39A2" w14:textId="77777777" w:rsidR="008E26E8" w:rsidRPr="008E26E8" w:rsidRDefault="008E26E8" w:rsidP="008C7D06"/>
    <w:p w14:paraId="5BE1139F" w14:textId="1AAE7D9C" w:rsidR="00C95B3A" w:rsidRDefault="00C95B3A" w:rsidP="008C7D06">
      <w:r>
        <w:t>Avant d’envisager et peut-être de résorber la tension liée à cette circularité de la logique de l’usage, voyons quelles conséquences celle-ci a sur notre conception du non-sens. Comme le fait remarquer Laugier :</w:t>
      </w:r>
    </w:p>
    <w:p w14:paraId="149843B1" w14:textId="5B97F736" w:rsidR="00C95B3A" w:rsidRDefault="00C95B3A" w:rsidP="008C7D06">
      <w:pPr>
        <w:pStyle w:val="Citation"/>
      </w:pPr>
      <w:r>
        <w:t>Que le sens soit ainsi donné par ce que nous faisons, par l’usage, est un élément fort de continuité du premier au second Wittgenstein, qui déplace le non-sens hors de la phrase, dans l’usage, sans pour autant (c’est important) le faire dépendre de l’usage et du « contexte ». Les principes du sens et du non-sens ne sont à chercher nulle part ailleurs que dans la réalité des usages linguistiques, de leur régularité et de leur indétermination</w:t>
      </w:r>
      <w:r>
        <w:rPr>
          <w:rStyle w:val="Appelnotedebasdep"/>
        </w:rPr>
        <w:footnoteReference w:id="35"/>
      </w:r>
      <w:r>
        <w:t>.</w:t>
      </w:r>
    </w:p>
    <w:p w14:paraId="6FF3AFFA" w14:textId="1E25D121" w:rsidR="0037688B" w:rsidRDefault="0037688B" w:rsidP="008C7D06">
      <w:r>
        <w:t>Le déplacement qui s’est opéré du TLP aux RP ne serait donc pas exactement celui de l’introduction du concept d’usage</w:t>
      </w:r>
      <w:r w:rsidR="0049110F">
        <w:t xml:space="preserve"> (qui était déjà là)</w:t>
      </w:r>
      <w:r>
        <w:t>, mais le résultat d’une extension de ce concept à la notion de jeux de langage, et non plus seulement</w:t>
      </w:r>
      <w:r w:rsidR="00A53423">
        <w:t xml:space="preserve"> d’une syntaxe logique à déployer. La conséquence pour le non-sens n’en est cependant pas que celui-ci deviendrait relatif à l’usage ou au contexte – « c’est important » précise Laugier – précisément parce que le non-sens est hors usage et a-contextuel. Toute la difficulté étant de comprendre </w:t>
      </w:r>
      <w:r w:rsidR="00833C5F">
        <w:t>(</w:t>
      </w:r>
      <w:r w:rsidR="00A53423">
        <w:t>c</w:t>
      </w:r>
      <w:r w:rsidR="00833C5F">
        <w:t>omme</w:t>
      </w:r>
      <w:r w:rsidR="00A53423">
        <w:t xml:space="preserve"> nous tenterons de</w:t>
      </w:r>
      <w:r w:rsidR="00833C5F">
        <w:t xml:space="preserve"> le</w:t>
      </w:r>
      <w:r w:rsidR="00A53423">
        <w:t xml:space="preserve"> faire dans un instant</w:t>
      </w:r>
      <w:r w:rsidR="00833C5F">
        <w:t>)</w:t>
      </w:r>
      <w:r w:rsidR="00A53423">
        <w:t xml:space="preserve"> cette possibilité de l’a-contextualité.</w:t>
      </w:r>
    </w:p>
    <w:p w14:paraId="068DBCAE" w14:textId="66792E0E" w:rsidR="00794977" w:rsidRDefault="007B7B3F" w:rsidP="008C7D06">
      <w:r>
        <w:t>A ce titre,</w:t>
      </w:r>
      <w:r w:rsidR="00794977">
        <w:t xml:space="preserve"> revenons à la métaphysique au « sens péjoratif » de Wittgenstein, c’est-à-dire, comme dirait </w:t>
      </w:r>
      <w:proofErr w:type="spellStart"/>
      <w:r w:rsidR="00794977">
        <w:t>Descombes</w:t>
      </w:r>
      <w:proofErr w:type="spellEnd"/>
      <w:r w:rsidR="00794977">
        <w:t>, au sens d’un « usage sémantiquement irresponsable » des mots de notre langage</w:t>
      </w:r>
      <w:r w:rsidR="00EF6FC2">
        <w:rPr>
          <w:rStyle w:val="Appelnotedebasdep"/>
        </w:rPr>
        <w:footnoteReference w:id="36"/>
      </w:r>
      <w:r w:rsidR="00794977">
        <w:t>. Comme dans la formule du §</w:t>
      </w:r>
      <w:r w:rsidR="00B76082">
        <w:t> </w:t>
      </w:r>
      <w:r w:rsidR="00794977">
        <w:t>116 des RP</w:t>
      </w:r>
      <w:r w:rsidR="00B76082">
        <w:t xml:space="preserve"> citée en introduction de cet article</w:t>
      </w:r>
      <w:r w:rsidR="00794977">
        <w:t>, il est</w:t>
      </w:r>
      <w:r w:rsidR="00964401">
        <w:t xml:space="preserve"> bien</w:t>
      </w:r>
      <w:r w:rsidR="00794977">
        <w:t xml:space="preserve"> ici question d’un « usage » métaphysique, irresponsable. Mais n’avons-nous pas dit que l’usage métaphysique était en réalité un pseudo-usage. C’est ce qui ressort à première vue de ces remarques de Benoist : </w:t>
      </w:r>
    </w:p>
    <w:p w14:paraId="2EBAB0D9" w14:textId="644B3583" w:rsidR="00794977" w:rsidRDefault="00794977" w:rsidP="008C7D06">
      <w:pPr>
        <w:pStyle w:val="Citation"/>
      </w:pPr>
      <w:r>
        <w:t>Que se passe-t-il exactement là où le signe cesse d’être employé conformément à son usage habituel et où on plonge dans le non-sens ? Non pas exactement qu’une règle soit violée, qu’il y ait une offense à la syntaxe logique, comme si celle-ci dressait ici, comme une limitation aux usages humains, la barrière infranchissable du non-sens. Non, il faut bien plutôt dire, simplement, qu’on croit continuer à parler en un certain sens alors qu’en fait on ne le fait plus, et qu’</w:t>
      </w:r>
      <w:r w:rsidRPr="00B408B3">
        <w:rPr>
          <w:i/>
        </w:rPr>
        <w:t>on n’a pas défini de nouvel emploi pour ce qu’on dit</w:t>
      </w:r>
      <w:r>
        <w:t xml:space="preserve">. C’est dans cette absence de définition, non pas au sens d’une définition </w:t>
      </w:r>
      <w:r>
        <w:lastRenderedPageBreak/>
        <w:t>formelle, noir sur blanc, mais au sens d’une absence de fait de donation de sens, que vient s’engouffrer le non-sens</w:t>
      </w:r>
      <w:r>
        <w:rPr>
          <w:rStyle w:val="Appelnotedebasdep"/>
        </w:rPr>
        <w:footnoteReference w:id="37"/>
      </w:r>
      <w:r>
        <w:t>.</w:t>
      </w:r>
    </w:p>
    <w:p w14:paraId="5B5A3546" w14:textId="480AE255" w:rsidR="00794977" w:rsidRPr="0037688B" w:rsidRDefault="00794977" w:rsidP="008C7D06">
      <w:pPr>
        <w:pStyle w:val="Citation"/>
      </w:pPr>
      <w:r>
        <w:t>C’est alors dans la pesanteur d’un usage, désaxé de lui-même et dont on prétend pourtant retirer les bénéfices, sans avoir défini les conditions de son application au-delà de ses limites habituelles, qu’il faut voir le principe de ce qu’on nomme « illusions métaphysiques »</w:t>
      </w:r>
      <w:r>
        <w:rPr>
          <w:rStyle w:val="Appelnotedebasdep"/>
        </w:rPr>
        <w:footnoteReference w:id="38"/>
      </w:r>
      <w:r>
        <w:t>.</w:t>
      </w:r>
    </w:p>
    <w:p w14:paraId="521C8641" w14:textId="09A2F1BA" w:rsidR="00794977" w:rsidRDefault="003D6C13" w:rsidP="008C7D06">
      <w:r>
        <w:t>« </w:t>
      </w:r>
      <w:r w:rsidR="00C95B3A">
        <w:t>C’est donc</w:t>
      </w:r>
      <w:r>
        <w:t xml:space="preserve">, commente Laugier, </w:t>
      </w:r>
      <w:r w:rsidR="00C95B3A">
        <w:t xml:space="preserve">dans l’usage usuel, et non dans l’obéissance à des règles, ni dans quelque autre instance </w:t>
      </w:r>
      <w:proofErr w:type="spellStart"/>
      <w:r w:rsidR="00C95B3A">
        <w:t>légitimante</w:t>
      </w:r>
      <w:proofErr w:type="spellEnd"/>
      <w:r w:rsidR="00C95B3A">
        <w:t xml:space="preserve"> ou </w:t>
      </w:r>
      <w:proofErr w:type="spellStart"/>
      <w:r w:rsidR="00C95B3A">
        <w:t>excluante</w:t>
      </w:r>
      <w:proofErr w:type="spellEnd"/>
      <w:r w:rsidR="00F77FAC">
        <w:t>,</w:t>
      </w:r>
      <w:r w:rsidR="00C95B3A">
        <w:t xml:space="preserve"> que se trouvera la critique de la métaphysique. Rien d’étonnant puisque la métaphysique exploite, en faisant mine de la rejeter, la grammaire du langage ordinaire, qu’elle sollicite en dehors de ses conditions d’application sans s’en expliquer</w:t>
      </w:r>
      <w:r w:rsidR="00C95B3A">
        <w:rPr>
          <w:rStyle w:val="Appelnotedebasdep"/>
        </w:rPr>
        <w:footnoteReference w:id="39"/>
      </w:r>
      <w:r w:rsidR="00C95B3A">
        <w:t>.</w:t>
      </w:r>
      <w:r>
        <w:t> »</w:t>
      </w:r>
      <w:r w:rsidR="000B181B">
        <w:t xml:space="preserve"> </w:t>
      </w:r>
      <w:r w:rsidR="00114CB5">
        <w:t>C’est donc l’exil ou le déracinement qui produit le non-sens métaphysique, c’est-à-dire sa prétention paradoxale à s’affranchir des usages « habituels » tout en s’appuyant sur eux, sa prétention à « continuer à parler » depuis ces usages habituels tout en s’en détachant mais sans jamais indiquer comment</w:t>
      </w:r>
      <w:r w:rsidR="00135E0F">
        <w:t>.</w:t>
      </w:r>
    </w:p>
    <w:p w14:paraId="660C3E40" w14:textId="0DA3ABF0" w:rsidR="00135E0F" w:rsidRDefault="00135E0F" w:rsidP="008C7D06">
      <w:r>
        <w:t>Ainsi, s’il est incontestable pour Wittgenstein que le sens que nous donnons à nos mots dépend intégralement de nous et que, comme le dit Bouveresse, « le sens et le non-sens sont toujours en notre pouvoir ; ils ne sont pas donnés, mais décidés (cela ne signifie pas, bien entendu, qu’ils font l’objet d’une décision explicite)</w:t>
      </w:r>
      <w:r>
        <w:rPr>
          <w:rStyle w:val="Appelnotedebasdep"/>
        </w:rPr>
        <w:footnoteReference w:id="40"/>
      </w:r>
      <w:r>
        <w:t> », ceci n’enlève rien à ce que Benoist nomme « la pesanteur d’un usage ». Si les usages du langage sont</w:t>
      </w:r>
      <w:r w:rsidR="00571E3A">
        <w:t>,</w:t>
      </w:r>
      <w:r>
        <w:t xml:space="preserve"> en un sens</w:t>
      </w:r>
      <w:r w:rsidR="00571E3A">
        <w:t>,</w:t>
      </w:r>
      <w:r>
        <w:t xml:space="preserve"> constamment inédits, créatifs et indéterminés, ils ne peuvent l’être que sur le fond de cet</w:t>
      </w:r>
      <w:r w:rsidR="00195AB1">
        <w:t>te « pesanteur de l’usage », qui indique, écrit Bouveresse, « des façons naturelles de continuer » - et d’autres, par conséquent, qui ne le sont pas :</w:t>
      </w:r>
    </w:p>
    <w:p w14:paraId="14345D01" w14:textId="77777777" w:rsidR="00794977" w:rsidRDefault="00794977" w:rsidP="008C7D06">
      <w:pPr>
        <w:pStyle w:val="Citation"/>
      </w:pPr>
      <w:r>
        <w:t>Il serait donc tout à fait absurde de dire que nous pouvons donner à nos mots littéralement n’importe quelle signification. Car, lorsque nous leur avons donné une signification dans certains contextes, il y a des façons naturelles et d’autres qui ne le sont pas de continuer, autrement dit de traiter les contextes d’un type nouveau dans lesquels ils sont susceptibles d’apparaître</w:t>
      </w:r>
      <w:r>
        <w:rPr>
          <w:rStyle w:val="Appelnotedebasdep"/>
        </w:rPr>
        <w:footnoteReference w:id="41"/>
      </w:r>
      <w:r>
        <w:t>.</w:t>
      </w:r>
    </w:p>
    <w:p w14:paraId="37E0B951" w14:textId="55CF2561" w:rsidR="00794977" w:rsidRDefault="00794977" w:rsidP="008C7D06">
      <w:pPr>
        <w:pStyle w:val="Citation"/>
      </w:pPr>
      <w:r>
        <w:t>Le fait que nous soyons amenés à éliminer certaines expressions de notre langage n’est pas une chose qui nous est imposée de l’extérieur, mais constitue lui-même un prolongement naturel de la façon dont nous avons appris à utiliser les mots</w:t>
      </w:r>
      <w:r>
        <w:rPr>
          <w:rStyle w:val="Appelnotedebasdep"/>
        </w:rPr>
        <w:footnoteReference w:id="42"/>
      </w:r>
      <w:r>
        <w:t>.</w:t>
      </w:r>
    </w:p>
    <w:p w14:paraId="68A36A53" w14:textId="7B262AFB" w:rsidR="00B0606A" w:rsidRDefault="00F95426" w:rsidP="008C7D06">
      <w:r>
        <w:t xml:space="preserve">Mais une fois ceci acquis reste à déterminer concrètement comment s’y prendre pour repérer le pseudo-usage métaphysique. Car s’il y a porosité du langage ordinaire vers la métaphysique, il y a aussi porosité de la métaphysique vers le langage ordinaire. Et que prétend faire le métaphysicien si ce n’est faire usage du langage – quand bien même, à son insu, il ne le ferait pas vraiment. En quoi l’usage ordinaire </w:t>
      </w:r>
      <w:proofErr w:type="spellStart"/>
      <w:r w:rsidR="008B2803">
        <w:t>endosserait-il</w:t>
      </w:r>
      <w:proofErr w:type="spellEnd"/>
      <w:r>
        <w:t xml:space="preserve"> une sorte d’autorité supérieure</w:t>
      </w:r>
      <w:r w:rsidR="00686D0F">
        <w:t> ?</w:t>
      </w:r>
      <w:r>
        <w:t xml:space="preserve"> En quoi son « contexte » d’usage est-il plus déterminé que celui du métaphysicien (qui l’aurait simplement perdu) ?</w:t>
      </w:r>
      <w:r w:rsidR="009938D0">
        <w:t xml:space="preserve"> Nous atteignons le point de tension critique de</w:t>
      </w:r>
      <w:r w:rsidR="00B0606A">
        <w:t xml:space="preserve"> la critique de la métaphysique : le langage ordinaire ou la grammaire ne constitue</w:t>
      </w:r>
      <w:r w:rsidR="00381FB2">
        <w:t>nt</w:t>
      </w:r>
      <w:r w:rsidR="00B0606A">
        <w:t xml:space="preserve"> clairement pas un point fixe depuis lequel opérer un diagnostic sur le discours métaphysique. </w:t>
      </w:r>
      <w:r w:rsidR="00381FB2">
        <w:t>Ils</w:t>
      </w:r>
      <w:r w:rsidR="00B0606A">
        <w:t xml:space="preserve"> constitue</w:t>
      </w:r>
      <w:r w:rsidR="00381FB2">
        <w:t>nt</w:t>
      </w:r>
      <w:r w:rsidR="00B0606A">
        <w:t xml:space="preserve"> un point mouvant qui est celui des pratiques situées. Dès lors comment déterminer le lieu depuis lequel légiférer quant à « l’usage » métaphysique ou non du langage, c’est-à-dire quant à la question du non-sens ?</w:t>
      </w:r>
      <w:r w:rsidR="00E33A40">
        <w:t xml:space="preserve"> </w:t>
      </w:r>
      <w:r w:rsidR="00B0606A">
        <w:t xml:space="preserve">Autrement dit, si nous prenons au sérieux la plasticité des usages et la mobilité </w:t>
      </w:r>
      <w:r w:rsidR="00B0606A">
        <w:lastRenderedPageBreak/>
        <w:t>du contexte, le lieu d’immanence depuis lequel nous étions censés repérer le non-sens métaphysique semble condamné à nous glisser perpétuellement entre les doigts</w:t>
      </w:r>
      <w:r w:rsidR="006A725D">
        <w:t xml:space="preserve">, comme le suggère cette remarque de Jean-Philippe </w:t>
      </w:r>
      <w:proofErr w:type="spellStart"/>
      <w:r w:rsidR="006A725D">
        <w:t>Narboux</w:t>
      </w:r>
      <w:proofErr w:type="spellEnd"/>
      <w:r w:rsidR="00B0606A">
        <w:t> :</w:t>
      </w:r>
    </w:p>
    <w:p w14:paraId="0AFDDC39" w14:textId="714F9DB1" w:rsidR="009938D0" w:rsidRDefault="009938D0" w:rsidP="008C7D06">
      <w:pPr>
        <w:pStyle w:val="Citation"/>
      </w:pPr>
      <w:r>
        <w:t xml:space="preserve">Le point décisif n’est pas que la signification réside dans l’usage, mais qu’il y a autant de catégories de significations qu’il y a de catégories d’usages et que la classification des catégories de significations n’est pas moins </w:t>
      </w:r>
      <w:r w:rsidRPr="00CB61DA">
        <w:rPr>
          <w:i/>
        </w:rPr>
        <w:t>relative</w:t>
      </w:r>
      <w:r>
        <w:t xml:space="preserve"> à une fin et à un contexte déterminé que la classification des catégories d’usage. La multiplicité indéfinie des types radicalement hétérogènes d’usages que recouvre l’apparence uniforme des mots n’est pas structurée absolument</w:t>
      </w:r>
      <w:r>
        <w:rPr>
          <w:rStyle w:val="Appelnotedebasdep"/>
        </w:rPr>
        <w:footnoteReference w:id="43"/>
      </w:r>
      <w:r>
        <w:t>.</w:t>
      </w:r>
    </w:p>
    <w:p w14:paraId="33159307" w14:textId="30310B5E" w:rsidR="00C95B3A" w:rsidRPr="00C95B3A" w:rsidRDefault="00257EC3" w:rsidP="008C7D06">
      <w:pPr>
        <w:rPr>
          <w:iCs/>
        </w:rPr>
      </w:pPr>
      <w:r>
        <w:t xml:space="preserve">Avant de </w:t>
      </w:r>
      <w:r w:rsidR="00F60D00">
        <w:t>d’envisager cette difficulté liée à</w:t>
      </w:r>
      <w:r>
        <w:t xml:space="preserve"> la plasticité de la grammaire, examinons les aspects positifs de l’appel à la notion de contexte.</w:t>
      </w:r>
    </w:p>
    <w:p w14:paraId="02AA6017" w14:textId="5D3505FB" w:rsidR="00107063" w:rsidRDefault="00107063" w:rsidP="008C7D06"/>
    <w:p w14:paraId="2303B3C1" w14:textId="32415A59" w:rsidR="009B5CAB" w:rsidRPr="00154602" w:rsidRDefault="009B5CAB" w:rsidP="008C7D06">
      <w:pPr>
        <w:pStyle w:val="Paragraphedeliste"/>
        <w:numPr>
          <w:ilvl w:val="0"/>
          <w:numId w:val="1"/>
        </w:numPr>
        <w:rPr>
          <w:b/>
        </w:rPr>
      </w:pPr>
      <w:r w:rsidRPr="00154602">
        <w:rPr>
          <w:b/>
        </w:rPr>
        <w:t>Contexte et circonstances</w:t>
      </w:r>
    </w:p>
    <w:p w14:paraId="1033C95F" w14:textId="77777777" w:rsidR="00637E16" w:rsidRPr="00637E16" w:rsidRDefault="00637E16" w:rsidP="008C7D06"/>
    <w:p w14:paraId="0783C036" w14:textId="3A2A2256" w:rsidR="00147EAF" w:rsidRDefault="00900E3B" w:rsidP="008C7D06">
      <w:r>
        <w:t xml:space="preserve">Dans sa critique de </w:t>
      </w:r>
      <w:proofErr w:type="spellStart"/>
      <w:r>
        <w:t>Diamond</w:t>
      </w:r>
      <w:proofErr w:type="spellEnd"/>
      <w:r>
        <w:t>, Herzberg revient justement sur l’importance de la notion de contexte pour</w:t>
      </w:r>
      <w:r w:rsidR="00147EAF">
        <w:t xml:space="preserve"> départager le sens du non-sens :</w:t>
      </w:r>
    </w:p>
    <w:p w14:paraId="7D740758" w14:textId="3693EE5B" w:rsidR="00147EAF" w:rsidRDefault="00147EAF" w:rsidP="008C7D06">
      <w:pPr>
        <w:pStyle w:val="Citation"/>
      </w:pPr>
      <w:r>
        <w:t>Un contexte, pourrait-on dire, est précisément ce à la lumière de quoi la façon dont quelqu’un réagit à ce qui est dit importe</w:t>
      </w:r>
      <w:r>
        <w:rPr>
          <w:rStyle w:val="Appelnotedebasdep"/>
        </w:rPr>
        <w:footnoteReference w:id="44"/>
      </w:r>
      <w:r>
        <w:t>.</w:t>
      </w:r>
    </w:p>
    <w:p w14:paraId="6C669B8E" w14:textId="37C3F620" w:rsidR="009B5CAB" w:rsidRDefault="00900E3B" w:rsidP="008C7D06">
      <w:r>
        <w:t xml:space="preserve">En particulier, il reproche aux exemples de </w:t>
      </w:r>
      <w:proofErr w:type="spellStart"/>
      <w:r>
        <w:t>Diamond</w:t>
      </w:r>
      <w:proofErr w:type="spellEnd"/>
      <w:r>
        <w:t xml:space="preserve"> de faire comme si le caractère </w:t>
      </w:r>
      <w:proofErr w:type="spellStart"/>
      <w:r>
        <w:t>non-sensé</w:t>
      </w:r>
      <w:proofErr w:type="spellEnd"/>
      <w:r>
        <w:t xml:space="preserve"> des énoncés illustrant le non-sens devait nous apparaître, alors même, précisément, qu’une des leçons de Wittgenstein est qu’il est toujours possible, moyennant le déploiement du contexte</w:t>
      </w:r>
      <w:r w:rsidR="00596332">
        <w:t>,</w:t>
      </w:r>
      <w:r>
        <w:t xml:space="preserve"> de donner sens à des phrases qui en sont apparemment dépourvues :</w:t>
      </w:r>
    </w:p>
    <w:p w14:paraId="18F2D1BE" w14:textId="77777777" w:rsidR="00900E3B" w:rsidRDefault="00900E3B" w:rsidP="008C7D06">
      <w:pPr>
        <w:pStyle w:val="Citation"/>
      </w:pPr>
      <w:r>
        <w:t>Tant que le contexte n’est pas donné, une seule et même séquence de mots peut être dite exprimer un nombre indéfini de pensées</w:t>
      </w:r>
      <w:r>
        <w:rPr>
          <w:rStyle w:val="Appelnotedebasdep"/>
        </w:rPr>
        <w:footnoteReference w:id="45"/>
      </w:r>
      <w:r>
        <w:t>.</w:t>
      </w:r>
    </w:p>
    <w:p w14:paraId="4173F7B6" w14:textId="29146E66" w:rsidR="00900E3B" w:rsidRDefault="00900E3B" w:rsidP="008C7D06">
      <w:r>
        <w:t xml:space="preserve">S’il n’y a pas de non-sens en soi, pas plus qu’il n’y a de sens en soi, comme le pense </w:t>
      </w:r>
      <w:proofErr w:type="spellStart"/>
      <w:r>
        <w:t>Diamond</w:t>
      </w:r>
      <w:proofErr w:type="spellEnd"/>
      <w:r>
        <w:t>, il</w:t>
      </w:r>
      <w:r w:rsidR="00493C33">
        <w:t xml:space="preserve"> faut aussi prendre au sérieux cette</w:t>
      </w:r>
      <w:r>
        <w:t xml:space="preserve"> question du contexte. Sortie de son contexte, la phrase « César a franchi le Rubicon » n’a ni plus ni moins de sens que « César est un nombre premier »</w:t>
      </w:r>
      <w:r w:rsidR="00A034E8">
        <w:t xml:space="preserve">. </w:t>
      </w:r>
      <w:r w:rsidR="001713DB">
        <w:t xml:space="preserve">Il nous faut la précision des circonstances de l’énonciation pour déterminer si nous pouvons justement donner un sens – c’est-à-dire déterminer le contexte d’usage – à </w:t>
      </w:r>
      <w:r w:rsidR="008045D8">
        <w:t>ces phrases :</w:t>
      </w:r>
    </w:p>
    <w:p w14:paraId="0295FA77" w14:textId="0F226511" w:rsidR="008045D8" w:rsidRDefault="008045D8" w:rsidP="008C7D06">
      <w:pPr>
        <w:pStyle w:val="Citation"/>
      </w:pPr>
      <w:r>
        <w:t>Les questions concernant le sens d’une phrase ne peuvent être posées qu’à propos de phrases employées par des locuteurs particuliers en des occasions particulières</w:t>
      </w:r>
      <w:r>
        <w:rPr>
          <w:rStyle w:val="Appelnotedebasdep"/>
        </w:rPr>
        <w:footnoteReference w:id="46"/>
      </w:r>
      <w:r>
        <w:t>.</w:t>
      </w:r>
    </w:p>
    <w:p w14:paraId="2AD620D0" w14:textId="14F6D832" w:rsidR="00972E43" w:rsidRDefault="00972E43" w:rsidP="008C7D06">
      <w:r>
        <w:t>Pour comprendre l’objection, penchons-nous sur</w:t>
      </w:r>
      <w:r w:rsidR="00592B41">
        <w:t xml:space="preserve"> les exemples que </w:t>
      </w:r>
      <w:r w:rsidR="008F15C8">
        <w:t xml:space="preserve">donne Herzberg sur </w:t>
      </w:r>
      <w:r w:rsidR="000A1D45">
        <w:t>les moyens</w:t>
      </w:r>
      <w:r w:rsidR="008F15C8">
        <w:t xml:space="preserve"> de donner un sens à ces phrases</w:t>
      </w:r>
      <w:r w:rsidR="0015355A">
        <w:t xml:space="preserve">. </w:t>
      </w:r>
      <w:r w:rsidR="00632C0D">
        <w:t>Nous nous permettons de les citer directement en anglais en raison du caractère intraduisible littéralement de ceux-ci</w:t>
      </w:r>
      <w:r>
        <w:t> :</w:t>
      </w:r>
    </w:p>
    <w:p w14:paraId="27605DB2" w14:textId="0891039B" w:rsidR="00632C0D" w:rsidRPr="00632C0D" w:rsidRDefault="00632C0D" w:rsidP="008C7D06">
      <w:pPr>
        <w:pStyle w:val="Citation"/>
      </w:pPr>
      <w:r w:rsidRPr="00632C0D">
        <w:t xml:space="preserve">Il me semble que des considérations analogues à celles qui pourraient nous convaincre d’abandonner la vision naturelle du non-sens devraient aussi nous rendre suspicieux quant à la possibilité de demander si une </w:t>
      </w:r>
      <w:r w:rsidRPr="00632C0D">
        <w:rPr>
          <w:i/>
        </w:rPr>
        <w:t>phrase</w:t>
      </w:r>
      <w:r w:rsidRPr="00632C0D">
        <w:t xml:space="preserve">, en elle-même, a ou n’a pas de sens. Cora </w:t>
      </w:r>
      <w:proofErr w:type="spellStart"/>
      <w:r w:rsidRPr="00632C0D">
        <w:t>Diamond</w:t>
      </w:r>
      <w:proofErr w:type="spellEnd"/>
      <w:r w:rsidRPr="00632C0D">
        <w:t xml:space="preserve"> dit : « il n’est pas évident que le </w:t>
      </w:r>
      <w:r w:rsidRPr="00632C0D">
        <w:lastRenderedPageBreak/>
        <w:t xml:space="preserve">premier mot dans (C) “Caesar </w:t>
      </w:r>
      <w:proofErr w:type="spellStart"/>
      <w:r w:rsidRPr="00632C0D">
        <w:t>is</w:t>
      </w:r>
      <w:proofErr w:type="spellEnd"/>
      <w:r w:rsidRPr="00632C0D">
        <w:t xml:space="preserve"> a prime </w:t>
      </w:r>
      <w:proofErr w:type="spellStart"/>
      <w:r w:rsidRPr="00632C0D">
        <w:t>number</w:t>
      </w:r>
      <w:proofErr w:type="spellEnd"/>
      <w:r w:rsidR="00B95FD8">
        <w:rPr>
          <w:rStyle w:val="Appelnotedebasdep"/>
        </w:rPr>
        <w:footnoteReference w:id="47"/>
      </w:r>
      <w:r w:rsidRPr="00632C0D">
        <w:t>” signifie ce qu’il signifie dans “</w:t>
      </w:r>
      <w:proofErr w:type="spellStart"/>
      <w:r w:rsidRPr="00632C0D">
        <w:t>When</w:t>
      </w:r>
      <w:proofErr w:type="spellEnd"/>
      <w:r w:rsidRPr="00632C0D">
        <w:t xml:space="preserve"> </w:t>
      </w:r>
      <w:proofErr w:type="spellStart"/>
      <w:r w:rsidRPr="00632C0D">
        <w:t>did</w:t>
      </w:r>
      <w:proofErr w:type="spellEnd"/>
      <w:r w:rsidRPr="00632C0D">
        <w:t xml:space="preserve"> Caesar cross the </w:t>
      </w:r>
      <w:proofErr w:type="gramStart"/>
      <w:r w:rsidRPr="00632C0D">
        <w:t>Rubicon?</w:t>
      </w:r>
      <w:proofErr w:type="gramEnd"/>
      <w:r w:rsidR="00B95FD8">
        <w:rPr>
          <w:rStyle w:val="Appelnotedebasdep"/>
        </w:rPr>
        <w:footnoteReference w:id="48"/>
      </w:r>
      <w:r w:rsidRPr="00632C0D">
        <w:t xml:space="preserve">” ». Ainsi, elle semble prendre pour acquis de toute évidence que la seconde phrase </w:t>
      </w:r>
      <w:r w:rsidRPr="00632C0D">
        <w:rPr>
          <w:i/>
        </w:rPr>
        <w:t>est</w:t>
      </w:r>
      <w:r w:rsidRPr="00632C0D">
        <w:t xml:space="preserve"> un usage déterminé du mot « C</w:t>
      </w:r>
      <w:r>
        <w:t>ae</w:t>
      </w:r>
      <w:r w:rsidRPr="00632C0D">
        <w:t>sar ». Mais il n’y a</w:t>
      </w:r>
      <w:r w:rsidR="00E878A8">
        <w:t>,</w:t>
      </w:r>
      <w:r w:rsidRPr="00632C0D">
        <w:t xml:space="preserve"> semble-t-il</w:t>
      </w:r>
      <w:r w:rsidR="00E878A8">
        <w:t>,</w:t>
      </w:r>
      <w:r w:rsidRPr="00632C0D">
        <w:t xml:space="preserve"> aucune raison de le penser. Après tout, la phrase « </w:t>
      </w:r>
      <w:r w:rsidR="00852BDB" w:rsidRPr="00852BDB">
        <w:t xml:space="preserve">Caesar </w:t>
      </w:r>
      <w:proofErr w:type="spellStart"/>
      <w:r w:rsidR="00852BDB" w:rsidRPr="00852BDB">
        <w:t>crossed</w:t>
      </w:r>
      <w:proofErr w:type="spellEnd"/>
      <w:r w:rsidR="00852BDB" w:rsidRPr="00852BDB">
        <w:t xml:space="preserve"> the Rubicon</w:t>
      </w:r>
      <w:r w:rsidR="00852BDB">
        <w:rPr>
          <w:rStyle w:val="Appelnotedebasdep"/>
          <w:lang w:val="en-US"/>
        </w:rPr>
        <w:footnoteReference w:id="49"/>
      </w:r>
      <w:r w:rsidRPr="00632C0D">
        <w:t> » pourrait tout aussi bien décrire, par exemple, les trafics entre un agent de la mafia nommé C</w:t>
      </w:r>
      <w:r w:rsidR="00F167BF">
        <w:t>ae</w:t>
      </w:r>
      <w:r w:rsidRPr="00632C0D">
        <w:t>sar et un syndicat du crime surnommé le Rubicon.</w:t>
      </w:r>
    </w:p>
    <w:p w14:paraId="36F7332E" w14:textId="27EFBF3A" w:rsidR="00632C0D" w:rsidRPr="00632C0D" w:rsidRDefault="00632C0D" w:rsidP="008C7D06">
      <w:pPr>
        <w:pStyle w:val="Citation"/>
      </w:pPr>
      <w:r w:rsidRPr="00632C0D">
        <w:t>Ou encore, si mon fils avait une tortue nommée C</w:t>
      </w:r>
      <w:r w:rsidR="00852BDB">
        <w:t>ae</w:t>
      </w:r>
      <w:r w:rsidRPr="00632C0D">
        <w:t>sar et que je lui demandais soudain : « </w:t>
      </w:r>
      <w:proofErr w:type="spellStart"/>
      <w:r w:rsidR="00852BDB" w:rsidRPr="00852BDB">
        <w:t>Did</w:t>
      </w:r>
      <w:proofErr w:type="spellEnd"/>
      <w:r w:rsidR="00852BDB" w:rsidRPr="00852BDB">
        <w:t xml:space="preserve"> </w:t>
      </w:r>
      <w:proofErr w:type="spellStart"/>
      <w:r w:rsidR="00852BDB" w:rsidRPr="00852BDB">
        <w:t>you</w:t>
      </w:r>
      <w:proofErr w:type="spellEnd"/>
      <w:r w:rsidR="00852BDB" w:rsidRPr="00852BDB">
        <w:t xml:space="preserve"> know </w:t>
      </w:r>
      <w:proofErr w:type="spellStart"/>
      <w:r w:rsidR="00852BDB" w:rsidRPr="00852BDB">
        <w:t>that</w:t>
      </w:r>
      <w:proofErr w:type="spellEnd"/>
      <w:r w:rsidR="00852BDB" w:rsidRPr="00852BDB">
        <w:t xml:space="preserve"> Caesar </w:t>
      </w:r>
      <w:proofErr w:type="spellStart"/>
      <w:r w:rsidR="00852BDB" w:rsidRPr="00852BDB">
        <w:t>crossed</w:t>
      </w:r>
      <w:proofErr w:type="spellEnd"/>
      <w:r w:rsidR="00852BDB" w:rsidRPr="00852BDB">
        <w:t xml:space="preserve"> the </w:t>
      </w:r>
      <w:proofErr w:type="gramStart"/>
      <w:r w:rsidR="00852BDB" w:rsidRPr="00852BDB">
        <w:t>Rubicon?</w:t>
      </w:r>
      <w:proofErr w:type="gramEnd"/>
      <w:r w:rsidR="00410B72">
        <w:rPr>
          <w:rStyle w:val="Appelnotedebasdep"/>
        </w:rPr>
        <w:footnoteReference w:id="50"/>
      </w:r>
      <w:r w:rsidR="00852BDB">
        <w:t> </w:t>
      </w:r>
      <w:r w:rsidRPr="00632C0D">
        <w:t>», il penserait probablement que je dis n’importe quoi.</w:t>
      </w:r>
    </w:p>
    <w:p w14:paraId="44734A6C" w14:textId="4F7E5B14" w:rsidR="00632C0D" w:rsidRPr="00632C0D" w:rsidRDefault="00632C0D" w:rsidP="008C7D06">
      <w:pPr>
        <w:pStyle w:val="Citation"/>
        <w:rPr>
          <w:lang w:val="en-US"/>
        </w:rPr>
      </w:pPr>
      <w:r w:rsidRPr="00632C0D">
        <w:t xml:space="preserve">Ou imaginons, au contraire, cette conversation entre deux juges à un concours canin : </w:t>
      </w:r>
      <w:proofErr w:type="gramStart"/>
      <w:r w:rsidR="00852BDB" w:rsidRPr="00B95FD8">
        <w:t>A:</w:t>
      </w:r>
      <w:proofErr w:type="gramEnd"/>
      <w:r w:rsidR="00852BDB" w:rsidRPr="00B95FD8">
        <w:t xml:space="preserve"> </w:t>
      </w:r>
      <w:r w:rsidR="00B95FD8" w:rsidRPr="00B95FD8">
        <w:t>« </w:t>
      </w:r>
      <w:proofErr w:type="spellStart"/>
      <w:r w:rsidR="00852BDB" w:rsidRPr="00B95FD8">
        <w:t>What</w:t>
      </w:r>
      <w:proofErr w:type="spellEnd"/>
      <w:r w:rsidR="00852BDB" w:rsidRPr="00B95FD8">
        <w:t xml:space="preserve"> are the prime </w:t>
      </w:r>
      <w:proofErr w:type="spellStart"/>
      <w:r w:rsidR="00852BDB" w:rsidRPr="00B95FD8">
        <w:t>contenders</w:t>
      </w:r>
      <w:proofErr w:type="spellEnd"/>
      <w:r w:rsidR="00852BDB" w:rsidRPr="00B95FD8">
        <w:t xml:space="preserve"> in </w:t>
      </w:r>
      <w:proofErr w:type="spellStart"/>
      <w:r w:rsidR="00852BDB" w:rsidRPr="00B95FD8">
        <w:t>this</w:t>
      </w:r>
      <w:proofErr w:type="spellEnd"/>
      <w:r w:rsidR="00852BDB" w:rsidRPr="00B95FD8">
        <w:t xml:space="preserve"> class?</w:t>
      </w:r>
      <w:r w:rsidR="00B95FD8" w:rsidRPr="00B95FD8">
        <w:t> »</w:t>
      </w:r>
      <w:r w:rsidR="00852BDB" w:rsidRPr="00B95FD8">
        <w:t xml:space="preserve">  / </w:t>
      </w:r>
      <w:proofErr w:type="gramStart"/>
      <w:r w:rsidR="00852BDB" w:rsidRPr="00B95FD8">
        <w:t>B:</w:t>
      </w:r>
      <w:proofErr w:type="gramEnd"/>
      <w:r w:rsidR="00852BDB" w:rsidRPr="00B95FD8">
        <w:t xml:space="preserve"> </w:t>
      </w:r>
      <w:r w:rsidR="00B95FD8" w:rsidRPr="00B95FD8">
        <w:t>« </w:t>
      </w:r>
      <w:proofErr w:type="spellStart"/>
      <w:r w:rsidR="00852BDB" w:rsidRPr="00B95FD8">
        <w:t>Well</w:t>
      </w:r>
      <w:proofErr w:type="spellEnd"/>
      <w:r w:rsidR="00852BDB" w:rsidRPr="00B95FD8">
        <w:t xml:space="preserve">, Caesar </w:t>
      </w:r>
      <w:proofErr w:type="spellStart"/>
      <w:r w:rsidR="00852BDB" w:rsidRPr="00B95FD8">
        <w:t>is</w:t>
      </w:r>
      <w:proofErr w:type="spellEnd"/>
      <w:r w:rsidR="00852BDB" w:rsidRPr="00B95FD8">
        <w:t xml:space="preserve"> a prime </w:t>
      </w:r>
      <w:proofErr w:type="spellStart"/>
      <w:r w:rsidR="00852BDB" w:rsidRPr="00B95FD8">
        <w:t>number</w:t>
      </w:r>
      <w:proofErr w:type="spellEnd"/>
      <w:r w:rsidR="00852BDB" w:rsidRPr="00B95FD8">
        <w:t>.</w:t>
      </w:r>
      <w:r w:rsidR="00B95FD8">
        <w:t> »</w:t>
      </w:r>
      <w:r w:rsidR="00852BDB" w:rsidRPr="00B95FD8">
        <w:rPr>
          <w:rFonts w:ascii="MS Gothic" w:eastAsia="MS Gothic" w:hAnsi="MS Gothic" w:cs="MS Gothic"/>
        </w:rPr>
        <w:t> </w:t>
      </w:r>
      <w:r w:rsidR="00852BDB" w:rsidRPr="00B95FD8">
        <w:t xml:space="preserve">/ </w:t>
      </w:r>
      <w:proofErr w:type="gramStart"/>
      <w:r w:rsidR="00852BDB" w:rsidRPr="00B95FD8">
        <w:t>A:</w:t>
      </w:r>
      <w:proofErr w:type="gramEnd"/>
      <w:r w:rsidR="00852BDB" w:rsidRPr="00B95FD8">
        <w:t xml:space="preserve"> </w:t>
      </w:r>
      <w:r w:rsidR="00B95FD8">
        <w:t>« </w:t>
      </w:r>
      <w:proofErr w:type="spellStart"/>
      <w:r w:rsidR="00852BDB" w:rsidRPr="00B95FD8">
        <w:t>Which</w:t>
      </w:r>
      <w:proofErr w:type="spellEnd"/>
      <w:r w:rsidR="00852BDB" w:rsidRPr="00B95FD8">
        <w:t xml:space="preserve"> one </w:t>
      </w:r>
      <w:proofErr w:type="spellStart"/>
      <w:r w:rsidR="00852BDB" w:rsidRPr="00B95FD8">
        <w:t>is</w:t>
      </w:r>
      <w:proofErr w:type="spellEnd"/>
      <w:r w:rsidR="00852BDB" w:rsidRPr="00B95FD8">
        <w:t xml:space="preserve"> </w:t>
      </w:r>
      <w:proofErr w:type="spellStart"/>
      <w:r w:rsidR="00852BDB" w:rsidRPr="00B95FD8">
        <w:t>that</w:t>
      </w:r>
      <w:proofErr w:type="spellEnd"/>
      <w:r w:rsidR="00852BDB" w:rsidRPr="00B95FD8">
        <w:t>?</w:t>
      </w:r>
      <w:r w:rsidR="00B95FD8">
        <w:t> »</w:t>
      </w:r>
      <w:r w:rsidR="00852BDB" w:rsidRPr="00B95FD8">
        <w:rPr>
          <w:rFonts w:ascii="MS Gothic" w:eastAsia="MS Gothic" w:hAnsi="MS Gothic" w:cs="MS Gothic"/>
        </w:rPr>
        <w:t xml:space="preserve"> / </w:t>
      </w:r>
      <w:r w:rsidR="00852BDB" w:rsidRPr="00B95FD8">
        <w:t xml:space="preserve">B. </w:t>
      </w:r>
      <w:r w:rsidR="00B95FD8">
        <w:t>« </w:t>
      </w:r>
      <w:proofErr w:type="spellStart"/>
      <w:r w:rsidR="00852BDB" w:rsidRPr="00B95FD8">
        <w:t>It's</w:t>
      </w:r>
      <w:proofErr w:type="spellEnd"/>
      <w:r w:rsidR="00852BDB" w:rsidRPr="00B95FD8">
        <w:t xml:space="preserve"> </w:t>
      </w:r>
      <w:proofErr w:type="spellStart"/>
      <w:r w:rsidR="00852BDB" w:rsidRPr="00B95FD8">
        <w:t>number</w:t>
      </w:r>
      <w:proofErr w:type="spellEnd"/>
      <w:r w:rsidR="00852BDB" w:rsidRPr="00B95FD8">
        <w:t xml:space="preserve"> 53.</w:t>
      </w:r>
      <w:r w:rsidR="00B95FD8">
        <w:t> »</w:t>
      </w:r>
      <w:r w:rsidR="00852BDB" w:rsidRPr="00B95FD8">
        <w:t xml:space="preserve"> / </w:t>
      </w:r>
      <w:proofErr w:type="gramStart"/>
      <w:r w:rsidR="00852BDB" w:rsidRPr="00B95FD8">
        <w:t>A:</w:t>
      </w:r>
      <w:proofErr w:type="gramEnd"/>
      <w:r w:rsidR="00852BDB" w:rsidRPr="00B95FD8">
        <w:t xml:space="preserve"> </w:t>
      </w:r>
      <w:r w:rsidR="00B95FD8">
        <w:t>« </w:t>
      </w:r>
      <w:proofErr w:type="spellStart"/>
      <w:r w:rsidR="00852BDB" w:rsidRPr="00B95FD8">
        <w:t>Yes</w:t>
      </w:r>
      <w:proofErr w:type="spellEnd"/>
      <w:r w:rsidR="00852BDB" w:rsidRPr="00B95FD8">
        <w:t xml:space="preserve">, </w:t>
      </w:r>
      <w:proofErr w:type="spellStart"/>
      <w:r w:rsidR="00852BDB" w:rsidRPr="00B95FD8">
        <w:t>you're</w:t>
      </w:r>
      <w:proofErr w:type="spellEnd"/>
      <w:r w:rsidR="00852BDB" w:rsidRPr="00B95FD8">
        <w:t xml:space="preserve"> right of course, 53 </w:t>
      </w:r>
      <w:proofErr w:type="spellStart"/>
      <w:r w:rsidR="00852BDB" w:rsidRPr="00B95FD8">
        <w:t>really</w:t>
      </w:r>
      <w:proofErr w:type="spellEnd"/>
      <w:r w:rsidR="00852BDB" w:rsidRPr="00B95FD8">
        <w:t xml:space="preserve"> </w:t>
      </w:r>
      <w:proofErr w:type="spellStart"/>
      <w:r w:rsidR="00852BDB" w:rsidRPr="00B95FD8">
        <w:t>is</w:t>
      </w:r>
      <w:proofErr w:type="spellEnd"/>
      <w:r w:rsidR="00852BDB" w:rsidRPr="00B95FD8">
        <w:t xml:space="preserve"> a prime </w:t>
      </w:r>
      <w:proofErr w:type="spellStart"/>
      <w:r w:rsidR="00852BDB" w:rsidRPr="00B95FD8">
        <w:t>number</w:t>
      </w:r>
      <w:proofErr w:type="spellEnd"/>
      <w:r w:rsidR="00852BDB" w:rsidRPr="00B95FD8">
        <w:t>.</w:t>
      </w:r>
      <w:r w:rsidR="00B95FD8">
        <w:t> »</w:t>
      </w:r>
      <w:r w:rsidR="00B95FD8">
        <w:rPr>
          <w:rStyle w:val="Appelnotedebasdep"/>
        </w:rPr>
        <w:footnoteReference w:id="51"/>
      </w:r>
    </w:p>
    <w:p w14:paraId="6B701565" w14:textId="2B0975C0" w:rsidR="00C73144" w:rsidRPr="007922D3" w:rsidRDefault="00632C0D" w:rsidP="008C7D06">
      <w:pPr>
        <w:pStyle w:val="Citation"/>
      </w:pPr>
      <w:r w:rsidRPr="00632C0D">
        <w:t>L’exemple est peut-être un peu tiré par les cheveux, mais il semble nous fournir un cas dans lequel, d’un</w:t>
      </w:r>
      <w:r w:rsidR="007922D3">
        <w:t xml:space="preserve"> côté </w:t>
      </w:r>
      <w:r w:rsidRPr="00632C0D">
        <w:t>(C) a un sens</w:t>
      </w:r>
      <w:r w:rsidR="007922D3">
        <w:t>,</w:t>
      </w:r>
      <w:r w:rsidRPr="00632C0D">
        <w:t xml:space="preserve"> tandis que « 53 </w:t>
      </w:r>
      <w:proofErr w:type="spellStart"/>
      <w:r w:rsidR="00B95FD8">
        <w:t>is</w:t>
      </w:r>
      <w:proofErr w:type="spellEnd"/>
      <w:r w:rsidR="00B95FD8">
        <w:t xml:space="preserve"> a prime </w:t>
      </w:r>
      <w:proofErr w:type="spellStart"/>
      <w:r w:rsidR="00B95FD8">
        <w:t>number</w:t>
      </w:r>
      <w:proofErr w:type="spellEnd"/>
      <w:r w:rsidRPr="00632C0D">
        <w:t> » n’est pas employé comme un énoncé arithmétique.</w:t>
      </w:r>
      <w:r w:rsidR="00C73144">
        <w:rPr>
          <w:rStyle w:val="Appelnotedebasdep"/>
        </w:rPr>
        <w:footnoteReference w:id="52"/>
      </w:r>
    </w:p>
    <w:p w14:paraId="48BEB1C3" w14:textId="0F27C21C" w:rsidR="001713DB" w:rsidRDefault="009D4391" w:rsidP="008C7D06">
      <w:r>
        <w:t>Comme le montrent ces exemples, l</w:t>
      </w:r>
      <w:r w:rsidR="008F15C8">
        <w:t xml:space="preserve">e sens d’une phrase </w:t>
      </w:r>
      <w:r>
        <w:t xml:space="preserve">ne </w:t>
      </w:r>
      <w:r w:rsidR="008F15C8">
        <w:t xml:space="preserve">se détermine donc </w:t>
      </w:r>
      <w:r>
        <w:t xml:space="preserve">que </w:t>
      </w:r>
      <w:r w:rsidR="008F15C8">
        <w:t>sur fond de circonstances appropriées ou non et qui permettent justement de dessiner un contexte. Ainsi, si sens et contexte sont indissociables, la phrase n</w:t>
      </w:r>
      <w:r w:rsidR="000A1D45">
        <w:t>’en</w:t>
      </w:r>
      <w:r w:rsidR="008F15C8">
        <w:t xml:space="preserve"> transporte pas plus avec elle son contexte – ou </w:t>
      </w:r>
      <w:r w:rsidR="006907B5">
        <w:t xml:space="preserve">plutôt </w:t>
      </w:r>
      <w:r w:rsidR="008F15C8">
        <w:t xml:space="preserve">les contextes possibles de ses applications – qu’elle ne transporte avec elle son sens. Le contexte, comme le sens, se détermine sur fond de circonstances. </w:t>
      </w:r>
      <w:r w:rsidR="008045D8">
        <w:t xml:space="preserve">Comprenons-nous bien ici sur la différence </w:t>
      </w:r>
      <w:r w:rsidR="004A34F2">
        <w:t>entre contexte et circonstances</w:t>
      </w:r>
      <w:r w:rsidR="008F15C8">
        <w:t>. Je m’appuierai ici à nouveau sur un texte de Jocelyn Benoist.</w:t>
      </w:r>
    </w:p>
    <w:p w14:paraId="6B2FEA26" w14:textId="01B09B47" w:rsidR="009E2DED" w:rsidRDefault="008F15C8" w:rsidP="008C7D06">
      <w:r>
        <w:t>Telles que nous les comprenons, les circonstances sont ce qui a lieu, elles sont contemporaines de l’acte de parole mais ne sont pas circonscrites par l’acte. Ainsi, s’il faut partir de l’acte pour en déterminer les circonstances, on ne peut délimiter a priori ce qui des circonstances est pertinent pour comprendre l’acte. Car ce qui est pertinent pour comprendre l’acte, c’est précisément cette partie des circonstances que nous appelons « contexte » ; cette</w:t>
      </w:r>
      <w:r w:rsidR="0050463C">
        <w:t xml:space="preserve"> partie des circonstances qui joue un rôle dans la détermination du sens</w:t>
      </w:r>
      <w:r>
        <w:t>.</w:t>
      </w:r>
      <w:r w:rsidR="00D53927">
        <w:t xml:space="preserve"> Or, précise Benoist :</w:t>
      </w:r>
    </w:p>
    <w:p w14:paraId="45A86A53" w14:textId="77777777" w:rsidR="00D53927" w:rsidRDefault="00D53927" w:rsidP="008C7D06">
      <w:pPr>
        <w:pStyle w:val="Citation"/>
      </w:pPr>
      <w:r>
        <w:t>Les circonstances, par définition, peuvent ne pas être appropriées. Dans ce cas, semble-t-il, elles ne constituent pas un « contexte » au sens plus étroit que nous avons isolé. On aimerait bien effectuer tel ou tel acte mais il manque le contexte pour cela</w:t>
      </w:r>
      <w:r>
        <w:rPr>
          <w:rStyle w:val="Appelnotedebasdep"/>
        </w:rPr>
        <w:footnoteReference w:id="53"/>
      </w:r>
      <w:r>
        <w:t>.</w:t>
      </w:r>
    </w:p>
    <w:p w14:paraId="3D53E56C" w14:textId="59D1C2AE" w:rsidR="00147EAF" w:rsidRDefault="00633B97" w:rsidP="008C7D06">
      <w:r>
        <w:t xml:space="preserve">Cette possibilité de l’impropriété des </w:t>
      </w:r>
      <w:r w:rsidR="00147EAF">
        <w:t xml:space="preserve">circonstances est ce qui rend possible la compréhension du non-sens </w:t>
      </w:r>
      <w:r w:rsidR="00741207">
        <w:t>w</w:t>
      </w:r>
      <w:r w:rsidR="00147EAF">
        <w:t xml:space="preserve">ittgensteinien, non pas (nécessairement), comme on l’a dit, en raison de son inadéquation à un ordre qui le précèderait, mais en raison de la non détermination du contexte, et même plus exactement de l’impossibilité de déterminer le contexte d’un (pseudo)énoncé. </w:t>
      </w:r>
      <w:r w:rsidR="00147EAF">
        <w:lastRenderedPageBreak/>
        <w:t>Voici donc en quoi le non-sens est</w:t>
      </w:r>
      <w:r w:rsidR="00A23BA7">
        <w:t xml:space="preserve"> au moins sous un aspect</w:t>
      </w:r>
      <w:r w:rsidR="00147EAF">
        <w:t xml:space="preserve"> </w:t>
      </w:r>
      <w:r w:rsidR="00147EAF">
        <w:rPr>
          <w:i/>
        </w:rPr>
        <w:t>absence de contexte</w:t>
      </w:r>
      <w:r w:rsidR="00147EAF">
        <w:t>.</w:t>
      </w:r>
      <w:r w:rsidR="00A23BA7">
        <w:t xml:space="preserve"> </w:t>
      </w:r>
      <w:r w:rsidR="00147EAF">
        <w:t>Quelle différence cela fait-il de considérer un énoncé (</w:t>
      </w:r>
      <w:proofErr w:type="spellStart"/>
      <w:r w:rsidR="00147EAF" w:rsidRPr="00A23BA7">
        <w:rPr>
          <w:i/>
        </w:rPr>
        <w:t>utterance</w:t>
      </w:r>
      <w:proofErr w:type="spellEnd"/>
      <w:r w:rsidR="00147EAF">
        <w:t>) dans son contexte ?</w:t>
      </w:r>
    </w:p>
    <w:p w14:paraId="368F8241" w14:textId="15289A2D" w:rsidR="00147EAF" w:rsidRPr="00147EAF" w:rsidRDefault="00147EAF" w:rsidP="008C7D06">
      <w:pPr>
        <w:pStyle w:val="Citation"/>
      </w:pPr>
      <w:r>
        <w:t>Cela ne signifie pas simplement que nous élargissons le nombre de facteurs pris en considération pour établir le sens d’un énoncé, comme si le sens était fonction d’un ensemble déterminé de variables contextuelles en plus des variables verbales. Ce serait clairement un malentendu puisqu’il est impossible de déterminer par avance quelles considérations contextuelles seront pertinentes pour comprendre ce que dit une personne. Ce à quoi nous réagissons au cours d’une conversation, pourrait-on dire, c’est l’énoncé particulier dans son contexte particulier, notre compréhension de l’énoncé et notre compréhension du contexte étant mutuellement dépendantes. On pourrait penser que ceci rend la question de la compréhension circulaire, mais il n’y a pas ici de cercle vicieux, car en parlant et en écoutant nous ne cherchons pas à prouver quoi que ce soit.</w:t>
      </w:r>
      <w:r w:rsidR="004B37E6">
        <w:rPr>
          <w:rStyle w:val="Appelnotedebasdep"/>
        </w:rPr>
        <w:footnoteReference w:id="54"/>
      </w:r>
    </w:p>
    <w:p w14:paraId="26E723DD" w14:textId="3B71E2B2" w:rsidR="006675AA" w:rsidRDefault="006675AA" w:rsidP="008C7D06">
      <w:r>
        <w:t>Ici, la question énigmatique de la détermination du sens semble se clarifier au moins en partie : déterminer le sens d’un énoncé, c’est aussi bien en déterminer le contexte d’énonciation, c’est-à-dire, entre autres, dire quel type d’acte de parole a été fait et quelles en sont les conséquences éventuelles.</w:t>
      </w:r>
    </w:p>
    <w:p w14:paraId="0D1E3AE4" w14:textId="6D3F1182" w:rsidR="006675AA" w:rsidRDefault="006675AA" w:rsidP="008C7D06">
      <w:r>
        <w:t xml:space="preserve">Ainsi, donner le contexte d’un énoncé ne saurait de toute évidence se faire in abstracto, mais seulement sur fond de circonstances. C’est ce qui permet à Wittgenstein d’affirmer que s’il est toujours en principe possible de donner un sens à n’importe quelle phrase en lui inventant, pour ainsi dire, un contexte – </w:t>
      </w:r>
      <w:r w:rsidR="00A245C5">
        <w:t>c’est-à-dire</w:t>
      </w:r>
      <w:r>
        <w:t xml:space="preserve"> en produisant un jeu de langage dans le</w:t>
      </w:r>
      <w:r w:rsidR="0079544C">
        <w:t>quel</w:t>
      </w:r>
      <w:r>
        <w:t xml:space="preserve"> elle pourrait être dite (au sens </w:t>
      </w:r>
      <w:r w:rsidR="00A245C5">
        <w:t>de</w:t>
      </w:r>
      <w:r>
        <w:t xml:space="preserve"> </w:t>
      </w:r>
      <w:r w:rsidR="00A245C5">
        <w:t>« </w:t>
      </w:r>
      <w:r>
        <w:t>faire sens</w:t>
      </w:r>
      <w:r w:rsidR="00A245C5">
        <w:t> »</w:t>
      </w:r>
      <w:r>
        <w:t xml:space="preserve">) – cela ne signifie pas que le sens (possible) était contenu par avance dans la phrase. </w:t>
      </w:r>
      <w:r w:rsidR="0079544C">
        <w:t>Une telle conclusion nous ferait perdre la normativité du sens et avec elle la possibilité du non-sens. Comme le souligne Benoist :</w:t>
      </w:r>
    </w:p>
    <w:p w14:paraId="6D597D90" w14:textId="77777777" w:rsidR="0079544C" w:rsidRPr="002A3FC0" w:rsidRDefault="0079544C" w:rsidP="008C7D06">
      <w:pPr>
        <w:pStyle w:val="Citation"/>
      </w:pPr>
      <w:r>
        <w:t xml:space="preserve">C’est une intuition qu’on trouve aussi dans </w:t>
      </w:r>
      <w:r w:rsidRPr="0079544C">
        <w:rPr>
          <w:i/>
        </w:rPr>
        <w:t>De la certitude</w:t>
      </w:r>
      <w:r>
        <w:t xml:space="preserve">, qu’il n’y a pas d’énoncé paradoxal et apparemment « dépourvu de sens » auquel on ne puisse donner un sens moyennant un scénario un peu complexe, une </w:t>
      </w:r>
      <w:r>
        <w:rPr>
          <w:i/>
        </w:rPr>
        <w:t>modification de contexte</w:t>
      </w:r>
      <w:r>
        <w:t xml:space="preserve">. Ce serait évidemment une erreur de se croire autorisé à en inférer que ce qui, apparemment, n’avait pas de sens, en fait </w:t>
      </w:r>
      <w:r w:rsidRPr="002A3FC0">
        <w:rPr>
          <w:i/>
        </w:rPr>
        <w:t>en avait</w:t>
      </w:r>
      <w:r>
        <w:t>, c’est-à-dire que la possibilité du changement de contexte se voyait déjà comprise dans le sens initialement donné et « supporté » par lui</w:t>
      </w:r>
      <w:r>
        <w:rPr>
          <w:rStyle w:val="Appelnotedebasdep"/>
        </w:rPr>
        <w:footnoteReference w:id="55"/>
      </w:r>
      <w:r>
        <w:t>.</w:t>
      </w:r>
    </w:p>
    <w:p w14:paraId="56C56250" w14:textId="1F5314F5" w:rsidR="0079544C" w:rsidRDefault="00C87D8B" w:rsidP="008C7D06">
      <w:r>
        <w:t>La possibilité d</w:t>
      </w:r>
      <w:r w:rsidR="00922D17">
        <w:t>u</w:t>
      </w:r>
      <w:r>
        <w:t xml:space="preserve"> changement d</w:t>
      </w:r>
      <w:r w:rsidR="00922D17">
        <w:t>e</w:t>
      </w:r>
      <w:r>
        <w:t xml:space="preserve"> contexte implique de considérer l’acte de parole dans son entier et pas seulement la phrase prise isolément. Ainsi, lorsque le </w:t>
      </w:r>
      <w:r w:rsidR="00B61DC7">
        <w:t>métaphysicien</w:t>
      </w:r>
      <w:r>
        <w:t xml:space="preserve"> profère un</w:t>
      </w:r>
    </w:p>
    <w:p w14:paraId="3BDCD474" w14:textId="49EE8FDD" w:rsidR="00C87D8B" w:rsidRDefault="00C87D8B" w:rsidP="008C7D06">
      <w:proofErr w:type="gramStart"/>
      <w:r>
        <w:t>n</w:t>
      </w:r>
      <w:r w:rsidR="0050463C">
        <w:t>on</w:t>
      </w:r>
      <w:proofErr w:type="gramEnd"/>
      <w:r w:rsidR="0050463C">
        <w:t>-sens</w:t>
      </w:r>
      <w:r>
        <w:t>,</w:t>
      </w:r>
      <w:r w:rsidR="0050463C">
        <w:t xml:space="preserve"> quelque chose a bien été </w:t>
      </w:r>
      <w:r w:rsidR="0050463C" w:rsidRPr="00B61DC7">
        <w:rPr>
          <w:i/>
        </w:rPr>
        <w:t>fait</w:t>
      </w:r>
      <w:r>
        <w:t>,</w:t>
      </w:r>
      <w:r w:rsidR="0050463C">
        <w:t xml:space="preserve"> ce qui ne signifie pas que quelque chose a été </w:t>
      </w:r>
      <w:r w:rsidR="0050463C" w:rsidRPr="00B61DC7">
        <w:rPr>
          <w:i/>
        </w:rPr>
        <w:t>dit</w:t>
      </w:r>
      <w:r>
        <w:t xml:space="preserve">. Le philosophe a voulu ou cru employer des mots </w:t>
      </w:r>
      <w:r w:rsidR="00B61DC7">
        <w:t>(</w:t>
      </w:r>
      <w:r>
        <w:t>des mots qu’il comprenait</w:t>
      </w:r>
      <w:r w:rsidR="00B61DC7">
        <w:t>),</w:t>
      </w:r>
      <w:r>
        <w:t xml:space="preserve"> mais il ne l’a pas fait. Il a simplement proféré un non-sens. Car les circonstances de son énoncé ne permettent pas d’en déterminer le contexte. Il compte trop sur l’illusion </w:t>
      </w:r>
      <w:r w:rsidR="000E3E01">
        <w:t xml:space="preserve">déjà dénoncée </w:t>
      </w:r>
      <w:r>
        <w:t>que les mots transportent leur sens avec eux.</w:t>
      </w:r>
    </w:p>
    <w:p w14:paraId="0F11ADBE" w14:textId="2B9FE757" w:rsidR="009C7F84" w:rsidRDefault="009C7F84" w:rsidP="008C7D06">
      <w:r>
        <w:t xml:space="preserve">Si les circonstances ne disent rien positivement du sens d’un énoncé, elles sont ce sur fond de quoi nous mesurons la réussite ou l’échec de l’acte, et a fortiori de l’acte de parole. </w:t>
      </w:r>
      <w:r w:rsidR="00136896">
        <w:t>Échouer à dire, cela peut bien sûr simplement faire dire à nos mots autre chose que ce que nous voulions dire mais</w:t>
      </w:r>
      <w:r w:rsidR="005954BE">
        <w:t>,</w:t>
      </w:r>
      <w:r w:rsidR="00136896">
        <w:t xml:space="preserve"> plus radicalement, là où le non-sens nous fait sortir de la sphère du dire, échouer à dire, c’est ne rien dire du tout. Ici, nous pouvons distinguer </w:t>
      </w:r>
      <w:r w:rsidR="00AC4B96">
        <w:t>(</w:t>
      </w:r>
      <w:r w:rsidR="00136896">
        <w:t>quoique celles-ci soient indissociablement liées</w:t>
      </w:r>
      <w:r w:rsidR="00AC4B96">
        <w:t>)</w:t>
      </w:r>
      <w:r w:rsidR="00136896">
        <w:t xml:space="preserve"> la normativité de l’action en générale de la normativité du dire. Où nous comprenons enfin en quoi dire et faire sens sont une seule et même chose.</w:t>
      </w:r>
    </w:p>
    <w:p w14:paraId="1C851D71" w14:textId="73A61C3E" w:rsidR="00136896" w:rsidRDefault="00136896" w:rsidP="008C7D06">
      <w:r>
        <w:lastRenderedPageBreak/>
        <w:t xml:space="preserve">Encore une fois, l’échec du dire n’est pas celui d’un dit qui ne dit rien (comme peut être celui des propositions de la syntaxe logique du TLP), c’est un échec qui échappe à la normativité du dire, </w:t>
      </w:r>
      <w:r w:rsidR="0065190B">
        <w:t xml:space="preserve">qui en est exclu et </w:t>
      </w:r>
      <w:r>
        <w:t xml:space="preserve">qui fait </w:t>
      </w:r>
      <w:r w:rsidR="0065190B">
        <w:t xml:space="preserve">donc </w:t>
      </w:r>
      <w:r>
        <w:t>(généralement involontairement) autre chose que dire.</w:t>
      </w:r>
    </w:p>
    <w:p w14:paraId="11E6B345" w14:textId="77777777" w:rsidR="009B5CAB" w:rsidRDefault="009B5CAB" w:rsidP="008C7D06"/>
    <w:p w14:paraId="5A7813A4" w14:textId="07211A40" w:rsidR="009B5CAB" w:rsidRPr="00154602" w:rsidRDefault="009B5CAB" w:rsidP="008C7D06">
      <w:pPr>
        <w:pStyle w:val="Paragraphedeliste"/>
        <w:numPr>
          <w:ilvl w:val="0"/>
          <w:numId w:val="1"/>
        </w:numPr>
        <w:rPr>
          <w:b/>
        </w:rPr>
      </w:pPr>
      <w:r w:rsidRPr="00154602">
        <w:rPr>
          <w:b/>
        </w:rPr>
        <w:t xml:space="preserve">Usages : </w:t>
      </w:r>
      <w:r w:rsidR="003A2F4D" w:rsidRPr="00154602">
        <w:rPr>
          <w:b/>
        </w:rPr>
        <w:t>le dire et le faire</w:t>
      </w:r>
    </w:p>
    <w:p w14:paraId="68679BA3" w14:textId="77777777" w:rsidR="003A2F4D" w:rsidRDefault="003A2F4D" w:rsidP="008C7D06"/>
    <w:p w14:paraId="311F3DB4" w14:textId="1CD8FAE6" w:rsidR="00D359BC" w:rsidRDefault="00D359BC" w:rsidP="008C7D06">
      <w:r>
        <w:t>Pour revenir au geste wittgensteinien qui consiste à reconduire les mots de leur usage métaphysique à leur usage quotidien, la tension qu’il impliquait était</w:t>
      </w:r>
      <w:r w:rsidR="00370F82">
        <w:t>, selon les mots de Herzberg,</w:t>
      </w:r>
      <w:r>
        <w:t xml:space="preserve"> la suivante</w:t>
      </w:r>
      <w:r w:rsidR="00370F82">
        <w:t> </w:t>
      </w:r>
      <w:r>
        <w:t>:</w:t>
      </w:r>
    </w:p>
    <w:p w14:paraId="68BE98FA" w14:textId="2AF5015A" w:rsidR="00C87D8B" w:rsidRDefault="00C87D8B" w:rsidP="008C7D06">
      <w:pPr>
        <w:pStyle w:val="Citation"/>
      </w:pPr>
      <w:r>
        <w:t xml:space="preserve">Le paradoxe est le suivant : il semble que nous devrions comprendre ce que dit le locuteur pour réaliser que nous ne comprenons pas ce qu’il dit. Bien sûr, si un énoncé n’a pas de sens il n’y a là rien </w:t>
      </w:r>
      <w:r w:rsidRPr="00F47A6C">
        <w:rPr>
          <w:i/>
        </w:rPr>
        <w:t xml:space="preserve">à </w:t>
      </w:r>
      <w:r>
        <w:t>comprendre, rien qui pourrait être évident ou ne pas l’être</w:t>
      </w:r>
      <w:r>
        <w:rPr>
          <w:rStyle w:val="Appelnotedebasdep"/>
        </w:rPr>
        <w:footnoteReference w:id="56"/>
      </w:r>
      <w:r>
        <w:t>.</w:t>
      </w:r>
    </w:p>
    <w:p w14:paraId="1441A0BB" w14:textId="1A799BB1" w:rsidR="00D359BC" w:rsidRDefault="00D359BC" w:rsidP="008C7D06">
      <w:r>
        <w:t xml:space="preserve">Pour le dire autrement, il semblait qu’il faille que nous commencions par reconnaître l’usage métaphysique comme un usage, avant de pouvoir y reconnaître un pseudo-usage ou un non-sens. Or, nous avons vu dès le départ que cette possibilité est rejetée </w:t>
      </w:r>
      <w:r w:rsidRPr="000C0B23">
        <w:t>par</w:t>
      </w:r>
      <w:r>
        <w:t xml:space="preserve"> Wittgenstein. Restait à savoir à l’aune de quoi nous devions mesurer le non-sens.</w:t>
      </w:r>
      <w:r w:rsidR="009033DE">
        <w:t xml:space="preserve"> Ici, la </w:t>
      </w:r>
      <w:r w:rsidR="005003BE">
        <w:t>difficulté</w:t>
      </w:r>
      <w:r w:rsidR="009033DE">
        <w:t xml:space="preserve"> semblait se renforcer :</w:t>
      </w:r>
    </w:p>
    <w:p w14:paraId="33D99E58" w14:textId="66FFB7A8" w:rsidR="009033DE" w:rsidRPr="00D359BC" w:rsidRDefault="009033DE" w:rsidP="008C7D06">
      <w:pPr>
        <w:pStyle w:val="Citation"/>
      </w:pPr>
      <w:r>
        <w:t xml:space="preserve">D’une certaine façon, le sens n’est que là où il est donné, c’est la grande leçon de Wittgenstein, cela dès le </w:t>
      </w:r>
      <w:proofErr w:type="spellStart"/>
      <w:r w:rsidRPr="00F3443C">
        <w:rPr>
          <w:i/>
        </w:rPr>
        <w:t>Tractatus</w:t>
      </w:r>
      <w:proofErr w:type="spellEnd"/>
      <w:r>
        <w:t xml:space="preserve">, mais, d’un autre côté, en un autre sens, le sens n’est jamais « donné » comme quelque chose sur quoi on pourrait se replier. Et de ce point de vue, pas plus qu’il n’y a de limite qu’on pourrait tracer à notre langage de l’extérieur, il n’est sûr qu’il y en ait qu’on </w:t>
      </w:r>
      <w:proofErr w:type="gramStart"/>
      <w:r>
        <w:t>puisse</w:t>
      </w:r>
      <w:proofErr w:type="gramEnd"/>
      <w:r>
        <w:t xml:space="preserve"> tracer – ou plutôt expérimenter – en creux, en négatif, « à l’intérieur »</w:t>
      </w:r>
      <w:r>
        <w:rPr>
          <w:rStyle w:val="Appelnotedebasdep"/>
        </w:rPr>
        <w:footnoteReference w:id="57"/>
      </w:r>
      <w:r>
        <w:t>.</w:t>
      </w:r>
    </w:p>
    <w:p w14:paraId="0C77DF01" w14:textId="137F2604" w:rsidR="009033DE" w:rsidRDefault="00C26DFA" w:rsidP="008C7D06">
      <w:r>
        <w:t xml:space="preserve">Dès lors, </w:t>
      </w:r>
      <w:r>
        <w:t>nous pouvons entrevoir (même si on ne fait que l’entrevoir ici) une solution à cette circularité de l’usage</w:t>
      </w:r>
      <w:r>
        <w:t xml:space="preserve">. En effet, il s’agit de comprendre </w:t>
      </w:r>
      <w:r w:rsidR="009033DE">
        <w:t>le n</w:t>
      </w:r>
      <w:r w:rsidR="009B5CAB">
        <w:t>on-sens métaphysique</w:t>
      </w:r>
      <w:r w:rsidR="009033DE">
        <w:t xml:space="preserve"> comme une</w:t>
      </w:r>
      <w:r w:rsidR="009B5CAB">
        <w:t xml:space="preserve"> </w:t>
      </w:r>
      <w:r w:rsidR="009033DE">
        <w:t xml:space="preserve">simple </w:t>
      </w:r>
      <w:r w:rsidR="009B5CAB" w:rsidRPr="00457F32">
        <w:rPr>
          <w:i/>
        </w:rPr>
        <w:t>indétermination</w:t>
      </w:r>
      <w:r w:rsidR="009B5CAB">
        <w:t xml:space="preserve"> du contexte </w:t>
      </w:r>
      <w:r w:rsidR="00BE5AD1">
        <w:t xml:space="preserve">– </w:t>
      </w:r>
      <w:r w:rsidR="009B5CAB">
        <w:t>en attente d</w:t>
      </w:r>
      <w:r w:rsidR="00BE5AD1">
        <w:t>’une</w:t>
      </w:r>
      <w:r w:rsidR="009B5CAB">
        <w:t xml:space="preserve"> détermination </w:t>
      </w:r>
      <w:r w:rsidR="00BE5AD1">
        <w:t>qui donnerait</w:t>
      </w:r>
      <w:r w:rsidR="009B5CAB">
        <w:t xml:space="preserve"> un sens au questionnement métaphysique</w:t>
      </w:r>
      <w:r w:rsidR="00964E1B">
        <w:rPr>
          <w:rStyle w:val="Appelnotedebasdep"/>
        </w:rPr>
        <w:footnoteReference w:id="58"/>
      </w:r>
      <w:r w:rsidR="00BE5AD1">
        <w:t xml:space="preserve"> –</w:t>
      </w:r>
      <w:r w:rsidR="009947CB">
        <w:t> </w:t>
      </w:r>
      <w:r w:rsidR="009033DE">
        <w:t xml:space="preserve">plutôt </w:t>
      </w:r>
      <w:r w:rsidR="009947CB">
        <w:t xml:space="preserve">que </w:t>
      </w:r>
      <w:r w:rsidR="009033DE">
        <w:t xml:space="preserve">comme une </w:t>
      </w:r>
      <w:proofErr w:type="spellStart"/>
      <w:r w:rsidR="009B5CAB" w:rsidRPr="00457F32">
        <w:rPr>
          <w:i/>
        </w:rPr>
        <w:t>indéterminabilité</w:t>
      </w:r>
      <w:proofErr w:type="spellEnd"/>
      <w:r w:rsidR="009B5CAB">
        <w:t xml:space="preserve"> du contexte – </w:t>
      </w:r>
      <w:r>
        <w:t xml:space="preserve">qui serait alors </w:t>
      </w:r>
      <w:r w:rsidR="009B5CAB">
        <w:t>indéterminable en principe</w:t>
      </w:r>
      <w:r w:rsidR="009033DE">
        <w:t xml:space="preserve"> (et pas seulement en raison de l’inadéquation spécifique des circonstances)</w:t>
      </w:r>
      <w:r w:rsidR="009605F7">
        <w:t>,</w:t>
      </w:r>
      <w:r w:rsidR="009B5CAB">
        <w:t xml:space="preserve"> </w:t>
      </w:r>
      <w:r w:rsidR="009033DE">
        <w:t xml:space="preserve">en tant qu’il </w:t>
      </w:r>
      <w:r w:rsidR="009B5CAB">
        <w:t xml:space="preserve">se présente comme un discours du point de vue de nulle part. </w:t>
      </w:r>
    </w:p>
    <w:p w14:paraId="4B964F8C" w14:textId="546887E4" w:rsidR="009B5CAB" w:rsidRDefault="009033DE" w:rsidP="008C7D06">
      <w:r>
        <w:t>En effet,</w:t>
      </w:r>
      <w:r w:rsidR="009B5CAB">
        <w:t xml:space="preserve"> si on prend au sérieux l’exclusion principielle d’un point de vue de nulle part dans la philosophie </w:t>
      </w:r>
      <w:r w:rsidR="00C75699">
        <w:t>w</w:t>
      </w:r>
      <w:r w:rsidR="009B5CAB">
        <w:t>ittgensteinienne, alors ce</w:t>
      </w:r>
      <w:r w:rsidR="00637598">
        <w:t>tt</w:t>
      </w:r>
      <w:r w:rsidR="009B5CAB">
        <w:t xml:space="preserve">e </w:t>
      </w:r>
      <w:r w:rsidR="00637598">
        <w:t xml:space="preserve">dernière </w:t>
      </w:r>
      <w:r w:rsidR="009B5CAB">
        <w:t xml:space="preserve">conception du non-sens métaphysique est problématique. Car ce qui est dit ou ce qui échoue à dire, n’en demeure pas moins dans l’ordre de ce qui est fait ou a été fait. Ce n’est pas parce que rien n’a été fait </w:t>
      </w:r>
      <w:r w:rsidR="009B5CAB" w:rsidRPr="009033DE">
        <w:rPr>
          <w:i/>
        </w:rPr>
        <w:t>avec le langage</w:t>
      </w:r>
      <w:r w:rsidR="009B5CAB">
        <w:t xml:space="preserve"> (rien n’a été dit à proprement parler) que rien n’a été fait tout court. Le non-sens métaphysique, à défaut d’être un usage du langage </w:t>
      </w:r>
      <w:r w:rsidR="00133E5C">
        <w:t>(</w:t>
      </w:r>
      <w:r w:rsidR="009B5CAB">
        <w:t xml:space="preserve">si l’on en croit </w:t>
      </w:r>
      <w:r w:rsidR="00133E5C">
        <w:t>une certaine</w:t>
      </w:r>
      <w:r w:rsidR="009B5CAB">
        <w:t xml:space="preserve"> conception wittgensteinienne du non-sens</w:t>
      </w:r>
      <w:r w:rsidR="00133E5C">
        <w:t>)</w:t>
      </w:r>
      <w:r w:rsidR="009B5CAB">
        <w:t xml:space="preserve"> n’en est pas moins un acte. Dès lors, le non-sens métaphysique, à défaut d’être normé par une normativité linguistique (la grammaire au sens de Wittgenstein) ne peut s’empêcher d’être normé </w:t>
      </w:r>
      <w:r>
        <w:t>par une logique de l’action : celle d’</w:t>
      </w:r>
      <w:r w:rsidR="009B5CAB">
        <w:t>un vouloir faire qui échoue à faire</w:t>
      </w:r>
      <w:r w:rsidR="005927FB">
        <w:t xml:space="preserve">, </w:t>
      </w:r>
      <w:r w:rsidR="009B5CAB">
        <w:t xml:space="preserve">puisque le vouloir dire </w:t>
      </w:r>
      <w:r w:rsidR="008B0D05">
        <w:t>échoue à dire et même à être un vouloir dire</w:t>
      </w:r>
      <w:r w:rsidR="009B5CAB">
        <w:t xml:space="preserve">. </w:t>
      </w:r>
      <w:r w:rsidR="005927FB">
        <w:t>En effet,</w:t>
      </w:r>
      <w:r w:rsidR="009B5CAB">
        <w:t xml:space="preserve"> le métaphysicien n’a non seulement rien dit, mais il n’y a rien qu’il ait pu vouloir dire. Cependant, il n’empêche qu’il a bien cru vouloir dire ou essayé de (vouloir) dire. De ce point de vue, l’analyse de cette tentative avortée peut être comprise </w:t>
      </w:r>
      <w:r w:rsidR="00E167E0">
        <w:t>(</w:t>
      </w:r>
      <w:r w:rsidR="009B5CAB">
        <w:t>et même doit être comprise</w:t>
      </w:r>
      <w:r w:rsidR="00E167E0">
        <w:t>)</w:t>
      </w:r>
      <w:r w:rsidR="009B5CAB">
        <w:t xml:space="preserve"> dans le cadre d’une philosophie de l’action.</w:t>
      </w:r>
    </w:p>
    <w:p w14:paraId="607686F3" w14:textId="1A4BD2F6" w:rsidR="009B5CAB" w:rsidRDefault="009B5CAB" w:rsidP="008C7D06">
      <w:r>
        <w:t>Sans la résorber totalement, ce constat ouvre une voie pour appréhender la tension très subtilement mise en évidence par Benoist :</w:t>
      </w:r>
    </w:p>
    <w:p w14:paraId="3E23F0FE" w14:textId="17DBF2BF" w:rsidR="009B5CAB" w:rsidRDefault="009B5CAB" w:rsidP="008C7D06">
      <w:pPr>
        <w:pStyle w:val="Citation"/>
      </w:pPr>
      <w:r w:rsidRPr="009776FC">
        <w:lastRenderedPageBreak/>
        <w:t>Si ce qui fait le sens, c’est l’usage, et s’il n’y a d’autre norme au fond que l’immanence de l’usage, si ce qui existe c’est le sens, et non le non-sens, si on peut dire, et si à la limite par là même tout ce qui existe a un sens – il n’y a en dernier ressort pas d’autre critère pour le sens que cette espèce d’</w:t>
      </w:r>
      <w:r w:rsidRPr="009776FC">
        <w:rPr>
          <w:i/>
        </w:rPr>
        <w:t>effectivité</w:t>
      </w:r>
      <w:r w:rsidRPr="009776FC">
        <w:t xml:space="preserve"> des jeux de langage, qui mesure en dernier ressort (et elle seule) exactement l’espace du possible logique </w:t>
      </w:r>
      <w:r w:rsidR="00F56D14">
        <w:t>–</w:t>
      </w:r>
      <w:r w:rsidRPr="009776FC">
        <w:t>, de quel droit pourrons-nous jamais exclure la possibilité d’un sens</w:t>
      </w:r>
      <w:r w:rsidRPr="009776FC">
        <w:rPr>
          <w:rStyle w:val="Appelnotedebasdep"/>
        </w:rPr>
        <w:footnoteReference w:id="59"/>
      </w:r>
      <w:r w:rsidRPr="009776FC">
        <w:t> ?</w:t>
      </w:r>
    </w:p>
    <w:p w14:paraId="7F55F90B" w14:textId="2C03C531" w:rsidR="007A4585" w:rsidRPr="00337E72" w:rsidRDefault="009033DE" w:rsidP="008C7D06">
      <w:r>
        <w:t xml:space="preserve">La réponse est que nous ne pouvons pas exclure la </w:t>
      </w:r>
      <w:r>
        <w:rPr>
          <w:i/>
        </w:rPr>
        <w:t>possibilité</w:t>
      </w:r>
      <w:r>
        <w:t xml:space="preserve"> d’un sens, mais que nous pouvons distinguer, dans l’ordre de ce qui a été fait, si quelque chose a </w:t>
      </w:r>
      <w:r w:rsidR="00283D7C">
        <w:t xml:space="preserve">bien </w:t>
      </w:r>
      <w:r>
        <w:t>été dit ou non.</w:t>
      </w:r>
    </w:p>
    <w:sectPr w:rsidR="007A4585" w:rsidRPr="00337E72" w:rsidSect="00060AEB">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57AC5" w14:textId="77777777" w:rsidR="005E3A1A" w:rsidRDefault="005E3A1A" w:rsidP="008C7D06">
      <w:r>
        <w:separator/>
      </w:r>
    </w:p>
  </w:endnote>
  <w:endnote w:type="continuationSeparator" w:id="0">
    <w:p w14:paraId="306D6BFA" w14:textId="77777777" w:rsidR="005E3A1A" w:rsidRDefault="005E3A1A" w:rsidP="008C7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35257960"/>
      <w:docPartObj>
        <w:docPartGallery w:val="Page Numbers (Bottom of Page)"/>
        <w:docPartUnique/>
      </w:docPartObj>
    </w:sdtPr>
    <w:sdtContent>
      <w:p w14:paraId="145AC4CA" w14:textId="18185CFD" w:rsidR="00A14C50" w:rsidRDefault="00A14C50" w:rsidP="008C7D06">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A63DE79" w14:textId="77777777" w:rsidR="00A14C50" w:rsidRDefault="00A14C50" w:rsidP="008C7D0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941288172"/>
      <w:docPartObj>
        <w:docPartGallery w:val="Page Numbers (Bottom of Page)"/>
        <w:docPartUnique/>
      </w:docPartObj>
    </w:sdtPr>
    <w:sdtContent>
      <w:p w14:paraId="793C449D" w14:textId="529BB329" w:rsidR="00A14C50" w:rsidRDefault="00A14C50" w:rsidP="008C7D06">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72673FB" w14:textId="77777777" w:rsidR="00A14C50" w:rsidRDefault="00A14C50" w:rsidP="008C7D0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D5B6B" w14:textId="77777777" w:rsidR="005E3A1A" w:rsidRDefault="005E3A1A" w:rsidP="008C7D06">
      <w:r>
        <w:separator/>
      </w:r>
    </w:p>
  </w:footnote>
  <w:footnote w:type="continuationSeparator" w:id="0">
    <w:p w14:paraId="4FA02963" w14:textId="77777777" w:rsidR="005E3A1A" w:rsidRDefault="005E3A1A" w:rsidP="008C7D06">
      <w:r>
        <w:continuationSeparator/>
      </w:r>
    </w:p>
  </w:footnote>
  <w:footnote w:id="1">
    <w:p w14:paraId="648117D4" w14:textId="2928A433" w:rsidR="00A14C50" w:rsidRPr="007D7CBA" w:rsidRDefault="00A14C50" w:rsidP="008C7D06">
      <w:pPr>
        <w:pStyle w:val="Notedebasdepage"/>
      </w:pPr>
      <w:r>
        <w:rPr>
          <w:rStyle w:val="Appelnotedebasdep"/>
        </w:rPr>
        <w:footnoteRef/>
      </w:r>
      <w:r w:rsidRPr="007D7CBA">
        <w:t xml:space="preserve"> J. Benoist,</w:t>
      </w:r>
      <w:r>
        <w:t xml:space="preserve"> </w:t>
      </w:r>
      <w:r w:rsidRPr="008B58A9">
        <w:t xml:space="preserve">« Sur quelques sens possibles d’une formule de Wittgenstein, ou de la difficulté de sortir de la métaphysique », in Sandra Laugier (éd.), </w:t>
      </w:r>
      <w:r w:rsidRPr="008B58A9">
        <w:rPr>
          <w:i/>
        </w:rPr>
        <w:t>Wittgenstein, métaphysique et jeux de langage</w:t>
      </w:r>
      <w:r w:rsidRPr="008B58A9">
        <w:t>, Paris, PUF, 2001, p. 153-179.</w:t>
      </w:r>
    </w:p>
  </w:footnote>
  <w:footnote w:id="2">
    <w:p w14:paraId="49C6D5FA" w14:textId="04057F72" w:rsidR="00A14C50" w:rsidRPr="00952F6F" w:rsidRDefault="00A14C50" w:rsidP="008C7D06">
      <w:pPr>
        <w:pStyle w:val="Notedebasdepage"/>
        <w:rPr>
          <w:lang w:val="en-US"/>
        </w:rPr>
      </w:pPr>
      <w:r>
        <w:rPr>
          <w:rStyle w:val="Appelnotedebasdep"/>
        </w:rPr>
        <w:footnoteRef/>
      </w:r>
      <w:r w:rsidRPr="003811A1">
        <w:t xml:space="preserve"> L. Wittgenstein, </w:t>
      </w:r>
      <w:r w:rsidRPr="003811A1">
        <w:rPr>
          <w:i/>
        </w:rPr>
        <w:t>Recherches philosophiques</w:t>
      </w:r>
      <w:r w:rsidRPr="003811A1">
        <w:t xml:space="preserve">, trad. </w:t>
      </w:r>
      <w:r w:rsidRPr="00574878">
        <w:rPr>
          <w:lang w:val="en-US"/>
        </w:rPr>
        <w:t xml:space="preserve">F. Dastur et al., Paris, Gallimard, 2005 ; </w:t>
      </w:r>
      <w:r>
        <w:rPr>
          <w:i/>
          <w:lang w:val="en-US"/>
        </w:rPr>
        <w:t>Philosophical Investigations</w:t>
      </w:r>
      <w:r>
        <w:rPr>
          <w:lang w:val="en-US"/>
        </w:rPr>
        <w:t>, Oxford, Wiley-Blackwell, 2009, § </w:t>
      </w:r>
      <w:r w:rsidRPr="00042E63">
        <w:rPr>
          <w:lang w:val="en-US"/>
        </w:rPr>
        <w:t>116</w:t>
      </w:r>
      <w:r>
        <w:rPr>
          <w:lang w:val="en-US"/>
        </w:rPr>
        <w:t> :</w:t>
      </w:r>
      <w:r w:rsidRPr="00042E63">
        <w:rPr>
          <w:lang w:val="en-US"/>
        </w:rPr>
        <w:t xml:space="preserve"> </w:t>
      </w:r>
      <w:r>
        <w:rPr>
          <w:lang w:val="en-US"/>
        </w:rPr>
        <w:t>‘</w:t>
      </w:r>
      <w:r w:rsidRPr="00A878DD">
        <w:rPr>
          <w:lang w:val="de-DE"/>
        </w:rPr>
        <w:t xml:space="preserve">Wenn die Philosophen ein Wort gebrauchen </w:t>
      </w:r>
      <w:r>
        <w:rPr>
          <w:lang w:val="de-DE"/>
        </w:rPr>
        <w:t>–</w:t>
      </w:r>
      <w:r w:rsidRPr="00A878DD">
        <w:rPr>
          <w:lang w:val="de-DE"/>
        </w:rPr>
        <w:t xml:space="preserve"> “Wissen”, “Sein”, “Gegenstand”, “Ich”, “Satz”, “Name”</w:t>
      </w:r>
      <w:r>
        <w:rPr>
          <w:lang w:val="de-DE"/>
        </w:rPr>
        <w:t xml:space="preserve"> </w:t>
      </w:r>
      <w:proofErr w:type="gramStart"/>
      <w:r>
        <w:rPr>
          <w:lang w:val="de-DE"/>
        </w:rPr>
        <w:t xml:space="preserve">– </w:t>
      </w:r>
      <w:r w:rsidRPr="00A878DD">
        <w:rPr>
          <w:lang w:val="de-DE"/>
        </w:rPr>
        <w:t xml:space="preserve"> und</w:t>
      </w:r>
      <w:proofErr w:type="gramEnd"/>
      <w:r w:rsidRPr="00A878DD">
        <w:rPr>
          <w:lang w:val="de-DE"/>
        </w:rPr>
        <w:t xml:space="preserve"> das </w:t>
      </w:r>
      <w:r w:rsidRPr="00A878DD">
        <w:rPr>
          <w:i/>
          <w:iCs/>
          <w:lang w:val="de-DE"/>
        </w:rPr>
        <w:t xml:space="preserve">Wesen </w:t>
      </w:r>
      <w:r w:rsidRPr="00A878DD">
        <w:rPr>
          <w:lang w:val="de-DE"/>
        </w:rPr>
        <w:t xml:space="preserve">des Dings zu erfassen trachten, </w:t>
      </w:r>
      <w:proofErr w:type="spellStart"/>
      <w:r w:rsidRPr="00A878DD">
        <w:rPr>
          <w:lang w:val="de-DE"/>
        </w:rPr>
        <w:t>muß</w:t>
      </w:r>
      <w:proofErr w:type="spellEnd"/>
      <w:r w:rsidRPr="00A878DD">
        <w:rPr>
          <w:lang w:val="de-DE"/>
        </w:rPr>
        <w:t xml:space="preserve"> man sich immer fragen: Wird denn dieses Wort in der Sprache, in der es seine Heimat hat, je tatsächlich so gebraucht?</w:t>
      </w:r>
    </w:p>
    <w:p w14:paraId="08558BAB" w14:textId="398D32E1" w:rsidR="00A14C50" w:rsidRPr="00E00313" w:rsidRDefault="00A14C50" w:rsidP="008C7D06">
      <w:pPr>
        <w:pStyle w:val="Notedebasdepage"/>
        <w:rPr>
          <w:lang w:val="en-US"/>
        </w:rPr>
      </w:pPr>
      <w:r w:rsidRPr="00A878DD">
        <w:rPr>
          <w:i/>
          <w:iCs/>
          <w:lang w:val="de-DE"/>
        </w:rPr>
        <w:t xml:space="preserve">Wir </w:t>
      </w:r>
      <w:r w:rsidRPr="00A878DD">
        <w:rPr>
          <w:lang w:val="de-DE"/>
        </w:rPr>
        <w:t>führen die Wörter von ihrer metaphysischen, wieder auf ihre alltägliche Verwendung zurück.</w:t>
      </w:r>
      <w:r>
        <w:rPr>
          <w:lang w:val="de-DE"/>
        </w:rPr>
        <w:t>‘</w:t>
      </w:r>
      <w:r w:rsidRPr="00A878DD">
        <w:rPr>
          <w:lang w:val="de-DE"/>
        </w:rPr>
        <w:t xml:space="preserve"> </w:t>
      </w:r>
    </w:p>
  </w:footnote>
  <w:footnote w:id="3">
    <w:p w14:paraId="40F80354" w14:textId="49DDC471" w:rsidR="00A14C50" w:rsidRPr="00045B57" w:rsidRDefault="00A14C50" w:rsidP="008C7D06">
      <w:pPr>
        <w:pStyle w:val="Notedebasdepage"/>
      </w:pPr>
      <w:r>
        <w:rPr>
          <w:rStyle w:val="Appelnotedebasdep"/>
        </w:rPr>
        <w:footnoteRef/>
      </w:r>
      <w:r w:rsidRPr="00045B57">
        <w:t xml:space="preserve"> S’il faut voir dans cette re</w:t>
      </w:r>
      <w:r>
        <w:t xml:space="preserve">marque une opposition entre la mauvaise tendance philosophique à chercher l’essence des choses et la bonne attitude philosophique consistant à faire redescendre sur terre les grandes questions métaphysiques. </w:t>
      </w:r>
    </w:p>
  </w:footnote>
  <w:footnote w:id="4">
    <w:p w14:paraId="364CBFF2" w14:textId="1544352D" w:rsidR="00A14C50" w:rsidRPr="00045B57" w:rsidRDefault="00A14C50" w:rsidP="008C7D06">
      <w:pPr>
        <w:pStyle w:val="Notedebasdepage"/>
      </w:pPr>
      <w:r>
        <w:rPr>
          <w:rStyle w:val="Appelnotedebasdep"/>
        </w:rPr>
        <w:footnoteRef/>
      </w:r>
      <w:r w:rsidRPr="00045B57">
        <w:t xml:space="preserve"> Ce « sens péjoratif</w:t>
      </w:r>
      <w:r>
        <w:t xml:space="preserve"> » (pour reprendre l’expression de </w:t>
      </w:r>
      <w:r w:rsidRPr="00952F6F">
        <w:t xml:space="preserve">Vincent </w:t>
      </w:r>
      <w:proofErr w:type="spellStart"/>
      <w:r w:rsidRPr="00952F6F">
        <w:t>Descombes</w:t>
      </w:r>
      <w:proofErr w:type="spellEnd"/>
      <w:r w:rsidRPr="00952F6F">
        <w:t xml:space="preserve"> dans </w:t>
      </w:r>
      <w:r w:rsidRPr="00952F6F">
        <w:rPr>
          <w:i/>
        </w:rPr>
        <w:t>Exercices d’humanité</w:t>
      </w:r>
      <w:r w:rsidRPr="00952F6F">
        <w:t xml:space="preserve">, Paris, Les Petits </w:t>
      </w:r>
      <w:proofErr w:type="spellStart"/>
      <w:r w:rsidRPr="00952F6F">
        <w:t>Platons</w:t>
      </w:r>
      <w:proofErr w:type="spellEnd"/>
      <w:r w:rsidRPr="00952F6F">
        <w:t>, 2013, p. 75) du mot métaphysique qui l’oppose</w:t>
      </w:r>
      <w:r>
        <w:t xml:space="preserve"> au quotidien ou à l’ordinaire est donc bien particulier. Nous aurons l’occasion d’y revenir.</w:t>
      </w:r>
    </w:p>
  </w:footnote>
  <w:footnote w:id="5">
    <w:p w14:paraId="0E85B3F4" w14:textId="5FC4FE9F" w:rsidR="00A14C50" w:rsidRPr="00952F6F" w:rsidRDefault="00A14C50" w:rsidP="008C7D06">
      <w:pPr>
        <w:pStyle w:val="Notedebasdepage"/>
        <w:rPr>
          <w:lang w:val="de-DE"/>
        </w:rPr>
      </w:pPr>
      <w:r>
        <w:rPr>
          <w:rStyle w:val="Appelnotedebasdep"/>
        </w:rPr>
        <w:footnoteRef/>
      </w:r>
      <w:r w:rsidRPr="00EB05BF">
        <w:rPr>
          <w:lang w:val="en-US"/>
        </w:rPr>
        <w:t xml:space="preserve"> L. Wittgenstein, </w:t>
      </w:r>
      <w:proofErr w:type="spellStart"/>
      <w:r w:rsidRPr="00EB05BF">
        <w:rPr>
          <w:i/>
          <w:lang w:val="en-US"/>
        </w:rPr>
        <w:t>Recherches</w:t>
      </w:r>
      <w:proofErr w:type="spellEnd"/>
      <w:r w:rsidRPr="00EB05BF">
        <w:rPr>
          <w:i/>
          <w:lang w:val="en-US"/>
        </w:rPr>
        <w:t xml:space="preserve"> </w:t>
      </w:r>
      <w:proofErr w:type="spellStart"/>
      <w:r w:rsidRPr="00EB05BF">
        <w:rPr>
          <w:i/>
          <w:lang w:val="en-US"/>
        </w:rPr>
        <w:t>philosophiques</w:t>
      </w:r>
      <w:proofErr w:type="spellEnd"/>
      <w:r w:rsidRPr="00EB05BF">
        <w:rPr>
          <w:lang w:val="en-US"/>
        </w:rPr>
        <w:t xml:space="preserve">, </w:t>
      </w:r>
      <w:r w:rsidRPr="00EB05BF">
        <w:rPr>
          <w:i/>
          <w:lang w:val="en-US"/>
        </w:rPr>
        <w:t>op. cit.</w:t>
      </w:r>
      <w:r>
        <w:rPr>
          <w:lang w:val="en-US"/>
        </w:rPr>
        <w:t>,</w:t>
      </w:r>
      <w:r>
        <w:rPr>
          <w:i/>
          <w:lang w:val="en-US"/>
        </w:rPr>
        <w:t xml:space="preserve"> </w:t>
      </w:r>
      <w:r w:rsidRPr="00EB05BF">
        <w:rPr>
          <w:lang w:val="en-US"/>
        </w:rPr>
        <w:t xml:space="preserve">§ 464: </w:t>
      </w:r>
      <w:r w:rsidRPr="00952F6F">
        <w:rPr>
          <w:lang w:val="de-DE"/>
        </w:rPr>
        <w:t>‘Was ich lehren will, ist: von einem nicht offenkundigen Unsinn zu einem offenkundigen übergehen.’</w:t>
      </w:r>
    </w:p>
  </w:footnote>
  <w:footnote w:id="6">
    <w:p w14:paraId="369F6448" w14:textId="7D24CF83" w:rsidR="00A14C50" w:rsidRDefault="00A14C50" w:rsidP="008C7D06">
      <w:pPr>
        <w:pStyle w:val="Notedebasdepage"/>
      </w:pPr>
      <w:r>
        <w:rPr>
          <w:rStyle w:val="Appelnotedebasdep"/>
        </w:rPr>
        <w:footnoteRef/>
      </w:r>
      <w:r>
        <w:t xml:space="preserve"> D. Perrin, « L’Exil et le retour », </w:t>
      </w:r>
      <w:r w:rsidRPr="00043C1A">
        <w:rPr>
          <w:i/>
        </w:rPr>
        <w:t xml:space="preserve">Lire les </w:t>
      </w:r>
      <w:r>
        <w:t>Recherches philosophiques</w:t>
      </w:r>
      <w:r w:rsidRPr="00043C1A">
        <w:rPr>
          <w:i/>
        </w:rPr>
        <w:t xml:space="preserve"> de Wittgenstein</w:t>
      </w:r>
      <w:r>
        <w:t xml:space="preserve">, Paris, </w:t>
      </w:r>
      <w:proofErr w:type="spellStart"/>
      <w:r>
        <w:t>Vrin</w:t>
      </w:r>
      <w:proofErr w:type="spellEnd"/>
      <w:r>
        <w:t>, p. 115-130.</w:t>
      </w:r>
    </w:p>
  </w:footnote>
  <w:footnote w:id="7">
    <w:p w14:paraId="7D94E1BC" w14:textId="40F1C4D0" w:rsidR="00A14C50" w:rsidRPr="000B11E3" w:rsidRDefault="00A14C50" w:rsidP="008C7D06">
      <w:pPr>
        <w:pStyle w:val="Notedebasdepage"/>
      </w:pPr>
      <w:r>
        <w:rPr>
          <w:rStyle w:val="Appelnotedebasdep"/>
        </w:rPr>
        <w:footnoteRef/>
      </w:r>
      <w:r w:rsidRPr="000B11E3">
        <w:t xml:space="preserve"> </w:t>
      </w:r>
      <w:r>
        <w:t xml:space="preserve">L. Wittgenstein, </w:t>
      </w:r>
      <w:proofErr w:type="spellStart"/>
      <w:r>
        <w:rPr>
          <w:i/>
        </w:rPr>
        <w:t>Tractatus</w:t>
      </w:r>
      <w:proofErr w:type="spellEnd"/>
      <w:r>
        <w:rPr>
          <w:i/>
        </w:rPr>
        <w:t xml:space="preserve"> Logico-</w:t>
      </w:r>
      <w:proofErr w:type="spellStart"/>
      <w:r>
        <w:rPr>
          <w:i/>
        </w:rPr>
        <w:t>Philosophicus</w:t>
      </w:r>
      <w:proofErr w:type="spellEnd"/>
      <w:r>
        <w:t>, trad. G.-G. Granger, Paris, Gallimard, 1993.</w:t>
      </w:r>
    </w:p>
  </w:footnote>
  <w:footnote w:id="8">
    <w:p w14:paraId="3683C71D" w14:textId="6286A33E" w:rsidR="00A14C50" w:rsidRDefault="00A14C50" w:rsidP="008C7D06">
      <w:pPr>
        <w:pStyle w:val="Notedebasdepage"/>
      </w:pPr>
      <w:r>
        <w:rPr>
          <w:rStyle w:val="Appelnotedebasdep"/>
        </w:rPr>
        <w:footnoteRef/>
      </w:r>
      <w:r>
        <w:t xml:space="preserve"> </w:t>
      </w:r>
      <w:r w:rsidRPr="000B11E3">
        <w:t>S.</w:t>
      </w:r>
      <w:r>
        <w:t> </w:t>
      </w:r>
      <w:r w:rsidRPr="000B11E3">
        <w:t>Laugier</w:t>
      </w:r>
      <w:r>
        <w:t xml:space="preserve">, </w:t>
      </w:r>
      <w:r>
        <w:rPr>
          <w:i/>
        </w:rPr>
        <w:t xml:space="preserve">Wittgenstein. </w:t>
      </w:r>
      <w:r w:rsidRPr="002F51D6">
        <w:rPr>
          <w:i/>
        </w:rPr>
        <w:t>Les sens de l’usage</w:t>
      </w:r>
      <w:r w:rsidRPr="000B11E3">
        <w:t xml:space="preserve">, </w:t>
      </w:r>
      <w:r>
        <w:t xml:space="preserve">Paris, </w:t>
      </w:r>
      <w:proofErr w:type="spellStart"/>
      <w:r>
        <w:t>Vrin</w:t>
      </w:r>
      <w:proofErr w:type="spellEnd"/>
      <w:r>
        <w:t xml:space="preserve">, 2009, </w:t>
      </w:r>
      <w:r w:rsidRPr="000B11E3">
        <w:t>p.</w:t>
      </w:r>
      <w:r>
        <w:t> 40.</w:t>
      </w:r>
    </w:p>
  </w:footnote>
  <w:footnote w:id="9">
    <w:p w14:paraId="6065246D" w14:textId="02093D3A" w:rsidR="00A14C50" w:rsidRDefault="00A14C50" w:rsidP="008C7D06">
      <w:pPr>
        <w:pStyle w:val="Notedebasdepage"/>
      </w:pPr>
      <w:r>
        <w:rPr>
          <w:rStyle w:val="Appelnotedebasdep"/>
        </w:rPr>
        <w:footnoteRef/>
      </w:r>
      <w:r>
        <w:t xml:space="preserve"> Cité et traduit par J. Benoist, « Sur quelques sens… », op. </w:t>
      </w:r>
      <w:proofErr w:type="spellStart"/>
      <w:proofErr w:type="gramStart"/>
      <w:r>
        <w:t>cit</w:t>
      </w:r>
      <w:proofErr w:type="spellEnd"/>
      <w:proofErr w:type="gramEnd"/>
      <w:r>
        <w:t>., p. 155.</w:t>
      </w:r>
    </w:p>
  </w:footnote>
  <w:footnote w:id="10">
    <w:p w14:paraId="6506673F" w14:textId="27E00015" w:rsidR="00A14C50" w:rsidRDefault="00A14C50" w:rsidP="008C7D06">
      <w:pPr>
        <w:pStyle w:val="Notedebasdepage"/>
      </w:pPr>
      <w:r>
        <w:rPr>
          <w:rStyle w:val="Appelnotedebasdep"/>
        </w:rPr>
        <w:footnoteRef/>
      </w:r>
      <w:r>
        <w:t xml:space="preserve"> Ibid., p. 158.</w:t>
      </w:r>
    </w:p>
  </w:footnote>
  <w:footnote w:id="11">
    <w:p w14:paraId="2F8C4BDD" w14:textId="09A591CC" w:rsidR="00A14C50" w:rsidRPr="00C90C6B" w:rsidRDefault="00A14C50" w:rsidP="008C7D06">
      <w:pPr>
        <w:pStyle w:val="Notedebasdepage"/>
        <w:rPr>
          <w:lang w:val="en-US"/>
        </w:rPr>
      </w:pPr>
      <w:r>
        <w:rPr>
          <w:rStyle w:val="Appelnotedebasdep"/>
        </w:rPr>
        <w:footnoteRef/>
      </w:r>
      <w:r>
        <w:t xml:space="preserve"> J. </w:t>
      </w:r>
      <w:proofErr w:type="spellStart"/>
      <w:r>
        <w:t>McDowell</w:t>
      </w:r>
      <w:proofErr w:type="spellEnd"/>
      <w:r>
        <w:t xml:space="preserve">, </w:t>
      </w:r>
      <w:r w:rsidRPr="006B18D6">
        <w:rPr>
          <w:i/>
        </w:rPr>
        <w:t>L’esprit et le monde</w:t>
      </w:r>
      <w:r>
        <w:t xml:space="preserve">, trad. </w:t>
      </w:r>
      <w:r w:rsidRPr="00C90C6B">
        <w:rPr>
          <w:lang w:val="en-US"/>
        </w:rPr>
        <w:t xml:space="preserve">Ch. Al-Saleh, Paris, </w:t>
      </w:r>
      <w:proofErr w:type="spellStart"/>
      <w:r w:rsidRPr="00C90C6B">
        <w:rPr>
          <w:lang w:val="en-US"/>
        </w:rPr>
        <w:t>Vrin</w:t>
      </w:r>
      <w:proofErr w:type="spellEnd"/>
      <w:r w:rsidRPr="00C90C6B">
        <w:rPr>
          <w:lang w:val="en-US"/>
        </w:rPr>
        <w:t>, 2007.</w:t>
      </w:r>
    </w:p>
  </w:footnote>
  <w:footnote w:id="12">
    <w:p w14:paraId="6771D9C7" w14:textId="090C8882" w:rsidR="00A14C50" w:rsidRPr="006A3A09" w:rsidRDefault="00A14C50" w:rsidP="008C7D06">
      <w:pPr>
        <w:pStyle w:val="Notedebasdepage"/>
        <w:rPr>
          <w:lang w:val="en-US"/>
        </w:rPr>
      </w:pPr>
      <w:r>
        <w:rPr>
          <w:rStyle w:val="Appelnotedebasdep"/>
        </w:rPr>
        <w:footnoteRef/>
      </w:r>
      <w:r w:rsidRPr="00C90C6B">
        <w:t xml:space="preserve"> L. Wittgenstein, </w:t>
      </w:r>
      <w:r w:rsidRPr="00C90C6B">
        <w:rPr>
          <w:i/>
        </w:rPr>
        <w:t>Le cahier bleu et le cahier brun</w:t>
      </w:r>
      <w:r>
        <w:t xml:space="preserve">, tard. </w:t>
      </w:r>
      <w:r w:rsidRPr="006A3A09">
        <w:rPr>
          <w:lang w:val="en-US"/>
        </w:rPr>
        <w:t xml:space="preserve">M. Goldberg et J. </w:t>
      </w:r>
      <w:proofErr w:type="spellStart"/>
      <w:r w:rsidRPr="006A3A09">
        <w:rPr>
          <w:lang w:val="en-US"/>
        </w:rPr>
        <w:t>Sackur</w:t>
      </w:r>
      <w:proofErr w:type="spellEnd"/>
      <w:r w:rsidRPr="006A3A09">
        <w:rPr>
          <w:lang w:val="en-US"/>
        </w:rPr>
        <w:t>, Paris, Gallimard, 1996, p. 125</w:t>
      </w:r>
    </w:p>
  </w:footnote>
  <w:footnote w:id="13">
    <w:p w14:paraId="3FD2A3B7" w14:textId="6EF0D560" w:rsidR="00A14C50" w:rsidRPr="00171531" w:rsidRDefault="00A14C50" w:rsidP="008C7D06">
      <w:pPr>
        <w:pStyle w:val="Notedebasdepage"/>
      </w:pPr>
      <w:r>
        <w:rPr>
          <w:rStyle w:val="Appelnotedebasdep"/>
        </w:rPr>
        <w:footnoteRef/>
      </w:r>
      <w:r w:rsidRPr="00171531">
        <w:t xml:space="preserve"> </w:t>
      </w:r>
      <w:r>
        <w:t xml:space="preserve">Ou plutôt l’une des conceptions wittgensteiniennes du non-sens, car il serait douteux de penser qu’il y a à trouver chez Wittgenstein un usage systématique ou unique des expressions </w:t>
      </w:r>
      <w:proofErr w:type="spellStart"/>
      <w:r>
        <w:rPr>
          <w:i/>
        </w:rPr>
        <w:t>Unsinn</w:t>
      </w:r>
      <w:proofErr w:type="spellEnd"/>
      <w:r>
        <w:rPr>
          <w:i/>
        </w:rPr>
        <w:t xml:space="preserve"> </w:t>
      </w:r>
      <w:r>
        <w:t xml:space="preserve">ou </w:t>
      </w:r>
      <w:r>
        <w:rPr>
          <w:i/>
        </w:rPr>
        <w:t>nonsense.</w:t>
      </w:r>
    </w:p>
  </w:footnote>
  <w:footnote w:id="14">
    <w:p w14:paraId="5783C85D" w14:textId="7A965BB0" w:rsidR="00A14C50" w:rsidRPr="001778CA" w:rsidRDefault="00A14C50" w:rsidP="008C7D06">
      <w:pPr>
        <w:pStyle w:val="Notedebasdepage"/>
      </w:pPr>
      <w:r w:rsidRPr="001778CA">
        <w:rPr>
          <w:rStyle w:val="Appelnotedebasdep"/>
        </w:rPr>
        <w:footnoteRef/>
      </w:r>
      <w:r w:rsidRPr="001778CA">
        <w:t xml:space="preserve"> C. </w:t>
      </w:r>
      <w:proofErr w:type="spellStart"/>
      <w:r w:rsidRPr="001778CA">
        <w:t>Diamond</w:t>
      </w:r>
      <w:proofErr w:type="spellEnd"/>
      <w:r w:rsidRPr="001778CA">
        <w:t xml:space="preserve">, </w:t>
      </w:r>
      <w:r>
        <w:t>« </w:t>
      </w:r>
      <w:proofErr w:type="spellStart"/>
      <w:r w:rsidRPr="001778CA">
        <w:t>What</w:t>
      </w:r>
      <w:proofErr w:type="spellEnd"/>
      <w:r w:rsidRPr="001778CA">
        <w:t xml:space="preserve"> nonsense </w:t>
      </w:r>
      <w:proofErr w:type="spellStart"/>
      <w:r w:rsidRPr="001778CA">
        <w:t>might</w:t>
      </w:r>
      <w:proofErr w:type="spellEnd"/>
      <w:r w:rsidRPr="001778CA">
        <w:t xml:space="preserve"> </w:t>
      </w:r>
      <w:proofErr w:type="spellStart"/>
      <w:r w:rsidRPr="001778CA">
        <w:t>be</w:t>
      </w:r>
      <w:proofErr w:type="spellEnd"/>
      <w:r>
        <w:t> »</w:t>
      </w:r>
      <w:r w:rsidRPr="001778CA">
        <w:t xml:space="preserve">, </w:t>
      </w:r>
      <w:r>
        <w:t xml:space="preserve">in </w:t>
      </w:r>
      <w:r w:rsidRPr="001778CA">
        <w:rPr>
          <w:i/>
        </w:rPr>
        <w:t xml:space="preserve">The </w:t>
      </w:r>
      <w:proofErr w:type="spellStart"/>
      <w:r w:rsidRPr="001778CA">
        <w:rPr>
          <w:i/>
        </w:rPr>
        <w:t>Realistic</w:t>
      </w:r>
      <w:proofErr w:type="spellEnd"/>
      <w:r w:rsidRPr="001778CA">
        <w:rPr>
          <w:i/>
        </w:rPr>
        <w:t xml:space="preserve"> Spirit</w:t>
      </w:r>
      <w:r w:rsidRPr="001778CA">
        <w:t xml:space="preserve">, </w:t>
      </w:r>
      <w:r>
        <w:t xml:space="preserve">Cambridge MA, The MIT </w:t>
      </w:r>
      <w:proofErr w:type="spellStart"/>
      <w:r>
        <w:t>Press</w:t>
      </w:r>
      <w:proofErr w:type="spellEnd"/>
      <w:r>
        <w:t xml:space="preserve">, </w:t>
      </w:r>
      <w:r w:rsidRPr="001778CA">
        <w:t>p. 100.</w:t>
      </w:r>
      <w:r>
        <w:t xml:space="preserve"> J’ai volontairement gardé les derniers exemples en anglais, où « </w:t>
      </w:r>
      <w:proofErr w:type="spellStart"/>
      <w:r>
        <w:t>runcible</w:t>
      </w:r>
      <w:proofErr w:type="spellEnd"/>
      <w:r>
        <w:t> » est un mot inventé.</w:t>
      </w:r>
    </w:p>
  </w:footnote>
  <w:footnote w:id="15">
    <w:p w14:paraId="32406332" w14:textId="675C08BA" w:rsidR="00A14C50" w:rsidRPr="001778CA" w:rsidRDefault="00A14C50" w:rsidP="008C7D06">
      <w:pPr>
        <w:pStyle w:val="Notedebasdepage"/>
      </w:pPr>
      <w:r w:rsidRPr="001778CA">
        <w:rPr>
          <w:rStyle w:val="Appelnotedebasdep"/>
        </w:rPr>
        <w:footnoteRef/>
      </w:r>
      <w:r w:rsidRPr="001778CA">
        <w:t xml:space="preserve"> </w:t>
      </w:r>
      <w:r>
        <w:t>Ibid.</w:t>
      </w:r>
      <w:r w:rsidRPr="001778CA">
        <w:t>, p. 107</w:t>
      </w:r>
    </w:p>
  </w:footnote>
  <w:footnote w:id="16">
    <w:p w14:paraId="0F1F7E88" w14:textId="394A8635" w:rsidR="00A14C50" w:rsidRPr="001778CA" w:rsidRDefault="00A14C50" w:rsidP="008C7D06">
      <w:pPr>
        <w:pStyle w:val="Notedebasdepage"/>
      </w:pPr>
      <w:r w:rsidRPr="001778CA">
        <w:rPr>
          <w:rStyle w:val="Appelnotedebasdep"/>
        </w:rPr>
        <w:footnoteRef/>
      </w:r>
      <w:r w:rsidRPr="001778CA">
        <w:t xml:space="preserve"> </w:t>
      </w:r>
      <w:r>
        <w:t xml:space="preserve">Ibid., </w:t>
      </w:r>
      <w:r w:rsidRPr="001778CA">
        <w:t>p. 106.</w:t>
      </w:r>
    </w:p>
  </w:footnote>
  <w:footnote w:id="17">
    <w:p w14:paraId="6A28216C" w14:textId="7338CFB1" w:rsidR="00A14C50" w:rsidRPr="001778CA" w:rsidRDefault="00A14C50" w:rsidP="008C7D06">
      <w:pPr>
        <w:pStyle w:val="Notedebasdepage"/>
      </w:pPr>
      <w:r w:rsidRPr="001778CA">
        <w:rPr>
          <w:rStyle w:val="Appelnotedebasdep"/>
        </w:rPr>
        <w:footnoteRef/>
      </w:r>
      <w:r w:rsidRPr="001778CA">
        <w:t xml:space="preserve"> </w:t>
      </w:r>
      <w:r>
        <w:t>Ibid.</w:t>
      </w:r>
      <w:r w:rsidRPr="001778CA">
        <w:t>, p. 104.</w:t>
      </w:r>
    </w:p>
  </w:footnote>
  <w:footnote w:id="18">
    <w:p w14:paraId="126973D9" w14:textId="15FF8A0C" w:rsidR="00A14C50" w:rsidRDefault="00A14C50" w:rsidP="008C7D06">
      <w:pPr>
        <w:pStyle w:val="Notedebasdepage"/>
      </w:pPr>
      <w:r>
        <w:rPr>
          <w:rStyle w:val="Appelnotedebasdep"/>
        </w:rPr>
        <w:footnoteRef/>
      </w:r>
      <w:r>
        <w:t xml:space="preserve"> Voir TLP 5.473.</w:t>
      </w:r>
    </w:p>
  </w:footnote>
  <w:footnote w:id="19">
    <w:p w14:paraId="34785882" w14:textId="31E22951" w:rsidR="00A14C50" w:rsidRPr="000B11E3" w:rsidRDefault="00A14C50" w:rsidP="008C7D06">
      <w:pPr>
        <w:pStyle w:val="Notedebasdepage"/>
      </w:pPr>
      <w:r>
        <w:rPr>
          <w:rStyle w:val="Appelnotedebasdep"/>
        </w:rPr>
        <w:footnoteRef/>
      </w:r>
      <w:r w:rsidRPr="000B11E3">
        <w:t xml:space="preserve"> S. Laugier, </w:t>
      </w:r>
      <w:r w:rsidRPr="001359D2">
        <w:rPr>
          <w:i/>
        </w:rPr>
        <w:t>Les sens de l’usage</w:t>
      </w:r>
      <w:r w:rsidRPr="000B11E3">
        <w:t>,</w:t>
      </w:r>
      <w:r>
        <w:t xml:space="preserve"> op. </w:t>
      </w:r>
      <w:proofErr w:type="spellStart"/>
      <w:proofErr w:type="gramStart"/>
      <w:r>
        <w:t>cit</w:t>
      </w:r>
      <w:proofErr w:type="spellEnd"/>
      <w:proofErr w:type="gramEnd"/>
      <w:r>
        <w:t>.,</w:t>
      </w:r>
      <w:r w:rsidRPr="000B11E3">
        <w:t xml:space="preserve"> p. </w:t>
      </w:r>
      <w:r>
        <w:t>37.</w:t>
      </w:r>
    </w:p>
  </w:footnote>
  <w:footnote w:id="20">
    <w:p w14:paraId="07E851CA" w14:textId="7D5E896C" w:rsidR="00A14C50" w:rsidRDefault="00A14C50" w:rsidP="008C7D06">
      <w:pPr>
        <w:pStyle w:val="Notedebasdepage"/>
      </w:pPr>
      <w:r>
        <w:rPr>
          <w:rStyle w:val="Appelnotedebasdep"/>
        </w:rPr>
        <w:footnoteRef/>
      </w:r>
      <w:r>
        <w:t xml:space="preserve"> J. Bouveresse, </w:t>
      </w:r>
      <w:r w:rsidRPr="001359D2">
        <w:rPr>
          <w:i/>
        </w:rPr>
        <w:t>Dire et ne rien dire</w:t>
      </w:r>
      <w:r>
        <w:t>, Paris, Jacqueline Chambon, 1997, p. 129.</w:t>
      </w:r>
    </w:p>
  </w:footnote>
  <w:footnote w:id="21">
    <w:p w14:paraId="53E40FC7" w14:textId="40217491" w:rsidR="00A14C50" w:rsidRDefault="00A14C50" w:rsidP="008C7D06">
      <w:pPr>
        <w:pStyle w:val="Notedebasdepage"/>
      </w:pPr>
      <w:r>
        <w:rPr>
          <w:rStyle w:val="Appelnotedebasdep"/>
        </w:rPr>
        <w:footnoteRef/>
      </w:r>
      <w:r>
        <w:t xml:space="preserve"> C. </w:t>
      </w:r>
      <w:proofErr w:type="spellStart"/>
      <w:r>
        <w:t>Diamond</w:t>
      </w:r>
      <w:proofErr w:type="spellEnd"/>
      <w:r>
        <w:t>, « </w:t>
      </w:r>
      <w:r w:rsidRPr="00E116B7">
        <w:t>L’éthique, l’imagination et la méthode</w:t>
      </w:r>
      <w:r>
        <w:t xml:space="preserve"> du </w:t>
      </w:r>
      <w:proofErr w:type="spellStart"/>
      <w:r>
        <w:rPr>
          <w:i/>
        </w:rPr>
        <w:t>Tractatus</w:t>
      </w:r>
      <w:proofErr w:type="spellEnd"/>
      <w:r>
        <w:rPr>
          <w:i/>
        </w:rPr>
        <w:t xml:space="preserve"> </w:t>
      </w:r>
      <w:r>
        <w:t xml:space="preserve">de Wittgenstein », in C. Romano, </w:t>
      </w:r>
      <w:r>
        <w:rPr>
          <w:i/>
        </w:rPr>
        <w:t>Wittgenstein</w:t>
      </w:r>
      <w:r>
        <w:t>, Paris, Cerf, 2013,</w:t>
      </w:r>
      <w:r>
        <w:rPr>
          <w:i/>
        </w:rPr>
        <w:t xml:space="preserve"> </w:t>
      </w:r>
      <w:r>
        <w:t>p. 61.</w:t>
      </w:r>
    </w:p>
  </w:footnote>
  <w:footnote w:id="22">
    <w:p w14:paraId="4A8B1298" w14:textId="2ED8BE69" w:rsidR="00A14C50" w:rsidRPr="00C81FCF" w:rsidRDefault="00A14C50" w:rsidP="008C7D06">
      <w:pPr>
        <w:pStyle w:val="Notedebasdepage"/>
        <w:rPr>
          <w:lang w:val="en-US"/>
        </w:rPr>
      </w:pPr>
      <w:r>
        <w:rPr>
          <w:rStyle w:val="Appelnotedebasdep"/>
        </w:rPr>
        <w:footnoteRef/>
      </w:r>
      <w:r>
        <w:rPr>
          <w:lang w:val="en-US"/>
        </w:rPr>
        <w:t xml:space="preserve"> </w:t>
      </w:r>
      <w:r w:rsidRPr="00C94971">
        <w:t xml:space="preserve">C. </w:t>
      </w:r>
      <w:proofErr w:type="spellStart"/>
      <w:r w:rsidRPr="00C94971">
        <w:t>Diamond</w:t>
      </w:r>
      <w:proofErr w:type="spellEnd"/>
      <w:r w:rsidRPr="00C94971">
        <w:t xml:space="preserve">, </w:t>
      </w:r>
      <w:r>
        <w:t>« </w:t>
      </w:r>
      <w:proofErr w:type="spellStart"/>
      <w:r w:rsidRPr="00C94971">
        <w:t>What</w:t>
      </w:r>
      <w:proofErr w:type="spellEnd"/>
      <w:r w:rsidRPr="00C94971">
        <w:t xml:space="preserve"> nonsense</w:t>
      </w:r>
      <w:r>
        <w:t>… »</w:t>
      </w:r>
      <w:r w:rsidRPr="00C94971">
        <w:t>,</w:t>
      </w:r>
      <w:r>
        <w:t xml:space="preserve"> art. </w:t>
      </w:r>
      <w:proofErr w:type="spellStart"/>
      <w:r>
        <w:t>cit</w:t>
      </w:r>
      <w:proofErr w:type="spellEnd"/>
      <w:r>
        <w:t>.,</w:t>
      </w:r>
      <w:r w:rsidRPr="00C94971">
        <w:t xml:space="preserve"> p. 102.</w:t>
      </w:r>
    </w:p>
  </w:footnote>
  <w:footnote w:id="23">
    <w:p w14:paraId="61A971C7" w14:textId="3E1903FD" w:rsidR="00A14C50" w:rsidRPr="000A640C" w:rsidRDefault="00A14C50" w:rsidP="008C7D06">
      <w:pPr>
        <w:pStyle w:val="Notedebasdepage"/>
      </w:pPr>
      <w:r>
        <w:rPr>
          <w:rStyle w:val="Appelnotedebasdep"/>
        </w:rPr>
        <w:footnoteRef/>
      </w:r>
      <w:r w:rsidRPr="000A640C">
        <w:t xml:space="preserve"> S. Laugier, </w:t>
      </w:r>
      <w:r w:rsidRPr="005B3D5D">
        <w:rPr>
          <w:i/>
        </w:rPr>
        <w:t>Les sens de l’usage</w:t>
      </w:r>
      <w:r w:rsidRPr="000A640C">
        <w:t xml:space="preserve">, </w:t>
      </w:r>
      <w:r>
        <w:t xml:space="preserve">op. </w:t>
      </w:r>
      <w:proofErr w:type="spellStart"/>
      <w:proofErr w:type="gramStart"/>
      <w:r>
        <w:t>cit</w:t>
      </w:r>
      <w:proofErr w:type="spellEnd"/>
      <w:proofErr w:type="gramEnd"/>
      <w:r>
        <w:t xml:space="preserve">. </w:t>
      </w:r>
      <w:r w:rsidRPr="000A640C">
        <w:t xml:space="preserve">p. </w:t>
      </w:r>
      <w:r>
        <w:t>40.</w:t>
      </w:r>
    </w:p>
  </w:footnote>
  <w:footnote w:id="24">
    <w:p w14:paraId="5237DD11" w14:textId="6439172F" w:rsidR="00A14C50" w:rsidRDefault="00A14C50" w:rsidP="008C7D06">
      <w:pPr>
        <w:pStyle w:val="Notedebasdepage"/>
      </w:pPr>
      <w:r>
        <w:rPr>
          <w:rStyle w:val="Appelnotedebasdep"/>
        </w:rPr>
        <w:footnoteRef/>
      </w:r>
      <w:r>
        <w:t xml:space="preserve"> « </w:t>
      </w:r>
      <w:r w:rsidRPr="00955FA7">
        <w:t>Quand une phrase est dite dénuée de sens (</w:t>
      </w:r>
      <w:proofErr w:type="spellStart"/>
      <w:r w:rsidRPr="00955FA7">
        <w:rPr>
          <w:i/>
        </w:rPr>
        <w:t>sinnlos</w:t>
      </w:r>
      <w:proofErr w:type="spellEnd"/>
      <w:r w:rsidRPr="00955FA7">
        <w:t>) ce n’est pas en quelque sorte son sens qui est dénué de sens (</w:t>
      </w:r>
      <w:proofErr w:type="spellStart"/>
      <w:r w:rsidRPr="00955FA7">
        <w:rPr>
          <w:i/>
        </w:rPr>
        <w:t>so</w:t>
      </w:r>
      <w:proofErr w:type="spellEnd"/>
      <w:r w:rsidRPr="00955FA7">
        <w:rPr>
          <w:i/>
        </w:rPr>
        <w:t xml:space="preserve"> </w:t>
      </w:r>
      <w:proofErr w:type="spellStart"/>
      <w:r w:rsidRPr="00955FA7">
        <w:rPr>
          <w:i/>
        </w:rPr>
        <w:t>ist</w:t>
      </w:r>
      <w:proofErr w:type="spellEnd"/>
      <w:r w:rsidRPr="00955FA7">
        <w:rPr>
          <w:i/>
        </w:rPr>
        <w:t xml:space="preserve"> </w:t>
      </w:r>
      <w:proofErr w:type="spellStart"/>
      <w:r w:rsidRPr="00955FA7">
        <w:rPr>
          <w:i/>
        </w:rPr>
        <w:t>nicht</w:t>
      </w:r>
      <w:proofErr w:type="spellEnd"/>
      <w:r w:rsidRPr="00955FA7">
        <w:rPr>
          <w:i/>
        </w:rPr>
        <w:t xml:space="preserve"> sein Sinn </w:t>
      </w:r>
      <w:proofErr w:type="spellStart"/>
      <w:r w:rsidRPr="00955FA7">
        <w:rPr>
          <w:i/>
        </w:rPr>
        <w:t>sinnlos</w:t>
      </w:r>
      <w:proofErr w:type="spellEnd"/>
      <w:r w:rsidRPr="00955FA7">
        <w:t>). Mais une combinaison de mots est exclue du langage, mise hors circulation.</w:t>
      </w:r>
      <w:r>
        <w:t xml:space="preserve"> » </w:t>
      </w:r>
      <w:r w:rsidRPr="00955FA7">
        <w:t>(RP §500)</w:t>
      </w:r>
    </w:p>
  </w:footnote>
  <w:footnote w:id="25">
    <w:p w14:paraId="4A29C7DA" w14:textId="533F061A" w:rsidR="00A14C50" w:rsidRDefault="00A14C50" w:rsidP="008C7D06">
      <w:pPr>
        <w:pStyle w:val="Notedebasdepage"/>
      </w:pPr>
      <w:r>
        <w:rPr>
          <w:rStyle w:val="Appelnotedebasdep"/>
        </w:rPr>
        <w:footnoteRef/>
      </w:r>
      <w:r>
        <w:t xml:space="preserve"> Voir sur ce point l’article déjà cité de Benoist, « Sur quelques sens possibles… ».</w:t>
      </w:r>
    </w:p>
  </w:footnote>
  <w:footnote w:id="26">
    <w:p w14:paraId="23967235" w14:textId="77777777" w:rsidR="00A14C50" w:rsidRDefault="00A14C50" w:rsidP="008C7D06">
      <w:pPr>
        <w:pStyle w:val="Notedebasdepage"/>
      </w:pPr>
      <w:r>
        <w:rPr>
          <w:rStyle w:val="Appelnotedebasdep"/>
        </w:rPr>
        <w:footnoteRef/>
      </w:r>
      <w:r>
        <w:t xml:space="preserve"> J. Benoist, Sur quelques sens…, p. 171.</w:t>
      </w:r>
    </w:p>
  </w:footnote>
  <w:footnote w:id="27">
    <w:p w14:paraId="5E318125" w14:textId="5A928DBB" w:rsidR="00A14C50" w:rsidRDefault="00A14C50" w:rsidP="008C7D06">
      <w:pPr>
        <w:pStyle w:val="Notedebasdepage"/>
      </w:pPr>
      <w:r>
        <w:rPr>
          <w:rStyle w:val="Appelnotedebasdep"/>
        </w:rPr>
        <w:footnoteRef/>
      </w:r>
      <w:r>
        <w:t xml:space="preserve"> S. Laugier, </w:t>
      </w:r>
      <w:r w:rsidRPr="005B3D5D">
        <w:rPr>
          <w:i/>
        </w:rPr>
        <w:t>Les sens</w:t>
      </w:r>
      <w:r w:rsidR="005B3D5D">
        <w:rPr>
          <w:i/>
        </w:rPr>
        <w:t xml:space="preserve"> de l’usage</w:t>
      </w:r>
      <w:r>
        <w:t>,</w:t>
      </w:r>
      <w:r w:rsidR="005B3D5D">
        <w:t xml:space="preserve"> op. </w:t>
      </w:r>
      <w:proofErr w:type="spellStart"/>
      <w:proofErr w:type="gramStart"/>
      <w:r w:rsidR="005B3D5D">
        <w:t>cit</w:t>
      </w:r>
      <w:proofErr w:type="spellEnd"/>
      <w:proofErr w:type="gramEnd"/>
      <w:r w:rsidR="005B3D5D">
        <w:t>.,</w:t>
      </w:r>
      <w:r>
        <w:t xml:space="preserve"> p. 42.</w:t>
      </w:r>
    </w:p>
  </w:footnote>
  <w:footnote w:id="28">
    <w:p w14:paraId="69AAB264" w14:textId="4C08D80D" w:rsidR="00A14C50" w:rsidRDefault="00A14C50" w:rsidP="008C7D06">
      <w:pPr>
        <w:pStyle w:val="Notedebasdepage"/>
      </w:pPr>
      <w:r>
        <w:rPr>
          <w:rStyle w:val="Appelnotedebasdep"/>
        </w:rPr>
        <w:footnoteRef/>
      </w:r>
      <w:r>
        <w:t xml:space="preserve"> D. Perrin, « L’Exil et le retour », art. </w:t>
      </w:r>
      <w:proofErr w:type="spellStart"/>
      <w:r>
        <w:t>cit</w:t>
      </w:r>
      <w:proofErr w:type="spellEnd"/>
      <w:r>
        <w:t>., p. 116-117.</w:t>
      </w:r>
    </w:p>
  </w:footnote>
  <w:footnote w:id="29">
    <w:p w14:paraId="0DC2F48D" w14:textId="4792A3D6" w:rsidR="00A14C50" w:rsidRDefault="00A14C50" w:rsidP="008C7D06">
      <w:pPr>
        <w:pStyle w:val="Notedebasdepage"/>
      </w:pPr>
      <w:r>
        <w:rPr>
          <w:rStyle w:val="Appelnotedebasdep"/>
        </w:rPr>
        <w:footnoteRef/>
      </w:r>
      <w:r>
        <w:t xml:space="preserve"> P. Hadot, </w:t>
      </w:r>
      <w:r w:rsidRPr="008C74D5">
        <w:rPr>
          <w:i/>
        </w:rPr>
        <w:t>Wittgenstein et les limites du langage</w:t>
      </w:r>
      <w:r>
        <w:t xml:space="preserve">, Paris, </w:t>
      </w:r>
      <w:proofErr w:type="spellStart"/>
      <w:r>
        <w:t>Vrin</w:t>
      </w:r>
      <w:proofErr w:type="spellEnd"/>
      <w:r>
        <w:t>, 2004, p. 11.</w:t>
      </w:r>
    </w:p>
  </w:footnote>
  <w:footnote w:id="30">
    <w:p w14:paraId="0329B219" w14:textId="56CAF91D" w:rsidR="00A14C50" w:rsidRDefault="00A14C50" w:rsidP="008C7D06">
      <w:pPr>
        <w:pStyle w:val="Notedebasdepage"/>
      </w:pPr>
      <w:r>
        <w:rPr>
          <w:rStyle w:val="Appelnotedebasdep"/>
        </w:rPr>
        <w:footnoteRef/>
      </w:r>
      <w:r>
        <w:t xml:space="preserve"> </w:t>
      </w:r>
      <w:r w:rsidR="007E2B39">
        <w:t>Ibid.</w:t>
      </w:r>
      <w:r>
        <w:t>, p. 73.</w:t>
      </w:r>
    </w:p>
  </w:footnote>
  <w:footnote w:id="31">
    <w:p w14:paraId="7FA05D5D" w14:textId="4A4B6E39" w:rsidR="00A14C50" w:rsidRPr="007F1744" w:rsidRDefault="00A14C50" w:rsidP="008C7D06">
      <w:pPr>
        <w:pStyle w:val="Notedebasdepage"/>
        <w:rPr>
          <w:lang w:val="en-US"/>
        </w:rPr>
      </w:pPr>
      <w:r>
        <w:rPr>
          <w:rStyle w:val="Appelnotedebasdep"/>
        </w:rPr>
        <w:footnoteRef/>
      </w:r>
      <w:r w:rsidRPr="007F1744">
        <w:rPr>
          <w:lang w:val="en-US"/>
        </w:rPr>
        <w:t xml:space="preserve"> CF. L. Herzberg, « The sense is where you </w:t>
      </w:r>
      <w:r>
        <w:rPr>
          <w:lang w:val="en-US"/>
        </w:rPr>
        <w:t>fin</w:t>
      </w:r>
      <w:r w:rsidRPr="007F1744">
        <w:rPr>
          <w:lang w:val="en-US"/>
        </w:rPr>
        <w:t>d</w:t>
      </w:r>
      <w:r>
        <w:rPr>
          <w:lang w:val="en-US"/>
        </w:rPr>
        <w:t xml:space="preserve"> </w:t>
      </w:r>
      <w:r w:rsidRPr="007F1744">
        <w:rPr>
          <w:lang w:val="en-US"/>
        </w:rPr>
        <w:t xml:space="preserve">it », </w:t>
      </w:r>
      <w:r>
        <w:rPr>
          <w:lang w:val="en-US"/>
        </w:rPr>
        <w:t>i</w:t>
      </w:r>
      <w:r w:rsidRPr="008E4CC0">
        <w:rPr>
          <w:lang w:val="en-US"/>
        </w:rPr>
        <w:t xml:space="preserve">n Timothy McCarthy &amp; Sean C. </w:t>
      </w:r>
      <w:proofErr w:type="spellStart"/>
      <w:r w:rsidRPr="008E4CC0">
        <w:rPr>
          <w:lang w:val="en-US"/>
        </w:rPr>
        <w:t>Stidd</w:t>
      </w:r>
      <w:proofErr w:type="spellEnd"/>
      <w:r w:rsidRPr="008E4CC0">
        <w:rPr>
          <w:lang w:val="en-US"/>
        </w:rPr>
        <w:t xml:space="preserve"> (eds.), </w:t>
      </w:r>
      <w:r w:rsidRPr="008E4CC0">
        <w:rPr>
          <w:i/>
          <w:iCs/>
          <w:lang w:val="en-US"/>
        </w:rPr>
        <w:t>Wittgenstein in America</w:t>
      </w:r>
      <w:r>
        <w:rPr>
          <w:lang w:val="en-US"/>
        </w:rPr>
        <w:t>, Oxford,</w:t>
      </w:r>
      <w:r w:rsidRPr="008E4CC0">
        <w:rPr>
          <w:lang w:val="en-US"/>
        </w:rPr>
        <w:t xml:space="preserve"> Oxford University Press</w:t>
      </w:r>
      <w:r>
        <w:rPr>
          <w:lang w:val="en-US"/>
        </w:rPr>
        <w:t xml:space="preserve">, 2001, </w:t>
      </w:r>
      <w:r w:rsidRPr="008E4CC0">
        <w:rPr>
          <w:lang w:val="en-US"/>
        </w:rPr>
        <w:t>p. 90</w:t>
      </w:r>
      <w:r>
        <w:rPr>
          <w:lang w:val="en-US"/>
        </w:rPr>
        <w:t>-</w:t>
      </w:r>
      <w:r w:rsidRPr="008E4CC0">
        <w:rPr>
          <w:lang w:val="en-US"/>
        </w:rPr>
        <w:t>102</w:t>
      </w:r>
      <w:r>
        <w:rPr>
          <w:lang w:val="en-US"/>
        </w:rPr>
        <w:t xml:space="preserve"> [</w:t>
      </w:r>
      <w:r w:rsidRPr="007F1744">
        <w:rPr>
          <w:lang w:val="en-US"/>
        </w:rPr>
        <w:t>p.</w:t>
      </w:r>
      <w:r>
        <w:rPr>
          <w:lang w:val="en-US"/>
        </w:rPr>
        <w:t> </w:t>
      </w:r>
      <w:r w:rsidRPr="007F1744">
        <w:rPr>
          <w:lang w:val="en-US"/>
        </w:rPr>
        <w:t>3-4</w:t>
      </w:r>
      <w:r>
        <w:rPr>
          <w:lang w:val="en-US"/>
        </w:rPr>
        <w:t xml:space="preserve"> de la version </w:t>
      </w:r>
      <w:proofErr w:type="spellStart"/>
      <w:r>
        <w:rPr>
          <w:lang w:val="en-US"/>
        </w:rPr>
        <w:t>citée</w:t>
      </w:r>
      <w:proofErr w:type="spellEnd"/>
      <w:proofErr w:type="gramStart"/>
      <w:r>
        <w:rPr>
          <w:lang w:val="en-US"/>
        </w:rPr>
        <w:t>. URL :</w:t>
      </w:r>
      <w:proofErr w:type="gramEnd"/>
      <w:r>
        <w:rPr>
          <w:lang w:val="en-US"/>
        </w:rPr>
        <w:t xml:space="preserve"> </w:t>
      </w:r>
      <w:r w:rsidRPr="003D32F4">
        <w:rPr>
          <w:lang w:val="en-US"/>
        </w:rPr>
        <w:t>http://web.abo.fi/fak/hf/filosofi/Staff/lhertzbe/Text/The_Sense_Is_Where_You_Find_It.pdf</w:t>
      </w:r>
      <w:r>
        <w:rPr>
          <w:lang w:val="en-US"/>
        </w:rPr>
        <w:t>]</w:t>
      </w:r>
      <w:r w:rsidRPr="007F1744">
        <w:rPr>
          <w:lang w:val="en-US"/>
        </w:rPr>
        <w:t>.</w:t>
      </w:r>
    </w:p>
  </w:footnote>
  <w:footnote w:id="32">
    <w:p w14:paraId="42EAF897" w14:textId="606D1D18" w:rsidR="00A14C50" w:rsidRPr="009A003E" w:rsidRDefault="00A14C50" w:rsidP="008C7D06">
      <w:pPr>
        <w:pStyle w:val="Notedebasdepage"/>
        <w:rPr>
          <w:lang w:val="en-US"/>
        </w:rPr>
      </w:pPr>
      <w:r>
        <w:rPr>
          <w:rStyle w:val="Appelnotedebasdep"/>
        </w:rPr>
        <w:footnoteRef/>
      </w:r>
      <w:r w:rsidRPr="009A003E">
        <w:rPr>
          <w:lang w:val="en-US"/>
        </w:rPr>
        <w:t xml:space="preserve"> </w:t>
      </w:r>
      <w:r w:rsidRPr="009A003E">
        <w:t>Cf. J. </w:t>
      </w:r>
      <w:proofErr w:type="spellStart"/>
      <w:r w:rsidRPr="009A003E">
        <w:t>Conant</w:t>
      </w:r>
      <w:proofErr w:type="spellEnd"/>
      <w:r w:rsidRPr="009A003E">
        <w:t xml:space="preserve">, </w:t>
      </w:r>
      <w:r>
        <w:t>« </w:t>
      </w:r>
      <w:r w:rsidRPr="009A003E">
        <w:t xml:space="preserve">Frege and </w:t>
      </w:r>
      <w:proofErr w:type="spellStart"/>
      <w:r w:rsidRPr="009A003E">
        <w:t>Early</w:t>
      </w:r>
      <w:proofErr w:type="spellEnd"/>
      <w:r w:rsidRPr="009A003E">
        <w:t xml:space="preserve"> Wittgenstein on </w:t>
      </w:r>
      <w:proofErr w:type="spellStart"/>
      <w:r w:rsidRPr="009A003E">
        <w:t>Elucidation</w:t>
      </w:r>
      <w:proofErr w:type="spellEnd"/>
      <w:r>
        <w:t> »</w:t>
      </w:r>
      <w:r w:rsidRPr="009A003E">
        <w:t>, in A. </w:t>
      </w:r>
      <w:proofErr w:type="spellStart"/>
      <w:r w:rsidRPr="009A003E">
        <w:t>Crary</w:t>
      </w:r>
      <w:proofErr w:type="spellEnd"/>
      <w:r w:rsidRPr="009A003E">
        <w:t xml:space="preserve"> and R. Read (éd.),</w:t>
      </w:r>
      <w:r w:rsidRPr="009A003E">
        <w:rPr>
          <w:i/>
        </w:rPr>
        <w:t xml:space="preserve"> The New Wittgenstein</w:t>
      </w:r>
      <w:r w:rsidRPr="009A003E">
        <w:t xml:space="preserve">, Londres, </w:t>
      </w:r>
      <w:proofErr w:type="spellStart"/>
      <w:r w:rsidRPr="009A003E">
        <w:t>Routledge</w:t>
      </w:r>
      <w:proofErr w:type="spellEnd"/>
      <w:r w:rsidRPr="009A003E">
        <w:t>, 2000.</w:t>
      </w:r>
    </w:p>
  </w:footnote>
  <w:footnote w:id="33">
    <w:p w14:paraId="5DA89078" w14:textId="2FCD54F0" w:rsidR="00A14C50" w:rsidRPr="00CB63BD" w:rsidRDefault="00A14C50" w:rsidP="008C7D06">
      <w:pPr>
        <w:pStyle w:val="Notedebasdepage"/>
      </w:pPr>
      <w:r w:rsidRPr="001D61BA">
        <w:rPr>
          <w:rStyle w:val="Appelnotedebasdep"/>
        </w:rPr>
        <w:footnoteRef/>
      </w:r>
      <w:r w:rsidRPr="001D61BA">
        <w:t xml:space="preserve"> L. </w:t>
      </w:r>
      <w:proofErr w:type="spellStart"/>
      <w:r w:rsidRPr="001D61BA">
        <w:t>Wttgenstein</w:t>
      </w:r>
      <w:proofErr w:type="spellEnd"/>
      <w:r w:rsidRPr="001D61BA">
        <w:t xml:space="preserve">, </w:t>
      </w:r>
      <w:r w:rsidRPr="001D61BA">
        <w:rPr>
          <w:i/>
        </w:rPr>
        <w:t>Le cahier bleu</w:t>
      </w:r>
      <w:r w:rsidRPr="001D61BA">
        <w:t xml:space="preserve">, op. </w:t>
      </w:r>
      <w:proofErr w:type="spellStart"/>
      <w:proofErr w:type="gramStart"/>
      <w:r w:rsidRPr="001D61BA">
        <w:t>cit</w:t>
      </w:r>
      <w:proofErr w:type="spellEnd"/>
      <w:proofErr w:type="gramEnd"/>
      <w:r w:rsidRPr="001D61BA">
        <w:t>., p. 71.</w:t>
      </w:r>
    </w:p>
  </w:footnote>
  <w:footnote w:id="34">
    <w:p w14:paraId="59FE5E6C" w14:textId="3BA5BCF3" w:rsidR="00A14C50" w:rsidRDefault="00A14C50" w:rsidP="008C7D06">
      <w:pPr>
        <w:pStyle w:val="Notedebasdepage"/>
      </w:pPr>
      <w:r>
        <w:rPr>
          <w:rStyle w:val="Appelnotedebasdep"/>
        </w:rPr>
        <w:footnoteRef/>
      </w:r>
      <w:r>
        <w:t xml:space="preserve"> J. Benoist, « Sur quelques sens… », art. </w:t>
      </w:r>
      <w:proofErr w:type="spellStart"/>
      <w:r>
        <w:t>cit</w:t>
      </w:r>
      <w:proofErr w:type="spellEnd"/>
      <w:r>
        <w:t>., p. 169.</w:t>
      </w:r>
    </w:p>
  </w:footnote>
  <w:footnote w:id="35">
    <w:p w14:paraId="5C2EDC1C" w14:textId="5EC92D0C" w:rsidR="00A14C50" w:rsidRDefault="00A14C50" w:rsidP="008C7D06">
      <w:pPr>
        <w:pStyle w:val="Notedebasdepage"/>
      </w:pPr>
      <w:r>
        <w:rPr>
          <w:rStyle w:val="Appelnotedebasdep"/>
        </w:rPr>
        <w:footnoteRef/>
      </w:r>
      <w:r>
        <w:t xml:space="preserve"> S. Laugier, </w:t>
      </w:r>
      <w:r w:rsidRPr="00C26A12">
        <w:rPr>
          <w:i/>
        </w:rPr>
        <w:t>Les sens</w:t>
      </w:r>
      <w:r>
        <w:rPr>
          <w:i/>
        </w:rPr>
        <w:t xml:space="preserve"> de l’usage</w:t>
      </w:r>
      <w:r>
        <w:t xml:space="preserve">, op. </w:t>
      </w:r>
      <w:proofErr w:type="spellStart"/>
      <w:proofErr w:type="gramStart"/>
      <w:r>
        <w:t>cit</w:t>
      </w:r>
      <w:proofErr w:type="spellEnd"/>
      <w:proofErr w:type="gramEnd"/>
      <w:r>
        <w:t>., p. 54</w:t>
      </w:r>
      <w:r w:rsidR="003F6A2C">
        <w:t>.</w:t>
      </w:r>
    </w:p>
  </w:footnote>
  <w:footnote w:id="36">
    <w:p w14:paraId="0CAAEFE5" w14:textId="3BBF6A6D" w:rsidR="00A14C50" w:rsidRPr="00EF6FC2" w:rsidRDefault="00A14C50" w:rsidP="008C7D06">
      <w:pPr>
        <w:pStyle w:val="Notedebasdepage"/>
      </w:pPr>
      <w:r>
        <w:rPr>
          <w:rStyle w:val="Appelnotedebasdep"/>
        </w:rPr>
        <w:footnoteRef/>
      </w:r>
      <w:r>
        <w:t xml:space="preserve"> Voir V. </w:t>
      </w:r>
      <w:proofErr w:type="spellStart"/>
      <w:r>
        <w:t>Descombes</w:t>
      </w:r>
      <w:proofErr w:type="spellEnd"/>
      <w:r>
        <w:t xml:space="preserve">, </w:t>
      </w:r>
      <w:r>
        <w:rPr>
          <w:i/>
        </w:rPr>
        <w:t>Exercices d’humanité</w:t>
      </w:r>
      <w:r>
        <w:t xml:space="preserve">, op. </w:t>
      </w:r>
      <w:proofErr w:type="spellStart"/>
      <w:proofErr w:type="gramStart"/>
      <w:r>
        <w:t>cit</w:t>
      </w:r>
      <w:proofErr w:type="spellEnd"/>
      <w:proofErr w:type="gramEnd"/>
      <w:r>
        <w:t>., p. 75.</w:t>
      </w:r>
    </w:p>
  </w:footnote>
  <w:footnote w:id="37">
    <w:p w14:paraId="7D6DDF74" w14:textId="1DF63158" w:rsidR="00A14C50" w:rsidRDefault="00A14C50" w:rsidP="008C7D06">
      <w:pPr>
        <w:pStyle w:val="Notedebasdepage"/>
      </w:pPr>
      <w:r>
        <w:rPr>
          <w:rStyle w:val="Appelnotedebasdep"/>
        </w:rPr>
        <w:footnoteRef/>
      </w:r>
      <w:r>
        <w:t xml:space="preserve"> J. Benoist, « Sur quelques sens… », art. </w:t>
      </w:r>
      <w:proofErr w:type="spellStart"/>
      <w:r>
        <w:t>cit</w:t>
      </w:r>
      <w:proofErr w:type="spellEnd"/>
      <w:r>
        <w:t>., p. 170.</w:t>
      </w:r>
    </w:p>
  </w:footnote>
  <w:footnote w:id="38">
    <w:p w14:paraId="7B22530F" w14:textId="6032A707" w:rsidR="00A14C50" w:rsidRDefault="00A14C50" w:rsidP="008C7D06">
      <w:pPr>
        <w:pStyle w:val="Notedebasdepage"/>
      </w:pPr>
      <w:r>
        <w:rPr>
          <w:rStyle w:val="Appelnotedebasdep"/>
        </w:rPr>
        <w:footnoteRef/>
      </w:r>
      <w:r>
        <w:t xml:space="preserve"> Ibid., p. 170-171.</w:t>
      </w:r>
    </w:p>
  </w:footnote>
  <w:footnote w:id="39">
    <w:p w14:paraId="0CBF1503" w14:textId="30490463" w:rsidR="00A14C50" w:rsidRDefault="00A14C50" w:rsidP="008C7D06">
      <w:pPr>
        <w:pStyle w:val="Notedebasdepage"/>
      </w:pPr>
      <w:r>
        <w:rPr>
          <w:rStyle w:val="Appelnotedebasdep"/>
        </w:rPr>
        <w:footnoteRef/>
      </w:r>
      <w:r>
        <w:t xml:space="preserve"> S. Laugier, </w:t>
      </w:r>
      <w:r w:rsidRPr="00C26A12">
        <w:rPr>
          <w:i/>
        </w:rPr>
        <w:t>Les sens</w:t>
      </w:r>
      <w:r>
        <w:rPr>
          <w:i/>
        </w:rPr>
        <w:t xml:space="preserve"> de l’</w:t>
      </w:r>
      <w:proofErr w:type="spellStart"/>
      <w:r>
        <w:rPr>
          <w:i/>
        </w:rPr>
        <w:t>usage</w:t>
      </w:r>
      <w:r>
        <w:t xml:space="preserve">, </w:t>
      </w:r>
      <w:proofErr w:type="spellEnd"/>
      <w:r>
        <w:t xml:space="preserve">op. </w:t>
      </w:r>
      <w:proofErr w:type="spellStart"/>
      <w:proofErr w:type="gramStart"/>
      <w:r>
        <w:t>cit</w:t>
      </w:r>
      <w:proofErr w:type="spellEnd"/>
      <w:proofErr w:type="gramEnd"/>
      <w:r>
        <w:t>., p. 64.</w:t>
      </w:r>
    </w:p>
  </w:footnote>
  <w:footnote w:id="40">
    <w:p w14:paraId="6387864B" w14:textId="4428979F" w:rsidR="00A14C50" w:rsidRDefault="00A14C50" w:rsidP="008C7D06">
      <w:pPr>
        <w:pStyle w:val="Notedebasdepage"/>
      </w:pPr>
      <w:r>
        <w:rPr>
          <w:rStyle w:val="Appelnotedebasdep"/>
        </w:rPr>
        <w:footnoteRef/>
      </w:r>
      <w:r>
        <w:t xml:space="preserve"> J. Bouveresse, </w:t>
      </w:r>
      <w:r w:rsidRPr="00571E3A">
        <w:rPr>
          <w:i/>
        </w:rPr>
        <w:t>Dire et ne rien dire</w:t>
      </w:r>
      <w:r>
        <w:t xml:space="preserve">, op. </w:t>
      </w:r>
      <w:proofErr w:type="spellStart"/>
      <w:proofErr w:type="gramStart"/>
      <w:r>
        <w:t>cit</w:t>
      </w:r>
      <w:proofErr w:type="spellEnd"/>
      <w:proofErr w:type="gramEnd"/>
      <w:r>
        <w:t>., p. 126.</w:t>
      </w:r>
    </w:p>
  </w:footnote>
  <w:footnote w:id="41">
    <w:p w14:paraId="43323CFB" w14:textId="41F64141" w:rsidR="00A14C50" w:rsidRPr="006A725D" w:rsidRDefault="00A14C50" w:rsidP="008C7D06">
      <w:pPr>
        <w:pStyle w:val="Notedebasdepage"/>
        <w:rPr>
          <w:lang w:val="en-US"/>
        </w:rPr>
      </w:pPr>
      <w:r>
        <w:rPr>
          <w:rStyle w:val="Appelnotedebasdep"/>
        </w:rPr>
        <w:footnoteRef/>
      </w:r>
      <w:r w:rsidRPr="006A725D">
        <w:rPr>
          <w:lang w:val="en-US"/>
        </w:rPr>
        <w:t xml:space="preserve"> Ibid., p. 122.</w:t>
      </w:r>
    </w:p>
  </w:footnote>
  <w:footnote w:id="42">
    <w:p w14:paraId="795A39E1" w14:textId="11AE3F71" w:rsidR="00A14C50" w:rsidRPr="006A725D" w:rsidRDefault="00A14C50" w:rsidP="008C7D06">
      <w:pPr>
        <w:pStyle w:val="Notedebasdepage"/>
        <w:rPr>
          <w:lang w:val="en-US"/>
        </w:rPr>
      </w:pPr>
      <w:r>
        <w:rPr>
          <w:rStyle w:val="Appelnotedebasdep"/>
        </w:rPr>
        <w:footnoteRef/>
      </w:r>
      <w:r w:rsidRPr="006A725D">
        <w:rPr>
          <w:lang w:val="en-US"/>
        </w:rPr>
        <w:t xml:space="preserve"> Ibid., p. 123.</w:t>
      </w:r>
    </w:p>
  </w:footnote>
  <w:footnote w:id="43">
    <w:p w14:paraId="47F61C3F" w14:textId="25F4EDFC" w:rsidR="00A14C50" w:rsidRPr="000544C7" w:rsidRDefault="00A14C50" w:rsidP="008C7D06">
      <w:pPr>
        <w:pStyle w:val="Notedebasdepage"/>
      </w:pPr>
      <w:r>
        <w:rPr>
          <w:rStyle w:val="Appelnotedebasdep"/>
        </w:rPr>
        <w:footnoteRef/>
      </w:r>
      <w:r w:rsidRPr="000544C7">
        <w:t xml:space="preserve"> J.-Ph. </w:t>
      </w:r>
      <w:proofErr w:type="spellStart"/>
      <w:r w:rsidRPr="000544C7">
        <w:t>Narboux</w:t>
      </w:r>
      <w:proofErr w:type="spellEnd"/>
      <w:r w:rsidRPr="000544C7">
        <w:t>, « </w:t>
      </w:r>
      <w:r w:rsidRPr="000544C7">
        <w:rPr>
          <w:i/>
          <w:iCs/>
        </w:rPr>
        <w:t>Qua</w:t>
      </w:r>
      <w:r w:rsidRPr="000544C7">
        <w:t>. Heidegger, Wittgenstein, et le nivellement logique du sens », in C. </w:t>
      </w:r>
      <w:proofErr w:type="spellStart"/>
      <w:r w:rsidRPr="000544C7">
        <w:t>Gauvry</w:t>
      </w:r>
      <w:proofErr w:type="spellEnd"/>
      <w:r w:rsidRPr="000544C7">
        <w:t> (éd.), </w:t>
      </w:r>
      <w:r w:rsidRPr="000544C7">
        <w:rPr>
          <w:i/>
          <w:iCs/>
        </w:rPr>
        <w:t>L’usage chez Heidegger et Wittgenstein</w:t>
      </w:r>
      <w:r w:rsidRPr="000544C7">
        <w:t xml:space="preserve">, </w:t>
      </w:r>
      <w:r w:rsidRPr="000544C7">
        <w:rPr>
          <w:i/>
          <w:iCs/>
        </w:rPr>
        <w:t>Les Études Philosophiques</w:t>
      </w:r>
      <w:r w:rsidRPr="000544C7">
        <w:t>, 3, 2010, p. 398.</w:t>
      </w:r>
    </w:p>
  </w:footnote>
  <w:footnote w:id="44">
    <w:p w14:paraId="36ED5053" w14:textId="2A83B0B5" w:rsidR="00A14C50" w:rsidRPr="00185CAD" w:rsidRDefault="00A14C50" w:rsidP="008C7D06">
      <w:pPr>
        <w:pStyle w:val="Notedebasdepage"/>
        <w:rPr>
          <w:lang w:val="en-US"/>
        </w:rPr>
      </w:pPr>
      <w:r>
        <w:rPr>
          <w:rStyle w:val="Appelnotedebasdep"/>
        </w:rPr>
        <w:footnoteRef/>
      </w:r>
      <w:r w:rsidRPr="00185CAD">
        <w:rPr>
          <w:lang w:val="en-US"/>
        </w:rPr>
        <w:t xml:space="preserve"> </w:t>
      </w:r>
      <w:r w:rsidRPr="007F1744">
        <w:rPr>
          <w:lang w:val="en-US"/>
        </w:rPr>
        <w:t xml:space="preserve">L. Herzberg, « The sense is where you </w:t>
      </w:r>
      <w:r>
        <w:rPr>
          <w:lang w:val="en-US"/>
        </w:rPr>
        <w:t>fin</w:t>
      </w:r>
      <w:r w:rsidRPr="007F1744">
        <w:rPr>
          <w:lang w:val="en-US"/>
        </w:rPr>
        <w:t>d</w:t>
      </w:r>
      <w:r>
        <w:rPr>
          <w:lang w:val="en-US"/>
        </w:rPr>
        <w:t xml:space="preserve"> </w:t>
      </w:r>
      <w:r w:rsidRPr="007F1744">
        <w:rPr>
          <w:lang w:val="en-US"/>
        </w:rPr>
        <w:t>it »</w:t>
      </w:r>
      <w:r>
        <w:rPr>
          <w:lang w:val="en-US"/>
        </w:rPr>
        <w:t>, art. cit. p. 5.</w:t>
      </w:r>
    </w:p>
  </w:footnote>
  <w:footnote w:id="45">
    <w:p w14:paraId="36652A95" w14:textId="69FB4022" w:rsidR="00A14C50" w:rsidRPr="00C73144" w:rsidRDefault="00A14C50" w:rsidP="008C7D06">
      <w:pPr>
        <w:pStyle w:val="Notedebasdepage"/>
      </w:pPr>
      <w:r>
        <w:rPr>
          <w:rStyle w:val="Appelnotedebasdep"/>
        </w:rPr>
        <w:footnoteRef/>
      </w:r>
      <w:r w:rsidRPr="00C73144">
        <w:t xml:space="preserve"> Ibid., p. 5.</w:t>
      </w:r>
    </w:p>
  </w:footnote>
  <w:footnote w:id="46">
    <w:p w14:paraId="46CAEC05" w14:textId="60F0FF20" w:rsidR="00A14C50" w:rsidRPr="00C73144" w:rsidRDefault="00A14C50" w:rsidP="008C7D06">
      <w:pPr>
        <w:pStyle w:val="Notedebasdepage"/>
      </w:pPr>
      <w:r>
        <w:rPr>
          <w:rStyle w:val="Appelnotedebasdep"/>
        </w:rPr>
        <w:footnoteRef/>
      </w:r>
      <w:r w:rsidRPr="00C73144">
        <w:t xml:space="preserve"> Ibid., p. 10.</w:t>
      </w:r>
    </w:p>
  </w:footnote>
  <w:footnote w:id="47">
    <w:p w14:paraId="253ABCB5" w14:textId="56F76A12" w:rsidR="00B95FD8" w:rsidRDefault="00B95FD8" w:rsidP="008C7D06">
      <w:pPr>
        <w:pStyle w:val="Notedebasdepage"/>
      </w:pPr>
      <w:r>
        <w:rPr>
          <w:rStyle w:val="Appelnotedebasdep"/>
        </w:rPr>
        <w:footnoteRef/>
      </w:r>
      <w:r>
        <w:t xml:space="preserve"> « César est un nombre premier. »</w:t>
      </w:r>
    </w:p>
  </w:footnote>
  <w:footnote w:id="48">
    <w:p w14:paraId="21BE9C03" w14:textId="54DBD76A" w:rsidR="00B95FD8" w:rsidRDefault="00B95FD8" w:rsidP="008C7D06">
      <w:pPr>
        <w:pStyle w:val="Notedebasdepage"/>
      </w:pPr>
      <w:r>
        <w:rPr>
          <w:rStyle w:val="Appelnotedebasdep"/>
        </w:rPr>
        <w:footnoteRef/>
      </w:r>
      <w:r>
        <w:t xml:space="preserve"> « Quand César </w:t>
      </w:r>
      <w:proofErr w:type="spellStart"/>
      <w:r>
        <w:t>a-t-il</w:t>
      </w:r>
      <w:proofErr w:type="spellEnd"/>
      <w:r>
        <w:t xml:space="preserve"> franchi le Rubicon ? »</w:t>
      </w:r>
    </w:p>
  </w:footnote>
  <w:footnote w:id="49">
    <w:p w14:paraId="1D24CC5F" w14:textId="1F19DBB5" w:rsidR="00852BDB" w:rsidRDefault="00852BDB" w:rsidP="008C7D06">
      <w:pPr>
        <w:pStyle w:val="Notedebasdepage"/>
      </w:pPr>
      <w:r>
        <w:rPr>
          <w:rStyle w:val="Appelnotedebasdep"/>
        </w:rPr>
        <w:footnoteRef/>
      </w:r>
      <w:r>
        <w:t xml:space="preserve"> Ici, Herzberg joue sur l’ambiguïté du verbe anglais « </w:t>
      </w:r>
      <w:proofErr w:type="spellStart"/>
      <w:r>
        <w:t>crossed</w:t>
      </w:r>
      <w:proofErr w:type="spellEnd"/>
      <w:r>
        <w:t> », qui peut signifier « traverser » ou « croiser ».</w:t>
      </w:r>
    </w:p>
  </w:footnote>
  <w:footnote w:id="50">
    <w:p w14:paraId="3387D915" w14:textId="73996E3D" w:rsidR="00410B72" w:rsidRDefault="00410B72" w:rsidP="008C7D06">
      <w:pPr>
        <w:pStyle w:val="Notedebasdepage"/>
      </w:pPr>
      <w:r>
        <w:rPr>
          <w:rStyle w:val="Appelnotedebasdep"/>
        </w:rPr>
        <w:footnoteRef/>
      </w:r>
      <w:r>
        <w:t xml:space="preserve"> « Savais-tu que César a franchi le Rubicon ? »</w:t>
      </w:r>
    </w:p>
  </w:footnote>
  <w:footnote w:id="51">
    <w:p w14:paraId="46F6A59E" w14:textId="71167E9C" w:rsidR="00B95FD8" w:rsidRDefault="00B95FD8" w:rsidP="008C7D06">
      <w:pPr>
        <w:pStyle w:val="Notedebasdepage"/>
      </w:pPr>
      <w:r>
        <w:rPr>
          <w:rStyle w:val="Appelnotedebasdep"/>
        </w:rPr>
        <w:footnoteRef/>
      </w:r>
      <w:r>
        <w:t xml:space="preserve"> En français, le jeu de mot ne marche pas puisqu’il faut comprendre quelque chose comme :  </w:t>
      </w:r>
      <w:r w:rsidRPr="00632C0D">
        <w:t xml:space="preserve">A : « Qui sont les meilleurs concurrents de cette catégorie ? / B : « Eh bien, César est un </w:t>
      </w:r>
      <w:r w:rsidRPr="00B95FD8">
        <w:rPr>
          <w:i/>
        </w:rPr>
        <w:t xml:space="preserve">numéro </w:t>
      </w:r>
      <w:r>
        <w:rPr>
          <w:i/>
        </w:rPr>
        <w:t>gagnant</w:t>
      </w:r>
      <w:r>
        <w:t>*</w:t>
      </w:r>
      <w:r w:rsidRPr="00632C0D">
        <w:t xml:space="preserve"> » / A : « Lequel est-ce ? » / B : « Le numéro 53 » / A : « Oui, vous avez raison, en effet, </w:t>
      </w:r>
      <w:r w:rsidR="00E65BFD">
        <w:t xml:space="preserve">le </w:t>
      </w:r>
      <w:r w:rsidRPr="00632C0D">
        <w:t xml:space="preserve">53 est vraiment un </w:t>
      </w:r>
      <w:r w:rsidRPr="00B95FD8">
        <w:rPr>
          <w:i/>
        </w:rPr>
        <w:t>numéro gagnant</w:t>
      </w:r>
      <w:r>
        <w:rPr>
          <w:i/>
        </w:rPr>
        <w:t>*</w:t>
      </w:r>
      <w:r w:rsidRPr="00632C0D">
        <w:t>. »</w:t>
      </w:r>
    </w:p>
  </w:footnote>
  <w:footnote w:id="52">
    <w:p w14:paraId="3666742A" w14:textId="6C9FBF8A" w:rsidR="00C73144" w:rsidRPr="007922D3" w:rsidRDefault="00C73144" w:rsidP="008C7D06">
      <w:pPr>
        <w:pStyle w:val="Notedebasdepage"/>
        <w:rPr>
          <w:iCs/>
          <w:lang w:val="en-US"/>
        </w:rPr>
      </w:pPr>
      <w:r>
        <w:rPr>
          <w:rStyle w:val="Appelnotedebasdep"/>
        </w:rPr>
        <w:footnoteRef/>
      </w:r>
      <w:r w:rsidR="007922D3" w:rsidRPr="007922D3">
        <w:rPr>
          <w:iCs/>
          <w:lang w:val="en-US"/>
        </w:rPr>
        <w:t xml:space="preserve"> L. Herzberg, </w:t>
      </w:r>
      <w:r w:rsidR="007922D3" w:rsidRPr="007F1744">
        <w:rPr>
          <w:lang w:val="en-US"/>
        </w:rPr>
        <w:t xml:space="preserve">« The sense is where you </w:t>
      </w:r>
      <w:r w:rsidR="007922D3">
        <w:rPr>
          <w:lang w:val="en-US"/>
        </w:rPr>
        <w:t>fin</w:t>
      </w:r>
      <w:r w:rsidR="007922D3" w:rsidRPr="007F1744">
        <w:rPr>
          <w:lang w:val="en-US"/>
        </w:rPr>
        <w:t>d</w:t>
      </w:r>
      <w:r w:rsidR="007922D3">
        <w:rPr>
          <w:lang w:val="en-US"/>
        </w:rPr>
        <w:t xml:space="preserve"> </w:t>
      </w:r>
      <w:r w:rsidR="007922D3" w:rsidRPr="007F1744">
        <w:rPr>
          <w:lang w:val="en-US"/>
        </w:rPr>
        <w:t>it »</w:t>
      </w:r>
      <w:r w:rsidR="007922D3">
        <w:rPr>
          <w:lang w:val="en-US"/>
        </w:rPr>
        <w:t>, art. cit. p.</w:t>
      </w:r>
      <w:r w:rsidR="00A96B1E">
        <w:rPr>
          <w:lang w:val="en-US"/>
        </w:rPr>
        <w:t> 3-4.</w:t>
      </w:r>
    </w:p>
  </w:footnote>
  <w:footnote w:id="53">
    <w:p w14:paraId="6903D6A1" w14:textId="3735E6A1" w:rsidR="00A14C50" w:rsidRDefault="00A14C50" w:rsidP="008C7D06">
      <w:pPr>
        <w:pStyle w:val="Notedebasdepage"/>
      </w:pPr>
      <w:r>
        <w:rPr>
          <w:rStyle w:val="Appelnotedebasdep"/>
        </w:rPr>
        <w:footnoteRef/>
      </w:r>
      <w:r>
        <w:t xml:space="preserve"> J. Benoist, </w:t>
      </w:r>
      <w:r w:rsidRPr="00DA3AC3">
        <w:rPr>
          <w:i/>
        </w:rPr>
        <w:t>Sens et sensibilité</w:t>
      </w:r>
      <w:r>
        <w:t xml:space="preserve">, </w:t>
      </w:r>
      <w:r w:rsidR="00DA3AC3">
        <w:t xml:space="preserve">Paris, Le Cerf, 2009, </w:t>
      </w:r>
      <w:r>
        <w:t>p. 222.</w:t>
      </w:r>
    </w:p>
  </w:footnote>
  <w:footnote w:id="54">
    <w:p w14:paraId="60E69FCC" w14:textId="77777777" w:rsidR="004B37E6" w:rsidRPr="00F47A6C" w:rsidRDefault="004B37E6" w:rsidP="008C7D06">
      <w:pPr>
        <w:pStyle w:val="Notedebasdepage"/>
        <w:rPr>
          <w:lang w:val="en-US"/>
        </w:rPr>
      </w:pPr>
      <w:r>
        <w:rPr>
          <w:rStyle w:val="Appelnotedebasdep"/>
        </w:rPr>
        <w:footnoteRef/>
      </w:r>
      <w:r w:rsidRPr="00F47A6C">
        <w:rPr>
          <w:lang w:val="en-US"/>
        </w:rPr>
        <w:t xml:space="preserve"> </w:t>
      </w:r>
      <w:r w:rsidRPr="007F1744">
        <w:rPr>
          <w:lang w:val="en-US"/>
        </w:rPr>
        <w:t xml:space="preserve">L. Herzberg, « The sense is where you </w:t>
      </w:r>
      <w:r>
        <w:rPr>
          <w:lang w:val="en-US"/>
        </w:rPr>
        <w:t>fin</w:t>
      </w:r>
      <w:r w:rsidRPr="007F1744">
        <w:rPr>
          <w:lang w:val="en-US"/>
        </w:rPr>
        <w:t>d</w:t>
      </w:r>
      <w:r>
        <w:rPr>
          <w:lang w:val="en-US"/>
        </w:rPr>
        <w:t xml:space="preserve"> </w:t>
      </w:r>
      <w:r w:rsidRPr="007F1744">
        <w:rPr>
          <w:lang w:val="en-US"/>
        </w:rPr>
        <w:t>it »</w:t>
      </w:r>
      <w:r>
        <w:rPr>
          <w:lang w:val="en-US"/>
        </w:rPr>
        <w:t>, art. cit., p. 7.</w:t>
      </w:r>
    </w:p>
  </w:footnote>
  <w:footnote w:id="55">
    <w:p w14:paraId="1D32E9BC" w14:textId="5265865C" w:rsidR="00A14C50" w:rsidRDefault="00A14C50" w:rsidP="008C7D06">
      <w:pPr>
        <w:pStyle w:val="Notedebasdepage"/>
      </w:pPr>
      <w:r>
        <w:rPr>
          <w:rStyle w:val="Appelnotedebasdep"/>
        </w:rPr>
        <w:footnoteRef/>
      </w:r>
      <w:r>
        <w:t xml:space="preserve"> J. Benoist, Sur quelques sens…, </w:t>
      </w:r>
      <w:r w:rsidR="00DC7B8A">
        <w:t xml:space="preserve">art. </w:t>
      </w:r>
      <w:proofErr w:type="spellStart"/>
      <w:r w:rsidR="00DC7B8A">
        <w:t>cit</w:t>
      </w:r>
      <w:proofErr w:type="spellEnd"/>
      <w:r w:rsidR="00DC7B8A">
        <w:t xml:space="preserve">., </w:t>
      </w:r>
      <w:r>
        <w:t>p. 230.</w:t>
      </w:r>
    </w:p>
  </w:footnote>
  <w:footnote w:id="56">
    <w:p w14:paraId="14E57DE7" w14:textId="72340D4C" w:rsidR="00A14C50" w:rsidRPr="00F47A6C" w:rsidRDefault="00A14C50" w:rsidP="008C7D06">
      <w:pPr>
        <w:pStyle w:val="Notedebasdepage"/>
        <w:rPr>
          <w:lang w:val="en-US"/>
        </w:rPr>
      </w:pPr>
      <w:r>
        <w:rPr>
          <w:rStyle w:val="Appelnotedebasdep"/>
        </w:rPr>
        <w:footnoteRef/>
      </w:r>
      <w:r w:rsidRPr="00F47A6C">
        <w:rPr>
          <w:lang w:val="en-US"/>
        </w:rPr>
        <w:t xml:space="preserve"> </w:t>
      </w:r>
      <w:r w:rsidRPr="007F1744">
        <w:rPr>
          <w:lang w:val="en-US"/>
        </w:rPr>
        <w:t xml:space="preserve">L. Herzberg, « The sense is where you </w:t>
      </w:r>
      <w:r>
        <w:rPr>
          <w:lang w:val="en-US"/>
        </w:rPr>
        <w:t>fin</w:t>
      </w:r>
      <w:r w:rsidRPr="007F1744">
        <w:rPr>
          <w:lang w:val="en-US"/>
        </w:rPr>
        <w:t>d</w:t>
      </w:r>
      <w:r>
        <w:rPr>
          <w:lang w:val="en-US"/>
        </w:rPr>
        <w:t xml:space="preserve"> </w:t>
      </w:r>
      <w:r w:rsidRPr="007F1744">
        <w:rPr>
          <w:lang w:val="en-US"/>
        </w:rPr>
        <w:t>it »</w:t>
      </w:r>
      <w:r>
        <w:rPr>
          <w:lang w:val="en-US"/>
        </w:rPr>
        <w:t xml:space="preserve">, </w:t>
      </w:r>
      <w:r w:rsidR="002D5BC5">
        <w:rPr>
          <w:lang w:val="en-US"/>
        </w:rPr>
        <w:t xml:space="preserve">art. cit., </w:t>
      </w:r>
      <w:r>
        <w:rPr>
          <w:lang w:val="en-US"/>
        </w:rPr>
        <w:t>p. 12</w:t>
      </w:r>
      <w:r w:rsidR="002D5BC5">
        <w:rPr>
          <w:lang w:val="en-US"/>
        </w:rPr>
        <w:t>.</w:t>
      </w:r>
    </w:p>
  </w:footnote>
  <w:footnote w:id="57">
    <w:p w14:paraId="1018C54B" w14:textId="6FEEB828" w:rsidR="00A14C50" w:rsidRDefault="00A14C50" w:rsidP="008C7D06">
      <w:pPr>
        <w:pStyle w:val="Notedebasdepage"/>
      </w:pPr>
      <w:r>
        <w:rPr>
          <w:rStyle w:val="Appelnotedebasdep"/>
        </w:rPr>
        <w:footnoteRef/>
      </w:r>
      <w:r>
        <w:t xml:space="preserve"> J. Benoist, Sur quelques sens…,</w:t>
      </w:r>
      <w:r w:rsidR="00A46DCD">
        <w:t xml:space="preserve"> art. </w:t>
      </w:r>
      <w:proofErr w:type="spellStart"/>
      <w:r w:rsidR="00A46DCD">
        <w:t>cit</w:t>
      </w:r>
      <w:proofErr w:type="spellEnd"/>
      <w:r w:rsidR="00A46DCD">
        <w:t>.,</w:t>
      </w:r>
      <w:r>
        <w:t xml:space="preserve"> p. 178.</w:t>
      </w:r>
    </w:p>
  </w:footnote>
  <w:footnote w:id="58">
    <w:p w14:paraId="6521A47E" w14:textId="09D26338" w:rsidR="00964E1B" w:rsidRDefault="00964E1B" w:rsidP="008C7D06">
      <w:pPr>
        <w:pStyle w:val="Notedebasdepage"/>
      </w:pPr>
      <w:r>
        <w:rPr>
          <w:rStyle w:val="Appelnotedebasdep"/>
        </w:rPr>
        <w:footnoteRef/>
      </w:r>
      <w:r>
        <w:t xml:space="preserve"> P</w:t>
      </w:r>
      <w:r>
        <w:t>eut-être au sens où il toucherait toujours à la question des limites, c’est-à-dire à des vérités grammaticales</w:t>
      </w:r>
      <w:r>
        <w:t>.</w:t>
      </w:r>
    </w:p>
  </w:footnote>
  <w:footnote w:id="59">
    <w:p w14:paraId="1B9EBEB0" w14:textId="60E1EA5E" w:rsidR="00A14C50" w:rsidRDefault="00A14C50" w:rsidP="008C7D06">
      <w:pPr>
        <w:pStyle w:val="Notedebasdepage"/>
      </w:pPr>
      <w:r>
        <w:rPr>
          <w:rStyle w:val="Appelnotedebasdep"/>
        </w:rPr>
        <w:footnoteRef/>
      </w:r>
      <w:r>
        <w:t xml:space="preserve"> J. Benoist, « Sur quelques sens possibles d’une formule de Wittgenstein », </w:t>
      </w:r>
      <w:r w:rsidR="006F5431">
        <w:t xml:space="preserve">art. </w:t>
      </w:r>
      <w:proofErr w:type="spellStart"/>
      <w:r w:rsidR="006F5431">
        <w:t>cit</w:t>
      </w:r>
      <w:proofErr w:type="spellEnd"/>
      <w:r w:rsidR="006F5431">
        <w:t xml:space="preserve">., </w:t>
      </w:r>
      <w:r>
        <w:t>p. 173-174.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ECA3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0426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D403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5AE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29E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A2C6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446E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8C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166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D69C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5119F"/>
    <w:multiLevelType w:val="hybridMultilevel"/>
    <w:tmpl w:val="25BABD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08C2D5B"/>
    <w:multiLevelType w:val="hybridMultilevel"/>
    <w:tmpl w:val="0D583FF2"/>
    <w:lvl w:ilvl="0" w:tplc="74429C2E">
      <w:start w:val="1"/>
      <w:numFmt w:val="decimal"/>
      <w:pStyle w:val="Citation"/>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E2E7C46"/>
    <w:multiLevelType w:val="hybridMultilevel"/>
    <w:tmpl w:val="C88092F6"/>
    <w:lvl w:ilvl="0" w:tplc="888E4CEE">
      <w:start w:val="1"/>
      <w:numFmt w:val="decimal"/>
      <w:lvlText w:val="%1)"/>
      <w:lvlJc w:val="left"/>
      <w:pPr>
        <w:ind w:left="1224" w:hanging="360"/>
      </w:pPr>
      <w:rPr>
        <w:rFonts w:hint="default"/>
      </w:r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abstractNum w:abstractNumId="13" w15:restartNumberingAfterBreak="0">
    <w:nsid w:val="68781449"/>
    <w:multiLevelType w:val="hybridMultilevel"/>
    <w:tmpl w:val="F65843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4"/>
  </w:num>
  <w:num w:numId="3">
    <w:abstractNumId w:val="5"/>
  </w:num>
  <w:num w:numId="4">
    <w:abstractNumId w:val="6"/>
  </w:num>
  <w:num w:numId="5">
    <w:abstractNumId w:val="7"/>
  </w:num>
  <w:num w:numId="6">
    <w:abstractNumId w:val="9"/>
  </w:num>
  <w:num w:numId="7">
    <w:abstractNumId w:val="0"/>
  </w:num>
  <w:num w:numId="8">
    <w:abstractNumId w:val="1"/>
  </w:num>
  <w:num w:numId="9">
    <w:abstractNumId w:val="2"/>
  </w:num>
  <w:num w:numId="10">
    <w:abstractNumId w:val="3"/>
  </w:num>
  <w:num w:numId="11">
    <w:abstractNumId w:val="8"/>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094"/>
    <w:rsid w:val="00002673"/>
    <w:rsid w:val="00002D5D"/>
    <w:rsid w:val="00004360"/>
    <w:rsid w:val="00005D8E"/>
    <w:rsid w:val="00015C21"/>
    <w:rsid w:val="000213CB"/>
    <w:rsid w:val="00022ACB"/>
    <w:rsid w:val="00022BCC"/>
    <w:rsid w:val="00023C86"/>
    <w:rsid w:val="000376B7"/>
    <w:rsid w:val="00042E63"/>
    <w:rsid w:val="00043C1A"/>
    <w:rsid w:val="0004459C"/>
    <w:rsid w:val="00045B57"/>
    <w:rsid w:val="000544C7"/>
    <w:rsid w:val="00060AEB"/>
    <w:rsid w:val="0007456C"/>
    <w:rsid w:val="00087A4D"/>
    <w:rsid w:val="000A175E"/>
    <w:rsid w:val="000A1D45"/>
    <w:rsid w:val="000A21EC"/>
    <w:rsid w:val="000A5ECF"/>
    <w:rsid w:val="000A640C"/>
    <w:rsid w:val="000A6928"/>
    <w:rsid w:val="000B11E3"/>
    <w:rsid w:val="000B181B"/>
    <w:rsid w:val="000B22B9"/>
    <w:rsid w:val="000C0440"/>
    <w:rsid w:val="000C0723"/>
    <w:rsid w:val="000C0B23"/>
    <w:rsid w:val="000C4723"/>
    <w:rsid w:val="000D32EA"/>
    <w:rsid w:val="000D3D47"/>
    <w:rsid w:val="000D3D7A"/>
    <w:rsid w:val="000D6A57"/>
    <w:rsid w:val="000E3382"/>
    <w:rsid w:val="000E3E01"/>
    <w:rsid w:val="000E469D"/>
    <w:rsid w:val="000F570F"/>
    <w:rsid w:val="0010047C"/>
    <w:rsid w:val="0010152D"/>
    <w:rsid w:val="00107063"/>
    <w:rsid w:val="00114CB5"/>
    <w:rsid w:val="001253E6"/>
    <w:rsid w:val="00131D73"/>
    <w:rsid w:val="00133E5C"/>
    <w:rsid w:val="001359D2"/>
    <w:rsid w:val="00135E0F"/>
    <w:rsid w:val="00136896"/>
    <w:rsid w:val="00147EAF"/>
    <w:rsid w:val="00153297"/>
    <w:rsid w:val="0015355A"/>
    <w:rsid w:val="00154602"/>
    <w:rsid w:val="001579B8"/>
    <w:rsid w:val="001622BA"/>
    <w:rsid w:val="00164CB3"/>
    <w:rsid w:val="001713DB"/>
    <w:rsid w:val="00171531"/>
    <w:rsid w:val="001726FD"/>
    <w:rsid w:val="001778CA"/>
    <w:rsid w:val="00180B32"/>
    <w:rsid w:val="00185CAD"/>
    <w:rsid w:val="00195AB1"/>
    <w:rsid w:val="00195D46"/>
    <w:rsid w:val="001B6EAC"/>
    <w:rsid w:val="001B709A"/>
    <w:rsid w:val="001C1556"/>
    <w:rsid w:val="001C2B8A"/>
    <w:rsid w:val="001C5855"/>
    <w:rsid w:val="001D2829"/>
    <w:rsid w:val="001D525B"/>
    <w:rsid w:val="001D61BA"/>
    <w:rsid w:val="001F780A"/>
    <w:rsid w:val="00220175"/>
    <w:rsid w:val="00232F10"/>
    <w:rsid w:val="00234A25"/>
    <w:rsid w:val="00257EC3"/>
    <w:rsid w:val="00276D2F"/>
    <w:rsid w:val="00280CAB"/>
    <w:rsid w:val="00281A31"/>
    <w:rsid w:val="00283D7C"/>
    <w:rsid w:val="002909B1"/>
    <w:rsid w:val="002926E8"/>
    <w:rsid w:val="00294975"/>
    <w:rsid w:val="002968ED"/>
    <w:rsid w:val="002A1E89"/>
    <w:rsid w:val="002A3FC0"/>
    <w:rsid w:val="002B4E8C"/>
    <w:rsid w:val="002B72C1"/>
    <w:rsid w:val="002B7D4F"/>
    <w:rsid w:val="002D1AEB"/>
    <w:rsid w:val="002D5BC5"/>
    <w:rsid w:val="002E0A96"/>
    <w:rsid w:val="002F078F"/>
    <w:rsid w:val="002F3E73"/>
    <w:rsid w:val="002F433E"/>
    <w:rsid w:val="002F51D6"/>
    <w:rsid w:val="00307C92"/>
    <w:rsid w:val="00330B29"/>
    <w:rsid w:val="0033426C"/>
    <w:rsid w:val="00337E72"/>
    <w:rsid w:val="00345423"/>
    <w:rsid w:val="00346721"/>
    <w:rsid w:val="003576B4"/>
    <w:rsid w:val="003679DF"/>
    <w:rsid w:val="00370F82"/>
    <w:rsid w:val="00372473"/>
    <w:rsid w:val="00375DE7"/>
    <w:rsid w:val="0037688B"/>
    <w:rsid w:val="003811A1"/>
    <w:rsid w:val="00381FB2"/>
    <w:rsid w:val="0038378A"/>
    <w:rsid w:val="0038407A"/>
    <w:rsid w:val="00385772"/>
    <w:rsid w:val="003859B9"/>
    <w:rsid w:val="003875D5"/>
    <w:rsid w:val="003A2F4D"/>
    <w:rsid w:val="003A5609"/>
    <w:rsid w:val="003A58EF"/>
    <w:rsid w:val="003A6C6D"/>
    <w:rsid w:val="003A70A7"/>
    <w:rsid w:val="003A7E4D"/>
    <w:rsid w:val="003C5EBC"/>
    <w:rsid w:val="003D32F4"/>
    <w:rsid w:val="003D67D7"/>
    <w:rsid w:val="003D69D0"/>
    <w:rsid w:val="003D6C13"/>
    <w:rsid w:val="003E5266"/>
    <w:rsid w:val="003F0331"/>
    <w:rsid w:val="003F2BC4"/>
    <w:rsid w:val="003F4C1B"/>
    <w:rsid w:val="003F6A2C"/>
    <w:rsid w:val="00404A8C"/>
    <w:rsid w:val="00410B72"/>
    <w:rsid w:val="00411360"/>
    <w:rsid w:val="00413EFA"/>
    <w:rsid w:val="0041412A"/>
    <w:rsid w:val="00421A24"/>
    <w:rsid w:val="00422479"/>
    <w:rsid w:val="004263AF"/>
    <w:rsid w:val="00445EB5"/>
    <w:rsid w:val="00450E10"/>
    <w:rsid w:val="00457F32"/>
    <w:rsid w:val="00471D9F"/>
    <w:rsid w:val="004722F2"/>
    <w:rsid w:val="00472529"/>
    <w:rsid w:val="004903FD"/>
    <w:rsid w:val="0049110F"/>
    <w:rsid w:val="00492C09"/>
    <w:rsid w:val="00493C33"/>
    <w:rsid w:val="00497672"/>
    <w:rsid w:val="004A04D0"/>
    <w:rsid w:val="004A34F2"/>
    <w:rsid w:val="004B06F5"/>
    <w:rsid w:val="004B37E6"/>
    <w:rsid w:val="004C034E"/>
    <w:rsid w:val="004C2C60"/>
    <w:rsid w:val="004C5497"/>
    <w:rsid w:val="004E0AF6"/>
    <w:rsid w:val="004F03E3"/>
    <w:rsid w:val="004F6994"/>
    <w:rsid w:val="005002E8"/>
    <w:rsid w:val="005003BE"/>
    <w:rsid w:val="005026BA"/>
    <w:rsid w:val="0050463C"/>
    <w:rsid w:val="00512392"/>
    <w:rsid w:val="005258E8"/>
    <w:rsid w:val="0053136D"/>
    <w:rsid w:val="00533272"/>
    <w:rsid w:val="0054655D"/>
    <w:rsid w:val="005611E7"/>
    <w:rsid w:val="00562A71"/>
    <w:rsid w:val="00567F37"/>
    <w:rsid w:val="00571E3A"/>
    <w:rsid w:val="00572E96"/>
    <w:rsid w:val="00574878"/>
    <w:rsid w:val="00582433"/>
    <w:rsid w:val="005927FB"/>
    <w:rsid w:val="00592B41"/>
    <w:rsid w:val="005954BE"/>
    <w:rsid w:val="00596332"/>
    <w:rsid w:val="005A7F46"/>
    <w:rsid w:val="005B12AC"/>
    <w:rsid w:val="005B3D5D"/>
    <w:rsid w:val="005B3D9E"/>
    <w:rsid w:val="005B52BE"/>
    <w:rsid w:val="005C26CF"/>
    <w:rsid w:val="005D2AA7"/>
    <w:rsid w:val="005D68A3"/>
    <w:rsid w:val="005E3A1A"/>
    <w:rsid w:val="005E55A8"/>
    <w:rsid w:val="005E70A1"/>
    <w:rsid w:val="00601954"/>
    <w:rsid w:val="006021F7"/>
    <w:rsid w:val="00603E61"/>
    <w:rsid w:val="00613826"/>
    <w:rsid w:val="0062012E"/>
    <w:rsid w:val="00620A50"/>
    <w:rsid w:val="00632C0D"/>
    <w:rsid w:val="00633892"/>
    <w:rsid w:val="00633B97"/>
    <w:rsid w:val="00637598"/>
    <w:rsid w:val="00637E16"/>
    <w:rsid w:val="00640B24"/>
    <w:rsid w:val="0065190B"/>
    <w:rsid w:val="006568EA"/>
    <w:rsid w:val="00660D32"/>
    <w:rsid w:val="006675AA"/>
    <w:rsid w:val="006723F5"/>
    <w:rsid w:val="00673A0E"/>
    <w:rsid w:val="00677498"/>
    <w:rsid w:val="006815A3"/>
    <w:rsid w:val="00686D0F"/>
    <w:rsid w:val="00687E8B"/>
    <w:rsid w:val="006907B5"/>
    <w:rsid w:val="006958D8"/>
    <w:rsid w:val="006A3A09"/>
    <w:rsid w:val="006A6311"/>
    <w:rsid w:val="006A725D"/>
    <w:rsid w:val="006B18D6"/>
    <w:rsid w:val="006B7F48"/>
    <w:rsid w:val="006D1CA5"/>
    <w:rsid w:val="006F1EBD"/>
    <w:rsid w:val="006F5431"/>
    <w:rsid w:val="00707F89"/>
    <w:rsid w:val="007143A0"/>
    <w:rsid w:val="00715515"/>
    <w:rsid w:val="00733377"/>
    <w:rsid w:val="00741207"/>
    <w:rsid w:val="007426F5"/>
    <w:rsid w:val="0075017A"/>
    <w:rsid w:val="007561DD"/>
    <w:rsid w:val="007749BD"/>
    <w:rsid w:val="007836F4"/>
    <w:rsid w:val="00790A91"/>
    <w:rsid w:val="007922D3"/>
    <w:rsid w:val="00794977"/>
    <w:rsid w:val="0079544C"/>
    <w:rsid w:val="00797D1C"/>
    <w:rsid w:val="007A4585"/>
    <w:rsid w:val="007A539F"/>
    <w:rsid w:val="007B39D7"/>
    <w:rsid w:val="007B45BB"/>
    <w:rsid w:val="007B7B3F"/>
    <w:rsid w:val="007B7EBF"/>
    <w:rsid w:val="007D69BD"/>
    <w:rsid w:val="007D7CBA"/>
    <w:rsid w:val="007E1D5B"/>
    <w:rsid w:val="007E2B39"/>
    <w:rsid w:val="007E32BD"/>
    <w:rsid w:val="007F1744"/>
    <w:rsid w:val="00804201"/>
    <w:rsid w:val="008045D8"/>
    <w:rsid w:val="00827A7B"/>
    <w:rsid w:val="00833C5F"/>
    <w:rsid w:val="00843DD4"/>
    <w:rsid w:val="00850A00"/>
    <w:rsid w:val="00852BDB"/>
    <w:rsid w:val="00860CA5"/>
    <w:rsid w:val="00862677"/>
    <w:rsid w:val="00863905"/>
    <w:rsid w:val="008761CB"/>
    <w:rsid w:val="00881785"/>
    <w:rsid w:val="008875D0"/>
    <w:rsid w:val="0089289A"/>
    <w:rsid w:val="008B0D05"/>
    <w:rsid w:val="008B2803"/>
    <w:rsid w:val="008B58A9"/>
    <w:rsid w:val="008C5B51"/>
    <w:rsid w:val="008C5E51"/>
    <w:rsid w:val="008C74D5"/>
    <w:rsid w:val="008C7A27"/>
    <w:rsid w:val="008C7D06"/>
    <w:rsid w:val="008D12D6"/>
    <w:rsid w:val="008D1D02"/>
    <w:rsid w:val="008D2458"/>
    <w:rsid w:val="008D286F"/>
    <w:rsid w:val="008D6E67"/>
    <w:rsid w:val="008E0CFA"/>
    <w:rsid w:val="008E26E8"/>
    <w:rsid w:val="008E4CC0"/>
    <w:rsid w:val="008F0710"/>
    <w:rsid w:val="008F116C"/>
    <w:rsid w:val="008F15C8"/>
    <w:rsid w:val="008F705A"/>
    <w:rsid w:val="00900D0D"/>
    <w:rsid w:val="00900E3B"/>
    <w:rsid w:val="009033DE"/>
    <w:rsid w:val="00906087"/>
    <w:rsid w:val="00906BA1"/>
    <w:rsid w:val="00920E21"/>
    <w:rsid w:val="00922D17"/>
    <w:rsid w:val="00924654"/>
    <w:rsid w:val="00950E4C"/>
    <w:rsid w:val="00952805"/>
    <w:rsid w:val="00952F6F"/>
    <w:rsid w:val="00955FA7"/>
    <w:rsid w:val="009605F7"/>
    <w:rsid w:val="0096261F"/>
    <w:rsid w:val="00964401"/>
    <w:rsid w:val="00964E1B"/>
    <w:rsid w:val="009714E6"/>
    <w:rsid w:val="00972E43"/>
    <w:rsid w:val="009776FC"/>
    <w:rsid w:val="009901CC"/>
    <w:rsid w:val="009938D0"/>
    <w:rsid w:val="009947CB"/>
    <w:rsid w:val="00994FA1"/>
    <w:rsid w:val="009A003E"/>
    <w:rsid w:val="009B3707"/>
    <w:rsid w:val="009B429E"/>
    <w:rsid w:val="009B54AD"/>
    <w:rsid w:val="009B5CAB"/>
    <w:rsid w:val="009C240A"/>
    <w:rsid w:val="009C3DBD"/>
    <w:rsid w:val="009C6BE7"/>
    <w:rsid w:val="009C7F84"/>
    <w:rsid w:val="009D4391"/>
    <w:rsid w:val="009D75C9"/>
    <w:rsid w:val="009E062E"/>
    <w:rsid w:val="009E2DED"/>
    <w:rsid w:val="009E744D"/>
    <w:rsid w:val="00A034E8"/>
    <w:rsid w:val="00A12E14"/>
    <w:rsid w:val="00A1340F"/>
    <w:rsid w:val="00A14B22"/>
    <w:rsid w:val="00A14C50"/>
    <w:rsid w:val="00A23BA7"/>
    <w:rsid w:val="00A245C5"/>
    <w:rsid w:val="00A24700"/>
    <w:rsid w:val="00A26776"/>
    <w:rsid w:val="00A32F3F"/>
    <w:rsid w:val="00A34EB8"/>
    <w:rsid w:val="00A46CA9"/>
    <w:rsid w:val="00A46DCD"/>
    <w:rsid w:val="00A51935"/>
    <w:rsid w:val="00A53423"/>
    <w:rsid w:val="00A60EBC"/>
    <w:rsid w:val="00A60FB3"/>
    <w:rsid w:val="00A7200E"/>
    <w:rsid w:val="00A73482"/>
    <w:rsid w:val="00A878DD"/>
    <w:rsid w:val="00A96B1E"/>
    <w:rsid w:val="00AC4B96"/>
    <w:rsid w:val="00AC5901"/>
    <w:rsid w:val="00AD522E"/>
    <w:rsid w:val="00AF5032"/>
    <w:rsid w:val="00B0606A"/>
    <w:rsid w:val="00B13076"/>
    <w:rsid w:val="00B142A2"/>
    <w:rsid w:val="00B1685C"/>
    <w:rsid w:val="00B26C28"/>
    <w:rsid w:val="00B36324"/>
    <w:rsid w:val="00B408B3"/>
    <w:rsid w:val="00B56A42"/>
    <w:rsid w:val="00B61DC7"/>
    <w:rsid w:val="00B658E8"/>
    <w:rsid w:val="00B700D4"/>
    <w:rsid w:val="00B757D4"/>
    <w:rsid w:val="00B76082"/>
    <w:rsid w:val="00B85304"/>
    <w:rsid w:val="00B93D73"/>
    <w:rsid w:val="00B93F59"/>
    <w:rsid w:val="00B95FD8"/>
    <w:rsid w:val="00BA6741"/>
    <w:rsid w:val="00BA6E41"/>
    <w:rsid w:val="00BB08D0"/>
    <w:rsid w:val="00BB0AD8"/>
    <w:rsid w:val="00BB3CA2"/>
    <w:rsid w:val="00BD1820"/>
    <w:rsid w:val="00BD3FAA"/>
    <w:rsid w:val="00BD5FAF"/>
    <w:rsid w:val="00BD7094"/>
    <w:rsid w:val="00BE2925"/>
    <w:rsid w:val="00BE5AD1"/>
    <w:rsid w:val="00BE7B63"/>
    <w:rsid w:val="00BF195A"/>
    <w:rsid w:val="00BF1DE8"/>
    <w:rsid w:val="00BF78A9"/>
    <w:rsid w:val="00C24BEF"/>
    <w:rsid w:val="00C26A12"/>
    <w:rsid w:val="00C26DFA"/>
    <w:rsid w:val="00C479FA"/>
    <w:rsid w:val="00C47F4A"/>
    <w:rsid w:val="00C64557"/>
    <w:rsid w:val="00C64F98"/>
    <w:rsid w:val="00C71D0E"/>
    <w:rsid w:val="00C73144"/>
    <w:rsid w:val="00C75699"/>
    <w:rsid w:val="00C81FCF"/>
    <w:rsid w:val="00C85D8E"/>
    <w:rsid w:val="00C87D8B"/>
    <w:rsid w:val="00C90C6B"/>
    <w:rsid w:val="00C94971"/>
    <w:rsid w:val="00C95B3A"/>
    <w:rsid w:val="00CA029D"/>
    <w:rsid w:val="00CB372D"/>
    <w:rsid w:val="00CB61DA"/>
    <w:rsid w:val="00CB63BD"/>
    <w:rsid w:val="00CB7AEC"/>
    <w:rsid w:val="00CD7F5A"/>
    <w:rsid w:val="00CE3842"/>
    <w:rsid w:val="00CF0349"/>
    <w:rsid w:val="00CF3DC4"/>
    <w:rsid w:val="00CF4178"/>
    <w:rsid w:val="00D2152F"/>
    <w:rsid w:val="00D2448B"/>
    <w:rsid w:val="00D24C69"/>
    <w:rsid w:val="00D26FC7"/>
    <w:rsid w:val="00D32740"/>
    <w:rsid w:val="00D33404"/>
    <w:rsid w:val="00D359BC"/>
    <w:rsid w:val="00D428C8"/>
    <w:rsid w:val="00D53927"/>
    <w:rsid w:val="00D64D87"/>
    <w:rsid w:val="00D67661"/>
    <w:rsid w:val="00D72D1F"/>
    <w:rsid w:val="00D90BC0"/>
    <w:rsid w:val="00D912FC"/>
    <w:rsid w:val="00DA3AC3"/>
    <w:rsid w:val="00DA427A"/>
    <w:rsid w:val="00DA46D7"/>
    <w:rsid w:val="00DA507E"/>
    <w:rsid w:val="00DC56F7"/>
    <w:rsid w:val="00DC7B8A"/>
    <w:rsid w:val="00DD39C9"/>
    <w:rsid w:val="00DF36E4"/>
    <w:rsid w:val="00E00313"/>
    <w:rsid w:val="00E01ECE"/>
    <w:rsid w:val="00E116B7"/>
    <w:rsid w:val="00E167E0"/>
    <w:rsid w:val="00E3175D"/>
    <w:rsid w:val="00E33A40"/>
    <w:rsid w:val="00E53C75"/>
    <w:rsid w:val="00E55C84"/>
    <w:rsid w:val="00E65BFD"/>
    <w:rsid w:val="00E663DD"/>
    <w:rsid w:val="00E71371"/>
    <w:rsid w:val="00E81122"/>
    <w:rsid w:val="00E85062"/>
    <w:rsid w:val="00E85676"/>
    <w:rsid w:val="00E878A8"/>
    <w:rsid w:val="00EA529C"/>
    <w:rsid w:val="00EB05BF"/>
    <w:rsid w:val="00EB3B1B"/>
    <w:rsid w:val="00EC2761"/>
    <w:rsid w:val="00EC42A8"/>
    <w:rsid w:val="00EE3042"/>
    <w:rsid w:val="00EE512A"/>
    <w:rsid w:val="00EE78F2"/>
    <w:rsid w:val="00EF5290"/>
    <w:rsid w:val="00EF5479"/>
    <w:rsid w:val="00EF6FC2"/>
    <w:rsid w:val="00F070E7"/>
    <w:rsid w:val="00F11290"/>
    <w:rsid w:val="00F13B60"/>
    <w:rsid w:val="00F167BF"/>
    <w:rsid w:val="00F27806"/>
    <w:rsid w:val="00F3443C"/>
    <w:rsid w:val="00F403F1"/>
    <w:rsid w:val="00F47A6C"/>
    <w:rsid w:val="00F50E1E"/>
    <w:rsid w:val="00F56D14"/>
    <w:rsid w:val="00F60D00"/>
    <w:rsid w:val="00F7557C"/>
    <w:rsid w:val="00F775C1"/>
    <w:rsid w:val="00F77FAC"/>
    <w:rsid w:val="00F824A3"/>
    <w:rsid w:val="00F83072"/>
    <w:rsid w:val="00F832BE"/>
    <w:rsid w:val="00F855BD"/>
    <w:rsid w:val="00F95426"/>
    <w:rsid w:val="00FA11BA"/>
    <w:rsid w:val="00FA3AF1"/>
    <w:rsid w:val="00FA4AA5"/>
    <w:rsid w:val="00FB30B3"/>
    <w:rsid w:val="00FB30BA"/>
    <w:rsid w:val="00FB39A3"/>
    <w:rsid w:val="00FB6ABC"/>
    <w:rsid w:val="00FE69C0"/>
    <w:rsid w:val="00FE7FF8"/>
    <w:rsid w:val="00FF2502"/>
    <w:rsid w:val="00FF2F9D"/>
    <w:rsid w:val="00FF3E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D466A9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7D06"/>
    <w:pPr>
      <w:jc w:val="both"/>
    </w:pPr>
    <w:rPr>
      <w:rFonts w:ascii="Times New Roman" w:hAnsi="Times New Roman"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7F48"/>
    <w:pPr>
      <w:ind w:left="720"/>
      <w:contextualSpacing/>
    </w:pPr>
  </w:style>
  <w:style w:type="paragraph" w:styleId="Titre">
    <w:name w:val="Title"/>
    <w:basedOn w:val="Normal"/>
    <w:next w:val="Normal"/>
    <w:link w:val="TitreCar"/>
    <w:uiPriority w:val="10"/>
    <w:qFormat/>
    <w:rsid w:val="008C7D06"/>
    <w:pPr>
      <w:contextualSpacing/>
    </w:pPr>
    <w:rPr>
      <w:rFonts w:eastAsiaTheme="majorEastAsia"/>
      <w:spacing w:val="-10"/>
      <w:kern w:val="28"/>
      <w:sz w:val="56"/>
      <w:szCs w:val="56"/>
    </w:rPr>
  </w:style>
  <w:style w:type="character" w:customStyle="1" w:styleId="TitreCar">
    <w:name w:val="Titre Car"/>
    <w:basedOn w:val="Policepardfaut"/>
    <w:link w:val="Titre"/>
    <w:uiPriority w:val="10"/>
    <w:rsid w:val="008C7D06"/>
    <w:rPr>
      <w:rFonts w:ascii="Times New Roman" w:eastAsiaTheme="majorEastAsia" w:hAnsi="Times New Roman" w:cs="Times New Roman"/>
      <w:spacing w:val="-10"/>
      <w:kern w:val="28"/>
      <w:sz w:val="56"/>
      <w:szCs w:val="56"/>
    </w:rPr>
  </w:style>
  <w:style w:type="paragraph" w:styleId="Citation">
    <w:name w:val="Quote"/>
    <w:basedOn w:val="Normal"/>
    <w:next w:val="Normal"/>
    <w:link w:val="CitationCar"/>
    <w:uiPriority w:val="29"/>
    <w:qFormat/>
    <w:rsid w:val="009776FC"/>
    <w:pPr>
      <w:spacing w:before="200" w:after="160"/>
      <w:ind w:left="864" w:right="864"/>
    </w:pPr>
    <w:rPr>
      <w:iCs/>
      <w:color w:val="000000" w:themeColor="text1"/>
    </w:rPr>
  </w:style>
  <w:style w:type="character" w:customStyle="1" w:styleId="CitationCar">
    <w:name w:val="Citation Car"/>
    <w:basedOn w:val="Policepardfaut"/>
    <w:link w:val="Citation"/>
    <w:uiPriority w:val="29"/>
    <w:rsid w:val="009776FC"/>
    <w:rPr>
      <w:iCs/>
      <w:color w:val="000000" w:themeColor="text1"/>
    </w:rPr>
  </w:style>
  <w:style w:type="paragraph" w:styleId="Notedebasdepage">
    <w:name w:val="footnote text"/>
    <w:basedOn w:val="Normal"/>
    <w:link w:val="NotedebasdepageCar"/>
    <w:uiPriority w:val="99"/>
    <w:unhideWhenUsed/>
    <w:rsid w:val="00D26FC7"/>
    <w:rPr>
      <w:sz w:val="20"/>
      <w:szCs w:val="20"/>
    </w:rPr>
  </w:style>
  <w:style w:type="character" w:customStyle="1" w:styleId="NotedebasdepageCar">
    <w:name w:val="Note de bas de page Car"/>
    <w:basedOn w:val="Policepardfaut"/>
    <w:link w:val="Notedebasdepage"/>
    <w:uiPriority w:val="99"/>
    <w:rsid w:val="00D26FC7"/>
    <w:rPr>
      <w:sz w:val="20"/>
      <w:szCs w:val="20"/>
    </w:rPr>
  </w:style>
  <w:style w:type="character" w:styleId="Appelnotedebasdep">
    <w:name w:val="footnote reference"/>
    <w:basedOn w:val="Policepardfaut"/>
    <w:uiPriority w:val="99"/>
    <w:semiHidden/>
    <w:unhideWhenUsed/>
    <w:rsid w:val="00D26FC7"/>
    <w:rPr>
      <w:vertAlign w:val="superscript"/>
    </w:rPr>
  </w:style>
  <w:style w:type="paragraph" w:styleId="Pieddepage">
    <w:name w:val="footer"/>
    <w:basedOn w:val="Normal"/>
    <w:link w:val="PieddepageCar"/>
    <w:uiPriority w:val="99"/>
    <w:unhideWhenUsed/>
    <w:rsid w:val="001726FD"/>
    <w:pPr>
      <w:tabs>
        <w:tab w:val="center" w:pos="4536"/>
        <w:tab w:val="right" w:pos="9072"/>
      </w:tabs>
    </w:pPr>
  </w:style>
  <w:style w:type="character" w:customStyle="1" w:styleId="PieddepageCar">
    <w:name w:val="Pied de page Car"/>
    <w:basedOn w:val="Policepardfaut"/>
    <w:link w:val="Pieddepage"/>
    <w:uiPriority w:val="99"/>
    <w:rsid w:val="001726FD"/>
  </w:style>
  <w:style w:type="character" w:styleId="Numrodepage">
    <w:name w:val="page number"/>
    <w:basedOn w:val="Policepardfaut"/>
    <w:uiPriority w:val="99"/>
    <w:semiHidden/>
    <w:unhideWhenUsed/>
    <w:rsid w:val="001726FD"/>
  </w:style>
  <w:style w:type="character" w:styleId="Lienhypertexte">
    <w:name w:val="Hyperlink"/>
    <w:basedOn w:val="Policepardfaut"/>
    <w:uiPriority w:val="99"/>
    <w:unhideWhenUsed/>
    <w:rsid w:val="008E4CC0"/>
    <w:rPr>
      <w:color w:val="0563C1" w:themeColor="hyperlink"/>
      <w:u w:val="single"/>
    </w:rPr>
  </w:style>
  <w:style w:type="character" w:styleId="Mentionnonrsolue">
    <w:name w:val="Unresolved Mention"/>
    <w:basedOn w:val="Policepardfaut"/>
    <w:uiPriority w:val="99"/>
    <w:rsid w:val="008E4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6745">
      <w:bodyDiv w:val="1"/>
      <w:marLeft w:val="0"/>
      <w:marRight w:val="0"/>
      <w:marTop w:val="0"/>
      <w:marBottom w:val="0"/>
      <w:divBdr>
        <w:top w:val="none" w:sz="0" w:space="0" w:color="auto"/>
        <w:left w:val="none" w:sz="0" w:space="0" w:color="auto"/>
        <w:bottom w:val="none" w:sz="0" w:space="0" w:color="auto"/>
        <w:right w:val="none" w:sz="0" w:space="0" w:color="auto"/>
      </w:divBdr>
    </w:div>
    <w:div w:id="719206230">
      <w:bodyDiv w:val="1"/>
      <w:marLeft w:val="0"/>
      <w:marRight w:val="0"/>
      <w:marTop w:val="0"/>
      <w:marBottom w:val="0"/>
      <w:divBdr>
        <w:top w:val="none" w:sz="0" w:space="0" w:color="auto"/>
        <w:left w:val="none" w:sz="0" w:space="0" w:color="auto"/>
        <w:bottom w:val="none" w:sz="0" w:space="0" w:color="auto"/>
        <w:right w:val="none" w:sz="0" w:space="0" w:color="auto"/>
      </w:divBdr>
    </w:div>
    <w:div w:id="1035234681">
      <w:bodyDiv w:val="1"/>
      <w:marLeft w:val="0"/>
      <w:marRight w:val="0"/>
      <w:marTop w:val="0"/>
      <w:marBottom w:val="0"/>
      <w:divBdr>
        <w:top w:val="none" w:sz="0" w:space="0" w:color="auto"/>
        <w:left w:val="none" w:sz="0" w:space="0" w:color="auto"/>
        <w:bottom w:val="none" w:sz="0" w:space="0" w:color="auto"/>
        <w:right w:val="none" w:sz="0" w:space="0" w:color="auto"/>
      </w:divBdr>
    </w:div>
    <w:div w:id="1064989844">
      <w:bodyDiv w:val="1"/>
      <w:marLeft w:val="0"/>
      <w:marRight w:val="0"/>
      <w:marTop w:val="0"/>
      <w:marBottom w:val="0"/>
      <w:divBdr>
        <w:top w:val="none" w:sz="0" w:space="0" w:color="auto"/>
        <w:left w:val="none" w:sz="0" w:space="0" w:color="auto"/>
        <w:bottom w:val="none" w:sz="0" w:space="0" w:color="auto"/>
        <w:right w:val="none" w:sz="0" w:space="0" w:color="auto"/>
      </w:divBdr>
    </w:div>
    <w:div w:id="1064990281">
      <w:bodyDiv w:val="1"/>
      <w:marLeft w:val="0"/>
      <w:marRight w:val="0"/>
      <w:marTop w:val="0"/>
      <w:marBottom w:val="0"/>
      <w:divBdr>
        <w:top w:val="none" w:sz="0" w:space="0" w:color="auto"/>
        <w:left w:val="none" w:sz="0" w:space="0" w:color="auto"/>
        <w:bottom w:val="none" w:sz="0" w:space="0" w:color="auto"/>
        <w:right w:val="none" w:sz="0" w:space="0" w:color="auto"/>
      </w:divBdr>
    </w:div>
    <w:div w:id="1279751887">
      <w:bodyDiv w:val="1"/>
      <w:marLeft w:val="0"/>
      <w:marRight w:val="0"/>
      <w:marTop w:val="0"/>
      <w:marBottom w:val="0"/>
      <w:divBdr>
        <w:top w:val="none" w:sz="0" w:space="0" w:color="auto"/>
        <w:left w:val="none" w:sz="0" w:space="0" w:color="auto"/>
        <w:bottom w:val="none" w:sz="0" w:space="0" w:color="auto"/>
        <w:right w:val="none" w:sz="0" w:space="0" w:color="auto"/>
      </w:divBdr>
      <w:divsChild>
        <w:div w:id="1040781782">
          <w:marLeft w:val="0"/>
          <w:marRight w:val="0"/>
          <w:marTop w:val="0"/>
          <w:marBottom w:val="0"/>
          <w:divBdr>
            <w:top w:val="none" w:sz="0" w:space="0" w:color="auto"/>
            <w:left w:val="none" w:sz="0" w:space="0" w:color="auto"/>
            <w:bottom w:val="none" w:sz="0" w:space="0" w:color="auto"/>
            <w:right w:val="none" w:sz="0" w:space="0" w:color="auto"/>
          </w:divBdr>
          <w:divsChild>
            <w:div w:id="1549416501">
              <w:marLeft w:val="0"/>
              <w:marRight w:val="0"/>
              <w:marTop w:val="0"/>
              <w:marBottom w:val="0"/>
              <w:divBdr>
                <w:top w:val="none" w:sz="0" w:space="0" w:color="auto"/>
                <w:left w:val="none" w:sz="0" w:space="0" w:color="auto"/>
                <w:bottom w:val="none" w:sz="0" w:space="0" w:color="auto"/>
                <w:right w:val="none" w:sz="0" w:space="0" w:color="auto"/>
              </w:divBdr>
            </w:div>
            <w:div w:id="16933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4032">
      <w:bodyDiv w:val="1"/>
      <w:marLeft w:val="0"/>
      <w:marRight w:val="0"/>
      <w:marTop w:val="0"/>
      <w:marBottom w:val="0"/>
      <w:divBdr>
        <w:top w:val="none" w:sz="0" w:space="0" w:color="auto"/>
        <w:left w:val="none" w:sz="0" w:space="0" w:color="auto"/>
        <w:bottom w:val="none" w:sz="0" w:space="0" w:color="auto"/>
        <w:right w:val="none" w:sz="0" w:space="0" w:color="auto"/>
      </w:divBdr>
      <w:divsChild>
        <w:div w:id="1763601178">
          <w:marLeft w:val="0"/>
          <w:marRight w:val="0"/>
          <w:marTop w:val="0"/>
          <w:marBottom w:val="0"/>
          <w:divBdr>
            <w:top w:val="none" w:sz="0" w:space="0" w:color="auto"/>
            <w:left w:val="none" w:sz="0" w:space="0" w:color="auto"/>
            <w:bottom w:val="none" w:sz="0" w:space="0" w:color="auto"/>
            <w:right w:val="none" w:sz="0" w:space="0" w:color="auto"/>
          </w:divBdr>
          <w:divsChild>
            <w:div w:id="1631325607">
              <w:marLeft w:val="0"/>
              <w:marRight w:val="0"/>
              <w:marTop w:val="0"/>
              <w:marBottom w:val="0"/>
              <w:divBdr>
                <w:top w:val="none" w:sz="0" w:space="0" w:color="auto"/>
                <w:left w:val="none" w:sz="0" w:space="0" w:color="auto"/>
                <w:bottom w:val="none" w:sz="0" w:space="0" w:color="auto"/>
                <w:right w:val="none" w:sz="0" w:space="0" w:color="auto"/>
              </w:divBdr>
            </w:div>
            <w:div w:id="11804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914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13</Pages>
  <Words>5999</Words>
  <Characters>33000</Characters>
  <Application>Microsoft Office Word</Application>
  <DocSecurity>0</DocSecurity>
  <Lines>275</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Aucouturier</dc:creator>
  <cp:keywords/>
  <dc:description/>
  <cp:lastModifiedBy>Valérie Aucouturier</cp:lastModifiedBy>
  <cp:revision>222</cp:revision>
  <cp:lastPrinted>2018-02-20T16:27:00Z</cp:lastPrinted>
  <dcterms:created xsi:type="dcterms:W3CDTF">2019-05-09T12:24:00Z</dcterms:created>
  <dcterms:modified xsi:type="dcterms:W3CDTF">2019-05-13T10:10:00Z</dcterms:modified>
</cp:coreProperties>
</file>