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DA3" w:rsidRDefault="00465DA3" w:rsidP="00465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Folgender Beitrag versteht sich als eine prospektive Reflexion über Achsen und Schwerpunkte des an der </w:t>
      </w:r>
      <w:proofErr w:type="spellStart"/>
      <w:r w:rsidRPr="00733243">
        <w:rPr>
          <w:rFonts w:ascii="Times New Roman" w:hAnsi="Times New Roman" w:cs="Times New Roman"/>
          <w:sz w:val="24"/>
          <w:szCs w:val="24"/>
          <w:lang w:val="de-DE"/>
        </w:rPr>
        <w:t>UCLouvain</w:t>
      </w:r>
      <w:proofErr w:type="spellEnd"/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initiierten und koordinierten Forschungsprogramms </w:t>
      </w:r>
      <w:proofErr w:type="spellStart"/>
      <w:r w:rsidRPr="00733243">
        <w:rPr>
          <w:rFonts w:ascii="Times New Roman" w:hAnsi="Times New Roman" w:cs="Times New Roman"/>
          <w:sz w:val="24"/>
          <w:szCs w:val="24"/>
          <w:lang w:val="de-DE"/>
        </w:rPr>
        <w:t>NarraMuse</w:t>
      </w:r>
      <w:proofErr w:type="spellEnd"/>
      <w:r w:rsidRPr="00733243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733243">
        <w:rPr>
          <w:rStyle w:val="Appelnotedebasdep"/>
          <w:rFonts w:ascii="Times New Roman" w:hAnsi="Times New Roman" w:cs="Times New Roman"/>
          <w:sz w:val="24"/>
          <w:szCs w:val="24"/>
          <w:lang w:val="de-DE"/>
        </w:rPr>
        <w:footnoteReference w:id="1"/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Dieses widmet sich der systematischen Untersuchung von Erzähltexten – in deutscher, französischer und italienischer Sprache –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die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von Autorinnen und Autoren muslimischer Abstammung in postmigrantischen Kontexten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verfasst werden.</w:t>
      </w:r>
    </w:p>
    <w:p w:rsidR="00465DA3" w:rsidRDefault="00465DA3" w:rsidP="00465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Im Folgenden werden Tendenzen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des besonderen Feldes der sogenannten „deutsch-türkischen“ Literatur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skizziert, wobei</w:t>
      </w:r>
      <w:r w:rsidRPr="009072E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Aspekte der Interkulturalität, der Reziprozität sowie der Selbst- und Fremdbilder in Erwägung gezogen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werden. In Frage kommen ebenso ausgewählte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Schreibverfahren, mit denen sich diese Texte zum Dialog mit den europäischen Gesellschaften, die nun seit mehr als fünfzig Jahren </w:t>
      </w:r>
      <w:r>
        <w:rPr>
          <w:rFonts w:ascii="Times New Roman" w:hAnsi="Times New Roman" w:cs="Times New Roman"/>
          <w:sz w:val="24"/>
          <w:szCs w:val="24"/>
          <w:lang w:val="de-DE"/>
        </w:rPr>
        <w:t>aufeinanderfolgende Wellen der Migration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empfangen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haben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, positionieren.</w:t>
      </w:r>
    </w:p>
    <w:p w:rsidR="00465DA3" w:rsidRPr="00733243" w:rsidRDefault="00465DA3" w:rsidP="00465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Charakteristisch für die Kommunikationsstrategie von Autorinnen und Autoren der Postmigration war anfänglich nicht selten eine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„konfrontative“ Haltung, die den Mangel an Anerkennung und die Integrationsprobleme an der Wurzel packen wollte</w:t>
      </w:r>
      <w:r>
        <w:rPr>
          <w:rFonts w:ascii="Times New Roman" w:hAnsi="Times New Roman" w:cs="Times New Roman"/>
          <w:sz w:val="24"/>
          <w:szCs w:val="24"/>
          <w:lang w:val="de-DE"/>
        </w:rPr>
        <w:t>, woran hier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einleitend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am Beispiel der frühen Publikationen von Feridun </w:t>
      </w:r>
      <w:proofErr w:type="spellStart"/>
      <w:r w:rsidRPr="00733243">
        <w:rPr>
          <w:rFonts w:ascii="Times New Roman" w:hAnsi="Times New Roman" w:cs="Times New Roman"/>
          <w:sz w:val="24"/>
          <w:szCs w:val="24"/>
          <w:lang w:val="de-DE"/>
        </w:rPr>
        <w:t>Zaimoglu</w:t>
      </w:r>
      <w:proofErr w:type="spellEnd"/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erinnert wird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Bemerkenswert sind aber auch in der Literatur der Postmigration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andere Wege der Vermittlung, die sich </w:t>
      </w:r>
      <w:r>
        <w:rPr>
          <w:rFonts w:ascii="Times New Roman" w:hAnsi="Times New Roman" w:cs="Times New Roman"/>
          <w:sz w:val="24"/>
          <w:szCs w:val="24"/>
          <w:lang w:val="de-DE"/>
        </w:rPr>
        <w:t>stark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auf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das Bewusstsein einer verflochtenen Geschichte und Erinnerungsgemeinschaft zwischen den Gesellschaften, aus denen die Migrationsbewegungen stammen und denen, die diese aufgenommen haben,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konzentrieren.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Aus dieser Text</w:t>
      </w:r>
      <w:r>
        <w:rPr>
          <w:rFonts w:ascii="Times New Roman" w:hAnsi="Times New Roman" w:cs="Times New Roman"/>
          <w:sz w:val="24"/>
          <w:szCs w:val="24"/>
          <w:lang w:val="de-DE"/>
        </w:rPr>
        <w:t>k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onstellation</w:t>
      </w:r>
      <w:r>
        <w:rPr>
          <w:rFonts w:ascii="Times New Roman" w:hAnsi="Times New Roman" w:cs="Times New Roman"/>
          <w:sz w:val="24"/>
          <w:szCs w:val="24"/>
          <w:lang w:val="de-DE"/>
        </w:rPr>
        <w:t>, die ich geltend machen will,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ergibt sich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unter anderem 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eine Motivik der Häfen und </w:t>
      </w:r>
      <w:r>
        <w:rPr>
          <w:rFonts w:ascii="Times New Roman" w:hAnsi="Times New Roman" w:cs="Times New Roman"/>
          <w:sz w:val="24"/>
          <w:szCs w:val="24"/>
          <w:lang w:val="de-DE"/>
        </w:rPr>
        <w:t>Meere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 xml:space="preserve"> als Ort einer Aufarbeitung der Vergangenheit</w:t>
      </w:r>
      <w:r>
        <w:rPr>
          <w:rFonts w:ascii="Times New Roman" w:hAnsi="Times New Roman" w:cs="Times New Roman"/>
          <w:sz w:val="24"/>
          <w:szCs w:val="24"/>
          <w:lang w:val="de-DE"/>
        </w:rPr>
        <w:t>, die im Dienst der Kulturvermittlung und Integration wirken soll</w:t>
      </w:r>
      <w:r w:rsidRPr="0073324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E77432" w:rsidRPr="00465DA3" w:rsidRDefault="00E77432">
      <w:pPr>
        <w:rPr>
          <w:lang w:val="de-DE"/>
        </w:rPr>
      </w:pPr>
      <w:bookmarkStart w:id="0" w:name="_GoBack"/>
      <w:bookmarkEnd w:id="0"/>
    </w:p>
    <w:sectPr w:rsidR="00E77432" w:rsidRPr="00465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DAF" w:rsidRDefault="00BB7DAF" w:rsidP="00465DA3">
      <w:pPr>
        <w:spacing w:after="0" w:line="240" w:lineRule="auto"/>
      </w:pPr>
      <w:r>
        <w:separator/>
      </w:r>
    </w:p>
  </w:endnote>
  <w:endnote w:type="continuationSeparator" w:id="0">
    <w:p w:rsidR="00BB7DAF" w:rsidRDefault="00BB7DAF" w:rsidP="0046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DAF" w:rsidRDefault="00BB7DAF" w:rsidP="00465DA3">
      <w:pPr>
        <w:spacing w:after="0" w:line="240" w:lineRule="auto"/>
      </w:pPr>
      <w:r>
        <w:separator/>
      </w:r>
    </w:p>
  </w:footnote>
  <w:footnote w:type="continuationSeparator" w:id="0">
    <w:p w:rsidR="00BB7DAF" w:rsidRDefault="00BB7DAF" w:rsidP="00465DA3">
      <w:pPr>
        <w:spacing w:after="0" w:line="240" w:lineRule="auto"/>
      </w:pPr>
      <w:r>
        <w:continuationSeparator/>
      </w:r>
    </w:p>
  </w:footnote>
  <w:footnote w:id="1">
    <w:p w:rsidR="00465DA3" w:rsidRPr="003535B8" w:rsidRDefault="00465DA3" w:rsidP="00465DA3">
      <w:pPr>
        <w:pStyle w:val="Notedebasdepage"/>
        <w:jc w:val="both"/>
        <w:rPr>
          <w:rFonts w:ascii="Times New Roman" w:hAnsi="Times New Roman" w:cs="Times New Roman"/>
          <w:lang w:val="de-DE"/>
        </w:rPr>
      </w:pPr>
      <w:r w:rsidRPr="003535B8">
        <w:rPr>
          <w:rStyle w:val="Appelnotedebasdep"/>
          <w:rFonts w:ascii="Times New Roman" w:hAnsi="Times New Roman" w:cs="Times New Roman"/>
        </w:rPr>
        <w:footnoteRef/>
      </w:r>
      <w:r w:rsidRPr="003535B8">
        <w:rPr>
          <w:rFonts w:ascii="Times New Roman" w:hAnsi="Times New Roman" w:cs="Times New Roman"/>
          <w:lang w:val="de-DE"/>
        </w:rPr>
        <w:t xml:space="preserve"> Das interdisziplinäre </w:t>
      </w:r>
      <w:proofErr w:type="spellStart"/>
      <w:r w:rsidRPr="003535B8">
        <w:rPr>
          <w:rFonts w:ascii="Times New Roman" w:hAnsi="Times New Roman" w:cs="Times New Roman"/>
          <w:lang w:val="de-DE"/>
        </w:rPr>
        <w:t>NarraMuse</w:t>
      </w:r>
      <w:proofErr w:type="spellEnd"/>
      <w:r w:rsidRPr="003535B8">
        <w:rPr>
          <w:rFonts w:ascii="Times New Roman" w:hAnsi="Times New Roman" w:cs="Times New Roman"/>
          <w:lang w:val="de-DE"/>
        </w:rPr>
        <w:t xml:space="preserve">-Projekt wurde für die Jahre 2022-2027 ausgeschrieben und bringt Methoden und Disziplinen der Philologie, Literatur- und Kulturwissenschaft, Soziologie und Anthropologie miteinander in Dialog. Projektleiter sind Hubert Roland, Costantino </w:t>
      </w:r>
      <w:proofErr w:type="spellStart"/>
      <w:r w:rsidRPr="003535B8">
        <w:rPr>
          <w:rFonts w:ascii="Times New Roman" w:hAnsi="Times New Roman" w:cs="Times New Roman"/>
          <w:lang w:val="de-DE"/>
        </w:rPr>
        <w:t>Maeder</w:t>
      </w:r>
      <w:proofErr w:type="spellEnd"/>
      <w:r w:rsidRPr="003535B8">
        <w:rPr>
          <w:rFonts w:ascii="Times New Roman" w:hAnsi="Times New Roman" w:cs="Times New Roman"/>
          <w:lang w:val="de-DE"/>
        </w:rPr>
        <w:t xml:space="preserve"> und Brigitte Maréchal: s. </w:t>
      </w:r>
      <w:hyperlink r:id="rId1" w:history="1">
        <w:r w:rsidRPr="003535B8">
          <w:rPr>
            <w:rStyle w:val="Lienhypertexte"/>
            <w:rFonts w:ascii="Times New Roman" w:hAnsi="Times New Roman" w:cs="Times New Roman"/>
            <w:lang w:val="de-DE"/>
          </w:rPr>
          <w:t>https://sites.uclouvain.be/narramuse/</w:t>
        </w:r>
      </w:hyperlink>
      <w:r w:rsidRPr="003535B8">
        <w:rPr>
          <w:rFonts w:ascii="Times New Roman" w:hAnsi="Times New Roman" w:cs="Times New Roman"/>
          <w:lang w:val="de-DE"/>
        </w:rPr>
        <w:t xml:space="preserve"> (07.08.2023).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A3"/>
    <w:rsid w:val="00465DA3"/>
    <w:rsid w:val="00BB7DAF"/>
    <w:rsid w:val="00E7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1BA35-43BE-4552-A39E-085D53A7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465DA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65DA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5DA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465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tes.uclouvain.be/narramus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Roland</dc:creator>
  <cp:keywords/>
  <dc:description/>
  <cp:lastModifiedBy>Hubert Roland</cp:lastModifiedBy>
  <cp:revision>1</cp:revision>
  <dcterms:created xsi:type="dcterms:W3CDTF">2025-03-24T13:14:00Z</dcterms:created>
  <dcterms:modified xsi:type="dcterms:W3CDTF">2025-03-24T13:15:00Z</dcterms:modified>
</cp:coreProperties>
</file>