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56AB3" w14:textId="77777777" w:rsidR="000730C5" w:rsidRPr="009A49FD" w:rsidRDefault="000730C5" w:rsidP="009A49FD">
      <w:pPr>
        <w:jc w:val="both"/>
        <w:rPr>
          <w:rFonts w:ascii="Arial" w:hAnsi="Arial" w:cs="Arial"/>
          <w:b/>
          <w:bCs/>
          <w:sz w:val="22"/>
          <w:szCs w:val="22"/>
          <w:lang w:val="en-US"/>
        </w:rPr>
      </w:pPr>
    </w:p>
    <w:p w14:paraId="68698887" w14:textId="0BF5B5A3" w:rsidR="00D02631" w:rsidRDefault="00D02631" w:rsidP="009A49FD">
      <w:pPr>
        <w:jc w:val="both"/>
        <w:rPr>
          <w:rFonts w:ascii="Arial" w:hAnsi="Arial" w:cs="Arial"/>
          <w:b/>
          <w:bCs/>
          <w:sz w:val="22"/>
          <w:szCs w:val="22"/>
        </w:rPr>
      </w:pPr>
      <w:r w:rsidRPr="009A49FD">
        <w:rPr>
          <w:rFonts w:ascii="Arial" w:hAnsi="Arial" w:cs="Arial"/>
          <w:b/>
          <w:bCs/>
          <w:sz w:val="22"/>
          <w:szCs w:val="22"/>
          <w:lang w:val="en-US"/>
        </w:rPr>
        <w:t xml:space="preserve">Should the </w:t>
      </w:r>
      <w:r w:rsidR="006440CB">
        <w:rPr>
          <w:rFonts w:ascii="Arial" w:hAnsi="Arial" w:cs="Arial"/>
          <w:b/>
          <w:bCs/>
          <w:sz w:val="22"/>
          <w:szCs w:val="22"/>
          <w:lang w:val="en-US"/>
        </w:rPr>
        <w:t>‘</w:t>
      </w:r>
      <w:proofErr w:type="spellStart"/>
      <w:r w:rsidRPr="009A49FD">
        <w:rPr>
          <w:rFonts w:ascii="Arial" w:hAnsi="Arial" w:cs="Arial"/>
          <w:b/>
          <w:bCs/>
          <w:sz w:val="22"/>
          <w:szCs w:val="22"/>
          <w:lang w:val="en-US"/>
        </w:rPr>
        <w:t>Italmoda</w:t>
      </w:r>
      <w:proofErr w:type="spellEnd"/>
      <w:r w:rsidR="006440CB">
        <w:rPr>
          <w:rFonts w:ascii="Arial" w:hAnsi="Arial" w:cs="Arial"/>
          <w:b/>
          <w:bCs/>
          <w:sz w:val="22"/>
          <w:szCs w:val="22"/>
          <w:lang w:val="en-US"/>
        </w:rPr>
        <w:t>’</w:t>
      </w:r>
      <w:r w:rsidRPr="009A49FD">
        <w:rPr>
          <w:rFonts w:ascii="Arial" w:hAnsi="Arial" w:cs="Arial"/>
          <w:b/>
          <w:bCs/>
          <w:sz w:val="22"/>
          <w:szCs w:val="22"/>
          <w:lang w:val="en-US"/>
        </w:rPr>
        <w:t xml:space="preserve"> jurisprudence apply to carousel fraud involving services? Pending case</w:t>
      </w:r>
      <w:r w:rsidR="000730C5" w:rsidRPr="009A49FD">
        <w:rPr>
          <w:rFonts w:ascii="Arial" w:hAnsi="Arial" w:cs="Arial"/>
          <w:b/>
          <w:bCs/>
          <w:sz w:val="22"/>
          <w:szCs w:val="22"/>
          <w:lang w:val="en-US"/>
        </w:rPr>
        <w:t xml:space="preserve"> </w:t>
      </w:r>
      <w:r w:rsidR="006365E7" w:rsidRPr="009A49FD">
        <w:rPr>
          <w:rFonts w:ascii="Arial" w:hAnsi="Arial" w:cs="Arial"/>
          <w:b/>
          <w:bCs/>
          <w:sz w:val="22"/>
          <w:szCs w:val="22"/>
        </w:rPr>
        <w:t>Climate Corporation Emissions Trading GmbH</w:t>
      </w:r>
    </w:p>
    <w:p w14:paraId="6C45E609" w14:textId="5096CD79" w:rsidR="002B3446" w:rsidRPr="00E11471" w:rsidRDefault="002B3446" w:rsidP="009A49FD">
      <w:pPr>
        <w:jc w:val="both"/>
        <w:rPr>
          <w:rFonts w:ascii="Arial" w:hAnsi="Arial" w:cs="Arial"/>
          <w:i/>
          <w:iCs/>
          <w:sz w:val="22"/>
          <w:szCs w:val="22"/>
        </w:rPr>
      </w:pPr>
    </w:p>
    <w:p w14:paraId="44556B81" w14:textId="0444E9AA" w:rsidR="002B3446" w:rsidRPr="00E11471" w:rsidRDefault="002B3446" w:rsidP="009A49FD">
      <w:pPr>
        <w:jc w:val="both"/>
        <w:rPr>
          <w:rFonts w:ascii="Arial" w:hAnsi="Arial" w:cs="Arial"/>
          <w:i/>
          <w:iCs/>
          <w:sz w:val="22"/>
          <w:szCs w:val="22"/>
          <w:lang w:val="nl-NL"/>
        </w:rPr>
      </w:pPr>
      <w:r w:rsidRPr="00E11471">
        <w:rPr>
          <w:rFonts w:ascii="Arial" w:hAnsi="Arial" w:cs="Arial"/>
          <w:i/>
          <w:iCs/>
          <w:sz w:val="22"/>
          <w:szCs w:val="22"/>
          <w:lang w:val="nl-NL"/>
        </w:rPr>
        <w:t>Summary</w:t>
      </w:r>
    </w:p>
    <w:p w14:paraId="62C4DB39" w14:textId="351B09F3" w:rsidR="002B3446" w:rsidRPr="00E11471" w:rsidRDefault="002B3446" w:rsidP="009A49FD">
      <w:pPr>
        <w:jc w:val="both"/>
        <w:rPr>
          <w:rFonts w:ascii="Arial" w:hAnsi="Arial" w:cs="Arial"/>
          <w:i/>
          <w:iCs/>
          <w:sz w:val="22"/>
          <w:szCs w:val="22"/>
          <w:lang w:val="nl-NL"/>
        </w:rPr>
      </w:pPr>
    </w:p>
    <w:p w14:paraId="4C0EBED1" w14:textId="39A93B0A" w:rsidR="005C4050" w:rsidRPr="00E11471" w:rsidRDefault="005C4050" w:rsidP="00E11471">
      <w:pPr>
        <w:jc w:val="both"/>
        <w:rPr>
          <w:rFonts w:ascii="Arial" w:hAnsi="Arial" w:cs="Arial"/>
          <w:i/>
          <w:iCs/>
          <w:sz w:val="22"/>
          <w:szCs w:val="22"/>
          <w:lang w:val="en-US"/>
        </w:rPr>
      </w:pPr>
      <w:r w:rsidRPr="00E11471">
        <w:rPr>
          <w:rFonts w:ascii="Arial" w:hAnsi="Arial" w:cs="Arial"/>
          <w:i/>
          <w:iCs/>
          <w:color w:val="000000"/>
          <w:sz w:val="22"/>
          <w:szCs w:val="22"/>
          <w:lang w:val="en-US"/>
        </w:rPr>
        <w:t xml:space="preserve">In </w:t>
      </w:r>
      <w:r w:rsidR="000F10B4" w:rsidRPr="00E11471">
        <w:rPr>
          <w:rFonts w:ascii="Arial" w:hAnsi="Arial" w:cs="Arial"/>
          <w:i/>
          <w:iCs/>
          <w:color w:val="000000"/>
          <w:sz w:val="22"/>
          <w:szCs w:val="22"/>
          <w:lang w:val="en-US"/>
        </w:rPr>
        <w:t>well known cases R</w:t>
      </w:r>
      <w:r w:rsidR="000F10B4" w:rsidRPr="00E11471">
        <w:rPr>
          <w:rStyle w:val="FootnoteReference"/>
          <w:rFonts w:ascii="Arial" w:hAnsi="Arial" w:cs="Arial"/>
          <w:i/>
          <w:iCs/>
          <w:color w:val="000000"/>
          <w:sz w:val="22"/>
          <w:szCs w:val="22"/>
          <w:lang w:val="en-US"/>
        </w:rPr>
        <w:footnoteReference w:id="1"/>
      </w:r>
      <w:r w:rsidR="000F10B4" w:rsidRPr="00E11471">
        <w:rPr>
          <w:rFonts w:ascii="Arial" w:hAnsi="Arial" w:cs="Arial"/>
          <w:i/>
          <w:iCs/>
          <w:color w:val="000000"/>
          <w:sz w:val="22"/>
          <w:szCs w:val="22"/>
          <w:lang w:val="en-US"/>
        </w:rPr>
        <w:t xml:space="preserve"> and </w:t>
      </w:r>
      <w:proofErr w:type="spellStart"/>
      <w:r w:rsidR="000F10B4" w:rsidRPr="00E11471">
        <w:rPr>
          <w:rFonts w:ascii="Arial" w:hAnsi="Arial" w:cs="Arial"/>
          <w:i/>
          <w:iCs/>
          <w:color w:val="000000"/>
          <w:sz w:val="22"/>
          <w:szCs w:val="22"/>
          <w:lang w:val="en-US"/>
        </w:rPr>
        <w:t>Italmoda</w:t>
      </w:r>
      <w:proofErr w:type="spellEnd"/>
      <w:r w:rsidR="000F10B4" w:rsidRPr="00E11471">
        <w:rPr>
          <w:rFonts w:ascii="Arial" w:hAnsi="Arial" w:cs="Arial"/>
          <w:i/>
          <w:iCs/>
          <w:color w:val="000000"/>
          <w:sz w:val="22"/>
          <w:szCs w:val="22"/>
          <w:lang w:val="en-US"/>
        </w:rPr>
        <w:t>,</w:t>
      </w:r>
      <w:r w:rsidR="000F10B4" w:rsidRPr="00E11471">
        <w:rPr>
          <w:rStyle w:val="FootnoteReference"/>
          <w:rFonts w:ascii="Arial" w:hAnsi="Arial" w:cs="Arial"/>
          <w:i/>
          <w:iCs/>
          <w:sz w:val="22"/>
          <w:szCs w:val="22"/>
          <w:lang w:val="en-US"/>
        </w:rPr>
        <w:t xml:space="preserve"> </w:t>
      </w:r>
      <w:r w:rsidR="000F10B4" w:rsidRPr="00E11471">
        <w:rPr>
          <w:rStyle w:val="FootnoteReference"/>
          <w:rFonts w:ascii="Arial" w:hAnsi="Arial" w:cs="Arial"/>
          <w:i/>
          <w:iCs/>
          <w:sz w:val="22"/>
          <w:szCs w:val="22"/>
          <w:lang w:val="en-US"/>
        </w:rPr>
        <w:footnoteReference w:id="2"/>
      </w:r>
      <w:r w:rsidR="000F10B4" w:rsidRPr="00E11471">
        <w:rPr>
          <w:rFonts w:ascii="Arial" w:hAnsi="Arial" w:cs="Arial"/>
          <w:i/>
          <w:iCs/>
          <w:color w:val="000000"/>
          <w:sz w:val="22"/>
          <w:szCs w:val="22"/>
          <w:lang w:val="en-US"/>
        </w:rPr>
        <w:t xml:space="preserve"> the ECJ decided that the exemption of the intracommunity supply should be denied when the supplier </w:t>
      </w:r>
      <w:r w:rsidR="000F10B4" w:rsidRPr="00E11471">
        <w:rPr>
          <w:rFonts w:ascii="Arial" w:hAnsi="Arial" w:cs="Arial"/>
          <w:i/>
          <w:iCs/>
          <w:sz w:val="22"/>
          <w:szCs w:val="22"/>
          <w:lang w:val="en-US"/>
        </w:rPr>
        <w:t xml:space="preserve">“knew or should have known” that </w:t>
      </w:r>
      <w:r w:rsidR="000F10B4" w:rsidRPr="00E11471">
        <w:rPr>
          <w:rFonts w:ascii="Arial" w:hAnsi="Arial" w:cs="Arial"/>
          <w:i/>
          <w:iCs/>
          <w:color w:val="000000"/>
          <w:sz w:val="22"/>
          <w:szCs w:val="22"/>
        </w:rPr>
        <w:t xml:space="preserve">by his </w:t>
      </w:r>
      <w:r w:rsidR="000F10B4" w:rsidRPr="00E11471">
        <w:rPr>
          <w:rFonts w:ascii="Arial" w:hAnsi="Arial" w:cs="Arial"/>
          <w:i/>
          <w:iCs/>
          <w:color w:val="000000"/>
          <w:sz w:val="22"/>
          <w:szCs w:val="22"/>
          <w:lang w:val="en-US"/>
        </w:rPr>
        <w:t>supply</w:t>
      </w:r>
      <w:r w:rsidR="000F10B4" w:rsidRPr="00E11471">
        <w:rPr>
          <w:rFonts w:ascii="Arial" w:hAnsi="Arial" w:cs="Arial"/>
          <w:i/>
          <w:iCs/>
          <w:color w:val="000000"/>
          <w:sz w:val="22"/>
          <w:szCs w:val="22"/>
        </w:rPr>
        <w:t>, he was participating in a transaction connected with fraudulent evasion of value added ta</w:t>
      </w:r>
      <w:r w:rsidR="000F10B4" w:rsidRPr="00E11471">
        <w:rPr>
          <w:rFonts w:ascii="Arial" w:hAnsi="Arial" w:cs="Arial"/>
          <w:i/>
          <w:iCs/>
          <w:color w:val="000000"/>
          <w:sz w:val="22"/>
          <w:szCs w:val="22"/>
          <w:lang w:val="en-US"/>
        </w:rPr>
        <w:t>x. In th</w:t>
      </w:r>
      <w:r w:rsidR="00E11471" w:rsidRPr="00E11471">
        <w:rPr>
          <w:rFonts w:ascii="Arial" w:hAnsi="Arial" w:cs="Arial"/>
          <w:i/>
          <w:iCs/>
          <w:color w:val="000000"/>
          <w:sz w:val="22"/>
          <w:szCs w:val="22"/>
          <w:lang w:val="en-US"/>
        </w:rPr>
        <w:t>is article</w:t>
      </w:r>
      <w:r w:rsidR="00BE418D">
        <w:rPr>
          <w:rFonts w:ascii="Arial" w:hAnsi="Arial" w:cs="Arial"/>
          <w:i/>
          <w:iCs/>
          <w:color w:val="000000"/>
          <w:sz w:val="22"/>
          <w:szCs w:val="22"/>
          <w:lang w:val="en-US"/>
        </w:rPr>
        <w:t>,</w:t>
      </w:r>
      <w:r w:rsidR="00E11471" w:rsidRPr="00E11471">
        <w:rPr>
          <w:rFonts w:ascii="Arial" w:hAnsi="Arial" w:cs="Arial"/>
          <w:i/>
          <w:iCs/>
          <w:color w:val="000000"/>
          <w:sz w:val="22"/>
          <w:szCs w:val="22"/>
          <w:lang w:val="en-US"/>
        </w:rPr>
        <w:t xml:space="preserve"> the author suggests that the preliminary question raised in th</w:t>
      </w:r>
      <w:r w:rsidR="000F10B4" w:rsidRPr="00E11471">
        <w:rPr>
          <w:rFonts w:ascii="Arial" w:hAnsi="Arial" w:cs="Arial"/>
          <w:i/>
          <w:iCs/>
          <w:color w:val="000000"/>
          <w:sz w:val="22"/>
          <w:szCs w:val="22"/>
          <w:lang w:val="en-US"/>
        </w:rPr>
        <w:t xml:space="preserve">e pending case </w:t>
      </w:r>
      <w:r w:rsidR="000F10B4" w:rsidRPr="00E11471">
        <w:rPr>
          <w:rFonts w:ascii="Arial" w:hAnsi="Arial" w:cs="Arial"/>
          <w:i/>
          <w:iCs/>
          <w:sz w:val="22"/>
          <w:szCs w:val="22"/>
        </w:rPr>
        <w:t>Climate Corporation Emissions Trading GmbH</w:t>
      </w:r>
      <w:r w:rsidR="000F10B4" w:rsidRPr="00E11471">
        <w:rPr>
          <w:rFonts w:ascii="Arial" w:hAnsi="Arial" w:cs="Arial"/>
          <w:i/>
          <w:iCs/>
          <w:sz w:val="22"/>
          <w:szCs w:val="22"/>
          <w:lang w:val="en-US"/>
        </w:rPr>
        <w:t xml:space="preserve"> </w:t>
      </w:r>
      <w:r w:rsidR="00E11471" w:rsidRPr="00E11471">
        <w:rPr>
          <w:rFonts w:ascii="Arial" w:hAnsi="Arial" w:cs="Arial"/>
          <w:i/>
          <w:iCs/>
          <w:sz w:val="22"/>
          <w:szCs w:val="22"/>
          <w:lang w:val="en-US"/>
        </w:rPr>
        <w:t xml:space="preserve">highlights the </w:t>
      </w:r>
      <w:r w:rsidR="00BE418D">
        <w:rPr>
          <w:rFonts w:ascii="Arial" w:hAnsi="Arial" w:cs="Arial"/>
          <w:i/>
          <w:iCs/>
          <w:sz w:val="22"/>
          <w:szCs w:val="22"/>
          <w:lang w:val="en-US"/>
        </w:rPr>
        <w:t>urgent</w:t>
      </w:r>
      <w:r w:rsidR="00E11471" w:rsidRPr="00E11471">
        <w:rPr>
          <w:rFonts w:ascii="Arial" w:hAnsi="Arial" w:cs="Arial"/>
          <w:i/>
          <w:iCs/>
          <w:sz w:val="22"/>
          <w:szCs w:val="22"/>
          <w:lang w:val="en-US"/>
        </w:rPr>
        <w:t xml:space="preserve"> need for a comprehensive solution to the issue of carousel fraud in the EU.</w:t>
      </w:r>
    </w:p>
    <w:p w14:paraId="7FAD6A0D" w14:textId="77777777" w:rsidR="005C4050" w:rsidRPr="00BE418D" w:rsidRDefault="005C4050" w:rsidP="009A49FD">
      <w:pPr>
        <w:jc w:val="both"/>
        <w:rPr>
          <w:rFonts w:ascii="Arial" w:hAnsi="Arial" w:cs="Arial"/>
          <w:b/>
          <w:bCs/>
          <w:sz w:val="22"/>
          <w:szCs w:val="22"/>
          <w:lang w:val="en-US"/>
        </w:rPr>
      </w:pPr>
    </w:p>
    <w:p w14:paraId="03346E51" w14:textId="0D78C3B0" w:rsidR="006365E7" w:rsidRPr="00BE418D" w:rsidRDefault="006365E7" w:rsidP="009A49FD">
      <w:pPr>
        <w:jc w:val="both"/>
        <w:rPr>
          <w:rFonts w:ascii="Arial" w:hAnsi="Arial" w:cs="Arial"/>
          <w:sz w:val="22"/>
          <w:szCs w:val="22"/>
          <w:lang w:val="en-US"/>
        </w:rPr>
      </w:pPr>
    </w:p>
    <w:p w14:paraId="3760A498" w14:textId="6AD86A90" w:rsidR="000D3ED9" w:rsidRPr="009A49FD" w:rsidRDefault="000D3ED9" w:rsidP="009A49FD">
      <w:pPr>
        <w:pStyle w:val="ListParagraph"/>
        <w:numPr>
          <w:ilvl w:val="0"/>
          <w:numId w:val="1"/>
        </w:numPr>
        <w:jc w:val="both"/>
        <w:rPr>
          <w:rFonts w:ascii="Arial" w:eastAsia="Times New Roman" w:hAnsi="Arial" w:cs="Arial"/>
          <w:b/>
          <w:bCs/>
          <w:sz w:val="22"/>
          <w:szCs w:val="22"/>
          <w:lang w:val="en-US" w:eastAsia="en-GB"/>
        </w:rPr>
      </w:pPr>
      <w:r w:rsidRPr="009A49FD">
        <w:rPr>
          <w:rFonts w:ascii="Arial" w:eastAsia="Times New Roman" w:hAnsi="Arial" w:cs="Arial"/>
          <w:b/>
          <w:bCs/>
          <w:sz w:val="22"/>
          <w:szCs w:val="22"/>
          <w:lang w:val="en-US" w:eastAsia="en-GB"/>
        </w:rPr>
        <w:t xml:space="preserve">The </w:t>
      </w:r>
      <w:r w:rsidR="00107524">
        <w:rPr>
          <w:rFonts w:ascii="Arial" w:eastAsia="Times New Roman" w:hAnsi="Arial" w:cs="Arial"/>
          <w:b/>
          <w:bCs/>
          <w:sz w:val="22"/>
          <w:szCs w:val="22"/>
          <w:lang w:val="en-US" w:eastAsia="en-GB"/>
        </w:rPr>
        <w:t xml:space="preserve">facts </w:t>
      </w:r>
      <w:r w:rsidRPr="009A49FD">
        <w:rPr>
          <w:rFonts w:ascii="Arial" w:eastAsia="Times New Roman" w:hAnsi="Arial" w:cs="Arial"/>
          <w:b/>
          <w:bCs/>
          <w:sz w:val="22"/>
          <w:szCs w:val="22"/>
          <w:lang w:val="en-US" w:eastAsia="en-GB"/>
        </w:rPr>
        <w:t>and the question referred to the ECJ</w:t>
      </w:r>
      <w:r w:rsidR="006440CB">
        <w:rPr>
          <w:rFonts w:ascii="Arial" w:eastAsia="Times New Roman" w:hAnsi="Arial" w:cs="Arial"/>
          <w:b/>
          <w:bCs/>
          <w:sz w:val="22"/>
          <w:szCs w:val="22"/>
          <w:lang w:val="en-US" w:eastAsia="en-GB"/>
        </w:rPr>
        <w:t xml:space="preserve"> in </w:t>
      </w:r>
      <w:r w:rsidR="006440CB" w:rsidRPr="00107524">
        <w:rPr>
          <w:rFonts w:ascii="Arial" w:eastAsia="Times New Roman" w:hAnsi="Arial" w:cs="Arial"/>
          <w:b/>
          <w:bCs/>
          <w:sz w:val="22"/>
          <w:szCs w:val="22"/>
          <w:lang w:val="en-US" w:eastAsia="en-GB"/>
        </w:rPr>
        <w:t xml:space="preserve">the </w:t>
      </w:r>
      <w:r w:rsidR="006440CB" w:rsidRPr="00107524">
        <w:rPr>
          <w:rFonts w:ascii="Arial" w:eastAsia="Times New Roman" w:hAnsi="Arial" w:cs="Arial"/>
          <w:b/>
          <w:bCs/>
          <w:sz w:val="22"/>
          <w:szCs w:val="22"/>
          <w:lang w:eastAsia="en-GB"/>
        </w:rPr>
        <w:t>Climate Corporation Emissions Trading</w:t>
      </w:r>
      <w:r w:rsidR="006440CB" w:rsidRPr="00107524">
        <w:rPr>
          <w:rFonts w:ascii="Arial" w:eastAsia="Times New Roman" w:hAnsi="Arial" w:cs="Arial"/>
          <w:b/>
          <w:bCs/>
          <w:sz w:val="22"/>
          <w:szCs w:val="22"/>
          <w:lang w:val="en-US" w:eastAsia="en-GB"/>
        </w:rPr>
        <w:t xml:space="preserve"> case</w:t>
      </w:r>
    </w:p>
    <w:p w14:paraId="71D29E00" w14:textId="77777777" w:rsidR="000D3ED9" w:rsidRPr="009A49FD" w:rsidRDefault="000D3ED9" w:rsidP="009A49FD">
      <w:pPr>
        <w:jc w:val="both"/>
        <w:rPr>
          <w:rFonts w:ascii="Arial" w:hAnsi="Arial" w:cs="Arial"/>
          <w:sz w:val="22"/>
          <w:szCs w:val="22"/>
          <w:lang w:val="en-US"/>
        </w:rPr>
      </w:pPr>
    </w:p>
    <w:p w14:paraId="21E9E02D" w14:textId="41809A72" w:rsidR="000666F8" w:rsidRDefault="00432A0C" w:rsidP="009A49FD">
      <w:pPr>
        <w:jc w:val="both"/>
        <w:rPr>
          <w:rFonts w:ascii="Arial" w:hAnsi="Arial" w:cs="Arial"/>
          <w:sz w:val="22"/>
          <w:szCs w:val="22"/>
          <w:lang w:val="en-US"/>
        </w:rPr>
      </w:pPr>
      <w:r>
        <w:rPr>
          <w:rFonts w:ascii="Arial" w:hAnsi="Arial" w:cs="Arial"/>
          <w:sz w:val="22"/>
          <w:szCs w:val="22"/>
          <w:lang w:val="en-US"/>
        </w:rPr>
        <w:t>In 2010 a</w:t>
      </w:r>
      <w:r w:rsidR="006365E7" w:rsidRPr="009A49FD">
        <w:rPr>
          <w:rFonts w:ascii="Arial" w:hAnsi="Arial" w:cs="Arial"/>
          <w:sz w:val="22"/>
          <w:szCs w:val="22"/>
          <w:lang w:val="en-US"/>
        </w:rPr>
        <w:t xml:space="preserve">n Austrian company </w:t>
      </w:r>
      <w:r w:rsidR="002E3070" w:rsidRPr="009A49FD">
        <w:rPr>
          <w:rFonts w:ascii="Arial" w:hAnsi="Arial" w:cs="Arial"/>
          <w:sz w:val="22"/>
          <w:szCs w:val="22"/>
          <w:lang w:val="en-US"/>
        </w:rPr>
        <w:t>sold</w:t>
      </w:r>
      <w:r w:rsidR="006365E7" w:rsidRPr="009A49FD">
        <w:rPr>
          <w:rFonts w:ascii="Arial" w:hAnsi="Arial" w:cs="Arial"/>
          <w:sz w:val="22"/>
          <w:szCs w:val="22"/>
          <w:lang w:val="en-US"/>
        </w:rPr>
        <w:t xml:space="preserve"> </w:t>
      </w:r>
      <w:r w:rsidR="006365E7" w:rsidRPr="009A49FD">
        <w:rPr>
          <w:rFonts w:ascii="Arial" w:hAnsi="Arial" w:cs="Arial"/>
          <w:sz w:val="22"/>
          <w:szCs w:val="22"/>
        </w:rPr>
        <w:t>greenhouse gas emission allowances</w:t>
      </w:r>
      <w:r w:rsidR="006365E7" w:rsidRPr="009A49FD">
        <w:rPr>
          <w:rFonts w:ascii="Arial" w:hAnsi="Arial" w:cs="Arial"/>
          <w:sz w:val="22"/>
          <w:szCs w:val="22"/>
          <w:lang w:val="en-US"/>
        </w:rPr>
        <w:t xml:space="preserve"> to a German company. The German company was </w:t>
      </w:r>
      <w:r w:rsidR="006365E7" w:rsidRPr="009A49FD">
        <w:rPr>
          <w:rFonts w:ascii="Arial" w:hAnsi="Arial" w:cs="Arial"/>
          <w:sz w:val="22"/>
          <w:szCs w:val="22"/>
        </w:rPr>
        <w:t>a ‘buffer</w:t>
      </w:r>
      <w:r w:rsidR="00971C80" w:rsidRPr="00971C80">
        <w:rPr>
          <w:rFonts w:ascii="Arial" w:hAnsi="Arial" w:cs="Arial"/>
          <w:sz w:val="22"/>
          <w:szCs w:val="22"/>
          <w:lang w:val="en-US"/>
        </w:rPr>
        <w:t xml:space="preserve">” </w:t>
      </w:r>
      <w:r w:rsidR="006365E7" w:rsidRPr="009A49FD">
        <w:rPr>
          <w:rFonts w:ascii="Arial" w:hAnsi="Arial" w:cs="Arial"/>
          <w:sz w:val="22"/>
          <w:szCs w:val="22"/>
        </w:rPr>
        <w:t>participa</w:t>
      </w:r>
      <w:r w:rsidR="006365E7" w:rsidRPr="009A49FD">
        <w:rPr>
          <w:rFonts w:ascii="Arial" w:hAnsi="Arial" w:cs="Arial"/>
          <w:sz w:val="22"/>
          <w:szCs w:val="22"/>
          <w:lang w:val="en-US"/>
        </w:rPr>
        <w:t>ting</w:t>
      </w:r>
      <w:r w:rsidR="006365E7" w:rsidRPr="009A49FD">
        <w:rPr>
          <w:rFonts w:ascii="Arial" w:hAnsi="Arial" w:cs="Arial"/>
          <w:sz w:val="22"/>
          <w:szCs w:val="22"/>
        </w:rPr>
        <w:t xml:space="preserve"> in a carousel fraud. </w:t>
      </w:r>
      <w:r w:rsidR="00866693" w:rsidRPr="009A49FD">
        <w:rPr>
          <w:rFonts w:ascii="Arial" w:hAnsi="Arial" w:cs="Arial"/>
          <w:sz w:val="22"/>
          <w:szCs w:val="22"/>
          <w:lang w:val="en-US"/>
        </w:rPr>
        <w:t>According to</w:t>
      </w:r>
      <w:r w:rsidR="00D02631" w:rsidRPr="009A49FD">
        <w:rPr>
          <w:rFonts w:ascii="Arial" w:hAnsi="Arial" w:cs="Arial"/>
          <w:sz w:val="22"/>
          <w:szCs w:val="22"/>
          <w:lang w:val="en-US"/>
        </w:rPr>
        <w:t xml:space="preserve"> </w:t>
      </w:r>
      <w:r w:rsidR="00866693" w:rsidRPr="009A49FD">
        <w:rPr>
          <w:rFonts w:ascii="Arial" w:hAnsi="Arial" w:cs="Arial"/>
          <w:sz w:val="22"/>
          <w:szCs w:val="22"/>
          <w:lang w:val="en-US"/>
        </w:rPr>
        <w:t xml:space="preserve">the Austrian tax </w:t>
      </w:r>
      <w:r w:rsidR="000730C5" w:rsidRPr="009A49FD">
        <w:rPr>
          <w:rFonts w:ascii="Arial" w:hAnsi="Arial" w:cs="Arial"/>
          <w:sz w:val="22"/>
          <w:szCs w:val="22"/>
          <w:lang w:val="en-US"/>
        </w:rPr>
        <w:t>authorities</w:t>
      </w:r>
      <w:r w:rsidR="00866693" w:rsidRPr="009A49FD">
        <w:rPr>
          <w:rFonts w:ascii="Arial" w:hAnsi="Arial" w:cs="Arial"/>
          <w:sz w:val="22"/>
          <w:szCs w:val="22"/>
          <w:lang w:val="en-US"/>
        </w:rPr>
        <w:t>, the Austrian company</w:t>
      </w:r>
      <w:r w:rsidR="006365E7" w:rsidRPr="009A49FD">
        <w:rPr>
          <w:rFonts w:ascii="Arial" w:hAnsi="Arial" w:cs="Arial"/>
          <w:sz w:val="22"/>
          <w:szCs w:val="22"/>
        </w:rPr>
        <w:t xml:space="preserve"> should have known that those greenhouse gas emission allowances would subsequently be used to evade VAT in a Member State other than Austria. </w:t>
      </w:r>
      <w:r w:rsidR="00D02631" w:rsidRPr="009A49FD">
        <w:rPr>
          <w:rFonts w:ascii="Arial" w:hAnsi="Arial" w:cs="Arial"/>
          <w:sz w:val="22"/>
          <w:szCs w:val="22"/>
          <w:lang w:val="en-US"/>
        </w:rPr>
        <w:t>A</w:t>
      </w:r>
      <w:r w:rsidR="00C72BB3" w:rsidRPr="009A49FD">
        <w:rPr>
          <w:rFonts w:ascii="Arial" w:hAnsi="Arial" w:cs="Arial"/>
          <w:sz w:val="22"/>
          <w:szCs w:val="22"/>
          <w:lang w:val="en-US"/>
        </w:rPr>
        <w:t>s the</w:t>
      </w:r>
      <w:r w:rsidR="009A49FD">
        <w:rPr>
          <w:rFonts w:ascii="Arial" w:hAnsi="Arial" w:cs="Arial"/>
          <w:sz w:val="22"/>
          <w:szCs w:val="22"/>
          <w:lang w:val="en-US"/>
        </w:rPr>
        <w:t>y</w:t>
      </w:r>
      <w:r w:rsidR="00C72BB3" w:rsidRPr="009A49FD">
        <w:rPr>
          <w:rFonts w:ascii="Arial" w:hAnsi="Arial" w:cs="Arial"/>
          <w:sz w:val="22"/>
          <w:szCs w:val="22"/>
          <w:lang w:val="en-US"/>
        </w:rPr>
        <w:t xml:space="preserve"> initially took the view that th</w:t>
      </w:r>
      <w:r w:rsidR="007B781D" w:rsidRPr="009A49FD">
        <w:rPr>
          <w:rFonts w:ascii="Arial" w:hAnsi="Arial" w:cs="Arial"/>
          <w:sz w:val="22"/>
          <w:szCs w:val="22"/>
          <w:lang w:val="en-US"/>
        </w:rPr>
        <w:t>e</w:t>
      </w:r>
      <w:r w:rsidR="00C72BB3" w:rsidRPr="009A49FD">
        <w:rPr>
          <w:rFonts w:ascii="Arial" w:hAnsi="Arial" w:cs="Arial"/>
          <w:sz w:val="22"/>
          <w:szCs w:val="22"/>
          <w:lang w:val="en-US"/>
        </w:rPr>
        <w:t xml:space="preserve"> transfer </w:t>
      </w:r>
      <w:r w:rsidR="007B781D" w:rsidRPr="009A49FD">
        <w:rPr>
          <w:rFonts w:ascii="Arial" w:hAnsi="Arial" w:cs="Arial"/>
          <w:sz w:val="22"/>
          <w:szCs w:val="22"/>
          <w:lang w:val="en-US"/>
        </w:rPr>
        <w:t xml:space="preserve">of </w:t>
      </w:r>
      <w:r w:rsidR="007B781D" w:rsidRPr="009A49FD">
        <w:rPr>
          <w:rFonts w:ascii="Arial" w:hAnsi="Arial" w:cs="Arial"/>
          <w:sz w:val="22"/>
          <w:szCs w:val="22"/>
        </w:rPr>
        <w:t xml:space="preserve">greenhouse gas emission allowances </w:t>
      </w:r>
      <w:r w:rsidR="00C72BB3" w:rsidRPr="009A49FD">
        <w:rPr>
          <w:rFonts w:ascii="Arial" w:hAnsi="Arial" w:cs="Arial"/>
          <w:sz w:val="22"/>
          <w:szCs w:val="22"/>
          <w:lang w:val="en-US"/>
        </w:rPr>
        <w:t xml:space="preserve">qualifies as a supply of goods, they </w:t>
      </w:r>
      <w:r w:rsidR="004A5769">
        <w:rPr>
          <w:rFonts w:ascii="Arial" w:hAnsi="Arial" w:cs="Arial"/>
          <w:sz w:val="22"/>
          <w:szCs w:val="22"/>
          <w:lang w:val="en-US"/>
        </w:rPr>
        <w:t>applied</w:t>
      </w:r>
      <w:r w:rsidR="00C72BB3" w:rsidRPr="009A49FD">
        <w:rPr>
          <w:rFonts w:ascii="Arial" w:hAnsi="Arial" w:cs="Arial"/>
          <w:sz w:val="22"/>
          <w:szCs w:val="22"/>
          <w:lang w:val="en-US"/>
        </w:rPr>
        <w:t xml:space="preserve"> the </w:t>
      </w:r>
      <w:r w:rsidR="0031605A" w:rsidRPr="009A49FD">
        <w:rPr>
          <w:rFonts w:ascii="Arial" w:hAnsi="Arial" w:cs="Arial"/>
          <w:sz w:val="22"/>
          <w:szCs w:val="22"/>
          <w:lang w:val="en-US"/>
        </w:rPr>
        <w:t xml:space="preserve">ECJ </w:t>
      </w:r>
      <w:r w:rsidR="002E3070" w:rsidRPr="009A49FD">
        <w:rPr>
          <w:rFonts w:ascii="Arial" w:hAnsi="Arial" w:cs="Arial"/>
          <w:sz w:val="22"/>
          <w:szCs w:val="22"/>
        </w:rPr>
        <w:t>‘Italmoda’</w:t>
      </w:r>
      <w:r w:rsidR="002E3070" w:rsidRPr="009A49FD">
        <w:rPr>
          <w:rFonts w:ascii="Arial" w:hAnsi="Arial" w:cs="Arial"/>
          <w:sz w:val="22"/>
          <w:szCs w:val="22"/>
          <w:lang w:val="en-US"/>
        </w:rPr>
        <w:t xml:space="preserve"> </w:t>
      </w:r>
      <w:r w:rsidR="006440CB">
        <w:rPr>
          <w:rFonts w:ascii="Arial" w:hAnsi="Arial" w:cs="Arial"/>
          <w:sz w:val="22"/>
          <w:szCs w:val="22"/>
          <w:lang w:val="en-US"/>
        </w:rPr>
        <w:t>jurisprudence</w:t>
      </w:r>
      <w:r w:rsidR="00C72BB3" w:rsidRPr="009A49FD">
        <w:rPr>
          <w:rFonts w:ascii="Arial" w:hAnsi="Arial" w:cs="Arial"/>
          <w:sz w:val="22"/>
          <w:szCs w:val="22"/>
          <w:lang w:val="en-US"/>
        </w:rPr>
        <w:t xml:space="preserve"> whereby the exemption of the intracommunity supply should be denied when the supplier “knew or should have known” that the supply would be used to evade VAT. In other words, the</w:t>
      </w:r>
      <w:r w:rsidR="009A49FD">
        <w:rPr>
          <w:rFonts w:ascii="Arial" w:hAnsi="Arial" w:cs="Arial"/>
          <w:sz w:val="22"/>
          <w:szCs w:val="22"/>
          <w:lang w:val="en-US"/>
        </w:rPr>
        <w:t xml:space="preserve"> Austrian tax authorities</w:t>
      </w:r>
      <w:r w:rsidR="00C72BB3" w:rsidRPr="009A49FD">
        <w:rPr>
          <w:rFonts w:ascii="Arial" w:hAnsi="Arial" w:cs="Arial"/>
          <w:sz w:val="22"/>
          <w:szCs w:val="22"/>
          <w:lang w:val="en-US"/>
        </w:rPr>
        <w:t xml:space="preserve"> </w:t>
      </w:r>
      <w:r w:rsidR="002E3070" w:rsidRPr="009A49FD">
        <w:rPr>
          <w:rFonts w:ascii="Arial" w:hAnsi="Arial" w:cs="Arial"/>
          <w:sz w:val="22"/>
          <w:szCs w:val="22"/>
          <w:lang w:val="en-US"/>
        </w:rPr>
        <w:t>requested</w:t>
      </w:r>
      <w:r w:rsidR="00C72BB3" w:rsidRPr="009A49FD">
        <w:rPr>
          <w:rFonts w:ascii="Arial" w:hAnsi="Arial" w:cs="Arial"/>
          <w:sz w:val="22"/>
          <w:szCs w:val="22"/>
          <w:lang w:val="en-US"/>
        </w:rPr>
        <w:t xml:space="preserve"> the payment of output VAT </w:t>
      </w:r>
      <w:r w:rsidR="007B781D" w:rsidRPr="009A49FD">
        <w:rPr>
          <w:rFonts w:ascii="Arial" w:hAnsi="Arial" w:cs="Arial"/>
          <w:sz w:val="22"/>
          <w:szCs w:val="22"/>
          <w:lang w:val="en-US"/>
        </w:rPr>
        <w:t>by</w:t>
      </w:r>
      <w:r w:rsidR="00C72BB3" w:rsidRPr="009A49FD">
        <w:rPr>
          <w:rFonts w:ascii="Arial" w:hAnsi="Arial" w:cs="Arial"/>
          <w:sz w:val="22"/>
          <w:szCs w:val="22"/>
          <w:lang w:val="en-US"/>
        </w:rPr>
        <w:t xml:space="preserve"> the Austrian company on th</w:t>
      </w:r>
      <w:r w:rsidR="00E2709F">
        <w:rPr>
          <w:rFonts w:ascii="Arial" w:hAnsi="Arial" w:cs="Arial"/>
          <w:sz w:val="22"/>
          <w:szCs w:val="22"/>
          <w:lang w:val="en-US"/>
        </w:rPr>
        <w:t>e</w:t>
      </w:r>
      <w:r w:rsidR="00C72BB3" w:rsidRPr="009A49FD">
        <w:rPr>
          <w:rFonts w:ascii="Arial" w:hAnsi="Arial" w:cs="Arial"/>
          <w:sz w:val="22"/>
          <w:szCs w:val="22"/>
          <w:lang w:val="en-US"/>
        </w:rPr>
        <w:t xml:space="preserve"> supply</w:t>
      </w:r>
      <w:r w:rsidR="00E2709F">
        <w:rPr>
          <w:rFonts w:ascii="Arial" w:hAnsi="Arial" w:cs="Arial"/>
          <w:sz w:val="22"/>
          <w:szCs w:val="22"/>
          <w:lang w:val="en-US"/>
        </w:rPr>
        <w:t xml:space="preserve"> to the German buffer</w:t>
      </w:r>
      <w:r w:rsidR="00C72BB3" w:rsidRPr="009A49FD">
        <w:rPr>
          <w:rFonts w:ascii="Arial" w:hAnsi="Arial" w:cs="Arial"/>
          <w:sz w:val="22"/>
          <w:szCs w:val="22"/>
          <w:lang w:val="en-US"/>
        </w:rPr>
        <w:t xml:space="preserve">. </w:t>
      </w:r>
    </w:p>
    <w:p w14:paraId="3F4E19F6" w14:textId="77777777" w:rsidR="000666F8" w:rsidRDefault="000666F8" w:rsidP="009A49FD">
      <w:pPr>
        <w:jc w:val="both"/>
        <w:rPr>
          <w:rFonts w:ascii="Arial" w:hAnsi="Arial" w:cs="Arial"/>
          <w:sz w:val="22"/>
          <w:szCs w:val="22"/>
          <w:lang w:val="en-US"/>
        </w:rPr>
      </w:pPr>
    </w:p>
    <w:p w14:paraId="5657C3FC" w14:textId="5A8A0431" w:rsidR="00971C80" w:rsidRPr="00DF354A" w:rsidRDefault="00C72BB3" w:rsidP="00DF354A">
      <w:pPr>
        <w:jc w:val="both"/>
        <w:rPr>
          <w:rFonts w:ascii="Arial" w:hAnsi="Arial" w:cs="Arial"/>
          <w:sz w:val="22"/>
          <w:szCs w:val="22"/>
          <w:lang w:val="en-US"/>
        </w:rPr>
      </w:pPr>
      <w:r w:rsidRPr="009A49FD">
        <w:rPr>
          <w:rFonts w:ascii="Arial" w:hAnsi="Arial" w:cs="Arial"/>
          <w:sz w:val="22"/>
          <w:szCs w:val="22"/>
          <w:lang w:val="en-US"/>
        </w:rPr>
        <w:t>The question of the correct qualification of the supply was rapidly</w:t>
      </w:r>
      <w:r w:rsidR="0031605A" w:rsidRPr="009A49FD">
        <w:rPr>
          <w:rFonts w:ascii="Arial" w:hAnsi="Arial" w:cs="Arial"/>
          <w:sz w:val="22"/>
          <w:szCs w:val="22"/>
          <w:lang w:val="en-US"/>
        </w:rPr>
        <w:t xml:space="preserve"> solved (the </w:t>
      </w:r>
      <w:r w:rsidR="002E3070" w:rsidRPr="009A49FD">
        <w:rPr>
          <w:rFonts w:ascii="Arial" w:hAnsi="Arial" w:cs="Arial"/>
          <w:sz w:val="22"/>
          <w:szCs w:val="22"/>
          <w:lang w:val="en-US"/>
        </w:rPr>
        <w:t>transfer</w:t>
      </w:r>
      <w:r w:rsidR="0031605A" w:rsidRPr="009A49FD">
        <w:rPr>
          <w:rFonts w:ascii="Arial" w:hAnsi="Arial" w:cs="Arial"/>
          <w:sz w:val="22"/>
          <w:szCs w:val="22"/>
          <w:lang w:val="en-US"/>
        </w:rPr>
        <w:t xml:space="preserve"> of gas emission allowances indeed qualifies without a doubt as services for VAT purposes)</w:t>
      </w:r>
      <w:r w:rsidR="00DF354A">
        <w:rPr>
          <w:rFonts w:ascii="Arial" w:hAnsi="Arial" w:cs="Arial"/>
          <w:sz w:val="22"/>
          <w:szCs w:val="22"/>
          <w:lang w:val="en-US"/>
        </w:rPr>
        <w:t>. However,</w:t>
      </w:r>
      <w:r w:rsidR="0031605A" w:rsidRPr="009A49FD">
        <w:rPr>
          <w:rFonts w:ascii="Arial" w:hAnsi="Arial" w:cs="Arial"/>
          <w:sz w:val="22"/>
          <w:szCs w:val="22"/>
          <w:lang w:val="en-US"/>
        </w:rPr>
        <w:t xml:space="preserve"> </w:t>
      </w:r>
      <w:r w:rsidR="00971C80">
        <w:rPr>
          <w:rFonts w:ascii="Arial" w:hAnsi="Arial" w:cs="Arial"/>
          <w:sz w:val="22"/>
          <w:szCs w:val="22"/>
          <w:lang w:val="en-US"/>
        </w:rPr>
        <w:t xml:space="preserve">the referring court </w:t>
      </w:r>
      <w:r w:rsidR="00DF354A">
        <w:rPr>
          <w:rFonts w:ascii="Arial" w:hAnsi="Arial" w:cs="Arial"/>
          <w:sz w:val="22"/>
          <w:szCs w:val="22"/>
          <w:lang w:val="en-US"/>
        </w:rPr>
        <w:t xml:space="preserve">(the Austrian </w:t>
      </w:r>
      <w:proofErr w:type="spellStart"/>
      <w:r w:rsidR="00DF354A" w:rsidRPr="00DF354A">
        <w:rPr>
          <w:rFonts w:ascii="Arial" w:hAnsi="Arial" w:cs="Arial"/>
          <w:sz w:val="22"/>
          <w:szCs w:val="22"/>
          <w:lang w:val="en-US"/>
        </w:rPr>
        <w:t>Bundesfinanzgericht</w:t>
      </w:r>
      <w:proofErr w:type="spellEnd"/>
      <w:r w:rsidR="00DF354A" w:rsidRPr="00DF354A">
        <w:rPr>
          <w:rFonts w:ascii="Arial" w:hAnsi="Arial" w:cs="Arial"/>
          <w:sz w:val="22"/>
          <w:szCs w:val="22"/>
          <w:lang w:val="en-US"/>
        </w:rPr>
        <w:t xml:space="preserve">) </w:t>
      </w:r>
      <w:r w:rsidR="00971C80">
        <w:rPr>
          <w:rFonts w:ascii="Arial" w:hAnsi="Arial" w:cs="Arial"/>
          <w:sz w:val="22"/>
          <w:szCs w:val="22"/>
          <w:lang w:val="en-US"/>
        </w:rPr>
        <w:t>decided to raise the following question to the ECJ</w:t>
      </w:r>
      <w:r w:rsidR="00DF354A">
        <w:rPr>
          <w:rFonts w:ascii="Arial" w:hAnsi="Arial" w:cs="Arial"/>
          <w:sz w:val="22"/>
          <w:szCs w:val="22"/>
          <w:lang w:val="en-US"/>
        </w:rPr>
        <w:t xml:space="preserve"> on 20 </w:t>
      </w:r>
      <w:r w:rsidR="00DF354A" w:rsidRPr="009A49FD">
        <w:rPr>
          <w:rFonts w:ascii="Arial" w:hAnsi="Arial" w:cs="Arial"/>
          <w:sz w:val="22"/>
          <w:szCs w:val="22"/>
          <w:lang w:val="en-US"/>
        </w:rPr>
        <w:t>October 2021</w:t>
      </w:r>
      <w:r w:rsidR="00971C80">
        <w:rPr>
          <w:rFonts w:ascii="Arial" w:hAnsi="Arial" w:cs="Arial"/>
          <w:sz w:val="22"/>
          <w:szCs w:val="22"/>
          <w:lang w:val="en-US"/>
        </w:rPr>
        <w:t>:</w:t>
      </w:r>
    </w:p>
    <w:p w14:paraId="0006877F" w14:textId="77777777" w:rsidR="00971C80" w:rsidRPr="006365E7" w:rsidRDefault="00971C80" w:rsidP="00971C80">
      <w:pPr>
        <w:spacing w:before="100" w:beforeAutospacing="1" w:after="100" w:afterAutospacing="1"/>
        <w:ind w:left="720"/>
        <w:jc w:val="both"/>
        <w:rPr>
          <w:rFonts w:ascii="Arial" w:hAnsi="Arial" w:cs="Arial"/>
          <w:color w:val="000000"/>
          <w:sz w:val="20"/>
          <w:szCs w:val="20"/>
          <w:lang w:val="en-US"/>
        </w:rPr>
      </w:pPr>
      <w:r w:rsidRPr="00877009">
        <w:rPr>
          <w:rFonts w:ascii="Arial" w:hAnsi="Arial" w:cs="Arial"/>
          <w:color w:val="000000"/>
          <w:sz w:val="20"/>
          <w:szCs w:val="20"/>
          <w:lang w:val="en-US"/>
        </w:rPr>
        <w:t>“</w:t>
      </w:r>
      <w:r w:rsidRPr="006365E7">
        <w:rPr>
          <w:rFonts w:ascii="Arial" w:hAnsi="Arial" w:cs="Arial"/>
          <w:color w:val="000000"/>
          <w:sz w:val="20"/>
          <w:szCs w:val="20"/>
        </w:rPr>
        <w:t>Is Directive 2006/112/EC, as amended by Directive 2008/8/EC,</w:t>
      </w:r>
      <w:r w:rsidRPr="00877009">
        <w:rPr>
          <w:rFonts w:ascii="Arial" w:hAnsi="Arial" w:cs="Arial"/>
          <w:color w:val="000000"/>
          <w:sz w:val="20"/>
          <w:szCs w:val="20"/>
        </w:rPr>
        <w:t xml:space="preserve"> </w:t>
      </w:r>
      <w:r w:rsidRPr="006365E7">
        <w:rPr>
          <w:rFonts w:ascii="Arial" w:hAnsi="Arial" w:cs="Arial"/>
          <w:color w:val="000000"/>
          <w:sz w:val="20"/>
          <w:szCs w:val="20"/>
        </w:rPr>
        <w:t>to be interpreted as meaning that the national authorities and courts must regard the place of supply of a service, which, under the written law, is formally located in the other Member State, in which the recipient of the supply is established, as being within the national territory if the domestic taxable person supplying the service should have known that, in supplying it, he or she was participating in value added tax evasion committed in the context of a chain of supplies?</w:t>
      </w:r>
      <w:r w:rsidRPr="00877009">
        <w:rPr>
          <w:rFonts w:ascii="Arial" w:hAnsi="Arial" w:cs="Arial"/>
          <w:color w:val="000000"/>
          <w:sz w:val="20"/>
          <w:szCs w:val="20"/>
          <w:lang w:val="en-US"/>
        </w:rPr>
        <w:t>”</w:t>
      </w:r>
      <w:r w:rsidRPr="00877009">
        <w:rPr>
          <w:rStyle w:val="FootnoteReference"/>
          <w:rFonts w:ascii="Arial" w:hAnsi="Arial" w:cs="Arial"/>
          <w:color w:val="000000"/>
          <w:sz w:val="20"/>
          <w:szCs w:val="20"/>
          <w:lang w:val="en-US"/>
        </w:rPr>
        <w:footnoteReference w:id="3"/>
      </w:r>
    </w:p>
    <w:p w14:paraId="3BE66DA3" w14:textId="29C9DB7F" w:rsidR="005D64EE" w:rsidRDefault="00971C80" w:rsidP="009A49FD">
      <w:pPr>
        <w:jc w:val="both"/>
        <w:rPr>
          <w:rFonts w:ascii="Arial" w:hAnsi="Arial" w:cs="Arial"/>
          <w:sz w:val="22"/>
          <w:szCs w:val="22"/>
          <w:lang w:val="en-US"/>
        </w:rPr>
      </w:pPr>
      <w:r>
        <w:rPr>
          <w:rFonts w:ascii="Arial" w:hAnsi="Arial" w:cs="Arial"/>
          <w:sz w:val="22"/>
          <w:szCs w:val="22"/>
          <w:lang w:val="en-US"/>
        </w:rPr>
        <w:t xml:space="preserve">From </w:t>
      </w:r>
      <w:r w:rsidR="0031605A" w:rsidRPr="009A49FD">
        <w:rPr>
          <w:rFonts w:ascii="Arial" w:hAnsi="Arial" w:cs="Arial"/>
          <w:sz w:val="22"/>
          <w:szCs w:val="22"/>
          <w:lang w:val="en-US"/>
        </w:rPr>
        <w:t xml:space="preserve">the </w:t>
      </w:r>
      <w:r>
        <w:rPr>
          <w:rFonts w:ascii="Arial" w:hAnsi="Arial" w:cs="Arial"/>
          <w:sz w:val="22"/>
          <w:szCs w:val="22"/>
          <w:lang w:val="en-US"/>
        </w:rPr>
        <w:t>preliminary ruling</w:t>
      </w:r>
      <w:r w:rsidR="00DF354A" w:rsidRPr="00DF354A">
        <w:rPr>
          <w:rFonts w:ascii="Arial" w:hAnsi="Arial" w:cs="Arial"/>
          <w:sz w:val="22"/>
          <w:szCs w:val="22"/>
          <w:lang w:val="en-US"/>
        </w:rPr>
        <w:t xml:space="preserve"> </w:t>
      </w:r>
      <w:r w:rsidR="00DF354A">
        <w:rPr>
          <w:rFonts w:ascii="Arial" w:hAnsi="Arial" w:cs="Arial"/>
          <w:sz w:val="22"/>
          <w:szCs w:val="22"/>
          <w:lang w:val="en-US"/>
        </w:rPr>
        <w:t>request</w:t>
      </w:r>
      <w:r>
        <w:rPr>
          <w:rFonts w:ascii="Arial" w:hAnsi="Arial" w:cs="Arial"/>
          <w:sz w:val="22"/>
          <w:szCs w:val="22"/>
          <w:lang w:val="en-US"/>
        </w:rPr>
        <w:t xml:space="preserve">, it appears that the </w:t>
      </w:r>
      <w:r w:rsidR="0031605A" w:rsidRPr="009A49FD">
        <w:rPr>
          <w:rFonts w:ascii="Arial" w:hAnsi="Arial" w:cs="Arial"/>
          <w:sz w:val="22"/>
          <w:szCs w:val="22"/>
          <w:lang w:val="en-US"/>
        </w:rPr>
        <w:t xml:space="preserve">referring court </w:t>
      </w:r>
      <w:r>
        <w:rPr>
          <w:rFonts w:ascii="Arial" w:hAnsi="Arial" w:cs="Arial"/>
          <w:sz w:val="22"/>
          <w:szCs w:val="22"/>
          <w:lang w:val="en-US"/>
        </w:rPr>
        <w:t>wonders</w:t>
      </w:r>
      <w:r w:rsidR="0031605A" w:rsidRPr="009A49FD">
        <w:rPr>
          <w:rFonts w:ascii="Arial" w:hAnsi="Arial" w:cs="Arial"/>
          <w:sz w:val="22"/>
          <w:szCs w:val="22"/>
          <w:lang w:val="en-US"/>
        </w:rPr>
        <w:t xml:space="preserve"> whether the decision in the </w:t>
      </w:r>
      <w:r w:rsidR="0031605A" w:rsidRPr="009A49FD">
        <w:rPr>
          <w:rFonts w:ascii="Arial" w:hAnsi="Arial" w:cs="Arial"/>
          <w:sz w:val="22"/>
          <w:szCs w:val="22"/>
        </w:rPr>
        <w:t>‘Italmoda’</w:t>
      </w:r>
      <w:r w:rsidR="0031605A" w:rsidRPr="009A49FD">
        <w:rPr>
          <w:rFonts w:ascii="Arial" w:hAnsi="Arial" w:cs="Arial"/>
          <w:sz w:val="22"/>
          <w:szCs w:val="22"/>
          <w:lang w:val="en-US"/>
        </w:rPr>
        <w:t xml:space="preserve"> case should not apply by analogy, with the result that </w:t>
      </w:r>
      <w:r w:rsidR="0031605A" w:rsidRPr="009A49FD">
        <w:rPr>
          <w:rFonts w:ascii="Arial" w:hAnsi="Arial" w:cs="Arial"/>
          <w:sz w:val="22"/>
          <w:szCs w:val="22"/>
        </w:rPr>
        <w:t xml:space="preserve">contrary to the wording of Article 44 </w:t>
      </w:r>
      <w:r w:rsidR="0031605A" w:rsidRPr="009A49FD">
        <w:rPr>
          <w:rFonts w:ascii="Arial" w:hAnsi="Arial" w:cs="Arial"/>
          <w:sz w:val="22"/>
          <w:szCs w:val="22"/>
          <w:lang w:val="en-US"/>
        </w:rPr>
        <w:t>of the VAT Directive (</w:t>
      </w:r>
      <w:proofErr w:type="gramStart"/>
      <w:r w:rsidR="0031605A" w:rsidRPr="009A49FD">
        <w:rPr>
          <w:rFonts w:ascii="Arial" w:hAnsi="Arial" w:cs="Arial"/>
          <w:sz w:val="22"/>
          <w:szCs w:val="22"/>
          <w:lang w:val="en-US"/>
        </w:rPr>
        <w:t>i.e.</w:t>
      </w:r>
      <w:proofErr w:type="gramEnd"/>
      <w:r w:rsidR="0031605A" w:rsidRPr="009A49FD">
        <w:rPr>
          <w:rFonts w:ascii="Arial" w:hAnsi="Arial" w:cs="Arial"/>
          <w:sz w:val="22"/>
          <w:szCs w:val="22"/>
          <w:lang w:val="en-US"/>
        </w:rPr>
        <w:t xml:space="preserve"> the general place of supply rule for B2B services)</w:t>
      </w:r>
      <w:r w:rsidR="0031605A" w:rsidRPr="009A49FD">
        <w:rPr>
          <w:rFonts w:ascii="Arial" w:hAnsi="Arial" w:cs="Arial"/>
          <w:sz w:val="22"/>
          <w:szCs w:val="22"/>
        </w:rPr>
        <w:t xml:space="preserve">, the place of </w:t>
      </w:r>
      <w:r w:rsidR="007B781D" w:rsidRPr="009A49FD">
        <w:rPr>
          <w:rFonts w:ascii="Arial" w:hAnsi="Arial" w:cs="Arial"/>
          <w:sz w:val="22"/>
          <w:szCs w:val="22"/>
          <w:lang w:val="en-US"/>
        </w:rPr>
        <w:t>taxation</w:t>
      </w:r>
      <w:r w:rsidR="0031605A" w:rsidRPr="009A49FD">
        <w:rPr>
          <w:rFonts w:ascii="Arial" w:hAnsi="Arial" w:cs="Arial"/>
          <w:sz w:val="22"/>
          <w:szCs w:val="22"/>
        </w:rPr>
        <w:t xml:space="preserve"> </w:t>
      </w:r>
      <w:r w:rsidR="006440CB">
        <w:rPr>
          <w:rFonts w:ascii="Arial" w:hAnsi="Arial" w:cs="Arial"/>
          <w:sz w:val="22"/>
          <w:szCs w:val="22"/>
          <w:lang w:val="en-US"/>
        </w:rPr>
        <w:t>sh</w:t>
      </w:r>
      <w:r w:rsidR="00613292" w:rsidRPr="009A49FD">
        <w:rPr>
          <w:rFonts w:ascii="Arial" w:hAnsi="Arial" w:cs="Arial"/>
          <w:sz w:val="22"/>
          <w:szCs w:val="22"/>
          <w:lang w:val="en-US"/>
        </w:rPr>
        <w:t xml:space="preserve">ould </w:t>
      </w:r>
      <w:r w:rsidR="0031605A" w:rsidRPr="009A49FD">
        <w:rPr>
          <w:rFonts w:ascii="Arial" w:hAnsi="Arial" w:cs="Arial"/>
          <w:sz w:val="22"/>
          <w:szCs w:val="22"/>
        </w:rPr>
        <w:t>be regarded as being in Austria.</w:t>
      </w:r>
      <w:r w:rsidR="005D64EE" w:rsidRPr="009A49FD">
        <w:rPr>
          <w:rFonts w:ascii="Arial" w:hAnsi="Arial" w:cs="Arial"/>
          <w:sz w:val="22"/>
          <w:szCs w:val="22"/>
          <w:lang w:val="en-US"/>
        </w:rPr>
        <w:t xml:space="preserve"> </w:t>
      </w:r>
    </w:p>
    <w:p w14:paraId="4BA8E0E5" w14:textId="77777777" w:rsidR="00971C80" w:rsidRPr="009A49FD" w:rsidRDefault="00971C80" w:rsidP="009A49FD">
      <w:pPr>
        <w:jc w:val="both"/>
        <w:rPr>
          <w:rFonts w:ascii="Arial" w:hAnsi="Arial" w:cs="Arial"/>
          <w:sz w:val="22"/>
          <w:szCs w:val="22"/>
          <w:lang w:val="en-US"/>
        </w:rPr>
      </w:pPr>
    </w:p>
    <w:p w14:paraId="048074CF" w14:textId="7761AF77" w:rsidR="000D3ED9" w:rsidRPr="009A49FD" w:rsidRDefault="000D3ED9" w:rsidP="009A49FD">
      <w:pPr>
        <w:pStyle w:val="ListParagraph"/>
        <w:numPr>
          <w:ilvl w:val="0"/>
          <w:numId w:val="1"/>
        </w:numPr>
        <w:jc w:val="both"/>
        <w:rPr>
          <w:rFonts w:ascii="Arial" w:eastAsia="Times New Roman" w:hAnsi="Arial" w:cs="Arial"/>
          <w:b/>
          <w:bCs/>
          <w:sz w:val="22"/>
          <w:szCs w:val="22"/>
          <w:lang w:val="en-US" w:eastAsia="en-GB"/>
        </w:rPr>
      </w:pPr>
      <w:r w:rsidRPr="009A49FD">
        <w:rPr>
          <w:rFonts w:ascii="Arial" w:eastAsia="Times New Roman" w:hAnsi="Arial" w:cs="Arial"/>
          <w:b/>
          <w:bCs/>
          <w:sz w:val="22"/>
          <w:szCs w:val="22"/>
          <w:lang w:val="en-US" w:eastAsia="en-GB"/>
        </w:rPr>
        <w:t>Tentative answer</w:t>
      </w:r>
    </w:p>
    <w:p w14:paraId="79956223" w14:textId="77777777" w:rsidR="000D3ED9" w:rsidRPr="009A49FD" w:rsidRDefault="000D3ED9" w:rsidP="009A49FD">
      <w:pPr>
        <w:jc w:val="both"/>
        <w:rPr>
          <w:rFonts w:ascii="Arial" w:hAnsi="Arial" w:cs="Arial"/>
          <w:sz w:val="22"/>
          <w:szCs w:val="22"/>
          <w:lang w:val="en-US"/>
        </w:rPr>
      </w:pPr>
    </w:p>
    <w:p w14:paraId="72BA24E5" w14:textId="5025F5E7" w:rsidR="00E2709F" w:rsidRDefault="00FB0794" w:rsidP="009A49FD">
      <w:pPr>
        <w:jc w:val="both"/>
        <w:rPr>
          <w:rFonts w:ascii="Arial" w:hAnsi="Arial" w:cs="Arial"/>
          <w:sz w:val="22"/>
          <w:szCs w:val="22"/>
          <w:lang w:val="en-US"/>
        </w:rPr>
      </w:pPr>
      <w:r w:rsidRPr="009A49FD">
        <w:rPr>
          <w:rFonts w:ascii="Arial" w:hAnsi="Arial" w:cs="Arial"/>
          <w:sz w:val="22"/>
          <w:szCs w:val="22"/>
          <w:lang w:val="en-US"/>
        </w:rPr>
        <w:lastRenderedPageBreak/>
        <w:t xml:space="preserve">We have known for years now that carousel fraud does not only </w:t>
      </w:r>
      <w:r w:rsidR="002D6D4F">
        <w:rPr>
          <w:rFonts w:ascii="Arial" w:hAnsi="Arial" w:cs="Arial"/>
          <w:sz w:val="22"/>
          <w:szCs w:val="22"/>
          <w:lang w:val="en-US"/>
        </w:rPr>
        <w:t>concern</w:t>
      </w:r>
      <w:r w:rsidRPr="009A49FD">
        <w:rPr>
          <w:rFonts w:ascii="Arial" w:hAnsi="Arial" w:cs="Arial"/>
          <w:sz w:val="22"/>
          <w:szCs w:val="22"/>
          <w:lang w:val="en-US"/>
        </w:rPr>
        <w:t xml:space="preserve"> good</w:t>
      </w:r>
      <w:r w:rsidR="002D6D4F">
        <w:rPr>
          <w:rFonts w:ascii="Arial" w:hAnsi="Arial" w:cs="Arial"/>
          <w:sz w:val="22"/>
          <w:szCs w:val="22"/>
          <w:lang w:val="en-US"/>
        </w:rPr>
        <w:t>s</w:t>
      </w:r>
      <w:r w:rsidRPr="009A49FD">
        <w:rPr>
          <w:rFonts w:ascii="Arial" w:hAnsi="Arial" w:cs="Arial"/>
          <w:sz w:val="22"/>
          <w:szCs w:val="22"/>
          <w:lang w:val="en-US"/>
        </w:rPr>
        <w:t xml:space="preserve"> but also </w:t>
      </w:r>
      <w:r w:rsidR="00E2709F">
        <w:rPr>
          <w:rFonts w:ascii="Arial" w:hAnsi="Arial" w:cs="Arial"/>
          <w:sz w:val="22"/>
          <w:szCs w:val="22"/>
          <w:lang w:val="en-US"/>
        </w:rPr>
        <w:t>sometimes</w:t>
      </w:r>
      <w:r w:rsidRPr="009A49FD">
        <w:rPr>
          <w:rFonts w:ascii="Arial" w:hAnsi="Arial" w:cs="Arial"/>
          <w:sz w:val="22"/>
          <w:szCs w:val="22"/>
          <w:lang w:val="en-US"/>
        </w:rPr>
        <w:t xml:space="preserve"> services.</w:t>
      </w:r>
      <w:r w:rsidR="000666F8">
        <w:rPr>
          <w:rStyle w:val="FootnoteReference"/>
          <w:rFonts w:ascii="Arial" w:hAnsi="Arial" w:cs="Arial"/>
          <w:sz w:val="22"/>
          <w:szCs w:val="22"/>
          <w:lang w:val="en-US"/>
        </w:rPr>
        <w:footnoteReference w:id="4"/>
      </w:r>
      <w:r w:rsidRPr="009A49FD">
        <w:rPr>
          <w:rFonts w:ascii="Arial" w:hAnsi="Arial" w:cs="Arial"/>
          <w:sz w:val="22"/>
          <w:szCs w:val="22"/>
          <w:lang w:val="en-US"/>
        </w:rPr>
        <w:t xml:space="preserve"> Carousel fraud involving gas emission allowances</w:t>
      </w:r>
      <w:proofErr w:type="gramStart"/>
      <w:r w:rsidR="005D64EE" w:rsidRPr="009A49FD">
        <w:rPr>
          <w:rFonts w:ascii="Arial" w:hAnsi="Arial" w:cs="Arial"/>
          <w:sz w:val="22"/>
          <w:szCs w:val="22"/>
          <w:lang w:val="en-US"/>
        </w:rPr>
        <w:t>,</w:t>
      </w:r>
      <w:r w:rsidRPr="009A49FD">
        <w:rPr>
          <w:rFonts w:ascii="Arial" w:hAnsi="Arial" w:cs="Arial"/>
          <w:sz w:val="22"/>
          <w:szCs w:val="22"/>
          <w:lang w:val="en-US"/>
        </w:rPr>
        <w:t xml:space="preserve"> in particular</w:t>
      </w:r>
      <w:r w:rsidR="005D64EE" w:rsidRPr="009A49FD">
        <w:rPr>
          <w:rFonts w:ascii="Arial" w:hAnsi="Arial" w:cs="Arial"/>
          <w:sz w:val="22"/>
          <w:szCs w:val="22"/>
          <w:lang w:val="en-US"/>
        </w:rPr>
        <w:t>,</w:t>
      </w:r>
      <w:r w:rsidRPr="009A49FD">
        <w:rPr>
          <w:rFonts w:ascii="Arial" w:hAnsi="Arial" w:cs="Arial"/>
          <w:sz w:val="22"/>
          <w:szCs w:val="22"/>
          <w:lang w:val="en-US"/>
        </w:rPr>
        <w:t xml:space="preserve"> have</w:t>
      </w:r>
      <w:proofErr w:type="gramEnd"/>
      <w:r w:rsidRPr="009A49FD">
        <w:rPr>
          <w:rFonts w:ascii="Arial" w:hAnsi="Arial" w:cs="Arial"/>
          <w:sz w:val="22"/>
          <w:szCs w:val="22"/>
          <w:lang w:val="en-US"/>
        </w:rPr>
        <w:t xml:space="preserve"> proven extremely </w:t>
      </w:r>
      <w:r w:rsidR="00432A0C">
        <w:rPr>
          <w:rFonts w:ascii="Arial" w:hAnsi="Arial" w:cs="Arial"/>
          <w:sz w:val="22"/>
          <w:szCs w:val="22"/>
          <w:lang w:val="en-US"/>
        </w:rPr>
        <w:t xml:space="preserve">“bankable” for the fraudsters and </w:t>
      </w:r>
      <w:r w:rsidRPr="009A49FD">
        <w:rPr>
          <w:rFonts w:ascii="Arial" w:hAnsi="Arial" w:cs="Arial"/>
          <w:sz w:val="22"/>
          <w:szCs w:val="22"/>
          <w:lang w:val="en-US"/>
        </w:rPr>
        <w:t>damaging for the Member States.</w:t>
      </w:r>
      <w:r w:rsidR="00BE38EE" w:rsidRPr="00527DDA">
        <w:rPr>
          <w:rStyle w:val="FootnoteReference"/>
          <w:rFonts w:ascii="Arial" w:hAnsi="Arial" w:cs="Arial"/>
          <w:color w:val="000000" w:themeColor="text1"/>
          <w:sz w:val="22"/>
          <w:szCs w:val="22"/>
        </w:rPr>
        <w:footnoteReference w:id="5"/>
      </w:r>
      <w:r w:rsidRPr="009A49FD">
        <w:rPr>
          <w:rFonts w:ascii="Arial" w:hAnsi="Arial" w:cs="Arial"/>
          <w:sz w:val="22"/>
          <w:szCs w:val="22"/>
          <w:lang w:val="en-US"/>
        </w:rPr>
        <w:t xml:space="preserve"> </w:t>
      </w:r>
    </w:p>
    <w:p w14:paraId="5B384607" w14:textId="77777777" w:rsidR="00E2709F" w:rsidRDefault="00E2709F" w:rsidP="009A49FD">
      <w:pPr>
        <w:jc w:val="both"/>
        <w:rPr>
          <w:rFonts w:ascii="Arial" w:hAnsi="Arial" w:cs="Arial"/>
          <w:sz w:val="22"/>
          <w:szCs w:val="22"/>
          <w:lang w:val="en-US"/>
        </w:rPr>
      </w:pPr>
    </w:p>
    <w:p w14:paraId="61CE84C7" w14:textId="0FEB269B" w:rsidR="000666F8" w:rsidRPr="002B158C" w:rsidRDefault="00FB0794" w:rsidP="002B158C">
      <w:pPr>
        <w:jc w:val="both"/>
        <w:rPr>
          <w:rFonts w:ascii="Arial" w:hAnsi="Arial" w:cs="Arial"/>
          <w:sz w:val="22"/>
          <w:szCs w:val="22"/>
          <w:lang w:val="en-US"/>
        </w:rPr>
      </w:pPr>
      <w:r w:rsidRPr="009A49FD">
        <w:rPr>
          <w:rFonts w:ascii="Arial" w:hAnsi="Arial" w:cs="Arial"/>
          <w:sz w:val="22"/>
          <w:szCs w:val="22"/>
          <w:lang w:val="en-US"/>
        </w:rPr>
        <w:t xml:space="preserve">At first sight, one may consider </w:t>
      </w:r>
      <w:r w:rsidR="00107524">
        <w:rPr>
          <w:rFonts w:ascii="Arial" w:hAnsi="Arial" w:cs="Arial"/>
          <w:sz w:val="22"/>
          <w:szCs w:val="22"/>
          <w:lang w:val="en-US"/>
        </w:rPr>
        <w:t xml:space="preserve">it </w:t>
      </w:r>
      <w:r w:rsidRPr="009A49FD">
        <w:rPr>
          <w:rFonts w:ascii="Arial" w:hAnsi="Arial" w:cs="Arial"/>
          <w:sz w:val="22"/>
          <w:szCs w:val="22"/>
          <w:lang w:val="en-US"/>
        </w:rPr>
        <w:t xml:space="preserve">logical that case law </w:t>
      </w:r>
      <w:r w:rsidR="00E2709F">
        <w:rPr>
          <w:rFonts w:ascii="Arial" w:hAnsi="Arial" w:cs="Arial"/>
          <w:sz w:val="22"/>
          <w:szCs w:val="22"/>
          <w:lang w:val="en-US"/>
        </w:rPr>
        <w:t>decided in the context of</w:t>
      </w:r>
      <w:r w:rsidRPr="009A49FD">
        <w:rPr>
          <w:rFonts w:ascii="Arial" w:hAnsi="Arial" w:cs="Arial"/>
          <w:sz w:val="22"/>
          <w:szCs w:val="22"/>
          <w:lang w:val="en-US"/>
        </w:rPr>
        <w:t xml:space="preserve"> carousel fraud </w:t>
      </w:r>
      <w:r w:rsidR="002D6D4F">
        <w:rPr>
          <w:rFonts w:ascii="Arial" w:hAnsi="Arial" w:cs="Arial"/>
          <w:sz w:val="22"/>
          <w:szCs w:val="22"/>
          <w:lang w:val="en-US"/>
        </w:rPr>
        <w:t xml:space="preserve">schemes </w:t>
      </w:r>
      <w:r w:rsidRPr="009A49FD">
        <w:rPr>
          <w:rFonts w:ascii="Arial" w:hAnsi="Arial" w:cs="Arial"/>
          <w:sz w:val="22"/>
          <w:szCs w:val="22"/>
          <w:lang w:val="en-US"/>
        </w:rPr>
        <w:t xml:space="preserve">involving goods </w:t>
      </w:r>
      <w:r w:rsidR="00107524">
        <w:rPr>
          <w:rFonts w:ascii="Arial" w:hAnsi="Arial" w:cs="Arial"/>
          <w:sz w:val="22"/>
          <w:szCs w:val="22"/>
          <w:lang w:val="en-US"/>
        </w:rPr>
        <w:t>is</w:t>
      </w:r>
      <w:r w:rsidRPr="009A49FD">
        <w:rPr>
          <w:rFonts w:ascii="Arial" w:hAnsi="Arial" w:cs="Arial"/>
          <w:sz w:val="22"/>
          <w:szCs w:val="22"/>
          <w:lang w:val="en-US"/>
        </w:rPr>
        <w:t xml:space="preserve"> also applicable </w:t>
      </w:r>
      <w:r w:rsidR="00E2709F">
        <w:rPr>
          <w:rFonts w:ascii="Arial" w:hAnsi="Arial" w:cs="Arial"/>
          <w:sz w:val="22"/>
          <w:szCs w:val="22"/>
          <w:lang w:val="en-US"/>
        </w:rPr>
        <w:t>to</w:t>
      </w:r>
      <w:r w:rsidRPr="009A49FD">
        <w:rPr>
          <w:rFonts w:ascii="Arial" w:hAnsi="Arial" w:cs="Arial"/>
          <w:sz w:val="22"/>
          <w:szCs w:val="22"/>
          <w:lang w:val="en-US"/>
        </w:rPr>
        <w:t xml:space="preserve"> carousel fraud </w:t>
      </w:r>
      <w:r w:rsidR="00E2709F">
        <w:rPr>
          <w:rFonts w:ascii="Arial" w:hAnsi="Arial" w:cs="Arial"/>
          <w:sz w:val="22"/>
          <w:szCs w:val="22"/>
          <w:lang w:val="en-US"/>
        </w:rPr>
        <w:t xml:space="preserve">schemes </w:t>
      </w:r>
      <w:r w:rsidRPr="009A49FD">
        <w:rPr>
          <w:rFonts w:ascii="Arial" w:hAnsi="Arial" w:cs="Arial"/>
          <w:sz w:val="22"/>
          <w:szCs w:val="22"/>
          <w:lang w:val="en-US"/>
        </w:rPr>
        <w:t>involv</w:t>
      </w:r>
      <w:r w:rsidR="00D02631" w:rsidRPr="009A49FD">
        <w:rPr>
          <w:rFonts w:ascii="Arial" w:hAnsi="Arial" w:cs="Arial"/>
          <w:sz w:val="22"/>
          <w:szCs w:val="22"/>
          <w:lang w:val="en-US"/>
        </w:rPr>
        <w:t>ing</w:t>
      </w:r>
      <w:r w:rsidRPr="009A49FD">
        <w:rPr>
          <w:rFonts w:ascii="Arial" w:hAnsi="Arial" w:cs="Arial"/>
          <w:sz w:val="22"/>
          <w:szCs w:val="22"/>
          <w:lang w:val="en-US"/>
        </w:rPr>
        <w:t xml:space="preserve"> services. </w:t>
      </w:r>
      <w:r w:rsidR="00037D2E" w:rsidRPr="009A49FD">
        <w:rPr>
          <w:rFonts w:ascii="Arial" w:hAnsi="Arial" w:cs="Arial"/>
          <w:sz w:val="22"/>
          <w:szCs w:val="22"/>
          <w:lang w:val="en-US"/>
        </w:rPr>
        <w:t xml:space="preserve">However, while both goods and services are in practice taxed </w:t>
      </w:r>
      <w:r w:rsidR="002D6D4F">
        <w:rPr>
          <w:rFonts w:ascii="Arial" w:hAnsi="Arial" w:cs="Arial"/>
          <w:sz w:val="22"/>
          <w:szCs w:val="22"/>
          <w:lang w:val="en-US"/>
        </w:rPr>
        <w:t>‘</w:t>
      </w:r>
      <w:r w:rsidR="00037D2E" w:rsidRPr="009A49FD">
        <w:rPr>
          <w:rFonts w:ascii="Arial" w:hAnsi="Arial" w:cs="Arial"/>
          <w:sz w:val="22"/>
          <w:szCs w:val="22"/>
          <w:lang w:val="en-US"/>
        </w:rPr>
        <w:t>at destination</w:t>
      </w:r>
      <w:r w:rsidR="002D6D4F">
        <w:rPr>
          <w:rFonts w:ascii="Arial" w:hAnsi="Arial" w:cs="Arial"/>
          <w:sz w:val="22"/>
          <w:szCs w:val="22"/>
          <w:lang w:val="en-US"/>
        </w:rPr>
        <w:t>’</w:t>
      </w:r>
      <w:r w:rsidR="00037D2E" w:rsidRPr="009A49FD">
        <w:rPr>
          <w:rFonts w:ascii="Arial" w:hAnsi="Arial" w:cs="Arial"/>
          <w:sz w:val="22"/>
          <w:szCs w:val="22"/>
          <w:lang w:val="en-US"/>
        </w:rPr>
        <w:t xml:space="preserve"> when sold cross-border</w:t>
      </w:r>
      <w:r w:rsidR="007B781D" w:rsidRPr="009A49FD">
        <w:rPr>
          <w:rFonts w:ascii="Arial" w:hAnsi="Arial" w:cs="Arial"/>
          <w:sz w:val="22"/>
          <w:szCs w:val="22"/>
          <w:lang w:val="en-US"/>
        </w:rPr>
        <w:t xml:space="preserve"> </w:t>
      </w:r>
      <w:r w:rsidR="00107524">
        <w:rPr>
          <w:rFonts w:ascii="Arial" w:hAnsi="Arial" w:cs="Arial"/>
          <w:sz w:val="22"/>
          <w:szCs w:val="22"/>
          <w:lang w:val="en-US"/>
        </w:rPr>
        <w:t>(</w:t>
      </w:r>
      <w:r w:rsidR="007B781D" w:rsidRPr="009A49FD">
        <w:rPr>
          <w:rFonts w:ascii="Arial" w:hAnsi="Arial" w:cs="Arial"/>
          <w:sz w:val="22"/>
          <w:szCs w:val="22"/>
          <w:lang w:val="en-US"/>
        </w:rPr>
        <w:t>and should both be reported in recapitulative statements</w:t>
      </w:r>
      <w:r w:rsidR="00107524">
        <w:rPr>
          <w:rFonts w:ascii="Arial" w:hAnsi="Arial" w:cs="Arial"/>
          <w:sz w:val="22"/>
          <w:szCs w:val="22"/>
          <w:lang w:val="en-US"/>
        </w:rPr>
        <w:t>)</w:t>
      </w:r>
      <w:r w:rsidR="00037D2E" w:rsidRPr="009A49FD">
        <w:rPr>
          <w:rFonts w:ascii="Arial" w:hAnsi="Arial" w:cs="Arial"/>
          <w:sz w:val="22"/>
          <w:szCs w:val="22"/>
          <w:lang w:val="en-US"/>
        </w:rPr>
        <w:t>, the VAT treatment of intracommunity supplies of goods and services is technically very different</w:t>
      </w:r>
      <w:r w:rsidR="002E3070" w:rsidRPr="009A49FD">
        <w:rPr>
          <w:rFonts w:ascii="Arial" w:hAnsi="Arial" w:cs="Arial"/>
          <w:sz w:val="22"/>
          <w:szCs w:val="22"/>
          <w:lang w:val="en-US"/>
        </w:rPr>
        <w:t>. As a matter of fact</w:t>
      </w:r>
      <w:r w:rsidR="00037D2E" w:rsidRPr="009A49FD">
        <w:rPr>
          <w:rFonts w:ascii="Arial" w:hAnsi="Arial" w:cs="Arial"/>
          <w:sz w:val="22"/>
          <w:szCs w:val="22"/>
          <w:lang w:val="en-US"/>
        </w:rPr>
        <w:t xml:space="preserve">, in the previous case there is a taxable (but exempt) supply in the </w:t>
      </w:r>
      <w:r w:rsidR="002D6D4F">
        <w:rPr>
          <w:rFonts w:ascii="Arial" w:hAnsi="Arial" w:cs="Arial"/>
          <w:sz w:val="22"/>
          <w:szCs w:val="22"/>
          <w:lang w:val="en-US"/>
        </w:rPr>
        <w:t>Member State</w:t>
      </w:r>
      <w:r w:rsidR="00037D2E" w:rsidRPr="009A49FD">
        <w:rPr>
          <w:rFonts w:ascii="Arial" w:hAnsi="Arial" w:cs="Arial"/>
          <w:sz w:val="22"/>
          <w:szCs w:val="22"/>
          <w:lang w:val="en-US"/>
        </w:rPr>
        <w:t xml:space="preserve"> of departure of the goods</w:t>
      </w:r>
      <w:r w:rsidR="008C71F2">
        <w:rPr>
          <w:rStyle w:val="FootnoteReference"/>
          <w:rFonts w:ascii="Arial" w:hAnsi="Arial" w:cs="Arial"/>
          <w:sz w:val="22"/>
          <w:szCs w:val="22"/>
          <w:lang w:val="en-US"/>
        </w:rPr>
        <w:footnoteReference w:id="6"/>
      </w:r>
      <w:r w:rsidR="00037D2E" w:rsidRPr="009A49FD">
        <w:rPr>
          <w:rFonts w:ascii="Arial" w:hAnsi="Arial" w:cs="Arial"/>
          <w:sz w:val="22"/>
          <w:szCs w:val="22"/>
          <w:lang w:val="en-US"/>
        </w:rPr>
        <w:t xml:space="preserve"> </w:t>
      </w:r>
      <w:r w:rsidR="00037D2E" w:rsidRPr="009A49FD">
        <w:rPr>
          <w:rFonts w:ascii="Arial" w:hAnsi="Arial" w:cs="Arial"/>
          <w:i/>
          <w:iCs/>
          <w:sz w:val="22"/>
          <w:szCs w:val="22"/>
          <w:lang w:val="en-US"/>
        </w:rPr>
        <w:t>and</w:t>
      </w:r>
      <w:r w:rsidR="00037D2E" w:rsidRPr="009A49FD">
        <w:rPr>
          <w:rFonts w:ascii="Arial" w:hAnsi="Arial" w:cs="Arial"/>
          <w:sz w:val="22"/>
          <w:szCs w:val="22"/>
          <w:lang w:val="en-US"/>
        </w:rPr>
        <w:t xml:space="preserve"> a taxable </w:t>
      </w:r>
      <w:r w:rsidR="005D64EE" w:rsidRPr="009A49FD">
        <w:rPr>
          <w:rFonts w:ascii="Arial" w:hAnsi="Arial" w:cs="Arial"/>
          <w:sz w:val="22"/>
          <w:szCs w:val="22"/>
          <w:lang w:val="en-US"/>
        </w:rPr>
        <w:t>acquisition</w:t>
      </w:r>
      <w:r w:rsidR="00037D2E" w:rsidRPr="009A49FD">
        <w:rPr>
          <w:rFonts w:ascii="Arial" w:hAnsi="Arial" w:cs="Arial"/>
          <w:sz w:val="22"/>
          <w:szCs w:val="22"/>
          <w:lang w:val="en-US"/>
        </w:rPr>
        <w:t xml:space="preserve"> in the </w:t>
      </w:r>
      <w:r w:rsidR="002D6D4F">
        <w:rPr>
          <w:rFonts w:ascii="Arial" w:hAnsi="Arial" w:cs="Arial"/>
          <w:sz w:val="22"/>
          <w:szCs w:val="22"/>
          <w:lang w:val="en-US"/>
        </w:rPr>
        <w:t>Member State</w:t>
      </w:r>
      <w:r w:rsidR="002D6D4F" w:rsidRPr="009A49FD">
        <w:rPr>
          <w:rFonts w:ascii="Arial" w:hAnsi="Arial" w:cs="Arial"/>
          <w:sz w:val="22"/>
          <w:szCs w:val="22"/>
          <w:lang w:val="en-US"/>
        </w:rPr>
        <w:t xml:space="preserve"> </w:t>
      </w:r>
      <w:r w:rsidR="00037D2E" w:rsidRPr="009A49FD">
        <w:rPr>
          <w:rFonts w:ascii="Arial" w:hAnsi="Arial" w:cs="Arial"/>
          <w:sz w:val="22"/>
          <w:szCs w:val="22"/>
          <w:lang w:val="en-US"/>
        </w:rPr>
        <w:t>of arrival</w:t>
      </w:r>
      <w:r w:rsidR="002E3070" w:rsidRPr="009A49FD">
        <w:rPr>
          <w:rFonts w:ascii="Arial" w:hAnsi="Arial" w:cs="Arial"/>
          <w:sz w:val="22"/>
          <w:szCs w:val="22"/>
          <w:lang w:val="en-US"/>
        </w:rPr>
        <w:t>,</w:t>
      </w:r>
      <w:r w:rsidR="008C71F2">
        <w:rPr>
          <w:rStyle w:val="FootnoteReference"/>
          <w:rFonts w:ascii="Arial" w:hAnsi="Arial" w:cs="Arial"/>
          <w:sz w:val="22"/>
          <w:szCs w:val="22"/>
          <w:lang w:val="en-US"/>
        </w:rPr>
        <w:footnoteReference w:id="7"/>
      </w:r>
      <w:r w:rsidR="00037D2E" w:rsidRPr="009A49FD">
        <w:rPr>
          <w:rFonts w:ascii="Arial" w:hAnsi="Arial" w:cs="Arial"/>
          <w:sz w:val="22"/>
          <w:szCs w:val="22"/>
          <w:lang w:val="en-US"/>
        </w:rPr>
        <w:t xml:space="preserve"> while in the latter case there is only </w:t>
      </w:r>
      <w:r w:rsidR="005D64EE" w:rsidRPr="009A49FD">
        <w:rPr>
          <w:rFonts w:ascii="Arial" w:hAnsi="Arial" w:cs="Arial"/>
          <w:sz w:val="22"/>
          <w:szCs w:val="22"/>
          <w:lang w:val="en-US"/>
        </w:rPr>
        <w:t>one</w:t>
      </w:r>
      <w:r w:rsidR="00037D2E" w:rsidRPr="009A49FD">
        <w:rPr>
          <w:rFonts w:ascii="Arial" w:hAnsi="Arial" w:cs="Arial"/>
          <w:sz w:val="22"/>
          <w:szCs w:val="22"/>
          <w:lang w:val="en-US"/>
        </w:rPr>
        <w:t xml:space="preserve"> taxable supply in the Member State of establishment of the customer.</w:t>
      </w:r>
      <w:r w:rsidR="00A60E3F">
        <w:rPr>
          <w:rStyle w:val="FootnoteReference"/>
          <w:rFonts w:ascii="Arial" w:hAnsi="Arial" w:cs="Arial"/>
          <w:sz w:val="22"/>
          <w:szCs w:val="22"/>
          <w:lang w:val="en-US"/>
        </w:rPr>
        <w:footnoteReference w:id="8"/>
      </w:r>
      <w:r w:rsidR="00037D2E" w:rsidRPr="009A49FD">
        <w:rPr>
          <w:rFonts w:ascii="Arial" w:hAnsi="Arial" w:cs="Arial"/>
          <w:sz w:val="22"/>
          <w:szCs w:val="22"/>
          <w:lang w:val="en-US"/>
        </w:rPr>
        <w:t xml:space="preserve"> </w:t>
      </w:r>
      <w:r w:rsidR="007B781D" w:rsidRPr="009A49FD">
        <w:rPr>
          <w:rFonts w:ascii="Arial" w:hAnsi="Arial" w:cs="Arial"/>
          <w:sz w:val="22"/>
          <w:szCs w:val="22"/>
          <w:lang w:val="en-US"/>
        </w:rPr>
        <w:t xml:space="preserve">In the case of intracommunity supplies involving goods, denying the exemption of the intracommunity supplies automatically makes the supply taxable locally </w:t>
      </w:r>
      <w:r w:rsidR="002D6D4F">
        <w:rPr>
          <w:rFonts w:ascii="Arial" w:hAnsi="Arial" w:cs="Arial"/>
          <w:sz w:val="22"/>
          <w:szCs w:val="22"/>
          <w:lang w:val="en-US"/>
        </w:rPr>
        <w:t>in the Member State</w:t>
      </w:r>
      <w:r w:rsidR="007B781D" w:rsidRPr="009A49FD">
        <w:rPr>
          <w:rFonts w:ascii="Arial" w:hAnsi="Arial" w:cs="Arial"/>
          <w:sz w:val="22"/>
          <w:szCs w:val="22"/>
          <w:lang w:val="en-US"/>
        </w:rPr>
        <w:t xml:space="preserve"> of departure of the goods</w:t>
      </w:r>
      <w:r w:rsidR="002E3070" w:rsidRPr="009A49FD">
        <w:rPr>
          <w:rFonts w:ascii="Arial" w:hAnsi="Arial" w:cs="Arial"/>
          <w:sz w:val="22"/>
          <w:szCs w:val="22"/>
          <w:lang w:val="en-US"/>
        </w:rPr>
        <w:t xml:space="preserve">, irrespective of whether it is also taxable in the Member State of </w:t>
      </w:r>
      <w:r w:rsidR="005D64EE" w:rsidRPr="009A49FD">
        <w:rPr>
          <w:rFonts w:ascii="Arial" w:hAnsi="Arial" w:cs="Arial"/>
          <w:sz w:val="22"/>
          <w:szCs w:val="22"/>
          <w:lang w:val="en-US"/>
        </w:rPr>
        <w:t>acquisition</w:t>
      </w:r>
      <w:r w:rsidR="007B781D" w:rsidRPr="009A49FD">
        <w:rPr>
          <w:rFonts w:ascii="Arial" w:hAnsi="Arial" w:cs="Arial"/>
          <w:sz w:val="22"/>
          <w:szCs w:val="22"/>
          <w:lang w:val="en-US"/>
        </w:rPr>
        <w:t xml:space="preserve">. In contrast, in the case of </w:t>
      </w:r>
      <w:r w:rsidR="000666F8">
        <w:rPr>
          <w:rFonts w:ascii="Arial" w:hAnsi="Arial" w:cs="Arial"/>
          <w:sz w:val="22"/>
          <w:szCs w:val="22"/>
          <w:lang w:val="en-US"/>
        </w:rPr>
        <w:t xml:space="preserve">intracommunity supplies </w:t>
      </w:r>
      <w:r w:rsidR="007B781D" w:rsidRPr="009A49FD">
        <w:rPr>
          <w:rFonts w:ascii="Arial" w:hAnsi="Arial" w:cs="Arial"/>
          <w:sz w:val="22"/>
          <w:szCs w:val="22"/>
          <w:lang w:val="en-US"/>
        </w:rPr>
        <w:t xml:space="preserve">services, taxation at destination is not technically obtained by </w:t>
      </w:r>
      <w:r w:rsidR="00E2709F">
        <w:rPr>
          <w:rFonts w:ascii="Arial" w:hAnsi="Arial" w:cs="Arial"/>
          <w:sz w:val="22"/>
          <w:szCs w:val="22"/>
          <w:lang w:val="en-US"/>
        </w:rPr>
        <w:t xml:space="preserve">creating a double taxable event and </w:t>
      </w:r>
      <w:r w:rsidR="007B781D" w:rsidRPr="009A49FD">
        <w:rPr>
          <w:rFonts w:ascii="Arial" w:hAnsi="Arial" w:cs="Arial"/>
          <w:sz w:val="22"/>
          <w:szCs w:val="22"/>
          <w:lang w:val="en-US"/>
        </w:rPr>
        <w:t xml:space="preserve">exempting </w:t>
      </w:r>
      <w:r w:rsidR="00E2709F">
        <w:rPr>
          <w:rFonts w:ascii="Arial" w:hAnsi="Arial" w:cs="Arial"/>
          <w:sz w:val="22"/>
          <w:szCs w:val="22"/>
          <w:lang w:val="en-US"/>
        </w:rPr>
        <w:t>the first one</w:t>
      </w:r>
      <w:r w:rsidR="007B781D" w:rsidRPr="009A49FD">
        <w:rPr>
          <w:rFonts w:ascii="Arial" w:hAnsi="Arial" w:cs="Arial"/>
          <w:sz w:val="22"/>
          <w:szCs w:val="22"/>
          <w:lang w:val="en-US"/>
        </w:rPr>
        <w:t xml:space="preserve">, but simply by locating the supply in the member State of establishment of the customer. Accordingly, the member State of </w:t>
      </w:r>
      <w:r w:rsidR="00E2709F">
        <w:rPr>
          <w:rFonts w:ascii="Arial" w:hAnsi="Arial" w:cs="Arial"/>
          <w:sz w:val="22"/>
          <w:szCs w:val="22"/>
          <w:lang w:val="en-US"/>
        </w:rPr>
        <w:t>the supplier</w:t>
      </w:r>
      <w:r w:rsidR="007B781D" w:rsidRPr="009A49FD">
        <w:rPr>
          <w:rFonts w:ascii="Arial" w:hAnsi="Arial" w:cs="Arial"/>
          <w:sz w:val="22"/>
          <w:szCs w:val="22"/>
          <w:lang w:val="en-US"/>
        </w:rPr>
        <w:t xml:space="preserve"> </w:t>
      </w:r>
      <w:r w:rsidR="00E2709F">
        <w:rPr>
          <w:rFonts w:ascii="Arial" w:hAnsi="Arial" w:cs="Arial"/>
          <w:sz w:val="22"/>
          <w:szCs w:val="22"/>
          <w:lang w:val="en-US"/>
        </w:rPr>
        <w:t xml:space="preserve">cannot </w:t>
      </w:r>
      <w:r w:rsidR="007B781D" w:rsidRPr="009A49FD">
        <w:rPr>
          <w:rFonts w:ascii="Arial" w:hAnsi="Arial" w:cs="Arial"/>
          <w:sz w:val="22"/>
          <w:szCs w:val="22"/>
          <w:lang w:val="en-US"/>
        </w:rPr>
        <w:t xml:space="preserve">“deny” </w:t>
      </w:r>
      <w:r w:rsidR="00E2709F">
        <w:rPr>
          <w:rFonts w:ascii="Arial" w:hAnsi="Arial" w:cs="Arial"/>
          <w:sz w:val="22"/>
          <w:szCs w:val="22"/>
          <w:lang w:val="en-US"/>
        </w:rPr>
        <w:t xml:space="preserve">an exemption </w:t>
      </w:r>
      <w:r w:rsidR="007B781D" w:rsidRPr="009A49FD">
        <w:rPr>
          <w:rFonts w:ascii="Arial" w:hAnsi="Arial" w:cs="Arial"/>
          <w:sz w:val="22"/>
          <w:szCs w:val="22"/>
          <w:lang w:val="en-US"/>
        </w:rPr>
        <w:t>that would result in local taxation.</w:t>
      </w:r>
      <w:r w:rsidR="00D0281D" w:rsidRPr="009A49FD">
        <w:rPr>
          <w:rFonts w:ascii="Arial" w:hAnsi="Arial" w:cs="Arial"/>
          <w:sz w:val="22"/>
          <w:szCs w:val="22"/>
          <w:lang w:val="en-US"/>
        </w:rPr>
        <w:t xml:space="preserve"> </w:t>
      </w:r>
      <w:r w:rsidR="004F21B7">
        <w:rPr>
          <w:rFonts w:ascii="Arial" w:hAnsi="Arial" w:cs="Arial"/>
          <w:sz w:val="22"/>
          <w:szCs w:val="22"/>
          <w:lang w:val="en-US"/>
        </w:rPr>
        <w:t>T</w:t>
      </w:r>
      <w:r w:rsidR="004F21B7" w:rsidRPr="009A49FD">
        <w:rPr>
          <w:rFonts w:ascii="Arial" w:hAnsi="Arial" w:cs="Arial"/>
          <w:sz w:val="22"/>
          <w:szCs w:val="22"/>
          <w:lang w:val="en-US"/>
        </w:rPr>
        <w:t>herefore</w:t>
      </w:r>
      <w:r w:rsidR="004F21B7">
        <w:rPr>
          <w:rFonts w:ascii="Arial" w:hAnsi="Arial" w:cs="Arial"/>
          <w:sz w:val="22"/>
          <w:szCs w:val="22"/>
          <w:lang w:val="en-US"/>
        </w:rPr>
        <w:t xml:space="preserve">, </w:t>
      </w:r>
      <w:r w:rsidR="00D84D07">
        <w:rPr>
          <w:rFonts w:ascii="Arial" w:hAnsi="Arial" w:cs="Arial"/>
          <w:sz w:val="22"/>
          <w:szCs w:val="22"/>
          <w:lang w:val="en-US"/>
        </w:rPr>
        <w:t xml:space="preserve">even </w:t>
      </w:r>
      <w:r w:rsidR="004F21B7" w:rsidRPr="009A49FD">
        <w:rPr>
          <w:rFonts w:ascii="Arial" w:hAnsi="Arial" w:cs="Arial"/>
          <w:sz w:val="22"/>
          <w:szCs w:val="22"/>
          <w:lang w:val="en-US"/>
        </w:rPr>
        <w:t>if the knowledge of fraud can be demonstrated there is</w:t>
      </w:r>
      <w:r w:rsidR="004F21B7">
        <w:rPr>
          <w:rFonts w:ascii="Arial" w:hAnsi="Arial" w:cs="Arial"/>
          <w:sz w:val="22"/>
          <w:szCs w:val="22"/>
          <w:lang w:val="en-US"/>
        </w:rPr>
        <w:t>,</w:t>
      </w:r>
      <w:r w:rsidR="004F21B7" w:rsidRPr="009A49FD">
        <w:rPr>
          <w:rFonts w:ascii="Arial" w:hAnsi="Arial" w:cs="Arial"/>
          <w:sz w:val="22"/>
          <w:szCs w:val="22"/>
          <w:lang w:val="en-US"/>
        </w:rPr>
        <w:t xml:space="preserve"> in </w:t>
      </w:r>
      <w:r w:rsidR="004F21B7">
        <w:rPr>
          <w:rFonts w:ascii="Arial" w:hAnsi="Arial" w:cs="Arial"/>
          <w:sz w:val="22"/>
          <w:szCs w:val="22"/>
          <w:lang w:val="en-US"/>
        </w:rPr>
        <w:t>the author’s view,</w:t>
      </w:r>
      <w:r w:rsidR="004F21B7" w:rsidRPr="009A49FD">
        <w:rPr>
          <w:rFonts w:ascii="Arial" w:hAnsi="Arial" w:cs="Arial"/>
          <w:sz w:val="22"/>
          <w:szCs w:val="22"/>
          <w:lang w:val="en-US"/>
        </w:rPr>
        <w:t xml:space="preserve"> no ground for taxation in the Member State of the supplier in the case of </w:t>
      </w:r>
      <w:r w:rsidR="004F21B7" w:rsidRPr="002B158C">
        <w:rPr>
          <w:rFonts w:ascii="Arial" w:hAnsi="Arial" w:cs="Arial"/>
          <w:sz w:val="22"/>
          <w:szCs w:val="22"/>
          <w:lang w:val="en-US"/>
        </w:rPr>
        <w:t>services.</w:t>
      </w:r>
    </w:p>
    <w:p w14:paraId="1026ADD5" w14:textId="77777777" w:rsidR="000666F8" w:rsidRPr="002B158C" w:rsidRDefault="000666F8" w:rsidP="002B158C">
      <w:pPr>
        <w:jc w:val="both"/>
        <w:rPr>
          <w:rFonts w:ascii="Arial" w:hAnsi="Arial" w:cs="Arial"/>
          <w:sz w:val="22"/>
          <w:szCs w:val="22"/>
          <w:lang w:val="en-US"/>
        </w:rPr>
      </w:pPr>
    </w:p>
    <w:p w14:paraId="640F926A" w14:textId="0DE8466F" w:rsidR="002B158C" w:rsidRPr="002B158C" w:rsidRDefault="004F21B7" w:rsidP="002B158C">
      <w:pPr>
        <w:jc w:val="both"/>
        <w:rPr>
          <w:rFonts w:ascii="Arial" w:hAnsi="Arial" w:cs="Arial"/>
          <w:sz w:val="22"/>
          <w:szCs w:val="22"/>
          <w:lang w:val="en-US"/>
        </w:rPr>
      </w:pPr>
      <w:r w:rsidRPr="002B158C">
        <w:rPr>
          <w:rFonts w:ascii="Arial" w:hAnsi="Arial" w:cs="Arial"/>
          <w:sz w:val="22"/>
          <w:szCs w:val="22"/>
          <w:lang w:val="en-US"/>
        </w:rPr>
        <w:t>Based on the above,</w:t>
      </w:r>
      <w:r w:rsidR="00E2709F" w:rsidRPr="002B158C">
        <w:rPr>
          <w:rFonts w:ascii="Arial" w:hAnsi="Arial" w:cs="Arial"/>
          <w:sz w:val="22"/>
          <w:szCs w:val="22"/>
          <w:lang w:val="en-US"/>
        </w:rPr>
        <w:t xml:space="preserve"> it seems reasonable to expect that the</w:t>
      </w:r>
      <w:r w:rsidR="002D6D4F" w:rsidRPr="002B158C">
        <w:rPr>
          <w:rFonts w:ascii="Arial" w:hAnsi="Arial" w:cs="Arial"/>
          <w:sz w:val="22"/>
          <w:szCs w:val="22"/>
          <w:lang w:val="en-US"/>
        </w:rPr>
        <w:t xml:space="preserve"> ECJ will decide that the</w:t>
      </w:r>
      <w:r w:rsidR="00E2709F" w:rsidRPr="002B158C">
        <w:rPr>
          <w:rFonts w:ascii="Arial" w:hAnsi="Arial" w:cs="Arial"/>
          <w:sz w:val="22"/>
          <w:szCs w:val="22"/>
          <w:lang w:val="en-US"/>
        </w:rPr>
        <w:t xml:space="preserve"> </w:t>
      </w:r>
      <w:proofErr w:type="spellStart"/>
      <w:r w:rsidR="00E2709F" w:rsidRPr="002B158C">
        <w:rPr>
          <w:rFonts w:ascii="Arial" w:hAnsi="Arial" w:cs="Arial"/>
          <w:sz w:val="22"/>
          <w:szCs w:val="22"/>
          <w:lang w:val="en-US"/>
        </w:rPr>
        <w:t>Italmoda</w:t>
      </w:r>
      <w:proofErr w:type="spellEnd"/>
      <w:r w:rsidR="00E2709F" w:rsidRPr="002B158C">
        <w:rPr>
          <w:rFonts w:ascii="Arial" w:hAnsi="Arial" w:cs="Arial"/>
          <w:sz w:val="22"/>
          <w:szCs w:val="22"/>
          <w:lang w:val="en-US"/>
        </w:rPr>
        <w:t xml:space="preserve"> case law does not apply to services</w:t>
      </w:r>
      <w:r w:rsidR="0081717E">
        <w:rPr>
          <w:rFonts w:ascii="Arial" w:hAnsi="Arial" w:cs="Arial"/>
          <w:sz w:val="22"/>
          <w:szCs w:val="22"/>
          <w:lang w:val="en-US"/>
        </w:rPr>
        <w:t xml:space="preserve"> (and does not allow a Member State to change the place of taxation of services)</w:t>
      </w:r>
      <w:r w:rsidR="00E2709F" w:rsidRPr="002B158C">
        <w:rPr>
          <w:rFonts w:ascii="Arial" w:hAnsi="Arial" w:cs="Arial"/>
          <w:sz w:val="22"/>
          <w:szCs w:val="22"/>
          <w:lang w:val="en-US"/>
        </w:rPr>
        <w:t xml:space="preserve">. </w:t>
      </w:r>
    </w:p>
    <w:p w14:paraId="3AFF363F" w14:textId="77777777" w:rsidR="002B158C" w:rsidRPr="002B158C" w:rsidRDefault="002B158C" w:rsidP="002B158C">
      <w:pPr>
        <w:jc w:val="both"/>
        <w:rPr>
          <w:rFonts w:ascii="Arial" w:hAnsi="Arial" w:cs="Arial"/>
          <w:sz w:val="22"/>
          <w:szCs w:val="22"/>
          <w:lang w:val="en-US"/>
        </w:rPr>
      </w:pPr>
    </w:p>
    <w:p w14:paraId="2B1D25DD" w14:textId="54F220DE" w:rsidR="00D0281D" w:rsidRPr="002B158C" w:rsidRDefault="00B42932" w:rsidP="002B158C">
      <w:pPr>
        <w:jc w:val="both"/>
        <w:rPr>
          <w:rFonts w:ascii="Arial" w:hAnsi="Arial" w:cs="Arial"/>
          <w:sz w:val="22"/>
          <w:szCs w:val="22"/>
        </w:rPr>
      </w:pPr>
      <w:r w:rsidRPr="002B158C">
        <w:rPr>
          <w:rFonts w:ascii="Arial" w:hAnsi="Arial" w:cs="Arial"/>
          <w:sz w:val="22"/>
          <w:szCs w:val="22"/>
          <w:lang w:val="en-US"/>
        </w:rPr>
        <w:t>A question that arises is whether</w:t>
      </w:r>
      <w:r w:rsidR="00E2709F" w:rsidRPr="002B158C">
        <w:rPr>
          <w:rFonts w:ascii="Arial" w:hAnsi="Arial" w:cs="Arial"/>
          <w:sz w:val="22"/>
          <w:szCs w:val="22"/>
          <w:lang w:val="en-US"/>
        </w:rPr>
        <w:t xml:space="preserve"> </w:t>
      </w:r>
      <w:r w:rsidR="000666F8" w:rsidRPr="002B158C">
        <w:rPr>
          <w:rFonts w:ascii="Arial" w:hAnsi="Arial" w:cs="Arial"/>
          <w:sz w:val="22"/>
          <w:szCs w:val="22"/>
          <w:lang w:val="en-US"/>
        </w:rPr>
        <w:t xml:space="preserve">“knowledge of a fraud committed by a third party” </w:t>
      </w:r>
      <w:r w:rsidR="00107524" w:rsidRPr="002B158C">
        <w:rPr>
          <w:rFonts w:ascii="Arial" w:hAnsi="Arial" w:cs="Arial"/>
          <w:sz w:val="22"/>
          <w:szCs w:val="22"/>
          <w:lang w:val="en-US"/>
        </w:rPr>
        <w:t>could</w:t>
      </w:r>
      <w:r w:rsidR="000666F8" w:rsidRPr="002B158C">
        <w:rPr>
          <w:rFonts w:ascii="Arial" w:hAnsi="Arial" w:cs="Arial"/>
          <w:sz w:val="22"/>
          <w:szCs w:val="22"/>
          <w:lang w:val="en-US"/>
        </w:rPr>
        <w:t xml:space="preserve"> allow a Member State to decide that </w:t>
      </w:r>
      <w:r w:rsidR="00432A0C" w:rsidRPr="002B158C">
        <w:rPr>
          <w:rFonts w:ascii="Arial" w:hAnsi="Arial" w:cs="Arial"/>
          <w:sz w:val="22"/>
          <w:szCs w:val="22"/>
          <w:lang w:val="en-US"/>
        </w:rPr>
        <w:t xml:space="preserve">VAT is </w:t>
      </w:r>
      <w:r w:rsidR="006440CB" w:rsidRPr="002B158C">
        <w:rPr>
          <w:rFonts w:ascii="Arial" w:hAnsi="Arial" w:cs="Arial"/>
          <w:sz w:val="22"/>
          <w:szCs w:val="22"/>
          <w:lang w:val="en-US"/>
        </w:rPr>
        <w:t xml:space="preserve">also </w:t>
      </w:r>
      <w:r w:rsidR="00432A0C" w:rsidRPr="002B158C">
        <w:rPr>
          <w:rFonts w:ascii="Arial" w:hAnsi="Arial" w:cs="Arial"/>
          <w:sz w:val="22"/>
          <w:szCs w:val="22"/>
          <w:lang w:val="en-US"/>
        </w:rPr>
        <w:t xml:space="preserve">payable </w:t>
      </w:r>
      <w:r w:rsidR="000666F8" w:rsidRPr="002B158C">
        <w:rPr>
          <w:rFonts w:ascii="Arial" w:hAnsi="Arial" w:cs="Arial"/>
          <w:sz w:val="22"/>
          <w:szCs w:val="22"/>
          <w:lang w:val="en-US"/>
        </w:rPr>
        <w:t>on its territory</w:t>
      </w:r>
      <w:r w:rsidR="00432A0C" w:rsidRPr="002B158C">
        <w:rPr>
          <w:rFonts w:ascii="Arial" w:hAnsi="Arial" w:cs="Arial"/>
          <w:sz w:val="22"/>
          <w:szCs w:val="22"/>
          <w:lang w:val="en-US"/>
        </w:rPr>
        <w:t>,</w:t>
      </w:r>
      <w:r w:rsidR="000666F8" w:rsidRPr="002B158C">
        <w:rPr>
          <w:rFonts w:ascii="Arial" w:hAnsi="Arial" w:cs="Arial"/>
          <w:sz w:val="22"/>
          <w:szCs w:val="22"/>
          <w:lang w:val="en-US"/>
        </w:rPr>
        <w:t xml:space="preserve"> in addition to taxation in </w:t>
      </w:r>
      <w:r w:rsidR="000666F8" w:rsidRPr="00C649E3">
        <w:rPr>
          <w:rFonts w:ascii="Arial" w:hAnsi="Arial" w:cs="Arial"/>
          <w:color w:val="000000" w:themeColor="text1"/>
          <w:sz w:val="22"/>
          <w:szCs w:val="22"/>
          <w:lang w:val="en-US"/>
        </w:rPr>
        <w:t>another Member State</w:t>
      </w:r>
      <w:r w:rsidR="0081717E">
        <w:rPr>
          <w:rFonts w:ascii="Arial" w:hAnsi="Arial" w:cs="Arial"/>
          <w:color w:val="000000" w:themeColor="text1"/>
          <w:sz w:val="22"/>
          <w:szCs w:val="22"/>
          <w:lang w:val="en-US"/>
        </w:rPr>
        <w:t>.</w:t>
      </w:r>
      <w:r w:rsidR="00432A0C" w:rsidRPr="00C649E3">
        <w:rPr>
          <w:rStyle w:val="FootnoteReference"/>
          <w:rFonts w:ascii="Arial" w:hAnsi="Arial" w:cs="Arial"/>
          <w:color w:val="000000" w:themeColor="text1"/>
          <w:sz w:val="22"/>
          <w:szCs w:val="22"/>
          <w:lang w:val="en-US"/>
        </w:rPr>
        <w:footnoteReference w:id="9"/>
      </w:r>
      <w:r w:rsidR="00432A0C" w:rsidRPr="00C649E3">
        <w:rPr>
          <w:rStyle w:val="FootnoteReference"/>
          <w:rFonts w:ascii="Arial" w:hAnsi="Arial" w:cs="Arial"/>
          <w:color w:val="000000" w:themeColor="text1"/>
          <w:sz w:val="22"/>
          <w:szCs w:val="22"/>
          <w:lang w:val="en-US"/>
        </w:rPr>
        <w:t xml:space="preserve"> </w:t>
      </w:r>
      <w:r w:rsidR="00FA18D3" w:rsidRPr="00C649E3">
        <w:rPr>
          <w:rFonts w:ascii="Arial" w:hAnsi="Arial" w:cs="Arial"/>
          <w:color w:val="000000" w:themeColor="text1"/>
          <w:sz w:val="22"/>
          <w:szCs w:val="22"/>
          <w:lang w:val="en-US"/>
        </w:rPr>
        <w:t xml:space="preserve">In this case the payment of the VAT </w:t>
      </w:r>
      <w:r w:rsidR="00C649E3" w:rsidRPr="00C649E3">
        <w:rPr>
          <w:rFonts w:ascii="Arial" w:hAnsi="Arial" w:cs="Arial"/>
          <w:color w:val="000000" w:themeColor="text1"/>
          <w:sz w:val="22"/>
          <w:szCs w:val="22"/>
          <w:lang w:val="en-US"/>
        </w:rPr>
        <w:t>would</w:t>
      </w:r>
      <w:r w:rsidR="002B158C" w:rsidRPr="00C649E3">
        <w:rPr>
          <w:rFonts w:ascii="Arial" w:hAnsi="Arial" w:cs="Arial"/>
          <w:color w:val="000000" w:themeColor="text1"/>
          <w:sz w:val="22"/>
          <w:szCs w:val="22"/>
          <w:lang w:val="en-US"/>
        </w:rPr>
        <w:t xml:space="preserve"> not </w:t>
      </w:r>
      <w:r w:rsidR="00C649E3" w:rsidRPr="00C649E3">
        <w:rPr>
          <w:rFonts w:ascii="Arial" w:hAnsi="Arial" w:cs="Arial"/>
          <w:color w:val="000000" w:themeColor="text1"/>
          <w:sz w:val="22"/>
          <w:szCs w:val="22"/>
          <w:lang w:val="en-US"/>
        </w:rPr>
        <w:t xml:space="preserve">be </w:t>
      </w:r>
      <w:r w:rsidR="002B158C" w:rsidRPr="00C649E3">
        <w:rPr>
          <w:rFonts w:ascii="Arial" w:hAnsi="Arial" w:cs="Arial"/>
          <w:color w:val="000000" w:themeColor="text1"/>
          <w:sz w:val="22"/>
          <w:szCs w:val="22"/>
          <w:lang w:val="en-US"/>
        </w:rPr>
        <w:t xml:space="preserve">meant to repair a damage caused to the State (as there is no loss of revenue in that State) but </w:t>
      </w:r>
      <w:r w:rsidR="00C649E3" w:rsidRPr="00C649E3">
        <w:rPr>
          <w:rFonts w:ascii="Arial" w:hAnsi="Arial" w:cs="Arial"/>
          <w:color w:val="000000" w:themeColor="text1"/>
          <w:sz w:val="22"/>
          <w:szCs w:val="22"/>
          <w:lang w:val="en-US"/>
        </w:rPr>
        <w:t>would</w:t>
      </w:r>
      <w:r w:rsidR="002B158C" w:rsidRPr="00C649E3">
        <w:rPr>
          <w:rFonts w:ascii="Arial" w:hAnsi="Arial" w:cs="Arial"/>
          <w:color w:val="000000" w:themeColor="text1"/>
          <w:sz w:val="22"/>
          <w:szCs w:val="22"/>
          <w:lang w:val="en-US"/>
        </w:rPr>
        <w:t xml:space="preserve"> rather </w:t>
      </w:r>
      <w:r w:rsidR="00C649E3" w:rsidRPr="00C649E3">
        <w:rPr>
          <w:rFonts w:ascii="Arial" w:hAnsi="Arial" w:cs="Arial"/>
          <w:color w:val="000000" w:themeColor="text1"/>
          <w:sz w:val="22"/>
          <w:szCs w:val="22"/>
          <w:lang w:val="en-US"/>
        </w:rPr>
        <w:t xml:space="preserve">be </w:t>
      </w:r>
      <w:r w:rsidR="002B158C" w:rsidRPr="00C649E3">
        <w:rPr>
          <w:rFonts w:ascii="Arial" w:hAnsi="Arial" w:cs="Arial"/>
          <w:color w:val="000000" w:themeColor="text1"/>
          <w:sz w:val="22"/>
          <w:szCs w:val="22"/>
          <w:lang w:val="en-US"/>
        </w:rPr>
        <w:t>meant to punish the taxable person</w:t>
      </w:r>
      <w:r w:rsidR="0081717E">
        <w:rPr>
          <w:rFonts w:ascii="Arial" w:hAnsi="Arial" w:cs="Arial"/>
          <w:color w:val="000000" w:themeColor="text1"/>
          <w:sz w:val="22"/>
          <w:szCs w:val="22"/>
          <w:lang w:val="en-US"/>
        </w:rPr>
        <w:t xml:space="preserve"> </w:t>
      </w:r>
      <w:r w:rsidR="0081717E" w:rsidRPr="00C649E3">
        <w:rPr>
          <w:rFonts w:ascii="Arial" w:hAnsi="Arial" w:cs="Arial"/>
          <w:color w:val="000000" w:themeColor="text1"/>
          <w:sz w:val="22"/>
          <w:szCs w:val="22"/>
          <w:lang w:val="en-US"/>
        </w:rPr>
        <w:t xml:space="preserve">for </w:t>
      </w:r>
      <w:r w:rsidR="0081717E">
        <w:rPr>
          <w:rFonts w:ascii="Arial" w:hAnsi="Arial" w:cs="Arial"/>
          <w:color w:val="000000" w:themeColor="text1"/>
          <w:sz w:val="22"/>
          <w:szCs w:val="22"/>
          <w:lang w:val="en-US"/>
        </w:rPr>
        <w:t>its</w:t>
      </w:r>
      <w:r w:rsidR="0081717E" w:rsidRPr="00C649E3">
        <w:rPr>
          <w:rFonts w:ascii="Arial" w:hAnsi="Arial" w:cs="Arial"/>
          <w:color w:val="000000" w:themeColor="text1"/>
          <w:sz w:val="22"/>
          <w:szCs w:val="22"/>
          <w:lang w:val="en-US"/>
        </w:rPr>
        <w:t xml:space="preserve"> participation to a fraud resulting in a loss of revenue in another Member State</w:t>
      </w:r>
      <w:r w:rsidR="00C649E3" w:rsidRPr="00C649E3">
        <w:rPr>
          <w:rFonts w:ascii="Arial" w:hAnsi="Arial" w:cs="Arial"/>
          <w:color w:val="000000" w:themeColor="text1"/>
          <w:sz w:val="22"/>
          <w:szCs w:val="22"/>
          <w:lang w:val="en-US"/>
        </w:rPr>
        <w:t>.</w:t>
      </w:r>
      <w:r w:rsidR="002B158C" w:rsidRPr="00C649E3">
        <w:rPr>
          <w:rFonts w:ascii="Arial" w:hAnsi="Arial" w:cs="Arial"/>
          <w:color w:val="000000" w:themeColor="text1"/>
          <w:sz w:val="22"/>
          <w:szCs w:val="22"/>
          <w:lang w:val="en-US"/>
        </w:rPr>
        <w:t xml:space="preserve"> </w:t>
      </w:r>
      <w:r w:rsidR="00C649E3" w:rsidRPr="00C649E3">
        <w:rPr>
          <w:rFonts w:ascii="Arial" w:hAnsi="Arial" w:cs="Arial"/>
          <w:color w:val="000000" w:themeColor="text1"/>
          <w:sz w:val="22"/>
          <w:szCs w:val="22"/>
          <w:lang w:val="en-US"/>
        </w:rPr>
        <w:t>Therefore,</w:t>
      </w:r>
      <w:r w:rsidR="002B158C" w:rsidRPr="00C649E3">
        <w:rPr>
          <w:rFonts w:ascii="Arial" w:hAnsi="Arial" w:cs="Arial"/>
          <w:color w:val="000000" w:themeColor="text1"/>
          <w:sz w:val="22"/>
          <w:szCs w:val="22"/>
          <w:lang w:val="en-US"/>
        </w:rPr>
        <w:t xml:space="preserve"> </w:t>
      </w:r>
      <w:r w:rsidR="00C649E3" w:rsidRPr="00C649E3">
        <w:rPr>
          <w:rFonts w:ascii="Arial" w:hAnsi="Arial" w:cs="Arial"/>
          <w:color w:val="000000" w:themeColor="text1"/>
          <w:sz w:val="22"/>
          <w:szCs w:val="22"/>
          <w:lang w:val="en-US"/>
        </w:rPr>
        <w:t xml:space="preserve">the sanction would </w:t>
      </w:r>
      <w:r w:rsidR="002B158C" w:rsidRPr="00C649E3">
        <w:rPr>
          <w:rFonts w:ascii="Arial" w:hAnsi="Arial" w:cs="Arial"/>
          <w:color w:val="000000" w:themeColor="text1"/>
          <w:sz w:val="22"/>
          <w:szCs w:val="22"/>
          <w:lang w:val="en-US"/>
        </w:rPr>
        <w:t>qualif</w:t>
      </w:r>
      <w:r w:rsidR="00C649E3" w:rsidRPr="00C649E3">
        <w:rPr>
          <w:rFonts w:ascii="Arial" w:hAnsi="Arial" w:cs="Arial"/>
          <w:color w:val="000000" w:themeColor="text1"/>
          <w:sz w:val="22"/>
          <w:szCs w:val="22"/>
          <w:lang w:val="en-US"/>
        </w:rPr>
        <w:t>y</w:t>
      </w:r>
      <w:r w:rsidR="002B158C" w:rsidRPr="00C649E3">
        <w:rPr>
          <w:rFonts w:ascii="Arial" w:hAnsi="Arial" w:cs="Arial"/>
          <w:color w:val="000000" w:themeColor="text1"/>
          <w:sz w:val="22"/>
          <w:szCs w:val="22"/>
          <w:lang w:val="en-US"/>
        </w:rPr>
        <w:t xml:space="preserve"> as a penalty that is “criminal in nature”</w:t>
      </w:r>
      <w:r w:rsidR="00C649E3" w:rsidRPr="00C649E3">
        <w:rPr>
          <w:rFonts w:ascii="Arial" w:hAnsi="Arial" w:cs="Arial"/>
          <w:color w:val="000000" w:themeColor="text1"/>
          <w:sz w:val="22"/>
          <w:szCs w:val="22"/>
          <w:lang w:val="en-US"/>
        </w:rPr>
        <w:t>,</w:t>
      </w:r>
      <w:r w:rsidR="002B158C" w:rsidRPr="00C649E3">
        <w:rPr>
          <w:rStyle w:val="FootnoteReference"/>
          <w:rFonts w:ascii="Arial" w:hAnsi="Arial" w:cs="Arial"/>
          <w:color w:val="000000" w:themeColor="text1"/>
          <w:sz w:val="22"/>
          <w:szCs w:val="22"/>
          <w:lang w:val="en-US"/>
        </w:rPr>
        <w:footnoteReference w:id="10"/>
      </w:r>
      <w:r w:rsidR="00FA18D3" w:rsidRPr="00C649E3">
        <w:rPr>
          <w:rFonts w:ascii="Arial" w:hAnsi="Arial" w:cs="Arial"/>
          <w:color w:val="000000" w:themeColor="text1"/>
          <w:sz w:val="22"/>
          <w:szCs w:val="22"/>
          <w:lang w:val="en-US"/>
        </w:rPr>
        <w:t xml:space="preserve"> </w:t>
      </w:r>
      <w:r w:rsidR="002B158C" w:rsidRPr="00C649E3">
        <w:rPr>
          <w:rFonts w:ascii="Arial" w:hAnsi="Arial" w:cs="Arial"/>
          <w:color w:val="000000" w:themeColor="text1"/>
          <w:sz w:val="22"/>
          <w:szCs w:val="22"/>
          <w:lang w:val="en-US"/>
        </w:rPr>
        <w:t xml:space="preserve">to which </w:t>
      </w:r>
      <w:r w:rsidR="00FA18D3" w:rsidRPr="00C649E3">
        <w:rPr>
          <w:rFonts w:ascii="Arial" w:hAnsi="Arial" w:cs="Arial"/>
          <w:color w:val="000000" w:themeColor="text1"/>
          <w:sz w:val="22"/>
          <w:szCs w:val="22"/>
          <w:lang w:val="en-US"/>
        </w:rPr>
        <w:t xml:space="preserve">Article 49 of the Charter </w:t>
      </w:r>
      <w:r w:rsidR="002B158C" w:rsidRPr="00C649E3">
        <w:rPr>
          <w:rFonts w:ascii="Arial" w:hAnsi="Arial" w:cs="Arial"/>
          <w:color w:val="000000" w:themeColor="text1"/>
          <w:sz w:val="22"/>
          <w:szCs w:val="22"/>
          <w:lang w:val="en-US"/>
        </w:rPr>
        <w:t xml:space="preserve">(which </w:t>
      </w:r>
      <w:r w:rsidR="00FA18D3" w:rsidRPr="00C649E3">
        <w:rPr>
          <w:rFonts w:ascii="Arial" w:hAnsi="Arial" w:cs="Arial"/>
          <w:color w:val="000000" w:themeColor="text1"/>
          <w:sz w:val="22"/>
          <w:szCs w:val="22"/>
          <w:lang w:val="en-US"/>
        </w:rPr>
        <w:t>provides that “</w:t>
      </w:r>
      <w:r w:rsidR="00FA18D3" w:rsidRPr="00C649E3">
        <w:rPr>
          <w:rFonts w:ascii="Arial" w:hAnsi="Arial" w:cs="Arial"/>
          <w:color w:val="000000" w:themeColor="text1"/>
          <w:sz w:val="22"/>
          <w:szCs w:val="22"/>
          <w:shd w:val="clear" w:color="auto" w:fill="FFFFFF"/>
        </w:rPr>
        <w:t>The severity of penalties must not be disproportionate to the criminal offence</w:t>
      </w:r>
      <w:r w:rsidR="00FA18D3" w:rsidRPr="00C649E3">
        <w:rPr>
          <w:rFonts w:ascii="Arial" w:hAnsi="Arial" w:cs="Arial"/>
          <w:color w:val="000000" w:themeColor="text1"/>
          <w:sz w:val="22"/>
          <w:szCs w:val="22"/>
          <w:shd w:val="clear" w:color="auto" w:fill="FFFFFF"/>
          <w:lang w:val="en-US"/>
        </w:rPr>
        <w:t>”</w:t>
      </w:r>
      <w:r w:rsidR="002B158C" w:rsidRPr="00C649E3">
        <w:rPr>
          <w:rFonts w:ascii="Arial" w:hAnsi="Arial" w:cs="Arial"/>
          <w:color w:val="000000" w:themeColor="text1"/>
          <w:sz w:val="22"/>
          <w:szCs w:val="22"/>
          <w:shd w:val="clear" w:color="auto" w:fill="FFFFFF"/>
          <w:lang w:val="en-US"/>
        </w:rPr>
        <w:t>) appl</w:t>
      </w:r>
      <w:r w:rsidR="00C649E3" w:rsidRPr="00C649E3">
        <w:rPr>
          <w:rFonts w:ascii="Arial" w:hAnsi="Arial" w:cs="Arial"/>
          <w:color w:val="000000" w:themeColor="text1"/>
          <w:sz w:val="22"/>
          <w:szCs w:val="22"/>
          <w:shd w:val="clear" w:color="auto" w:fill="FFFFFF"/>
          <w:lang w:val="en-US"/>
        </w:rPr>
        <w:t>ies</w:t>
      </w:r>
      <w:r w:rsidR="002B158C" w:rsidRPr="00C649E3">
        <w:rPr>
          <w:rFonts w:ascii="Arial" w:hAnsi="Arial" w:cs="Arial"/>
          <w:color w:val="000000" w:themeColor="text1"/>
          <w:sz w:val="22"/>
          <w:szCs w:val="22"/>
          <w:shd w:val="clear" w:color="auto" w:fill="FFFFFF"/>
          <w:lang w:val="en-US"/>
        </w:rPr>
        <w:t>.</w:t>
      </w:r>
      <w:r w:rsidR="00C649E3" w:rsidRPr="00C649E3">
        <w:rPr>
          <w:rStyle w:val="FootnoteReference"/>
          <w:rFonts w:ascii="Arial" w:hAnsi="Arial" w:cs="Arial"/>
          <w:color w:val="000000" w:themeColor="text1"/>
          <w:sz w:val="22"/>
          <w:szCs w:val="22"/>
          <w:shd w:val="clear" w:color="auto" w:fill="FFFFFF"/>
          <w:lang w:val="en-US"/>
        </w:rPr>
        <w:footnoteReference w:id="11"/>
      </w:r>
      <w:r w:rsidR="002B158C" w:rsidRPr="00C649E3">
        <w:rPr>
          <w:rFonts w:ascii="Arial" w:hAnsi="Arial" w:cs="Arial"/>
          <w:color w:val="000000" w:themeColor="text1"/>
          <w:sz w:val="22"/>
          <w:szCs w:val="22"/>
          <w:shd w:val="clear" w:color="auto" w:fill="FFFFFF"/>
          <w:lang w:val="en-US"/>
        </w:rPr>
        <w:t xml:space="preserve"> </w:t>
      </w:r>
      <w:r w:rsidR="00C649E3" w:rsidRPr="00C649E3">
        <w:rPr>
          <w:rFonts w:ascii="Arial" w:hAnsi="Arial" w:cs="Arial"/>
          <w:color w:val="000000" w:themeColor="text1"/>
          <w:sz w:val="22"/>
          <w:szCs w:val="22"/>
          <w:shd w:val="clear" w:color="auto" w:fill="FFFFFF"/>
          <w:lang w:val="en-US"/>
        </w:rPr>
        <w:t>Depending on how “proportionality” would be assessed in this case</w:t>
      </w:r>
      <w:r w:rsidR="0081717E">
        <w:rPr>
          <w:rFonts w:ascii="Arial" w:hAnsi="Arial" w:cs="Arial"/>
          <w:color w:val="000000" w:themeColor="text1"/>
          <w:sz w:val="22"/>
          <w:szCs w:val="22"/>
          <w:shd w:val="clear" w:color="auto" w:fill="FFFFFF"/>
          <w:lang w:val="en-US"/>
        </w:rPr>
        <w:t xml:space="preserve"> where there is admittedly only “passive participation to a fraud”</w:t>
      </w:r>
      <w:r w:rsidR="00C649E3" w:rsidRPr="00C649E3">
        <w:rPr>
          <w:rFonts w:ascii="Arial" w:hAnsi="Arial" w:cs="Arial"/>
          <w:color w:val="000000" w:themeColor="text1"/>
          <w:sz w:val="22"/>
          <w:szCs w:val="22"/>
          <w:shd w:val="clear" w:color="auto" w:fill="FFFFFF"/>
          <w:lang w:val="en-US"/>
        </w:rPr>
        <w:t xml:space="preserve">, the outcome may be that such a penalty is contrary to EU law. </w:t>
      </w:r>
      <w:r w:rsidR="002B158C" w:rsidRPr="00C649E3">
        <w:rPr>
          <w:rFonts w:ascii="Arial" w:hAnsi="Arial" w:cs="Arial"/>
          <w:color w:val="000000" w:themeColor="text1"/>
          <w:sz w:val="22"/>
          <w:szCs w:val="22"/>
          <w:shd w:val="clear" w:color="auto" w:fill="FFFFFF"/>
          <w:lang w:val="en-US"/>
        </w:rPr>
        <w:t>This is also a difference with</w:t>
      </w:r>
      <w:r w:rsidR="00FA18D3" w:rsidRPr="00C649E3">
        <w:rPr>
          <w:rFonts w:ascii="Arial" w:hAnsi="Arial" w:cs="Arial"/>
          <w:color w:val="000000" w:themeColor="text1"/>
          <w:sz w:val="22"/>
          <w:szCs w:val="22"/>
          <w:shd w:val="clear" w:color="auto" w:fill="FFFFFF"/>
          <w:lang w:val="en-US"/>
        </w:rPr>
        <w:t xml:space="preserve"> </w:t>
      </w:r>
      <w:r w:rsidR="000666F8" w:rsidRPr="00C649E3">
        <w:rPr>
          <w:rFonts w:ascii="Arial" w:hAnsi="Arial" w:cs="Arial"/>
          <w:color w:val="000000" w:themeColor="text1"/>
          <w:sz w:val="22"/>
          <w:szCs w:val="22"/>
          <w:lang w:val="en-US"/>
        </w:rPr>
        <w:t xml:space="preserve">the </w:t>
      </w:r>
      <w:proofErr w:type="spellStart"/>
      <w:r w:rsidR="000666F8" w:rsidRPr="00C649E3">
        <w:rPr>
          <w:rFonts w:ascii="Arial" w:hAnsi="Arial" w:cs="Arial"/>
          <w:color w:val="000000" w:themeColor="text1"/>
          <w:sz w:val="22"/>
          <w:szCs w:val="22"/>
          <w:lang w:val="en-US"/>
        </w:rPr>
        <w:t>Italmoda</w:t>
      </w:r>
      <w:proofErr w:type="spellEnd"/>
      <w:r w:rsidR="000666F8" w:rsidRPr="00C649E3">
        <w:rPr>
          <w:rFonts w:ascii="Arial" w:hAnsi="Arial" w:cs="Arial"/>
          <w:color w:val="000000" w:themeColor="text1"/>
          <w:sz w:val="22"/>
          <w:szCs w:val="22"/>
          <w:lang w:val="en-US"/>
        </w:rPr>
        <w:t xml:space="preserve"> case</w:t>
      </w:r>
      <w:r w:rsidR="00107524" w:rsidRPr="00C649E3">
        <w:rPr>
          <w:rFonts w:ascii="Arial" w:hAnsi="Arial" w:cs="Arial"/>
          <w:color w:val="000000" w:themeColor="text1"/>
          <w:sz w:val="22"/>
          <w:szCs w:val="22"/>
          <w:lang w:val="en-US"/>
        </w:rPr>
        <w:t>,</w:t>
      </w:r>
      <w:r w:rsidR="000666F8" w:rsidRPr="00C649E3">
        <w:rPr>
          <w:rFonts w:ascii="Arial" w:hAnsi="Arial" w:cs="Arial"/>
          <w:color w:val="000000" w:themeColor="text1"/>
          <w:sz w:val="22"/>
          <w:szCs w:val="22"/>
          <w:lang w:val="en-US"/>
        </w:rPr>
        <w:t xml:space="preserve"> </w:t>
      </w:r>
      <w:r w:rsidR="002B158C" w:rsidRPr="00C649E3">
        <w:rPr>
          <w:rFonts w:ascii="Arial" w:hAnsi="Arial" w:cs="Arial"/>
          <w:color w:val="000000" w:themeColor="text1"/>
          <w:sz w:val="22"/>
          <w:szCs w:val="22"/>
          <w:lang w:val="en-US"/>
        </w:rPr>
        <w:t xml:space="preserve">in which </w:t>
      </w:r>
      <w:r w:rsidR="000666F8" w:rsidRPr="00C649E3">
        <w:rPr>
          <w:rFonts w:ascii="Arial" w:hAnsi="Arial" w:cs="Arial"/>
          <w:color w:val="000000" w:themeColor="text1"/>
          <w:sz w:val="22"/>
          <w:szCs w:val="22"/>
          <w:lang w:val="en-US"/>
        </w:rPr>
        <w:t xml:space="preserve">the ECJ clarified that </w:t>
      </w:r>
      <w:r w:rsidR="00C0539A">
        <w:rPr>
          <w:rFonts w:ascii="Arial" w:hAnsi="Arial" w:cs="Arial"/>
          <w:color w:val="000000" w:themeColor="text1"/>
          <w:sz w:val="22"/>
          <w:szCs w:val="22"/>
          <w:lang w:val="en-US"/>
        </w:rPr>
        <w:t>payment of</w:t>
      </w:r>
      <w:r w:rsidR="000666F8" w:rsidRPr="00C649E3">
        <w:rPr>
          <w:rFonts w:ascii="Arial" w:hAnsi="Arial" w:cs="Arial"/>
          <w:color w:val="000000" w:themeColor="text1"/>
          <w:sz w:val="22"/>
          <w:szCs w:val="22"/>
          <w:lang w:val="en-US"/>
        </w:rPr>
        <w:t xml:space="preserve"> output VAT in the Member State of departure of the goods </w:t>
      </w:r>
      <w:r w:rsidR="004F21B7" w:rsidRPr="00C649E3">
        <w:rPr>
          <w:rFonts w:ascii="Arial" w:hAnsi="Arial" w:cs="Arial"/>
          <w:color w:val="000000" w:themeColor="text1"/>
          <w:sz w:val="22"/>
          <w:szCs w:val="22"/>
          <w:lang w:val="en-US"/>
        </w:rPr>
        <w:t>is</w:t>
      </w:r>
      <w:r w:rsidR="000666F8" w:rsidRPr="00C649E3">
        <w:rPr>
          <w:rFonts w:ascii="Arial" w:hAnsi="Arial" w:cs="Arial"/>
          <w:color w:val="000000" w:themeColor="text1"/>
          <w:sz w:val="22"/>
          <w:szCs w:val="22"/>
          <w:lang w:val="en-US"/>
        </w:rPr>
        <w:t xml:space="preserve"> not </w:t>
      </w:r>
      <w:r w:rsidR="004F21B7" w:rsidRPr="00C649E3">
        <w:rPr>
          <w:rFonts w:ascii="Arial" w:hAnsi="Arial" w:cs="Arial"/>
          <w:color w:val="000000" w:themeColor="text1"/>
          <w:sz w:val="22"/>
          <w:szCs w:val="22"/>
          <w:lang w:val="en-US"/>
        </w:rPr>
        <w:t xml:space="preserve">to </w:t>
      </w:r>
      <w:r w:rsidR="000666F8" w:rsidRPr="00C649E3">
        <w:rPr>
          <w:rFonts w:ascii="Arial" w:hAnsi="Arial" w:cs="Arial"/>
          <w:color w:val="000000" w:themeColor="text1"/>
          <w:sz w:val="22"/>
          <w:szCs w:val="22"/>
          <w:lang w:val="en-US"/>
        </w:rPr>
        <w:t xml:space="preserve">be regarded as a penalty imposed </w:t>
      </w:r>
      <w:r w:rsidR="000666F8" w:rsidRPr="00C649E3">
        <w:rPr>
          <w:rFonts w:ascii="Arial" w:hAnsi="Arial" w:cs="Arial"/>
          <w:color w:val="000000" w:themeColor="text1"/>
          <w:sz w:val="22"/>
          <w:szCs w:val="22"/>
          <w:lang w:val="en-US"/>
        </w:rPr>
        <w:lastRenderedPageBreak/>
        <w:t>by the Member State of the supplier, but as a mere result of not satisfying the conditions for the exemptio</w:t>
      </w:r>
      <w:r w:rsidR="002B158C" w:rsidRPr="00C649E3">
        <w:rPr>
          <w:rFonts w:ascii="Arial" w:hAnsi="Arial" w:cs="Arial"/>
          <w:color w:val="000000" w:themeColor="text1"/>
          <w:sz w:val="22"/>
          <w:szCs w:val="22"/>
          <w:lang w:val="en-US"/>
        </w:rPr>
        <w:t>n</w:t>
      </w:r>
      <w:r w:rsidR="00C0539A">
        <w:rPr>
          <w:rFonts w:ascii="Arial" w:hAnsi="Arial" w:cs="Arial"/>
          <w:color w:val="000000" w:themeColor="text1"/>
          <w:sz w:val="22"/>
          <w:szCs w:val="22"/>
          <w:lang w:val="en-US"/>
        </w:rPr>
        <w:t>,</w:t>
      </w:r>
      <w:r w:rsidR="00C649E3" w:rsidRPr="00C649E3">
        <w:rPr>
          <w:rFonts w:ascii="Arial" w:hAnsi="Arial" w:cs="Arial"/>
          <w:color w:val="000000" w:themeColor="text1"/>
          <w:sz w:val="22"/>
          <w:szCs w:val="22"/>
          <w:lang w:val="en-US"/>
        </w:rPr>
        <w:t xml:space="preserve"> and therefore cannot be assessed in the light of Article 49 of the Charter</w:t>
      </w:r>
      <w:r w:rsidR="000666F8" w:rsidRPr="00C649E3">
        <w:rPr>
          <w:rFonts w:ascii="Arial" w:hAnsi="Arial" w:cs="Arial"/>
          <w:color w:val="000000" w:themeColor="text1"/>
          <w:sz w:val="22"/>
          <w:szCs w:val="22"/>
          <w:lang w:val="en-US"/>
        </w:rPr>
        <w:t>.</w:t>
      </w:r>
      <w:r w:rsidR="000666F8" w:rsidRPr="00C649E3">
        <w:rPr>
          <w:rStyle w:val="FootnoteReference"/>
          <w:rFonts w:ascii="Arial" w:hAnsi="Arial" w:cs="Arial"/>
          <w:color w:val="000000" w:themeColor="text1"/>
          <w:sz w:val="22"/>
          <w:szCs w:val="22"/>
          <w:lang w:val="en-US"/>
        </w:rPr>
        <w:footnoteReference w:id="12"/>
      </w:r>
      <w:r w:rsidR="000666F8" w:rsidRPr="00C649E3">
        <w:rPr>
          <w:rFonts w:ascii="Arial" w:hAnsi="Arial" w:cs="Arial"/>
          <w:color w:val="000000" w:themeColor="text1"/>
          <w:sz w:val="22"/>
          <w:szCs w:val="22"/>
          <w:lang w:val="en-US"/>
        </w:rPr>
        <w:t xml:space="preserve"> </w:t>
      </w:r>
    </w:p>
    <w:p w14:paraId="4F5C5D33" w14:textId="77777777" w:rsidR="000D3ED9" w:rsidRPr="009A49FD" w:rsidRDefault="000D3ED9" w:rsidP="009A49FD">
      <w:pPr>
        <w:jc w:val="both"/>
        <w:rPr>
          <w:rFonts w:ascii="Arial" w:hAnsi="Arial" w:cs="Arial"/>
          <w:sz w:val="22"/>
          <w:szCs w:val="22"/>
          <w:lang w:val="en-US"/>
        </w:rPr>
      </w:pPr>
    </w:p>
    <w:p w14:paraId="54B7A993" w14:textId="24711929" w:rsidR="00EC2179" w:rsidRPr="009A49FD" w:rsidRDefault="00EC2179" w:rsidP="009A49FD">
      <w:pPr>
        <w:jc w:val="both"/>
        <w:rPr>
          <w:rFonts w:ascii="Arial" w:hAnsi="Arial" w:cs="Arial"/>
          <w:sz w:val="22"/>
          <w:szCs w:val="22"/>
          <w:lang w:val="en-US"/>
        </w:rPr>
      </w:pPr>
    </w:p>
    <w:p w14:paraId="21DF1143" w14:textId="439E896B" w:rsidR="000D3ED9" w:rsidRPr="009A49FD" w:rsidRDefault="00432A0C" w:rsidP="009A49FD">
      <w:pPr>
        <w:pStyle w:val="ListParagraph"/>
        <w:numPr>
          <w:ilvl w:val="0"/>
          <w:numId w:val="1"/>
        </w:numPr>
        <w:jc w:val="both"/>
        <w:rPr>
          <w:rFonts w:ascii="Arial" w:eastAsia="Times New Roman" w:hAnsi="Arial" w:cs="Arial"/>
          <w:b/>
          <w:bCs/>
          <w:sz w:val="22"/>
          <w:szCs w:val="22"/>
          <w:lang w:val="en-US" w:eastAsia="en-GB"/>
        </w:rPr>
      </w:pPr>
      <w:r>
        <w:rPr>
          <w:rFonts w:ascii="Arial" w:eastAsia="Times New Roman" w:hAnsi="Arial" w:cs="Arial"/>
          <w:b/>
          <w:bCs/>
          <w:sz w:val="22"/>
          <w:szCs w:val="22"/>
          <w:lang w:val="en-US" w:eastAsia="en-GB"/>
        </w:rPr>
        <w:t>Is this b</w:t>
      </w:r>
      <w:r w:rsidR="000D3ED9" w:rsidRPr="009A49FD">
        <w:rPr>
          <w:rFonts w:ascii="Arial" w:eastAsia="Times New Roman" w:hAnsi="Arial" w:cs="Arial"/>
          <w:b/>
          <w:bCs/>
          <w:sz w:val="22"/>
          <w:szCs w:val="22"/>
          <w:lang w:val="en-US" w:eastAsia="en-GB"/>
        </w:rPr>
        <w:t xml:space="preserve">ad news for the fight against fraud? </w:t>
      </w:r>
    </w:p>
    <w:p w14:paraId="34B1F480" w14:textId="77777777" w:rsidR="000666F8" w:rsidRDefault="000666F8" w:rsidP="009A49FD">
      <w:pPr>
        <w:jc w:val="both"/>
        <w:rPr>
          <w:rFonts w:ascii="Arial" w:hAnsi="Arial" w:cs="Arial"/>
          <w:sz w:val="22"/>
          <w:szCs w:val="22"/>
          <w:lang w:val="en-US"/>
        </w:rPr>
      </w:pPr>
    </w:p>
    <w:p w14:paraId="7FE703B4" w14:textId="4A4724C1" w:rsidR="00D84D07" w:rsidRDefault="000666F8" w:rsidP="009A49FD">
      <w:pPr>
        <w:jc w:val="both"/>
        <w:rPr>
          <w:rFonts w:ascii="Arial" w:hAnsi="Arial" w:cs="Arial"/>
          <w:sz w:val="22"/>
          <w:szCs w:val="22"/>
          <w:lang w:val="en-US"/>
        </w:rPr>
      </w:pPr>
      <w:r>
        <w:rPr>
          <w:rFonts w:ascii="Arial" w:hAnsi="Arial" w:cs="Arial"/>
          <w:sz w:val="22"/>
          <w:szCs w:val="22"/>
          <w:lang w:val="en-US"/>
        </w:rPr>
        <w:t>The (expected)</w:t>
      </w:r>
      <w:r w:rsidR="000E4679" w:rsidRPr="009A49FD">
        <w:rPr>
          <w:rFonts w:ascii="Arial" w:hAnsi="Arial" w:cs="Arial"/>
          <w:sz w:val="22"/>
          <w:szCs w:val="22"/>
          <w:lang w:val="en-US"/>
        </w:rPr>
        <w:t xml:space="preserve"> decision that the </w:t>
      </w:r>
      <w:proofErr w:type="spellStart"/>
      <w:r w:rsidR="000E4679" w:rsidRPr="009A49FD">
        <w:rPr>
          <w:rFonts w:ascii="Arial" w:hAnsi="Arial" w:cs="Arial"/>
          <w:sz w:val="22"/>
          <w:szCs w:val="22"/>
          <w:lang w:val="en-US"/>
        </w:rPr>
        <w:t>Italmoda</w:t>
      </w:r>
      <w:proofErr w:type="spellEnd"/>
      <w:r w:rsidR="000E4679" w:rsidRPr="009A49FD">
        <w:rPr>
          <w:rFonts w:ascii="Arial" w:hAnsi="Arial" w:cs="Arial"/>
          <w:sz w:val="22"/>
          <w:szCs w:val="22"/>
          <w:lang w:val="en-US"/>
        </w:rPr>
        <w:t xml:space="preserve"> jurisprudence </w:t>
      </w:r>
      <w:r w:rsidR="006440CB">
        <w:rPr>
          <w:rFonts w:ascii="Arial" w:hAnsi="Arial" w:cs="Arial"/>
          <w:sz w:val="22"/>
          <w:szCs w:val="22"/>
          <w:lang w:val="en-US"/>
        </w:rPr>
        <w:t>is</w:t>
      </w:r>
      <w:r w:rsidR="000E4679" w:rsidRPr="009A49FD">
        <w:rPr>
          <w:rFonts w:ascii="Arial" w:hAnsi="Arial" w:cs="Arial"/>
          <w:sz w:val="22"/>
          <w:szCs w:val="22"/>
          <w:lang w:val="en-US"/>
        </w:rPr>
        <w:t xml:space="preserve"> not appl</w:t>
      </w:r>
      <w:r w:rsidR="006440CB">
        <w:rPr>
          <w:rFonts w:ascii="Arial" w:hAnsi="Arial" w:cs="Arial"/>
          <w:sz w:val="22"/>
          <w:szCs w:val="22"/>
          <w:lang w:val="en-US"/>
        </w:rPr>
        <w:t>icable</w:t>
      </w:r>
      <w:r w:rsidR="000E4679" w:rsidRPr="009A49FD">
        <w:rPr>
          <w:rFonts w:ascii="Arial" w:hAnsi="Arial" w:cs="Arial"/>
          <w:sz w:val="22"/>
          <w:szCs w:val="22"/>
          <w:lang w:val="en-US"/>
        </w:rPr>
        <w:t xml:space="preserve"> by analogy to carousel fraud involving services may shower down the hopes of some Member States </w:t>
      </w:r>
      <w:r w:rsidR="000D3ED9" w:rsidRPr="009A49FD">
        <w:rPr>
          <w:rFonts w:ascii="Arial" w:hAnsi="Arial" w:cs="Arial"/>
          <w:sz w:val="22"/>
          <w:szCs w:val="22"/>
          <w:lang w:val="en-US"/>
        </w:rPr>
        <w:t xml:space="preserve">eager </w:t>
      </w:r>
      <w:r w:rsidR="000E4679" w:rsidRPr="009A49FD">
        <w:rPr>
          <w:rFonts w:ascii="Arial" w:hAnsi="Arial" w:cs="Arial"/>
          <w:sz w:val="22"/>
          <w:szCs w:val="22"/>
          <w:lang w:val="en-US"/>
        </w:rPr>
        <w:t xml:space="preserve">improve the fight against carousel fraud. </w:t>
      </w:r>
    </w:p>
    <w:p w14:paraId="1CD8B8BF" w14:textId="77777777" w:rsidR="00D84D07" w:rsidRDefault="00D84D07" w:rsidP="009A49FD">
      <w:pPr>
        <w:jc w:val="both"/>
        <w:rPr>
          <w:rFonts w:ascii="Arial" w:hAnsi="Arial" w:cs="Arial"/>
          <w:sz w:val="22"/>
          <w:szCs w:val="22"/>
          <w:lang w:val="en-US"/>
        </w:rPr>
      </w:pPr>
    </w:p>
    <w:p w14:paraId="748C6E37" w14:textId="12164762" w:rsidR="00EF4AC0" w:rsidRPr="009A49FD" w:rsidRDefault="000E4679" w:rsidP="009A49FD">
      <w:pPr>
        <w:jc w:val="both"/>
        <w:rPr>
          <w:rFonts w:ascii="Arial" w:hAnsi="Arial" w:cs="Arial"/>
          <w:sz w:val="22"/>
          <w:szCs w:val="22"/>
          <w:lang w:val="en-US"/>
        </w:rPr>
      </w:pPr>
      <w:r w:rsidRPr="009A49FD">
        <w:rPr>
          <w:rFonts w:ascii="Arial" w:hAnsi="Arial" w:cs="Arial"/>
          <w:sz w:val="22"/>
          <w:szCs w:val="22"/>
          <w:lang w:val="en-US"/>
        </w:rPr>
        <w:t>However, m</w:t>
      </w:r>
      <w:r w:rsidR="00EC2179" w:rsidRPr="009A49FD">
        <w:rPr>
          <w:rFonts w:ascii="Arial" w:hAnsi="Arial" w:cs="Arial"/>
          <w:sz w:val="22"/>
          <w:szCs w:val="22"/>
          <w:lang w:val="en-US"/>
        </w:rPr>
        <w:t xml:space="preserve">any authors and practitioners </w:t>
      </w:r>
      <w:r w:rsidRPr="009A49FD">
        <w:rPr>
          <w:rFonts w:ascii="Arial" w:hAnsi="Arial" w:cs="Arial"/>
          <w:sz w:val="22"/>
          <w:szCs w:val="22"/>
          <w:lang w:val="en-US"/>
        </w:rPr>
        <w:t>already</w:t>
      </w:r>
      <w:r w:rsidR="00EC2179" w:rsidRPr="009A49FD">
        <w:rPr>
          <w:rFonts w:ascii="Arial" w:hAnsi="Arial" w:cs="Arial"/>
          <w:sz w:val="22"/>
          <w:szCs w:val="22"/>
          <w:lang w:val="en-US"/>
        </w:rPr>
        <w:t xml:space="preserve"> highlighted that this </w:t>
      </w:r>
      <w:r w:rsidR="00EF4AC0" w:rsidRPr="009A49FD">
        <w:rPr>
          <w:rFonts w:ascii="Arial" w:hAnsi="Arial" w:cs="Arial"/>
          <w:sz w:val="22"/>
          <w:szCs w:val="22"/>
          <w:lang w:val="en-US"/>
        </w:rPr>
        <w:t xml:space="preserve">line of </w:t>
      </w:r>
      <w:r w:rsidR="00EC2179" w:rsidRPr="009A49FD">
        <w:rPr>
          <w:rFonts w:ascii="Arial" w:hAnsi="Arial" w:cs="Arial"/>
          <w:sz w:val="22"/>
          <w:szCs w:val="22"/>
          <w:lang w:val="en-US"/>
        </w:rPr>
        <w:t xml:space="preserve">case law is not an appropriate answer </w:t>
      </w:r>
      <w:r w:rsidR="00107524">
        <w:rPr>
          <w:rFonts w:ascii="Arial" w:hAnsi="Arial" w:cs="Arial"/>
          <w:sz w:val="22"/>
          <w:szCs w:val="22"/>
          <w:lang w:val="en-US"/>
        </w:rPr>
        <w:t>to the problem</w:t>
      </w:r>
      <w:r w:rsidR="00C649E3">
        <w:rPr>
          <w:rFonts w:ascii="Arial" w:hAnsi="Arial" w:cs="Arial"/>
          <w:sz w:val="22"/>
          <w:szCs w:val="22"/>
          <w:lang w:val="en-US"/>
        </w:rPr>
        <w:t>, mainly</w:t>
      </w:r>
      <w:r w:rsidR="00107524">
        <w:rPr>
          <w:rFonts w:ascii="Arial" w:hAnsi="Arial" w:cs="Arial"/>
          <w:sz w:val="22"/>
          <w:szCs w:val="22"/>
          <w:lang w:val="en-US"/>
        </w:rPr>
        <w:t xml:space="preserve"> </w:t>
      </w:r>
      <w:r w:rsidR="00EC2179" w:rsidRPr="009A49FD">
        <w:rPr>
          <w:rFonts w:ascii="Arial" w:hAnsi="Arial" w:cs="Arial"/>
          <w:sz w:val="22"/>
          <w:szCs w:val="22"/>
          <w:lang w:val="en-US"/>
        </w:rPr>
        <w:t xml:space="preserve">because the fraudsters themselves remain unpunished and </w:t>
      </w:r>
      <w:r w:rsidR="00EF4AC0" w:rsidRPr="009A49FD">
        <w:rPr>
          <w:rFonts w:ascii="Arial" w:hAnsi="Arial" w:cs="Arial"/>
          <w:sz w:val="22"/>
          <w:szCs w:val="22"/>
          <w:lang w:val="en-US"/>
        </w:rPr>
        <w:t xml:space="preserve">because </w:t>
      </w:r>
      <w:r w:rsidR="00EC2179" w:rsidRPr="009A49FD">
        <w:rPr>
          <w:rFonts w:ascii="Arial" w:hAnsi="Arial" w:cs="Arial"/>
          <w:sz w:val="22"/>
          <w:szCs w:val="22"/>
          <w:lang w:val="en-US"/>
        </w:rPr>
        <w:t>some</w:t>
      </w:r>
      <w:r w:rsidR="00EF4AC0" w:rsidRPr="009A49FD">
        <w:rPr>
          <w:rFonts w:ascii="Arial" w:hAnsi="Arial" w:cs="Arial"/>
          <w:sz w:val="22"/>
          <w:szCs w:val="22"/>
          <w:lang w:val="en-US"/>
        </w:rPr>
        <w:t>times</w:t>
      </w:r>
      <w:r w:rsidR="00EC2179" w:rsidRPr="009A49FD">
        <w:rPr>
          <w:rFonts w:ascii="Arial" w:hAnsi="Arial" w:cs="Arial"/>
          <w:sz w:val="22"/>
          <w:szCs w:val="22"/>
          <w:lang w:val="en-US"/>
        </w:rPr>
        <w:t xml:space="preserve"> honest traders who have been too lenient </w:t>
      </w:r>
      <w:r w:rsidR="00EF4AC0" w:rsidRPr="009A49FD">
        <w:rPr>
          <w:rFonts w:ascii="Arial" w:hAnsi="Arial" w:cs="Arial"/>
          <w:sz w:val="22"/>
          <w:szCs w:val="22"/>
          <w:lang w:val="en-US"/>
        </w:rPr>
        <w:t>are unfairly</w:t>
      </w:r>
      <w:r w:rsidR="00EC2179" w:rsidRPr="009A49FD">
        <w:rPr>
          <w:rFonts w:ascii="Arial" w:hAnsi="Arial" w:cs="Arial"/>
          <w:sz w:val="22"/>
          <w:szCs w:val="22"/>
          <w:lang w:val="en-US"/>
        </w:rPr>
        <w:t xml:space="preserve"> sanctioned.</w:t>
      </w:r>
      <w:r w:rsidR="000666F8">
        <w:rPr>
          <w:rStyle w:val="FootnoteReference"/>
          <w:rFonts w:ascii="Arial" w:hAnsi="Arial" w:cs="Arial"/>
          <w:sz w:val="22"/>
          <w:szCs w:val="22"/>
          <w:lang w:val="en-US"/>
        </w:rPr>
        <w:footnoteReference w:id="13"/>
      </w:r>
      <w:r w:rsidR="00EC2179" w:rsidRPr="009A49FD">
        <w:rPr>
          <w:rFonts w:ascii="Arial" w:hAnsi="Arial" w:cs="Arial"/>
          <w:sz w:val="22"/>
          <w:szCs w:val="22"/>
          <w:lang w:val="en-US"/>
        </w:rPr>
        <w:t xml:space="preserve"> </w:t>
      </w:r>
      <w:r w:rsidRPr="009A49FD">
        <w:rPr>
          <w:rFonts w:ascii="Arial" w:hAnsi="Arial" w:cs="Arial"/>
          <w:sz w:val="22"/>
          <w:szCs w:val="22"/>
          <w:lang w:val="en-US"/>
        </w:rPr>
        <w:t xml:space="preserve">Whether </w:t>
      </w:r>
      <w:r w:rsidR="00EF4AC0" w:rsidRPr="009A49FD">
        <w:rPr>
          <w:rFonts w:ascii="Arial" w:hAnsi="Arial" w:cs="Arial"/>
          <w:sz w:val="22"/>
          <w:szCs w:val="22"/>
          <w:lang w:val="en-US"/>
        </w:rPr>
        <w:t xml:space="preserve">this line of case law prompts honest traders to be more careful and does </w:t>
      </w:r>
      <w:r w:rsidR="006F51F2" w:rsidRPr="009A49FD">
        <w:rPr>
          <w:rFonts w:ascii="Arial" w:hAnsi="Arial" w:cs="Arial"/>
          <w:sz w:val="22"/>
          <w:szCs w:val="22"/>
          <w:lang w:val="en-US"/>
        </w:rPr>
        <w:t>effectively</w:t>
      </w:r>
      <w:r w:rsidR="00EF4AC0" w:rsidRPr="009A49FD">
        <w:rPr>
          <w:rFonts w:ascii="Arial" w:hAnsi="Arial" w:cs="Arial"/>
          <w:sz w:val="22"/>
          <w:szCs w:val="22"/>
          <w:lang w:val="en-US"/>
        </w:rPr>
        <w:t xml:space="preserve"> </w:t>
      </w:r>
      <w:r w:rsidR="006F51F2" w:rsidRPr="009A49FD">
        <w:rPr>
          <w:rFonts w:ascii="Arial" w:hAnsi="Arial" w:cs="Arial"/>
          <w:sz w:val="22"/>
          <w:szCs w:val="22"/>
          <w:lang w:val="en-US"/>
        </w:rPr>
        <w:t>render</w:t>
      </w:r>
      <w:r w:rsidR="00EF4AC0" w:rsidRPr="009A49FD">
        <w:rPr>
          <w:rFonts w:ascii="Arial" w:hAnsi="Arial" w:cs="Arial"/>
          <w:sz w:val="22"/>
          <w:szCs w:val="22"/>
          <w:lang w:val="en-US"/>
        </w:rPr>
        <w:t xml:space="preserve"> the fraud more difficult</w:t>
      </w:r>
      <w:r w:rsidRPr="009A49FD">
        <w:rPr>
          <w:rFonts w:ascii="Arial" w:hAnsi="Arial" w:cs="Arial"/>
          <w:sz w:val="22"/>
          <w:szCs w:val="22"/>
          <w:lang w:val="en-US"/>
        </w:rPr>
        <w:t xml:space="preserve"> also </w:t>
      </w:r>
      <w:r w:rsidR="00C649E3">
        <w:rPr>
          <w:rFonts w:ascii="Arial" w:hAnsi="Arial" w:cs="Arial"/>
          <w:sz w:val="22"/>
          <w:szCs w:val="22"/>
          <w:lang w:val="en-US"/>
        </w:rPr>
        <w:t xml:space="preserve">remains </w:t>
      </w:r>
      <w:r w:rsidR="000D3ED9" w:rsidRPr="009A49FD">
        <w:rPr>
          <w:rFonts w:ascii="Arial" w:hAnsi="Arial" w:cs="Arial"/>
          <w:sz w:val="22"/>
          <w:szCs w:val="22"/>
          <w:lang w:val="en-US"/>
        </w:rPr>
        <w:t xml:space="preserve">very </w:t>
      </w:r>
      <w:r w:rsidRPr="009A49FD">
        <w:rPr>
          <w:rFonts w:ascii="Arial" w:hAnsi="Arial" w:cs="Arial"/>
          <w:sz w:val="22"/>
          <w:szCs w:val="22"/>
          <w:lang w:val="en-US"/>
        </w:rPr>
        <w:t>uncertain</w:t>
      </w:r>
      <w:r w:rsidR="00EF4AC0" w:rsidRPr="009A49FD">
        <w:rPr>
          <w:rFonts w:ascii="Arial" w:hAnsi="Arial" w:cs="Arial"/>
          <w:sz w:val="22"/>
          <w:szCs w:val="22"/>
          <w:lang w:val="en-US"/>
        </w:rPr>
        <w:t xml:space="preserve">. </w:t>
      </w:r>
      <w:r w:rsidR="006F51F2" w:rsidRPr="009A49FD">
        <w:rPr>
          <w:rFonts w:ascii="Arial" w:hAnsi="Arial" w:cs="Arial"/>
          <w:sz w:val="22"/>
          <w:szCs w:val="22"/>
          <w:lang w:val="en-US"/>
        </w:rPr>
        <w:t xml:space="preserve">According to recent figures, carousel fraud is </w:t>
      </w:r>
      <w:r w:rsidR="006440CB">
        <w:rPr>
          <w:rFonts w:ascii="Arial" w:hAnsi="Arial" w:cs="Arial"/>
          <w:sz w:val="22"/>
          <w:szCs w:val="22"/>
          <w:lang w:val="en-US"/>
        </w:rPr>
        <w:t xml:space="preserve">indeed </w:t>
      </w:r>
      <w:r w:rsidR="000D3ED9" w:rsidRPr="009A49FD">
        <w:rPr>
          <w:rFonts w:ascii="Arial" w:hAnsi="Arial" w:cs="Arial"/>
          <w:sz w:val="22"/>
          <w:szCs w:val="22"/>
          <w:lang w:val="en-US"/>
        </w:rPr>
        <w:t xml:space="preserve">still </w:t>
      </w:r>
      <w:r w:rsidR="006F51F2" w:rsidRPr="009A49FD">
        <w:rPr>
          <w:rFonts w:ascii="Arial" w:hAnsi="Arial" w:cs="Arial"/>
          <w:sz w:val="22"/>
          <w:szCs w:val="22"/>
          <w:lang w:val="en-US"/>
        </w:rPr>
        <w:t>estimated to result in around 60 billion losses for the Member States annually.</w:t>
      </w:r>
      <w:r w:rsidR="000666F8">
        <w:rPr>
          <w:rStyle w:val="FootnoteReference"/>
          <w:rFonts w:ascii="Arial" w:hAnsi="Arial" w:cs="Arial"/>
          <w:sz w:val="22"/>
          <w:szCs w:val="22"/>
          <w:lang w:val="en-US"/>
        </w:rPr>
        <w:footnoteReference w:id="14"/>
      </w:r>
    </w:p>
    <w:p w14:paraId="66CACB79" w14:textId="410B2380" w:rsidR="000666F8" w:rsidRDefault="00EF4AC0" w:rsidP="009A49FD">
      <w:pPr>
        <w:spacing w:before="100" w:beforeAutospacing="1" w:after="100" w:afterAutospacing="1"/>
        <w:jc w:val="both"/>
        <w:rPr>
          <w:rFonts w:ascii="Arial" w:hAnsi="Arial" w:cs="Arial"/>
          <w:sz w:val="22"/>
          <w:szCs w:val="22"/>
          <w:lang w:val="en-US"/>
        </w:rPr>
      </w:pPr>
      <w:r w:rsidRPr="009A49FD">
        <w:rPr>
          <w:rFonts w:ascii="Arial" w:hAnsi="Arial" w:cs="Arial"/>
          <w:sz w:val="22"/>
          <w:szCs w:val="22"/>
          <w:lang w:val="en-US"/>
        </w:rPr>
        <w:t>At the end of the day, th</w:t>
      </w:r>
      <w:r w:rsidR="00107524">
        <w:rPr>
          <w:rFonts w:ascii="Arial" w:hAnsi="Arial" w:cs="Arial"/>
          <w:sz w:val="22"/>
          <w:szCs w:val="22"/>
          <w:lang w:val="en-US"/>
        </w:rPr>
        <w:t>e</w:t>
      </w:r>
      <w:r w:rsidRPr="009A49FD">
        <w:rPr>
          <w:rFonts w:ascii="Arial" w:hAnsi="Arial" w:cs="Arial"/>
          <w:sz w:val="22"/>
          <w:szCs w:val="22"/>
          <w:lang w:val="en-US"/>
        </w:rPr>
        <w:t xml:space="preserve"> pending </w:t>
      </w:r>
      <w:r w:rsidR="00107524" w:rsidRPr="004F21B7">
        <w:rPr>
          <w:rFonts w:ascii="Arial" w:hAnsi="Arial" w:cs="Arial"/>
          <w:sz w:val="22"/>
          <w:szCs w:val="22"/>
        </w:rPr>
        <w:t>Climate Corporation Emissions Trading</w:t>
      </w:r>
      <w:r w:rsidR="00107524" w:rsidRPr="009A49FD">
        <w:rPr>
          <w:rFonts w:ascii="Arial" w:hAnsi="Arial" w:cs="Arial"/>
          <w:sz w:val="22"/>
          <w:szCs w:val="22"/>
          <w:lang w:val="en-US"/>
        </w:rPr>
        <w:t xml:space="preserve"> </w:t>
      </w:r>
      <w:r w:rsidRPr="009A49FD">
        <w:rPr>
          <w:rFonts w:ascii="Arial" w:hAnsi="Arial" w:cs="Arial"/>
          <w:sz w:val="22"/>
          <w:szCs w:val="22"/>
          <w:lang w:val="en-US"/>
        </w:rPr>
        <w:t xml:space="preserve">case </w:t>
      </w:r>
      <w:proofErr w:type="gramStart"/>
      <w:r w:rsidRPr="009A49FD">
        <w:rPr>
          <w:rFonts w:ascii="Arial" w:hAnsi="Arial" w:cs="Arial"/>
          <w:sz w:val="22"/>
          <w:szCs w:val="22"/>
          <w:lang w:val="en-US"/>
        </w:rPr>
        <w:t>actually sheds</w:t>
      </w:r>
      <w:proofErr w:type="gramEnd"/>
      <w:r w:rsidRPr="009A49FD">
        <w:rPr>
          <w:rFonts w:ascii="Arial" w:hAnsi="Arial" w:cs="Arial"/>
          <w:sz w:val="22"/>
          <w:szCs w:val="22"/>
          <w:lang w:val="en-US"/>
        </w:rPr>
        <w:t xml:space="preserve"> the light on the fact that </w:t>
      </w:r>
      <w:r w:rsidR="006F51F2" w:rsidRPr="009A49FD">
        <w:rPr>
          <w:rFonts w:ascii="Arial" w:hAnsi="Arial" w:cs="Arial"/>
          <w:sz w:val="22"/>
          <w:szCs w:val="22"/>
          <w:lang w:val="en-US"/>
        </w:rPr>
        <w:t xml:space="preserve">it is high time that the </w:t>
      </w:r>
      <w:r w:rsidRPr="009A49FD">
        <w:rPr>
          <w:rFonts w:ascii="Arial" w:hAnsi="Arial" w:cs="Arial"/>
          <w:sz w:val="22"/>
          <w:szCs w:val="22"/>
          <w:lang w:val="en-US"/>
        </w:rPr>
        <w:t>Member States take concrete actions</w:t>
      </w:r>
      <w:r w:rsidR="000666F8">
        <w:rPr>
          <w:rFonts w:ascii="Arial" w:hAnsi="Arial" w:cs="Arial"/>
          <w:sz w:val="22"/>
          <w:szCs w:val="22"/>
          <w:lang w:val="en-US"/>
        </w:rPr>
        <w:t xml:space="preserve"> against carousel fraud</w:t>
      </w:r>
      <w:r w:rsidR="006F51F2" w:rsidRPr="009A49FD">
        <w:rPr>
          <w:rFonts w:ascii="Arial" w:hAnsi="Arial" w:cs="Arial"/>
          <w:sz w:val="22"/>
          <w:szCs w:val="22"/>
          <w:lang w:val="en-US"/>
        </w:rPr>
        <w:t xml:space="preserve">. </w:t>
      </w:r>
      <w:r w:rsidR="001E5F25" w:rsidRPr="009A49FD">
        <w:rPr>
          <w:rFonts w:ascii="Arial" w:hAnsi="Arial" w:cs="Arial"/>
          <w:sz w:val="22"/>
          <w:szCs w:val="22"/>
          <w:lang w:val="en-US"/>
        </w:rPr>
        <w:t>Significant improvement</w:t>
      </w:r>
      <w:r w:rsidR="004F21B7">
        <w:rPr>
          <w:rFonts w:ascii="Arial" w:hAnsi="Arial" w:cs="Arial"/>
          <w:sz w:val="22"/>
          <w:szCs w:val="22"/>
          <w:lang w:val="en-US"/>
        </w:rPr>
        <w:t>s</w:t>
      </w:r>
      <w:r w:rsidR="001E5F25" w:rsidRPr="009A49FD">
        <w:rPr>
          <w:rFonts w:ascii="Arial" w:hAnsi="Arial" w:cs="Arial"/>
          <w:sz w:val="22"/>
          <w:szCs w:val="22"/>
          <w:lang w:val="en-US"/>
        </w:rPr>
        <w:t xml:space="preserve"> have been </w:t>
      </w:r>
      <w:r w:rsidR="004F21B7">
        <w:rPr>
          <w:rFonts w:ascii="Arial" w:hAnsi="Arial" w:cs="Arial"/>
          <w:sz w:val="22"/>
          <w:szCs w:val="22"/>
          <w:lang w:val="en-US"/>
        </w:rPr>
        <w:t>achieved</w:t>
      </w:r>
      <w:r w:rsidR="001E5F25" w:rsidRPr="009A49FD">
        <w:rPr>
          <w:rFonts w:ascii="Arial" w:hAnsi="Arial" w:cs="Arial"/>
          <w:sz w:val="22"/>
          <w:szCs w:val="22"/>
          <w:lang w:val="en-US"/>
        </w:rPr>
        <w:t xml:space="preserve"> in terms of administrative assistance and detection of the fraud in the past 10 years</w:t>
      </w:r>
      <w:r w:rsidR="004F21B7">
        <w:rPr>
          <w:rFonts w:ascii="Arial" w:hAnsi="Arial" w:cs="Arial"/>
          <w:sz w:val="22"/>
          <w:szCs w:val="22"/>
          <w:lang w:val="en-US"/>
        </w:rPr>
        <w:t>, for example with the creation of EUROFISC</w:t>
      </w:r>
      <w:r w:rsidR="006440CB">
        <w:rPr>
          <w:rStyle w:val="FootnoteReference"/>
          <w:rFonts w:ascii="Arial" w:hAnsi="Arial" w:cs="Arial"/>
          <w:sz w:val="22"/>
          <w:szCs w:val="22"/>
          <w:lang w:val="en-US"/>
        </w:rPr>
        <w:footnoteReference w:id="15"/>
      </w:r>
      <w:r w:rsidR="004F21B7">
        <w:rPr>
          <w:rFonts w:ascii="Arial" w:hAnsi="Arial" w:cs="Arial"/>
          <w:sz w:val="22"/>
          <w:szCs w:val="22"/>
          <w:lang w:val="en-US"/>
        </w:rPr>
        <w:t xml:space="preserve"> and the use of new technologies such as the TNA</w:t>
      </w:r>
      <w:r w:rsidR="001E5F25" w:rsidRPr="009A49FD">
        <w:rPr>
          <w:rFonts w:ascii="Arial" w:hAnsi="Arial" w:cs="Arial"/>
          <w:sz w:val="22"/>
          <w:szCs w:val="22"/>
          <w:lang w:val="en-US"/>
        </w:rPr>
        <w:t>.</w:t>
      </w:r>
      <w:r w:rsidR="00ED77DB">
        <w:rPr>
          <w:rStyle w:val="FootnoteReference"/>
          <w:rFonts w:ascii="Arial" w:hAnsi="Arial" w:cs="Arial"/>
          <w:sz w:val="22"/>
          <w:szCs w:val="22"/>
          <w:lang w:val="en-US"/>
        </w:rPr>
        <w:footnoteReference w:id="16"/>
      </w:r>
      <w:r w:rsidR="001E5F25" w:rsidRPr="009A49FD">
        <w:rPr>
          <w:rFonts w:ascii="Arial" w:hAnsi="Arial" w:cs="Arial"/>
          <w:sz w:val="22"/>
          <w:szCs w:val="22"/>
          <w:lang w:val="en-US"/>
        </w:rPr>
        <w:t xml:space="preserve"> However, it is striking that the amount of VAT lost every year on account of carousel fraud remains extremely high.</w:t>
      </w:r>
      <w:r w:rsidR="004F21B7">
        <w:rPr>
          <w:rStyle w:val="FootnoteReference"/>
          <w:rFonts w:ascii="Arial" w:hAnsi="Arial" w:cs="Arial"/>
          <w:sz w:val="22"/>
          <w:szCs w:val="22"/>
          <w:lang w:val="en-US"/>
        </w:rPr>
        <w:footnoteReference w:id="17"/>
      </w:r>
      <w:r w:rsidR="001E5F25" w:rsidRPr="009A49FD">
        <w:rPr>
          <w:rFonts w:ascii="Arial" w:hAnsi="Arial" w:cs="Arial"/>
          <w:sz w:val="22"/>
          <w:szCs w:val="22"/>
          <w:lang w:val="en-US"/>
        </w:rPr>
        <w:t xml:space="preserve"> </w:t>
      </w:r>
    </w:p>
    <w:p w14:paraId="0E0B5597" w14:textId="2C708D2A" w:rsidR="006365E7" w:rsidRPr="00BE418D" w:rsidRDefault="006F51F2" w:rsidP="00BE418D">
      <w:pPr>
        <w:spacing w:before="100" w:beforeAutospacing="1" w:after="100" w:afterAutospacing="1"/>
        <w:jc w:val="both"/>
        <w:rPr>
          <w:rFonts w:ascii="Arial" w:hAnsi="Arial" w:cs="Arial"/>
          <w:sz w:val="22"/>
          <w:szCs w:val="22"/>
          <w:lang w:val="en-US"/>
        </w:rPr>
      </w:pPr>
      <w:r w:rsidRPr="009A49FD">
        <w:rPr>
          <w:rFonts w:ascii="Arial" w:hAnsi="Arial" w:cs="Arial"/>
          <w:sz w:val="22"/>
          <w:szCs w:val="22"/>
          <w:lang w:val="en-US"/>
        </w:rPr>
        <w:t xml:space="preserve">After the setback of the “definitive system proposal” </w:t>
      </w:r>
      <w:r w:rsidR="000D3ED9" w:rsidRPr="009A49FD">
        <w:rPr>
          <w:rFonts w:ascii="Arial" w:hAnsi="Arial" w:cs="Arial"/>
          <w:sz w:val="22"/>
          <w:szCs w:val="22"/>
          <w:lang w:val="en-US"/>
        </w:rPr>
        <w:t>which has been</w:t>
      </w:r>
      <w:r w:rsidRPr="009A49FD">
        <w:rPr>
          <w:rFonts w:ascii="Arial" w:hAnsi="Arial" w:cs="Arial"/>
          <w:sz w:val="22"/>
          <w:szCs w:val="22"/>
          <w:lang w:val="en-US"/>
        </w:rPr>
        <w:t xml:space="preserve"> stall</w:t>
      </w:r>
      <w:r w:rsidR="000D3ED9" w:rsidRPr="009A49FD">
        <w:rPr>
          <w:rFonts w:ascii="Arial" w:hAnsi="Arial" w:cs="Arial"/>
          <w:sz w:val="22"/>
          <w:szCs w:val="22"/>
          <w:lang w:val="en-US"/>
        </w:rPr>
        <w:t>ing</w:t>
      </w:r>
      <w:r w:rsidRPr="009A49FD">
        <w:rPr>
          <w:rFonts w:ascii="Arial" w:hAnsi="Arial" w:cs="Arial"/>
          <w:sz w:val="22"/>
          <w:szCs w:val="22"/>
          <w:lang w:val="en-US"/>
        </w:rPr>
        <w:t xml:space="preserve"> in Council since 2017,</w:t>
      </w:r>
      <w:r w:rsidR="00C2018F" w:rsidRPr="00C2018F">
        <w:rPr>
          <w:rFonts w:ascii="Arial" w:hAnsi="Arial" w:cs="Arial"/>
          <w:sz w:val="22"/>
          <w:szCs w:val="22"/>
        </w:rPr>
        <w:t xml:space="preserve"> </w:t>
      </w:r>
      <w:r w:rsidR="00C2018F" w:rsidRPr="00527DDA">
        <w:rPr>
          <w:rStyle w:val="FootnoteReference"/>
          <w:rFonts w:ascii="Arial" w:hAnsi="Arial" w:cs="Arial"/>
          <w:sz w:val="22"/>
          <w:szCs w:val="22"/>
        </w:rPr>
        <w:footnoteReference w:id="18"/>
      </w:r>
      <w:r w:rsidRPr="009A49FD">
        <w:rPr>
          <w:rFonts w:ascii="Arial" w:hAnsi="Arial" w:cs="Arial"/>
          <w:sz w:val="22"/>
          <w:szCs w:val="22"/>
          <w:lang w:val="en-US"/>
        </w:rPr>
        <w:t xml:space="preserve"> the European Commission has launched a study on “VAT and the Digital Age”</w:t>
      </w:r>
      <w:r w:rsidR="004F21B7">
        <w:rPr>
          <w:rStyle w:val="FootnoteReference"/>
          <w:rFonts w:ascii="Arial" w:hAnsi="Arial" w:cs="Arial"/>
          <w:sz w:val="22"/>
          <w:szCs w:val="22"/>
          <w:lang w:val="en-US"/>
        </w:rPr>
        <w:footnoteReference w:id="19"/>
      </w:r>
      <w:r w:rsidRPr="009A49FD">
        <w:rPr>
          <w:rFonts w:ascii="Arial" w:hAnsi="Arial" w:cs="Arial"/>
          <w:sz w:val="22"/>
          <w:szCs w:val="22"/>
          <w:lang w:val="en-US"/>
        </w:rPr>
        <w:t xml:space="preserve"> and a public consultation</w:t>
      </w:r>
      <w:r w:rsidR="000D3ED9" w:rsidRPr="009A49FD">
        <w:rPr>
          <w:rFonts w:ascii="Arial" w:hAnsi="Arial" w:cs="Arial"/>
          <w:sz w:val="22"/>
          <w:szCs w:val="22"/>
          <w:lang w:val="en-US"/>
        </w:rPr>
        <w:t>.</w:t>
      </w:r>
      <w:r w:rsidR="004F21B7">
        <w:rPr>
          <w:rStyle w:val="FootnoteReference"/>
          <w:rFonts w:ascii="Arial" w:hAnsi="Arial" w:cs="Arial"/>
          <w:sz w:val="22"/>
          <w:szCs w:val="22"/>
          <w:lang w:val="en-US"/>
        </w:rPr>
        <w:footnoteReference w:id="20"/>
      </w:r>
      <w:r w:rsidRPr="009A49FD">
        <w:rPr>
          <w:rFonts w:ascii="Arial" w:hAnsi="Arial" w:cs="Arial"/>
          <w:sz w:val="22"/>
          <w:szCs w:val="22"/>
          <w:lang w:val="en-US"/>
        </w:rPr>
        <w:t xml:space="preserve"> </w:t>
      </w:r>
      <w:r w:rsidR="000D3ED9" w:rsidRPr="009A49FD">
        <w:rPr>
          <w:rFonts w:ascii="Arial" w:hAnsi="Arial" w:cs="Arial"/>
          <w:sz w:val="22"/>
          <w:szCs w:val="22"/>
          <w:lang w:val="en-US"/>
        </w:rPr>
        <w:t>I</w:t>
      </w:r>
      <w:r w:rsidRPr="009A49FD">
        <w:rPr>
          <w:rFonts w:ascii="Arial" w:hAnsi="Arial" w:cs="Arial"/>
          <w:sz w:val="22"/>
          <w:szCs w:val="22"/>
          <w:lang w:val="en-US"/>
        </w:rPr>
        <w:t xml:space="preserve">t is expected to publish a proposal before the end of the year.  </w:t>
      </w:r>
      <w:r w:rsidR="000D3ED9" w:rsidRPr="009A49FD">
        <w:rPr>
          <w:rFonts w:ascii="Arial" w:hAnsi="Arial" w:cs="Arial"/>
          <w:sz w:val="22"/>
          <w:szCs w:val="22"/>
          <w:lang w:val="en-US"/>
        </w:rPr>
        <w:t xml:space="preserve">Let’s hope </w:t>
      </w:r>
      <w:r w:rsidR="001E5F25" w:rsidRPr="009A49FD">
        <w:rPr>
          <w:rFonts w:ascii="Arial" w:hAnsi="Arial" w:cs="Arial"/>
          <w:sz w:val="22"/>
          <w:szCs w:val="22"/>
          <w:lang w:val="en-US"/>
        </w:rPr>
        <w:t>that th</w:t>
      </w:r>
      <w:r w:rsidR="000666F8">
        <w:rPr>
          <w:rFonts w:ascii="Arial" w:hAnsi="Arial" w:cs="Arial"/>
          <w:sz w:val="22"/>
          <w:szCs w:val="22"/>
          <w:lang w:val="en-US"/>
        </w:rPr>
        <w:t>is</w:t>
      </w:r>
      <w:r w:rsidR="001E5F25" w:rsidRPr="009A49FD">
        <w:rPr>
          <w:rFonts w:ascii="Arial" w:hAnsi="Arial" w:cs="Arial"/>
          <w:sz w:val="22"/>
          <w:szCs w:val="22"/>
          <w:lang w:val="en-US"/>
        </w:rPr>
        <w:t xml:space="preserve"> proposal will </w:t>
      </w:r>
      <w:r w:rsidR="009A49FD" w:rsidRPr="009A49FD">
        <w:rPr>
          <w:rFonts w:ascii="Arial" w:hAnsi="Arial" w:cs="Arial"/>
          <w:sz w:val="22"/>
          <w:szCs w:val="22"/>
          <w:lang w:val="en-US"/>
        </w:rPr>
        <w:t xml:space="preserve">enable Member States to eradicate carousel fraud </w:t>
      </w:r>
      <w:r w:rsidR="00A55068">
        <w:rPr>
          <w:rFonts w:ascii="Arial" w:hAnsi="Arial" w:cs="Arial"/>
          <w:sz w:val="22"/>
          <w:szCs w:val="22"/>
          <w:lang w:val="en-US"/>
        </w:rPr>
        <w:t xml:space="preserve">schemes involving goods and services </w:t>
      </w:r>
      <w:r w:rsidR="009A49FD" w:rsidRPr="009A49FD">
        <w:rPr>
          <w:rFonts w:ascii="Arial" w:hAnsi="Arial" w:cs="Arial"/>
          <w:sz w:val="22"/>
          <w:szCs w:val="22"/>
          <w:lang w:val="en-US"/>
        </w:rPr>
        <w:t>altogether and allow us to forget that the “knew or should have known” case law once used to be one of the ultimate tools used by tax authorities to tackle VAT fraud.</w:t>
      </w:r>
    </w:p>
    <w:sectPr w:rsidR="006365E7" w:rsidRPr="00BE418D">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17F44" w14:textId="77777777" w:rsidR="005868FE" w:rsidRDefault="005868FE" w:rsidP="00D0281D">
      <w:r>
        <w:separator/>
      </w:r>
    </w:p>
  </w:endnote>
  <w:endnote w:type="continuationSeparator" w:id="0">
    <w:p w14:paraId="347A9656" w14:textId="77777777" w:rsidR="005868FE" w:rsidRDefault="005868FE" w:rsidP="00D0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1631081"/>
      <w:docPartObj>
        <w:docPartGallery w:val="Page Numbers (Bottom of Page)"/>
        <w:docPartUnique/>
      </w:docPartObj>
    </w:sdtPr>
    <w:sdtContent>
      <w:p w14:paraId="797E8BE5" w14:textId="0424C8DC" w:rsidR="00FD4A44" w:rsidRDefault="00FD4A44" w:rsidP="00E460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877ACB" w14:textId="77777777" w:rsidR="00FD4A44" w:rsidRDefault="00FD4A44" w:rsidP="00FD4A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1307112"/>
      <w:docPartObj>
        <w:docPartGallery w:val="Page Numbers (Bottom of Page)"/>
        <w:docPartUnique/>
      </w:docPartObj>
    </w:sdtPr>
    <w:sdtContent>
      <w:p w14:paraId="06590C86" w14:textId="5977B76E" w:rsidR="00FD4A44" w:rsidRDefault="00FD4A44" w:rsidP="00E460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E44C8A" w14:textId="77777777" w:rsidR="00FD4A44" w:rsidRDefault="00FD4A44" w:rsidP="00FD4A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F81B6" w14:textId="77777777" w:rsidR="005868FE" w:rsidRDefault="005868FE" w:rsidP="00D0281D">
      <w:r>
        <w:separator/>
      </w:r>
    </w:p>
  </w:footnote>
  <w:footnote w:type="continuationSeparator" w:id="0">
    <w:p w14:paraId="1E26F690" w14:textId="77777777" w:rsidR="005868FE" w:rsidRDefault="005868FE" w:rsidP="00D0281D">
      <w:r>
        <w:continuationSeparator/>
      </w:r>
    </w:p>
  </w:footnote>
  <w:footnote w:id="1">
    <w:p w14:paraId="5FE1B1C0" w14:textId="20CC3C5B" w:rsidR="000F10B4" w:rsidRPr="00BE418D" w:rsidRDefault="000F10B4" w:rsidP="000F10B4">
      <w:pPr>
        <w:rPr>
          <w:rFonts w:ascii="Arial" w:hAnsi="Arial" w:cs="Arial"/>
          <w:color w:val="000000" w:themeColor="text1"/>
          <w:sz w:val="16"/>
          <w:szCs w:val="16"/>
          <w:lang w:val="fr-BE"/>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00BE418D" w:rsidRPr="00BE418D">
        <w:rPr>
          <w:rFonts w:ascii="Arial" w:hAnsi="Arial" w:cs="Arial"/>
          <w:color w:val="000000" w:themeColor="text1"/>
          <w:sz w:val="16"/>
          <w:szCs w:val="16"/>
          <w:lang w:val="fr-BE"/>
        </w:rPr>
        <w:t>CJEU</w:t>
      </w:r>
      <w:r w:rsidR="00BE418D">
        <w:rPr>
          <w:rFonts w:ascii="Arial" w:hAnsi="Arial" w:cs="Arial"/>
          <w:color w:val="000000" w:themeColor="text1"/>
          <w:sz w:val="16"/>
          <w:szCs w:val="16"/>
          <w:lang w:val="fr-BE"/>
        </w:rPr>
        <w:t>,</w:t>
      </w:r>
      <w:r w:rsidR="00BE418D" w:rsidRPr="00BE418D">
        <w:rPr>
          <w:rFonts w:ascii="Arial" w:hAnsi="Arial" w:cs="Arial"/>
          <w:color w:val="000000" w:themeColor="text1"/>
          <w:sz w:val="16"/>
          <w:szCs w:val="16"/>
          <w:lang w:val="fr-BE"/>
        </w:rPr>
        <w:t xml:space="preserve"> 7 </w:t>
      </w:r>
      <w:proofErr w:type="spellStart"/>
      <w:r w:rsidR="00BE418D" w:rsidRPr="00BE418D">
        <w:rPr>
          <w:rFonts w:ascii="Arial" w:hAnsi="Arial" w:cs="Arial"/>
          <w:color w:val="000000" w:themeColor="text1"/>
          <w:sz w:val="16"/>
          <w:szCs w:val="16"/>
          <w:lang w:val="fr-BE"/>
        </w:rPr>
        <w:t>December</w:t>
      </w:r>
      <w:proofErr w:type="spellEnd"/>
      <w:r w:rsidR="00BE418D" w:rsidRPr="00BE418D">
        <w:rPr>
          <w:rFonts w:ascii="Arial" w:hAnsi="Arial" w:cs="Arial"/>
          <w:color w:val="000000" w:themeColor="text1"/>
          <w:sz w:val="16"/>
          <w:szCs w:val="16"/>
          <w:lang w:val="fr-BE"/>
        </w:rPr>
        <w:t xml:space="preserve"> 2010, </w:t>
      </w:r>
      <w:r w:rsidRPr="00BE418D">
        <w:rPr>
          <w:rFonts w:ascii="Arial" w:hAnsi="Arial" w:cs="Arial"/>
          <w:color w:val="000000" w:themeColor="text1"/>
          <w:sz w:val="16"/>
          <w:szCs w:val="16"/>
          <w:lang w:val="fr-BE"/>
        </w:rPr>
        <w:t xml:space="preserve">C-285/09, R, </w:t>
      </w:r>
      <w:r w:rsidRPr="00BE418D">
        <w:rPr>
          <w:rFonts w:ascii="Arial" w:hAnsi="Arial" w:cs="Arial"/>
          <w:color w:val="000000" w:themeColor="text1"/>
          <w:sz w:val="16"/>
          <w:szCs w:val="16"/>
        </w:rPr>
        <w:t>ECLI:EU:C:2010:742</w:t>
      </w:r>
      <w:r w:rsidRPr="00BE418D">
        <w:rPr>
          <w:rFonts w:ascii="Arial" w:hAnsi="Arial" w:cs="Arial"/>
          <w:color w:val="000000" w:themeColor="text1"/>
          <w:sz w:val="16"/>
          <w:szCs w:val="16"/>
          <w:lang w:val="fr-BE"/>
        </w:rPr>
        <w:t>.</w:t>
      </w:r>
    </w:p>
  </w:footnote>
  <w:footnote w:id="2">
    <w:p w14:paraId="706CF0C8" w14:textId="563438B6" w:rsidR="000F10B4" w:rsidRPr="00BE418D" w:rsidRDefault="000F10B4" w:rsidP="000F10B4">
      <w:pPr>
        <w:jc w:val="both"/>
        <w:rPr>
          <w:rFonts w:ascii="Arial" w:hAnsi="Arial" w:cs="Arial"/>
          <w:color w:val="000000" w:themeColor="text1"/>
          <w:sz w:val="16"/>
          <w:szCs w:val="16"/>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en-US"/>
        </w:rPr>
        <w:t>CJEU</w:t>
      </w:r>
      <w:r w:rsidR="00BE418D">
        <w:rPr>
          <w:rFonts w:ascii="Arial" w:hAnsi="Arial" w:cs="Arial"/>
          <w:color w:val="000000" w:themeColor="text1"/>
          <w:sz w:val="16"/>
          <w:szCs w:val="16"/>
          <w:lang w:val="en-US"/>
        </w:rPr>
        <w:t>,</w:t>
      </w:r>
      <w:r w:rsidRPr="00BE418D">
        <w:rPr>
          <w:rFonts w:ascii="Arial" w:hAnsi="Arial" w:cs="Arial"/>
          <w:color w:val="000000" w:themeColor="text1"/>
          <w:sz w:val="16"/>
          <w:szCs w:val="16"/>
          <w:lang w:val="en-US"/>
        </w:rPr>
        <w:t xml:space="preserve"> </w:t>
      </w:r>
      <w:r w:rsidRPr="00BE418D">
        <w:rPr>
          <w:rFonts w:ascii="Arial" w:hAnsi="Arial" w:cs="Arial"/>
          <w:color w:val="000000" w:themeColor="text1"/>
          <w:sz w:val="16"/>
          <w:szCs w:val="16"/>
        </w:rPr>
        <w:t xml:space="preserve">18 December 2014, </w:t>
      </w:r>
      <w:r w:rsidRPr="00BE418D">
        <w:rPr>
          <w:rFonts w:ascii="Arial" w:hAnsi="Arial" w:cs="Arial"/>
          <w:color w:val="000000" w:themeColor="text1"/>
          <w:sz w:val="16"/>
          <w:szCs w:val="16"/>
          <w:lang w:val="en-US"/>
        </w:rPr>
        <w:t>C-</w:t>
      </w:r>
      <w:r w:rsidRPr="00BE418D">
        <w:rPr>
          <w:rFonts w:ascii="Arial" w:hAnsi="Arial" w:cs="Arial"/>
          <w:color w:val="000000" w:themeColor="text1"/>
          <w:sz w:val="16"/>
          <w:szCs w:val="16"/>
        </w:rPr>
        <w:t xml:space="preserve">131/13, </w:t>
      </w:r>
      <w:r w:rsidRPr="00BE418D">
        <w:rPr>
          <w:rFonts w:ascii="Arial" w:eastAsiaTheme="minorHAnsi" w:hAnsi="Arial" w:cs="Arial"/>
          <w:color w:val="000000" w:themeColor="text1"/>
          <w:sz w:val="16"/>
          <w:szCs w:val="16"/>
          <w:lang w:eastAsia="en-US"/>
        </w:rPr>
        <w:t>Schoenimport "Italmoda" Mariano Previti,</w:t>
      </w:r>
      <w:r w:rsidRPr="00BE418D">
        <w:rPr>
          <w:rFonts w:ascii="Arial" w:hAnsi="Arial" w:cs="Arial"/>
          <w:color w:val="000000" w:themeColor="text1"/>
          <w:sz w:val="16"/>
          <w:szCs w:val="16"/>
        </w:rPr>
        <w:t xml:space="preserve"> </w:t>
      </w:r>
      <w:r w:rsidRPr="00BE418D">
        <w:rPr>
          <w:rFonts w:ascii="Arial" w:eastAsiaTheme="minorHAnsi" w:hAnsi="Arial" w:cs="Arial"/>
          <w:color w:val="000000" w:themeColor="text1"/>
          <w:sz w:val="16"/>
          <w:szCs w:val="16"/>
          <w:lang w:eastAsia="en-US"/>
        </w:rPr>
        <w:t>ECLI:EU:C:2014:2455.</w:t>
      </w:r>
    </w:p>
  </w:footnote>
  <w:footnote w:id="3">
    <w:p w14:paraId="1588CAA9" w14:textId="77777777" w:rsidR="00971C80" w:rsidRPr="00BE418D" w:rsidRDefault="00971C80" w:rsidP="00C0539A">
      <w:pPr>
        <w:pStyle w:val="FootnoteText"/>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en-US"/>
        </w:rPr>
        <w:t xml:space="preserve">Question raised on 20 October 2021 in Case C-641/21, </w:t>
      </w:r>
      <w:r w:rsidRPr="00BE418D">
        <w:rPr>
          <w:rFonts w:ascii="Arial" w:hAnsi="Arial" w:cs="Arial"/>
          <w:color w:val="000000" w:themeColor="text1"/>
          <w:sz w:val="16"/>
          <w:szCs w:val="16"/>
        </w:rPr>
        <w:t>Climate Corporation Emissions Trading GmbH v Finanzamt Österreich</w:t>
      </w:r>
      <w:r w:rsidRPr="00BE418D">
        <w:rPr>
          <w:rFonts w:ascii="Arial" w:hAnsi="Arial" w:cs="Arial"/>
          <w:color w:val="000000" w:themeColor="text1"/>
          <w:sz w:val="16"/>
          <w:szCs w:val="16"/>
          <w:lang w:val="en-US"/>
        </w:rPr>
        <w:t>.</w:t>
      </w:r>
    </w:p>
  </w:footnote>
  <w:footnote w:id="4">
    <w:p w14:paraId="623451FE" w14:textId="159375E0" w:rsidR="000666F8" w:rsidRPr="00BE418D" w:rsidRDefault="000666F8" w:rsidP="00C0539A">
      <w:pPr>
        <w:pStyle w:val="FootnoteText"/>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00BE38EE" w:rsidRPr="00BE418D">
        <w:rPr>
          <w:rFonts w:ascii="Arial" w:hAnsi="Arial" w:cs="Arial"/>
          <w:color w:val="000000" w:themeColor="text1"/>
          <w:sz w:val="16"/>
          <w:szCs w:val="16"/>
          <w:shd w:val="clear" w:color="auto" w:fill="FFFFFF"/>
        </w:rPr>
        <w:t>N. HANGACOVA, T. STREMY, ‘Value Added Tax and Carousel Fraud Schemes in the European Union and the Slovak Republic’, </w:t>
      </w:r>
      <w:r w:rsidR="00BE38EE" w:rsidRPr="00BE418D">
        <w:rPr>
          <w:rFonts w:ascii="Arial" w:hAnsi="Arial" w:cs="Arial"/>
          <w:i/>
          <w:iCs/>
          <w:color w:val="000000" w:themeColor="text1"/>
          <w:sz w:val="16"/>
          <w:szCs w:val="16"/>
          <w:shd w:val="clear" w:color="auto" w:fill="FFFFFF"/>
        </w:rPr>
        <w:t xml:space="preserve">European Journal of Crime, </w:t>
      </w:r>
      <w:r w:rsidR="00BE38EE" w:rsidRPr="00BE418D">
        <w:rPr>
          <w:rFonts w:ascii="Arial" w:hAnsi="Arial" w:cs="Arial"/>
          <w:iCs/>
          <w:color w:val="000000" w:themeColor="text1"/>
          <w:sz w:val="16"/>
          <w:szCs w:val="16"/>
          <w:shd w:val="clear" w:color="auto" w:fill="FFFFFF"/>
        </w:rPr>
        <w:t>Criminal Law and Criminal Justice 26</w:t>
      </w:r>
      <w:r w:rsidR="00BE38EE" w:rsidRPr="00BE418D">
        <w:rPr>
          <w:rFonts w:ascii="Arial" w:hAnsi="Arial" w:cs="Arial"/>
          <w:color w:val="000000" w:themeColor="text1"/>
          <w:sz w:val="16"/>
          <w:szCs w:val="16"/>
          <w:shd w:val="clear" w:color="auto" w:fill="FFFFFF"/>
        </w:rPr>
        <w:t>, 2018</w:t>
      </w:r>
      <w:r w:rsidR="00567D44" w:rsidRPr="00BE418D">
        <w:rPr>
          <w:rFonts w:ascii="Arial" w:hAnsi="Arial" w:cs="Arial"/>
          <w:color w:val="000000" w:themeColor="text1"/>
          <w:sz w:val="16"/>
          <w:szCs w:val="16"/>
          <w:shd w:val="clear" w:color="auto" w:fill="FFFFFF"/>
          <w:lang w:val="en-US"/>
        </w:rPr>
        <w:t>.</w:t>
      </w:r>
    </w:p>
  </w:footnote>
  <w:footnote w:id="5">
    <w:p w14:paraId="48941D4D" w14:textId="5C56FB14" w:rsidR="00BE38EE" w:rsidRPr="00BE418D" w:rsidRDefault="00BE38EE" w:rsidP="00C0539A">
      <w:pPr>
        <w:pStyle w:val="FootnoteText"/>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shd w:val="clear" w:color="auto" w:fill="FFFFFF"/>
        </w:rPr>
        <w:t>Studies</w:t>
      </w:r>
      <w:r w:rsidRPr="00BE418D">
        <w:rPr>
          <w:rFonts w:ascii="Arial" w:hAnsi="Arial" w:cs="Arial"/>
          <w:color w:val="000000" w:themeColor="text1"/>
          <w:sz w:val="16"/>
          <w:szCs w:val="16"/>
        </w:rPr>
        <w:t xml:space="preserve"> have</w:t>
      </w:r>
      <w:r w:rsidRPr="00BE418D">
        <w:rPr>
          <w:rFonts w:ascii="Arial" w:hAnsi="Arial" w:cs="Arial"/>
          <w:color w:val="000000" w:themeColor="text1"/>
          <w:sz w:val="16"/>
          <w:szCs w:val="16"/>
          <w:lang w:val="en-US"/>
        </w:rPr>
        <w:t xml:space="preserve"> </w:t>
      </w:r>
      <w:r w:rsidRPr="00BE418D">
        <w:rPr>
          <w:rFonts w:ascii="Arial" w:hAnsi="Arial" w:cs="Arial"/>
          <w:color w:val="000000" w:themeColor="text1"/>
          <w:sz w:val="16"/>
          <w:szCs w:val="16"/>
        </w:rPr>
        <w:t>shown that in th</w:t>
      </w:r>
      <w:r w:rsidRPr="00BE418D">
        <w:rPr>
          <w:rFonts w:ascii="Arial" w:hAnsi="Arial" w:cs="Arial"/>
          <w:color w:val="000000" w:themeColor="text1"/>
          <w:sz w:val="16"/>
          <w:szCs w:val="16"/>
          <w:lang w:val="en-US"/>
        </w:rPr>
        <w:t>is</w:t>
      </w:r>
      <w:r w:rsidRPr="00BE418D">
        <w:rPr>
          <w:rFonts w:ascii="Arial" w:hAnsi="Arial" w:cs="Arial"/>
          <w:color w:val="000000" w:themeColor="text1"/>
          <w:sz w:val="16"/>
          <w:szCs w:val="16"/>
        </w:rPr>
        <w:t xml:space="preserve"> sector an ‘initial investment’ of EUR 100 million could be ‘multiplied’ through VAT carousel into EUR 600 million within a few hours. M-C. FRUNZA, ‘Aftermath of the VAT fraud on carbon emissions markets’, </w:t>
      </w:r>
      <w:r w:rsidRPr="00BE418D">
        <w:rPr>
          <w:rFonts w:ascii="Arial" w:hAnsi="Arial" w:cs="Arial"/>
          <w:i/>
          <w:iCs/>
          <w:color w:val="000000" w:themeColor="text1"/>
          <w:sz w:val="16"/>
          <w:szCs w:val="16"/>
        </w:rPr>
        <w:t>Journal of Financial Crime</w:t>
      </w:r>
      <w:r w:rsidRPr="00BE418D">
        <w:rPr>
          <w:rFonts w:ascii="Arial" w:hAnsi="Arial" w:cs="Arial"/>
          <w:color w:val="000000" w:themeColor="text1"/>
          <w:sz w:val="16"/>
          <w:szCs w:val="16"/>
        </w:rPr>
        <w:t xml:space="preserve">, 2013, vol. 20, n° 2, p. 225; </w:t>
      </w:r>
      <w:r w:rsidR="00DF354A" w:rsidRPr="00BE418D">
        <w:rPr>
          <w:rFonts w:ascii="Arial" w:hAnsi="Arial" w:cs="Arial"/>
          <w:color w:val="000000" w:themeColor="text1"/>
          <w:sz w:val="16"/>
          <w:szCs w:val="16"/>
          <w:lang w:val="en-US"/>
        </w:rPr>
        <w:t xml:space="preserve">See also: </w:t>
      </w:r>
      <w:r w:rsidRPr="00BE418D">
        <w:rPr>
          <w:rFonts w:ascii="Arial" w:hAnsi="Arial" w:cs="Arial"/>
          <w:color w:val="000000" w:themeColor="text1"/>
          <w:sz w:val="16"/>
          <w:szCs w:val="16"/>
        </w:rPr>
        <w:t xml:space="preserve">K. NIELD, 'Fraud on the European Union Emissions Trading Scheme: Effects, </w:t>
      </w:r>
      <w:r w:rsidRPr="00BE418D">
        <w:rPr>
          <w:rFonts w:ascii="Arial" w:hAnsi="Arial" w:cs="Arial"/>
          <w:color w:val="000000" w:themeColor="text1"/>
          <w:sz w:val="16"/>
          <w:szCs w:val="16"/>
          <w:lang w:val="en-GB"/>
        </w:rPr>
        <w:t xml:space="preserve">Vulnerabilities and Regulatory Reform', (2011), 20, </w:t>
      </w:r>
      <w:r w:rsidRPr="00BE418D">
        <w:rPr>
          <w:rFonts w:ascii="Arial" w:hAnsi="Arial" w:cs="Arial"/>
          <w:i/>
          <w:iCs/>
          <w:color w:val="000000" w:themeColor="text1"/>
          <w:sz w:val="16"/>
          <w:szCs w:val="16"/>
          <w:lang w:val="en-GB"/>
        </w:rPr>
        <w:t>European Energy and Environmental Law Review</w:t>
      </w:r>
      <w:r w:rsidRPr="00BE418D">
        <w:rPr>
          <w:rFonts w:ascii="Arial" w:hAnsi="Arial" w:cs="Arial"/>
          <w:color w:val="000000" w:themeColor="text1"/>
          <w:sz w:val="16"/>
          <w:szCs w:val="16"/>
          <w:lang w:val="en-GB"/>
        </w:rPr>
        <w:t>, Issue 6, pp. 255-289; I. BILBAO ESTRADA, J. RODRIGUEZ MARQUEZ, 'VAT Fraud and Emission Allowances', (2010), 19, EC Tax Review, Issue 5, pp. 210-227;</w:t>
      </w:r>
      <w:r w:rsidRPr="00BE418D">
        <w:rPr>
          <w:rFonts w:ascii="Arial" w:hAnsi="Arial" w:cs="Arial"/>
          <w:color w:val="000000" w:themeColor="text1"/>
          <w:sz w:val="16"/>
          <w:szCs w:val="16"/>
          <w:shd w:val="clear" w:color="auto" w:fill="F6F6F6"/>
          <w:lang w:val="en-US"/>
        </w:rPr>
        <w:t xml:space="preserve"> </w:t>
      </w:r>
      <w:r w:rsidRPr="00BE418D">
        <w:rPr>
          <w:rFonts w:ascii="Arial" w:hAnsi="Arial" w:cs="Arial"/>
          <w:color w:val="000000" w:themeColor="text1"/>
          <w:sz w:val="16"/>
          <w:szCs w:val="16"/>
        </w:rPr>
        <w:t xml:space="preserve">See also R. WOLFF, ‘European Union: The Sad History of Carbon Carousel’, 21 </w:t>
      </w:r>
      <w:r w:rsidRPr="00BE418D">
        <w:rPr>
          <w:rFonts w:ascii="Arial" w:hAnsi="Arial" w:cs="Arial"/>
          <w:i/>
          <w:iCs/>
          <w:color w:val="000000" w:themeColor="text1"/>
          <w:sz w:val="16"/>
          <w:szCs w:val="16"/>
        </w:rPr>
        <w:t>Intl. VAT Monitor 6</w:t>
      </w:r>
      <w:r w:rsidRPr="00BE418D">
        <w:rPr>
          <w:rFonts w:ascii="Arial" w:hAnsi="Arial" w:cs="Arial"/>
          <w:color w:val="000000" w:themeColor="text1"/>
          <w:sz w:val="16"/>
          <w:szCs w:val="16"/>
        </w:rPr>
        <w:t xml:space="preserve"> (2010).</w:t>
      </w:r>
    </w:p>
  </w:footnote>
  <w:footnote w:id="6">
    <w:p w14:paraId="0C84DC87" w14:textId="3703E8FB" w:rsidR="008C71F2" w:rsidRPr="00BE418D" w:rsidRDefault="008C71F2" w:rsidP="00C0539A">
      <w:pPr>
        <w:pStyle w:val="FootnoteText"/>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en-US"/>
        </w:rPr>
        <w:t>Article</w:t>
      </w:r>
      <w:r w:rsidR="00A60E3F" w:rsidRPr="00BE418D">
        <w:rPr>
          <w:rFonts w:ascii="Arial" w:hAnsi="Arial" w:cs="Arial"/>
          <w:color w:val="000000" w:themeColor="text1"/>
          <w:sz w:val="16"/>
          <w:szCs w:val="16"/>
          <w:lang w:val="en-US"/>
        </w:rPr>
        <w:t>s</w:t>
      </w:r>
      <w:r w:rsidRPr="00BE418D">
        <w:rPr>
          <w:rFonts w:ascii="Arial" w:hAnsi="Arial" w:cs="Arial"/>
          <w:color w:val="000000" w:themeColor="text1"/>
          <w:sz w:val="16"/>
          <w:szCs w:val="16"/>
          <w:lang w:val="en-US"/>
        </w:rPr>
        <w:t xml:space="preserve"> </w:t>
      </w:r>
      <w:r w:rsidR="00A60E3F" w:rsidRPr="00BE418D">
        <w:rPr>
          <w:rFonts w:ascii="Arial" w:hAnsi="Arial" w:cs="Arial"/>
          <w:color w:val="000000" w:themeColor="text1"/>
          <w:sz w:val="16"/>
          <w:szCs w:val="16"/>
          <w:lang w:val="en-US"/>
        </w:rPr>
        <w:t xml:space="preserve">2(1), a. and </w:t>
      </w:r>
      <w:r w:rsidRPr="00BE418D">
        <w:rPr>
          <w:rFonts w:ascii="Arial" w:hAnsi="Arial" w:cs="Arial"/>
          <w:color w:val="000000" w:themeColor="text1"/>
          <w:sz w:val="16"/>
          <w:szCs w:val="16"/>
          <w:lang w:val="en-US"/>
        </w:rPr>
        <w:t>138 of the VAT Directive.</w:t>
      </w:r>
    </w:p>
  </w:footnote>
  <w:footnote w:id="7">
    <w:p w14:paraId="2A67D5F3" w14:textId="46660841" w:rsidR="008C71F2" w:rsidRPr="00BE418D" w:rsidRDefault="008C71F2" w:rsidP="00C0539A">
      <w:pPr>
        <w:pStyle w:val="FootnoteText"/>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en-US"/>
        </w:rPr>
        <w:t>Article 2(1), b</w:t>
      </w:r>
      <w:r w:rsidR="00A60E3F" w:rsidRPr="00BE418D">
        <w:rPr>
          <w:rFonts w:ascii="Arial" w:hAnsi="Arial" w:cs="Arial"/>
          <w:color w:val="000000" w:themeColor="text1"/>
          <w:sz w:val="16"/>
          <w:szCs w:val="16"/>
          <w:lang w:val="en-US"/>
        </w:rPr>
        <w:t>. of the VAT Directive.</w:t>
      </w:r>
    </w:p>
  </w:footnote>
  <w:footnote w:id="8">
    <w:p w14:paraId="60E93DFB" w14:textId="7AED21CF" w:rsidR="00A60E3F" w:rsidRPr="00BE418D" w:rsidRDefault="00A60E3F" w:rsidP="00C0539A">
      <w:pPr>
        <w:pStyle w:val="FootnoteText"/>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en-US"/>
        </w:rPr>
        <w:t>Articles 2(1), c. and 44 of the VAT Directive.</w:t>
      </w:r>
    </w:p>
  </w:footnote>
  <w:footnote w:id="9">
    <w:p w14:paraId="1087BC21" w14:textId="3F1E5A0A" w:rsidR="00432A0C" w:rsidRPr="00BE418D" w:rsidRDefault="00432A0C" w:rsidP="00C0539A">
      <w:pPr>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en-US"/>
        </w:rPr>
        <w:t>In the VAT Directive, the only example where a Member State may decide to tax in its territory even though the normally applicable place of supply rule would allocate the power to tax to another jurisdiction is article 59a (the so-called used and enjoyment clause), which should in principle only be used to prevent double or unintentional non-taxation</w:t>
      </w:r>
      <w:r w:rsidR="00DF354A" w:rsidRPr="00BE418D">
        <w:rPr>
          <w:rFonts w:ascii="Arial" w:hAnsi="Arial" w:cs="Arial"/>
          <w:color w:val="000000" w:themeColor="text1"/>
          <w:sz w:val="16"/>
          <w:szCs w:val="16"/>
          <w:lang w:val="en-US"/>
        </w:rPr>
        <w:t xml:space="preserve"> and only applies in situations where a supply is normally taxable in a </w:t>
      </w:r>
      <w:proofErr w:type="spellStart"/>
      <w:r w:rsidR="00DF354A" w:rsidRPr="00BE418D">
        <w:rPr>
          <w:rFonts w:ascii="Arial" w:hAnsi="Arial" w:cs="Arial"/>
          <w:color w:val="000000" w:themeColor="text1"/>
          <w:sz w:val="16"/>
          <w:szCs w:val="16"/>
          <w:lang w:val="en-US"/>
        </w:rPr>
        <w:t>a</w:t>
      </w:r>
      <w:proofErr w:type="spellEnd"/>
      <w:r w:rsidR="00DF354A" w:rsidRPr="00BE418D">
        <w:rPr>
          <w:rFonts w:ascii="Arial" w:hAnsi="Arial" w:cs="Arial"/>
          <w:color w:val="000000" w:themeColor="text1"/>
          <w:sz w:val="16"/>
          <w:szCs w:val="16"/>
          <w:lang w:val="en-US"/>
        </w:rPr>
        <w:t xml:space="preserve"> third country but is enjoyed in Member State and reverse</w:t>
      </w:r>
      <w:r w:rsidRPr="00BE418D">
        <w:rPr>
          <w:rFonts w:ascii="Arial" w:hAnsi="Arial" w:cs="Arial"/>
          <w:color w:val="000000" w:themeColor="text1"/>
          <w:sz w:val="16"/>
          <w:szCs w:val="16"/>
          <w:lang w:val="en-US"/>
        </w:rPr>
        <w:t xml:space="preserve">. </w:t>
      </w:r>
    </w:p>
  </w:footnote>
  <w:footnote w:id="10">
    <w:p w14:paraId="728C6046" w14:textId="3502E983" w:rsidR="002B158C" w:rsidRPr="00BE418D" w:rsidRDefault="002B158C" w:rsidP="00C0539A">
      <w:pPr>
        <w:jc w:val="both"/>
        <w:rPr>
          <w:rFonts w:ascii="Arial" w:hAnsi="Arial" w:cs="Arial"/>
          <w:color w:val="000000" w:themeColor="text1"/>
          <w:sz w:val="16"/>
          <w:szCs w:val="16"/>
          <w:lang w:val="fr-BE"/>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fr-BE"/>
        </w:rPr>
        <w:t xml:space="preserve">CJEU, 20 March 2018, C-524/15 Luca </w:t>
      </w:r>
      <w:proofErr w:type="spellStart"/>
      <w:r w:rsidRPr="00BE418D">
        <w:rPr>
          <w:rFonts w:ascii="Arial" w:hAnsi="Arial" w:cs="Arial"/>
          <w:color w:val="000000" w:themeColor="text1"/>
          <w:sz w:val="16"/>
          <w:szCs w:val="16"/>
          <w:lang w:val="fr-BE"/>
        </w:rPr>
        <w:t>Menci</w:t>
      </w:r>
      <w:proofErr w:type="spellEnd"/>
      <w:r w:rsidRPr="00BE418D">
        <w:rPr>
          <w:rFonts w:ascii="Arial" w:hAnsi="Arial" w:cs="Arial"/>
          <w:color w:val="000000" w:themeColor="text1"/>
          <w:sz w:val="16"/>
          <w:szCs w:val="16"/>
          <w:lang w:val="fr-BE"/>
        </w:rPr>
        <w:t xml:space="preserve">, </w:t>
      </w:r>
      <w:r w:rsidRPr="00BE418D">
        <w:rPr>
          <w:rFonts w:ascii="Arial" w:hAnsi="Arial" w:cs="Arial"/>
          <w:color w:val="000000" w:themeColor="text1"/>
          <w:sz w:val="16"/>
          <w:szCs w:val="16"/>
        </w:rPr>
        <w:t>ECLI:EU:C:2018:197</w:t>
      </w:r>
      <w:r w:rsidRPr="00BE418D">
        <w:rPr>
          <w:rFonts w:ascii="Arial" w:hAnsi="Arial" w:cs="Arial"/>
          <w:color w:val="000000" w:themeColor="text1"/>
          <w:sz w:val="16"/>
          <w:szCs w:val="16"/>
          <w:lang w:val="fr-BE"/>
        </w:rPr>
        <w:t>.</w:t>
      </w:r>
    </w:p>
  </w:footnote>
  <w:footnote w:id="11">
    <w:p w14:paraId="7D834C63" w14:textId="19D56EB7" w:rsidR="00C649E3" w:rsidRPr="00BE418D" w:rsidRDefault="00C649E3" w:rsidP="00C0539A">
      <w:pPr>
        <w:pStyle w:val="FootnoteText"/>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en-US"/>
        </w:rPr>
        <w:t xml:space="preserve">In accordance with Article 6(1) of the Treaty on the European Union, the Charter has the same value as the Treaties. In other words, the Charter constitutes Primary EU law. </w:t>
      </w:r>
    </w:p>
  </w:footnote>
  <w:footnote w:id="12">
    <w:p w14:paraId="109898EA" w14:textId="77777777" w:rsidR="000666F8" w:rsidRPr="00BE418D" w:rsidRDefault="000666F8" w:rsidP="00C0539A">
      <w:pPr>
        <w:pStyle w:val="FootnoteText"/>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en-US"/>
        </w:rPr>
        <w:t>To be noted however that the case is now pending before the European Court of Human Rights in Strasbourg as, in the view of the taxable person the payment of output VAT in these circumstances should in fact be qualified as a penalty, with the consequence that articles of the European Convention on Human Rights concerning penalties (</w:t>
      </w:r>
      <w:proofErr w:type="spellStart"/>
      <w:r w:rsidRPr="00BE418D">
        <w:rPr>
          <w:rFonts w:ascii="Arial" w:hAnsi="Arial" w:cs="Arial"/>
          <w:color w:val="000000" w:themeColor="text1"/>
          <w:sz w:val="16"/>
          <w:szCs w:val="16"/>
          <w:lang w:val="en-US"/>
        </w:rPr>
        <w:t>eg.</w:t>
      </w:r>
      <w:proofErr w:type="spellEnd"/>
      <w:r w:rsidRPr="00BE418D">
        <w:rPr>
          <w:rFonts w:ascii="Arial" w:hAnsi="Arial" w:cs="Arial"/>
          <w:color w:val="000000" w:themeColor="text1"/>
          <w:sz w:val="16"/>
          <w:szCs w:val="16"/>
          <w:lang w:val="en-US"/>
        </w:rPr>
        <w:t xml:space="preserve"> ne bis in idem, proportionality of the sentences) should be applicable.</w:t>
      </w:r>
    </w:p>
  </w:footnote>
  <w:footnote w:id="13">
    <w:p w14:paraId="5CB91825" w14:textId="2F25961F" w:rsidR="000666F8" w:rsidRPr="00BE418D" w:rsidRDefault="000666F8" w:rsidP="00C0539A">
      <w:pPr>
        <w:pStyle w:val="FootnoteText"/>
        <w:jc w:val="both"/>
        <w:rPr>
          <w:rFonts w:ascii="Arial" w:hAnsi="Arial" w:cs="Arial"/>
          <w:color w:val="000000" w:themeColor="text1"/>
          <w:sz w:val="16"/>
          <w:szCs w:val="16"/>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00D84D07" w:rsidRPr="00BE418D">
        <w:rPr>
          <w:rFonts w:ascii="Arial" w:hAnsi="Arial" w:cs="Arial"/>
          <w:color w:val="000000" w:themeColor="text1"/>
          <w:sz w:val="16"/>
          <w:szCs w:val="16"/>
          <w:lang w:val="en-US"/>
        </w:rPr>
        <w:t xml:space="preserve">See for example </w:t>
      </w:r>
      <w:r w:rsidR="00D84D07" w:rsidRPr="00BE418D">
        <w:rPr>
          <w:rFonts w:ascii="Arial" w:hAnsi="Arial" w:cs="Arial"/>
          <w:color w:val="000000" w:themeColor="text1"/>
          <w:sz w:val="16"/>
          <w:szCs w:val="16"/>
          <w:shd w:val="clear" w:color="auto" w:fill="FFFFFF"/>
        </w:rPr>
        <w:t>R. de la Feria, </w:t>
      </w:r>
      <w:r w:rsidR="00D84D07" w:rsidRPr="00BE418D">
        <w:rPr>
          <w:rFonts w:ascii="Arial" w:hAnsi="Arial" w:cs="Arial"/>
          <w:i/>
          <w:iCs/>
          <w:color w:val="000000" w:themeColor="text1"/>
          <w:sz w:val="16"/>
          <w:szCs w:val="16"/>
          <w:shd w:val="clear" w:color="auto" w:fill="FFFFFF"/>
        </w:rPr>
        <w:t>Tax </w:t>
      </w:r>
      <w:r w:rsidR="00D84D07" w:rsidRPr="00BE418D">
        <w:rPr>
          <w:rFonts w:ascii="Arial" w:hAnsi="Arial" w:cs="Arial"/>
          <w:i/>
          <w:iCs/>
          <w:color w:val="000000" w:themeColor="text1"/>
          <w:sz w:val="16"/>
          <w:szCs w:val="16"/>
          <w:shd w:val="clear" w:color="auto" w:fill="FFFFFF"/>
          <w:lang w:val="en-US"/>
        </w:rPr>
        <w:t xml:space="preserve">Fraud </w:t>
      </w:r>
      <w:r w:rsidR="00D84D07" w:rsidRPr="00BE418D">
        <w:rPr>
          <w:rFonts w:ascii="Arial" w:hAnsi="Arial" w:cs="Arial"/>
          <w:i/>
          <w:iCs/>
          <w:color w:val="000000" w:themeColor="text1"/>
          <w:sz w:val="16"/>
          <w:szCs w:val="16"/>
          <w:shd w:val="clear" w:color="auto" w:fill="FFFFFF"/>
        </w:rPr>
        <w:t>and the Rule of Law</w:t>
      </w:r>
      <w:r w:rsidR="00D84D07" w:rsidRPr="00BE418D">
        <w:rPr>
          <w:rFonts w:ascii="Arial" w:hAnsi="Arial" w:cs="Arial"/>
          <w:color w:val="000000" w:themeColor="text1"/>
          <w:sz w:val="16"/>
          <w:szCs w:val="16"/>
          <w:shd w:val="clear" w:color="auto" w:fill="FFFFFF"/>
        </w:rPr>
        <w:t>, University of Leeds Working Paper 18/02, p. 2 et seq., with further references (2018)</w:t>
      </w:r>
      <w:r w:rsidR="00D84D07" w:rsidRPr="00BE418D">
        <w:rPr>
          <w:rFonts w:ascii="Arial" w:hAnsi="Arial" w:cs="Arial"/>
          <w:color w:val="000000" w:themeColor="text1"/>
          <w:sz w:val="16"/>
          <w:szCs w:val="16"/>
          <w:shd w:val="clear" w:color="auto" w:fill="FFFFFF"/>
          <w:lang w:val="en-US"/>
        </w:rPr>
        <w:t xml:space="preserve">; M. </w:t>
      </w:r>
      <w:proofErr w:type="spellStart"/>
      <w:r w:rsidR="00D84D07" w:rsidRPr="00BE418D">
        <w:rPr>
          <w:rFonts w:ascii="Arial" w:hAnsi="Arial" w:cs="Arial"/>
          <w:color w:val="000000" w:themeColor="text1"/>
          <w:sz w:val="16"/>
          <w:szCs w:val="16"/>
          <w:shd w:val="clear" w:color="auto" w:fill="FFFFFF"/>
          <w:lang w:val="en-US"/>
        </w:rPr>
        <w:t>Lamensch</w:t>
      </w:r>
      <w:proofErr w:type="spellEnd"/>
      <w:r w:rsidR="00D84D07" w:rsidRPr="00BE418D">
        <w:rPr>
          <w:rFonts w:ascii="Arial" w:hAnsi="Arial" w:cs="Arial"/>
          <w:color w:val="000000" w:themeColor="text1"/>
          <w:sz w:val="16"/>
          <w:szCs w:val="16"/>
          <w:shd w:val="clear" w:color="auto" w:fill="FFFFFF"/>
          <w:lang w:val="en-US"/>
        </w:rPr>
        <w:t xml:space="preserve"> &amp; E. </w:t>
      </w:r>
      <w:proofErr w:type="spellStart"/>
      <w:r w:rsidR="00D84D07" w:rsidRPr="00BE418D">
        <w:rPr>
          <w:rFonts w:ascii="Arial" w:hAnsi="Arial" w:cs="Arial"/>
          <w:color w:val="000000" w:themeColor="text1"/>
          <w:sz w:val="16"/>
          <w:szCs w:val="16"/>
          <w:shd w:val="clear" w:color="auto" w:fill="FFFFFF"/>
          <w:lang w:val="en-US"/>
        </w:rPr>
        <w:t>Ceci</w:t>
      </w:r>
      <w:proofErr w:type="spellEnd"/>
      <w:r w:rsidR="00D84D07" w:rsidRPr="00BE418D">
        <w:rPr>
          <w:rFonts w:ascii="Arial" w:hAnsi="Arial" w:cs="Arial"/>
          <w:color w:val="000000" w:themeColor="text1"/>
          <w:sz w:val="16"/>
          <w:szCs w:val="16"/>
          <w:shd w:val="clear" w:color="auto" w:fill="FFFFFF"/>
          <w:lang w:val="en-US"/>
        </w:rPr>
        <w:t xml:space="preserve">, </w:t>
      </w:r>
      <w:r w:rsidR="00D135B7" w:rsidRPr="00BE418D">
        <w:rPr>
          <w:rFonts w:ascii="Arial" w:hAnsi="Arial" w:cs="Arial"/>
          <w:color w:val="000000" w:themeColor="text1"/>
          <w:sz w:val="16"/>
          <w:szCs w:val="16"/>
        </w:rPr>
        <w:t>‘VAT fraud, Economic impact, challenges and policy issues</w:t>
      </w:r>
      <w:r w:rsidR="00D135B7" w:rsidRPr="00BE418D">
        <w:rPr>
          <w:rFonts w:ascii="Arial" w:hAnsi="Arial" w:cs="Arial"/>
          <w:color w:val="000000" w:themeColor="text1"/>
          <w:sz w:val="16"/>
          <w:szCs w:val="16"/>
          <w:shd w:val="clear" w:color="auto" w:fill="FFFFFF"/>
        </w:rPr>
        <w:t xml:space="preserve">’, Study performed at the request of the European Parliament, 2018, available at: </w:t>
      </w:r>
      <w:r w:rsidR="00D135B7" w:rsidRPr="00BE418D">
        <w:fldChar w:fldCharType="begin"/>
      </w:r>
      <w:r w:rsidR="00D135B7" w:rsidRPr="00BE418D">
        <w:rPr>
          <w:rFonts w:ascii="Arial" w:hAnsi="Arial" w:cs="Arial"/>
          <w:color w:val="000000" w:themeColor="text1"/>
          <w:sz w:val="16"/>
          <w:szCs w:val="16"/>
        </w:rPr>
        <w:instrText xml:space="preserve"> HYPERLINK "http://www.europarl.europa.eu/supporting-analyses" </w:instrText>
      </w:r>
      <w:r w:rsidR="00D135B7" w:rsidRPr="00BE418D">
        <w:fldChar w:fldCharType="separate"/>
      </w:r>
      <w:r w:rsidR="00D135B7" w:rsidRPr="00BE418D">
        <w:rPr>
          <w:rStyle w:val="Hyperlink"/>
          <w:rFonts w:ascii="Arial" w:hAnsi="Arial" w:cs="Arial"/>
          <w:color w:val="000000" w:themeColor="text1"/>
          <w:sz w:val="16"/>
          <w:szCs w:val="16"/>
        </w:rPr>
        <w:t>http://www.europarl.europa.eu/supporting-analyses</w:t>
      </w:r>
      <w:r w:rsidR="00D135B7" w:rsidRPr="00BE418D">
        <w:rPr>
          <w:rStyle w:val="Hyperlink"/>
          <w:rFonts w:ascii="Arial" w:hAnsi="Arial" w:cs="Arial"/>
          <w:color w:val="000000" w:themeColor="text1"/>
          <w:sz w:val="16"/>
          <w:szCs w:val="16"/>
        </w:rPr>
        <w:fldChar w:fldCharType="end"/>
      </w:r>
      <w:r w:rsidR="00D135B7" w:rsidRPr="00BE418D">
        <w:rPr>
          <w:rStyle w:val="Hyperlink"/>
          <w:rFonts w:ascii="Arial" w:hAnsi="Arial" w:cs="Arial"/>
          <w:color w:val="000000" w:themeColor="text1"/>
          <w:sz w:val="16"/>
          <w:szCs w:val="16"/>
        </w:rPr>
        <w:t>.</w:t>
      </w:r>
    </w:p>
  </w:footnote>
  <w:footnote w:id="14">
    <w:p w14:paraId="568FEF39" w14:textId="0321CBE6" w:rsidR="000666F8" w:rsidRPr="00BE418D" w:rsidRDefault="000666F8" w:rsidP="00C0539A">
      <w:pPr>
        <w:pStyle w:val="FootnoteText"/>
        <w:jc w:val="both"/>
        <w:rPr>
          <w:rFonts w:ascii="Arial" w:hAnsi="Arial" w:cs="Arial"/>
          <w:color w:val="000000" w:themeColor="text1"/>
          <w:sz w:val="16"/>
          <w:szCs w:val="16"/>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00D84D07" w:rsidRPr="00BE418D">
        <w:rPr>
          <w:rFonts w:ascii="Arial" w:hAnsi="Arial" w:cs="Arial"/>
          <w:color w:val="000000" w:themeColor="text1"/>
          <w:sz w:val="16"/>
          <w:szCs w:val="16"/>
          <w:lang w:val="en-US"/>
        </w:rPr>
        <w:t>As</w:t>
      </w:r>
      <w:r w:rsidR="00D84D07" w:rsidRPr="00BE418D">
        <w:rPr>
          <w:rFonts w:ascii="Arial" w:hAnsi="Arial" w:cs="Arial"/>
          <w:color w:val="000000" w:themeColor="text1"/>
          <w:sz w:val="16"/>
          <w:szCs w:val="16"/>
        </w:rPr>
        <w:t xml:space="preserve"> reported by the European Commission in its Amended proposal for a COUNCIL REGULATION amending Regulation (EU)</w:t>
      </w:r>
      <w:r w:rsidR="00D84D07" w:rsidRPr="00BE418D">
        <w:rPr>
          <w:rFonts w:ascii="Arial" w:hAnsi="Arial" w:cs="Arial"/>
          <w:color w:val="000000" w:themeColor="text1"/>
          <w:sz w:val="16"/>
          <w:szCs w:val="16"/>
          <w:lang w:val="en-US"/>
        </w:rPr>
        <w:t xml:space="preserve"> </w:t>
      </w:r>
      <w:r w:rsidR="00D84D07" w:rsidRPr="00BE418D">
        <w:rPr>
          <w:rFonts w:ascii="Arial" w:hAnsi="Arial" w:cs="Arial"/>
          <w:color w:val="000000" w:themeColor="text1"/>
          <w:sz w:val="16"/>
          <w:szCs w:val="16"/>
        </w:rPr>
        <w:t xml:space="preserve">No 904/2010 as regards measures to strengthen administrative cooperation in the field of value added tax, 30 November 2017, </w:t>
      </w:r>
      <w:proofErr w:type="gramStart"/>
      <w:r w:rsidR="00D84D07" w:rsidRPr="00BE418D">
        <w:rPr>
          <w:rFonts w:ascii="Arial" w:hAnsi="Arial" w:cs="Arial"/>
          <w:color w:val="000000" w:themeColor="text1"/>
          <w:sz w:val="16"/>
          <w:szCs w:val="16"/>
        </w:rPr>
        <w:t>COM(</w:t>
      </w:r>
      <w:proofErr w:type="gramEnd"/>
      <w:r w:rsidR="00D84D07" w:rsidRPr="00BE418D">
        <w:rPr>
          <w:rFonts w:ascii="Arial" w:hAnsi="Arial" w:cs="Arial"/>
          <w:color w:val="000000" w:themeColor="text1"/>
          <w:sz w:val="16"/>
          <w:szCs w:val="16"/>
        </w:rPr>
        <w:t xml:space="preserve">2017) 706 final. See also ECA Special report 2015/24: ‘Tackling intra-Community VAT fraud: More action needed’, p. 9. </w:t>
      </w:r>
    </w:p>
  </w:footnote>
  <w:footnote w:id="15">
    <w:p w14:paraId="32B02CF7" w14:textId="35695A70" w:rsidR="006440CB" w:rsidRPr="00BE418D" w:rsidRDefault="006440CB" w:rsidP="00C0539A">
      <w:pPr>
        <w:pStyle w:val="FootnoteText"/>
        <w:jc w:val="both"/>
        <w:rPr>
          <w:rFonts w:ascii="Arial" w:hAnsi="Arial" w:cs="Arial"/>
          <w:color w:val="000000" w:themeColor="text1"/>
          <w:sz w:val="16"/>
          <w:szCs w:val="16"/>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bookmarkStart w:id="0" w:name="_Hlk516234199"/>
      <w:r w:rsidRPr="00BE418D">
        <w:rPr>
          <w:rFonts w:ascii="Arial" w:hAnsi="Arial" w:cs="Arial"/>
          <w:color w:val="000000" w:themeColor="text1"/>
          <w:sz w:val="16"/>
          <w:szCs w:val="16"/>
          <w:lang w:val="en-US"/>
        </w:rPr>
        <w:t>Council Regulation 904/2010 of 7 October 2010</w:t>
      </w:r>
      <w:bookmarkEnd w:id="0"/>
      <w:r w:rsidRPr="00BE418D">
        <w:rPr>
          <w:rFonts w:ascii="Arial" w:hAnsi="Arial" w:cs="Arial"/>
          <w:color w:val="000000" w:themeColor="text1"/>
          <w:sz w:val="16"/>
          <w:szCs w:val="16"/>
          <w:lang w:val="en-US"/>
        </w:rPr>
        <w:t>, OJ L 268, 12.10.2010.</w:t>
      </w:r>
    </w:p>
  </w:footnote>
  <w:footnote w:id="16">
    <w:p w14:paraId="635DC52E" w14:textId="0B3A25B0" w:rsidR="00ED77DB" w:rsidRPr="00BE418D" w:rsidRDefault="00ED77DB" w:rsidP="00C0539A">
      <w:pPr>
        <w:pStyle w:val="FootnoteText"/>
        <w:jc w:val="both"/>
        <w:rPr>
          <w:rFonts w:ascii="Arial" w:hAnsi="Arial" w:cs="Arial"/>
          <w:color w:val="000000" w:themeColor="text1"/>
          <w:sz w:val="16"/>
          <w:szCs w:val="16"/>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hAnsi="Arial" w:cs="Arial"/>
          <w:color w:val="000000" w:themeColor="text1"/>
          <w:sz w:val="16"/>
          <w:szCs w:val="16"/>
          <w:lang w:val="en-GB"/>
        </w:rPr>
        <w:t xml:space="preserve">The Transaction Network Analysis (TNA) was </w:t>
      </w:r>
      <w:r w:rsidR="0062384C" w:rsidRPr="00BE418D">
        <w:rPr>
          <w:rFonts w:ascii="Arial" w:hAnsi="Arial" w:cs="Arial"/>
          <w:color w:val="000000" w:themeColor="text1"/>
          <w:sz w:val="16"/>
          <w:szCs w:val="16"/>
          <w:lang w:val="en-GB"/>
        </w:rPr>
        <w:t>developed</w:t>
      </w:r>
      <w:r w:rsidRPr="00BE418D">
        <w:rPr>
          <w:rFonts w:ascii="Arial" w:hAnsi="Arial" w:cs="Arial"/>
          <w:color w:val="000000" w:themeColor="text1"/>
          <w:sz w:val="16"/>
          <w:szCs w:val="16"/>
          <w:lang w:val="en-GB"/>
        </w:rPr>
        <w:t xml:space="preserve"> </w:t>
      </w:r>
      <w:r w:rsidRPr="00BE418D">
        <w:rPr>
          <w:rFonts w:ascii="Arial" w:hAnsi="Arial" w:cs="Arial"/>
          <w:color w:val="000000" w:themeColor="text1"/>
          <w:sz w:val="16"/>
          <w:szCs w:val="16"/>
        </w:rPr>
        <w:t xml:space="preserve">to rapidly exchange and jointly </w:t>
      </w:r>
      <w:r w:rsidRPr="00BE418D">
        <w:rPr>
          <w:rFonts w:ascii="Arial" w:hAnsi="Arial" w:cs="Arial"/>
          <w:color w:val="000000" w:themeColor="text1"/>
          <w:sz w:val="16"/>
          <w:szCs w:val="16"/>
          <w:lang w:val="en-GB"/>
        </w:rPr>
        <w:t xml:space="preserve">process VAT data. TNA enables </w:t>
      </w:r>
      <w:proofErr w:type="spellStart"/>
      <w:r w:rsidRPr="00BE418D">
        <w:rPr>
          <w:rFonts w:ascii="Arial" w:hAnsi="Arial" w:cs="Arial"/>
          <w:color w:val="000000" w:themeColor="text1"/>
          <w:sz w:val="16"/>
          <w:szCs w:val="16"/>
          <w:lang w:val="en-GB"/>
        </w:rPr>
        <w:t>Eurofisc</w:t>
      </w:r>
      <w:proofErr w:type="spellEnd"/>
      <w:r w:rsidRPr="00BE418D">
        <w:rPr>
          <w:rFonts w:ascii="Arial" w:hAnsi="Arial" w:cs="Arial"/>
          <w:color w:val="000000" w:themeColor="text1"/>
          <w:sz w:val="16"/>
          <w:szCs w:val="16"/>
          <w:lang w:val="en-GB"/>
        </w:rPr>
        <w:t xml:space="preserve"> to detect suspicious networks earlier and more efficiently (in a nutshell, TNA performs an automated selection of information already available in the VIES system according to risk indicators. The system allows an automated, </w:t>
      </w:r>
      <w:proofErr w:type="gramStart"/>
      <w:r w:rsidRPr="00BE418D">
        <w:rPr>
          <w:rFonts w:ascii="Arial" w:hAnsi="Arial" w:cs="Arial"/>
          <w:color w:val="000000" w:themeColor="text1"/>
          <w:sz w:val="16"/>
          <w:szCs w:val="16"/>
          <w:lang w:val="en-GB"/>
        </w:rPr>
        <w:t>faster</w:t>
      </w:r>
      <w:proofErr w:type="gramEnd"/>
      <w:r w:rsidRPr="00BE418D">
        <w:rPr>
          <w:rFonts w:ascii="Arial" w:hAnsi="Arial" w:cs="Arial"/>
          <w:color w:val="000000" w:themeColor="text1"/>
          <w:sz w:val="16"/>
          <w:szCs w:val="16"/>
          <w:lang w:val="en-GB"/>
        </w:rPr>
        <w:t xml:space="preserve"> and more precise detection of fraudulent chains. It also allows chains of transactions and companies that may be involved in fraud to be identified)</w:t>
      </w:r>
      <w:r w:rsidRPr="00BE418D">
        <w:rPr>
          <w:rFonts w:ascii="Arial" w:hAnsi="Arial" w:cs="Arial"/>
          <w:color w:val="000000" w:themeColor="text1"/>
          <w:sz w:val="16"/>
          <w:szCs w:val="16"/>
        </w:rPr>
        <w:t>.</w:t>
      </w:r>
    </w:p>
  </w:footnote>
  <w:footnote w:id="17">
    <w:p w14:paraId="2350AF7E" w14:textId="0339174C" w:rsidR="004F21B7" w:rsidRPr="00BE418D" w:rsidRDefault="004F21B7" w:rsidP="00C0539A">
      <w:pPr>
        <w:pStyle w:val="FootnoteText"/>
        <w:jc w:val="both"/>
        <w:rPr>
          <w:rFonts w:ascii="Arial" w:hAnsi="Arial" w:cs="Arial"/>
          <w:color w:val="000000" w:themeColor="text1"/>
          <w:sz w:val="16"/>
          <w:szCs w:val="16"/>
          <w:lang w:val="en-US"/>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eastAsia="Times New Roman" w:hAnsi="Arial" w:cs="Arial"/>
          <w:color w:val="000000" w:themeColor="text1"/>
          <w:sz w:val="16"/>
          <w:szCs w:val="16"/>
          <w:lang w:val="en-US" w:eastAsia="en-GB"/>
        </w:rPr>
        <w:t xml:space="preserve">As noted above carousel fraud would result in a loss of around 60 billion </w:t>
      </w:r>
      <w:r w:rsidR="006440CB" w:rsidRPr="00BE418D">
        <w:rPr>
          <w:rFonts w:ascii="Arial" w:eastAsia="Times New Roman" w:hAnsi="Arial" w:cs="Arial"/>
          <w:color w:val="000000" w:themeColor="text1"/>
          <w:sz w:val="16"/>
          <w:szCs w:val="16"/>
          <w:lang w:val="en-US" w:eastAsia="en-GB"/>
        </w:rPr>
        <w:t xml:space="preserve">euros </w:t>
      </w:r>
      <w:r w:rsidRPr="00BE418D">
        <w:rPr>
          <w:rFonts w:ascii="Arial" w:eastAsia="Times New Roman" w:hAnsi="Arial" w:cs="Arial"/>
          <w:color w:val="000000" w:themeColor="text1"/>
          <w:sz w:val="16"/>
          <w:szCs w:val="16"/>
          <w:lang w:val="en-US" w:eastAsia="en-GB"/>
        </w:rPr>
        <w:t xml:space="preserve">annually. For the record, the Member States have agreed on commitments amounting to 49.7 billion </w:t>
      </w:r>
      <w:r w:rsidR="006440CB" w:rsidRPr="00BE418D">
        <w:rPr>
          <w:rFonts w:ascii="Arial" w:eastAsia="Times New Roman" w:hAnsi="Arial" w:cs="Arial"/>
          <w:color w:val="000000" w:themeColor="text1"/>
          <w:sz w:val="16"/>
          <w:szCs w:val="16"/>
          <w:lang w:val="en-US" w:eastAsia="en-GB"/>
        </w:rPr>
        <w:t xml:space="preserve">euros </w:t>
      </w:r>
      <w:r w:rsidRPr="00BE418D">
        <w:rPr>
          <w:rFonts w:ascii="Arial" w:eastAsia="Times New Roman" w:hAnsi="Arial" w:cs="Arial"/>
          <w:color w:val="000000" w:themeColor="text1"/>
          <w:sz w:val="16"/>
          <w:szCs w:val="16"/>
          <w:lang w:val="en-US" w:eastAsia="en-GB"/>
        </w:rPr>
        <w:t xml:space="preserve">to support the recovery by boosting investments in economic, </w:t>
      </w:r>
      <w:proofErr w:type="gramStart"/>
      <w:r w:rsidRPr="00BE418D">
        <w:rPr>
          <w:rFonts w:ascii="Arial" w:eastAsia="Times New Roman" w:hAnsi="Arial" w:cs="Arial"/>
          <w:color w:val="000000" w:themeColor="text1"/>
          <w:sz w:val="16"/>
          <w:szCs w:val="16"/>
          <w:lang w:val="en-US" w:eastAsia="en-GB"/>
        </w:rPr>
        <w:t>social</w:t>
      </w:r>
      <w:proofErr w:type="gramEnd"/>
      <w:r w:rsidRPr="00BE418D">
        <w:rPr>
          <w:rFonts w:ascii="Arial" w:eastAsia="Times New Roman" w:hAnsi="Arial" w:cs="Arial"/>
          <w:color w:val="000000" w:themeColor="text1"/>
          <w:sz w:val="16"/>
          <w:szCs w:val="16"/>
          <w:lang w:val="en-US" w:eastAsia="en-GB"/>
        </w:rPr>
        <w:t xml:space="preserve"> and territorial cohesion in 2022</w:t>
      </w:r>
      <w:r w:rsidR="00D84D07" w:rsidRPr="00BE418D">
        <w:rPr>
          <w:rFonts w:ascii="Arial" w:eastAsia="Times New Roman" w:hAnsi="Arial" w:cs="Arial"/>
          <w:color w:val="000000" w:themeColor="text1"/>
          <w:sz w:val="16"/>
          <w:szCs w:val="16"/>
          <w:lang w:val="en-US" w:eastAsia="en-GB"/>
        </w:rPr>
        <w:t>, which is thus less than what Member States lose every year on account of carousel fraud</w:t>
      </w:r>
      <w:r w:rsidRPr="00BE418D">
        <w:rPr>
          <w:rFonts w:ascii="Arial" w:eastAsia="Times New Roman" w:hAnsi="Arial" w:cs="Arial"/>
          <w:color w:val="000000" w:themeColor="text1"/>
          <w:sz w:val="16"/>
          <w:szCs w:val="16"/>
          <w:lang w:val="en-US" w:eastAsia="en-GB"/>
        </w:rPr>
        <w:t>.</w:t>
      </w:r>
    </w:p>
  </w:footnote>
  <w:footnote w:id="18">
    <w:p w14:paraId="355BD48C" w14:textId="0E5AF07B" w:rsidR="00C2018F" w:rsidRPr="00BE418D" w:rsidRDefault="00C2018F" w:rsidP="00C0539A">
      <w:pPr>
        <w:pStyle w:val="FootnoteText"/>
        <w:jc w:val="both"/>
        <w:rPr>
          <w:rFonts w:ascii="Arial" w:hAnsi="Arial" w:cs="Arial"/>
          <w:color w:val="000000" w:themeColor="text1"/>
          <w:sz w:val="16"/>
          <w:szCs w:val="16"/>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Pr="00BE418D">
        <w:rPr>
          <w:rFonts w:ascii="Arial" w:eastAsia="Times New Roman" w:hAnsi="Arial" w:cs="Arial"/>
          <w:color w:val="000000" w:themeColor="text1"/>
          <w:sz w:val="16"/>
          <w:szCs w:val="16"/>
          <w:lang w:val="en-US" w:eastAsia="en-GB"/>
        </w:rPr>
        <w:t>The</w:t>
      </w:r>
      <w:r w:rsidRPr="00BE418D">
        <w:rPr>
          <w:rFonts w:ascii="Arial" w:hAnsi="Arial" w:cs="Arial"/>
          <w:color w:val="000000" w:themeColor="text1"/>
          <w:sz w:val="16"/>
          <w:szCs w:val="16"/>
        </w:rPr>
        <w:t xml:space="preserve"> ‘definitive’ regime proposal consists of three proposals: Proposal COM (2017) 569 for Council Directive amending Directive 2006/112/EC as regards harmonising and simplifying certain rules in the value added tax system and introducing the definitive system for the taxation of trade between Member States; Proposal COM (2017) 568 for a Council Implementing Regulation amending Implementing Regulation (EU) No 282/2011 as regards certain exemptions for intra-Community transactions; Proposal COM (2017)567 for a Council Regulation amending Regulation (EU) No 904/2010 as regards the certified taxable person. See also: Proposal for a Council Directive amending Directive 2006/112/EC as regards the introduction of the detailed technical measures for the operation of the definitive VAT system for the taxation of trade between Member States, COM(2018) 329 final.</w:t>
      </w:r>
    </w:p>
  </w:footnote>
  <w:footnote w:id="19">
    <w:p w14:paraId="57198DD4" w14:textId="2581F5C6" w:rsidR="004F21B7" w:rsidRPr="00BE418D" w:rsidRDefault="004F21B7" w:rsidP="00C0539A">
      <w:pPr>
        <w:pStyle w:val="FootnoteText"/>
        <w:jc w:val="both"/>
        <w:rPr>
          <w:rFonts w:ascii="Arial" w:hAnsi="Arial" w:cs="Arial"/>
          <w:color w:val="000000" w:themeColor="text1"/>
          <w:sz w:val="16"/>
          <w:szCs w:val="16"/>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00C2018F" w:rsidRPr="00BE418D">
        <w:rPr>
          <w:rFonts w:ascii="Arial" w:hAnsi="Arial" w:cs="Arial"/>
          <w:color w:val="000000" w:themeColor="text1"/>
          <w:sz w:val="16"/>
          <w:szCs w:val="16"/>
        </w:rPr>
        <w:t>https://www.case-research.eu/en/vat-in-the-digital-age-101548</w:t>
      </w:r>
    </w:p>
  </w:footnote>
  <w:footnote w:id="20">
    <w:p w14:paraId="05751494" w14:textId="3DE06C8B" w:rsidR="004F21B7" w:rsidRPr="00BE418D" w:rsidRDefault="004F21B7" w:rsidP="00C0539A">
      <w:pPr>
        <w:pStyle w:val="FootnoteText"/>
        <w:jc w:val="both"/>
        <w:rPr>
          <w:rFonts w:ascii="Arial" w:hAnsi="Arial" w:cs="Arial"/>
          <w:color w:val="000000" w:themeColor="text1"/>
          <w:sz w:val="16"/>
          <w:szCs w:val="16"/>
        </w:rPr>
      </w:pPr>
      <w:r w:rsidRPr="00BE418D">
        <w:rPr>
          <w:rStyle w:val="FootnoteReference"/>
          <w:rFonts w:ascii="Arial" w:hAnsi="Arial" w:cs="Arial"/>
          <w:color w:val="000000" w:themeColor="text1"/>
          <w:sz w:val="16"/>
          <w:szCs w:val="16"/>
        </w:rPr>
        <w:footnoteRef/>
      </w:r>
      <w:r w:rsidRPr="00BE418D">
        <w:rPr>
          <w:rFonts w:ascii="Arial" w:hAnsi="Arial" w:cs="Arial"/>
          <w:color w:val="000000" w:themeColor="text1"/>
          <w:sz w:val="16"/>
          <w:szCs w:val="16"/>
        </w:rPr>
        <w:t xml:space="preserve"> </w:t>
      </w:r>
      <w:r w:rsidR="00C2018F" w:rsidRPr="00BE418D">
        <w:rPr>
          <w:rFonts w:ascii="Arial" w:hAnsi="Arial" w:cs="Arial"/>
          <w:color w:val="000000" w:themeColor="text1"/>
          <w:sz w:val="16"/>
          <w:szCs w:val="16"/>
        </w:rPr>
        <w:t>https://ec.europa.eu/info/law/better-regulation/have-your-say/initiatives/13186-VAT-in-the-digital-age/public-consultation_en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26F4"/>
    <w:multiLevelType w:val="multilevel"/>
    <w:tmpl w:val="44D4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3449A9"/>
    <w:multiLevelType w:val="hybridMultilevel"/>
    <w:tmpl w:val="08A4D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264517">
    <w:abstractNumId w:val="1"/>
  </w:num>
  <w:num w:numId="2" w16cid:durableId="1399985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E7"/>
    <w:rsid w:val="00017310"/>
    <w:rsid w:val="00037D2E"/>
    <w:rsid w:val="000666F8"/>
    <w:rsid w:val="000730C5"/>
    <w:rsid w:val="000D3ED9"/>
    <w:rsid w:val="000E4679"/>
    <w:rsid w:val="000F10B4"/>
    <w:rsid w:val="00107524"/>
    <w:rsid w:val="001E5F25"/>
    <w:rsid w:val="002770C4"/>
    <w:rsid w:val="002B158C"/>
    <w:rsid w:val="002B3446"/>
    <w:rsid w:val="002D6D4F"/>
    <w:rsid w:val="002E3070"/>
    <w:rsid w:val="0031605A"/>
    <w:rsid w:val="00392D79"/>
    <w:rsid w:val="00432A0C"/>
    <w:rsid w:val="004A5769"/>
    <w:rsid w:val="004F21B7"/>
    <w:rsid w:val="005442EF"/>
    <w:rsid w:val="00567D44"/>
    <w:rsid w:val="005868FE"/>
    <w:rsid w:val="005C4050"/>
    <w:rsid w:val="005D64EE"/>
    <w:rsid w:val="00613292"/>
    <w:rsid w:val="00614496"/>
    <w:rsid w:val="0062384C"/>
    <w:rsid w:val="006365E7"/>
    <w:rsid w:val="006440CB"/>
    <w:rsid w:val="006F51F2"/>
    <w:rsid w:val="007B781D"/>
    <w:rsid w:val="0081717E"/>
    <w:rsid w:val="00866693"/>
    <w:rsid w:val="00877009"/>
    <w:rsid w:val="008C71F2"/>
    <w:rsid w:val="00971C80"/>
    <w:rsid w:val="00993041"/>
    <w:rsid w:val="009A49FD"/>
    <w:rsid w:val="00A55068"/>
    <w:rsid w:val="00A60E3F"/>
    <w:rsid w:val="00B42932"/>
    <w:rsid w:val="00BE38EE"/>
    <w:rsid w:val="00BE418D"/>
    <w:rsid w:val="00C0539A"/>
    <w:rsid w:val="00C2018F"/>
    <w:rsid w:val="00C348DB"/>
    <w:rsid w:val="00C649E3"/>
    <w:rsid w:val="00C72BB3"/>
    <w:rsid w:val="00C956D0"/>
    <w:rsid w:val="00D02631"/>
    <w:rsid w:val="00D0281D"/>
    <w:rsid w:val="00D135B7"/>
    <w:rsid w:val="00D84D07"/>
    <w:rsid w:val="00DF354A"/>
    <w:rsid w:val="00E11471"/>
    <w:rsid w:val="00E2709F"/>
    <w:rsid w:val="00EC2179"/>
    <w:rsid w:val="00ED77DB"/>
    <w:rsid w:val="00EF4AC0"/>
    <w:rsid w:val="00FA18D3"/>
    <w:rsid w:val="00FB0794"/>
    <w:rsid w:val="00FD4A44"/>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06ABBCEF"/>
  <w15:chartTrackingRefBased/>
  <w15:docId w15:val="{EC6A89D7-5977-4E40-BCEB-54038880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8D3"/>
    <w:rPr>
      <w:rFonts w:ascii="Times New Roman" w:eastAsia="Times New Roman" w:hAnsi="Times New Roman" w:cs="Times New Roman"/>
      <w:lang w:eastAsia="en-GB"/>
    </w:rPr>
  </w:style>
  <w:style w:type="paragraph" w:styleId="Heading1">
    <w:name w:val="heading 1"/>
    <w:basedOn w:val="Normal"/>
    <w:link w:val="Heading1Char"/>
    <w:uiPriority w:val="9"/>
    <w:qFormat/>
    <w:rsid w:val="00ED77D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65E7"/>
    <w:pPr>
      <w:spacing w:before="100" w:beforeAutospacing="1" w:after="100" w:afterAutospacing="1"/>
    </w:pPr>
  </w:style>
  <w:style w:type="character" w:styleId="Hyperlink">
    <w:name w:val="Hyperlink"/>
    <w:basedOn w:val="DefaultParagraphFont"/>
    <w:uiPriority w:val="99"/>
    <w:semiHidden/>
    <w:unhideWhenUsed/>
    <w:rsid w:val="006365E7"/>
    <w:rPr>
      <w:color w:val="0000FF"/>
      <w:u w:val="single"/>
    </w:rPr>
  </w:style>
  <w:style w:type="paragraph" w:styleId="FootnoteText">
    <w:name w:val="footnote text"/>
    <w:aliases w:val="Fußnotentextf,Fußnotentextr,stile 1,Footnote,Footnote1,Footnote2,Footnote3,Footnote4,Footnote5,Footnote6,Footnote7,Footnote8,Footnote9,Footnote10,Footnote11,Footnote21,Footnote31,Footnote41,Footnote51,Footnote61,Footnote71,Fußnote,fn"/>
    <w:basedOn w:val="Normal"/>
    <w:link w:val="FootnoteTextChar"/>
    <w:uiPriority w:val="99"/>
    <w:unhideWhenUsed/>
    <w:qFormat/>
    <w:rsid w:val="00D0281D"/>
    <w:rPr>
      <w:rFonts w:asciiTheme="minorHAnsi" w:eastAsiaTheme="minorHAnsi" w:hAnsiTheme="minorHAnsi" w:cstheme="minorBidi"/>
      <w:sz w:val="20"/>
      <w:szCs w:val="20"/>
      <w:lang w:eastAsia="en-US"/>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basedOn w:val="DefaultParagraphFont"/>
    <w:link w:val="FootnoteText"/>
    <w:uiPriority w:val="99"/>
    <w:rsid w:val="00D0281D"/>
    <w:rPr>
      <w:sz w:val="20"/>
      <w:szCs w:val="20"/>
    </w:rPr>
  </w:style>
  <w:style w:type="character" w:styleId="FootnoteReference">
    <w:name w:val="footnote reference"/>
    <w:aliases w:val="Char Char2 Char Char Char Char Char Char Char Char1 Char Char Char Char Char1 Char Char Char,Char Char2 Char Char Char Char Char Char Char Char Char Char Char Char Char Char Char Char Char1 Char Char Char Char Char Char,Char Char4,fr"/>
    <w:basedOn w:val="DefaultParagraphFont"/>
    <w:uiPriority w:val="99"/>
    <w:unhideWhenUsed/>
    <w:qFormat/>
    <w:rsid w:val="00D0281D"/>
    <w:rPr>
      <w:vertAlign w:val="superscript"/>
    </w:rPr>
  </w:style>
  <w:style w:type="paragraph" w:styleId="ListParagraph">
    <w:name w:val="List Paragraph"/>
    <w:basedOn w:val="Normal"/>
    <w:uiPriority w:val="34"/>
    <w:qFormat/>
    <w:rsid w:val="000D3ED9"/>
    <w:pPr>
      <w:ind w:left="720"/>
      <w:contextualSpacing/>
    </w:pPr>
    <w:rPr>
      <w:rFonts w:asciiTheme="minorHAnsi" w:eastAsiaTheme="minorHAnsi" w:hAnsiTheme="minorHAnsi" w:cstheme="minorBidi"/>
      <w:lang w:eastAsia="en-US"/>
    </w:rPr>
  </w:style>
  <w:style w:type="paragraph" w:styleId="Footer">
    <w:name w:val="footer"/>
    <w:basedOn w:val="Normal"/>
    <w:link w:val="FooterChar"/>
    <w:uiPriority w:val="99"/>
    <w:unhideWhenUsed/>
    <w:rsid w:val="00FD4A44"/>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D4A44"/>
  </w:style>
  <w:style w:type="character" w:styleId="PageNumber">
    <w:name w:val="page number"/>
    <w:basedOn w:val="DefaultParagraphFont"/>
    <w:uiPriority w:val="99"/>
    <w:semiHidden/>
    <w:unhideWhenUsed/>
    <w:rsid w:val="00FD4A44"/>
  </w:style>
  <w:style w:type="character" w:customStyle="1" w:styleId="Heading1Char">
    <w:name w:val="Heading 1 Char"/>
    <w:basedOn w:val="DefaultParagraphFont"/>
    <w:link w:val="Heading1"/>
    <w:uiPriority w:val="9"/>
    <w:rsid w:val="00ED77DB"/>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9372">
      <w:bodyDiv w:val="1"/>
      <w:marLeft w:val="0"/>
      <w:marRight w:val="0"/>
      <w:marTop w:val="0"/>
      <w:marBottom w:val="0"/>
      <w:divBdr>
        <w:top w:val="none" w:sz="0" w:space="0" w:color="auto"/>
        <w:left w:val="none" w:sz="0" w:space="0" w:color="auto"/>
        <w:bottom w:val="none" w:sz="0" w:space="0" w:color="auto"/>
        <w:right w:val="none" w:sz="0" w:space="0" w:color="auto"/>
      </w:divBdr>
    </w:div>
    <w:div w:id="355887731">
      <w:bodyDiv w:val="1"/>
      <w:marLeft w:val="0"/>
      <w:marRight w:val="0"/>
      <w:marTop w:val="0"/>
      <w:marBottom w:val="0"/>
      <w:divBdr>
        <w:top w:val="none" w:sz="0" w:space="0" w:color="auto"/>
        <w:left w:val="none" w:sz="0" w:space="0" w:color="auto"/>
        <w:bottom w:val="none" w:sz="0" w:space="0" w:color="auto"/>
        <w:right w:val="none" w:sz="0" w:space="0" w:color="auto"/>
      </w:divBdr>
    </w:div>
    <w:div w:id="516818961">
      <w:bodyDiv w:val="1"/>
      <w:marLeft w:val="0"/>
      <w:marRight w:val="0"/>
      <w:marTop w:val="0"/>
      <w:marBottom w:val="0"/>
      <w:divBdr>
        <w:top w:val="none" w:sz="0" w:space="0" w:color="auto"/>
        <w:left w:val="none" w:sz="0" w:space="0" w:color="auto"/>
        <w:bottom w:val="none" w:sz="0" w:space="0" w:color="auto"/>
        <w:right w:val="none" w:sz="0" w:space="0" w:color="auto"/>
      </w:divBdr>
    </w:div>
    <w:div w:id="546840381">
      <w:bodyDiv w:val="1"/>
      <w:marLeft w:val="0"/>
      <w:marRight w:val="0"/>
      <w:marTop w:val="0"/>
      <w:marBottom w:val="0"/>
      <w:divBdr>
        <w:top w:val="none" w:sz="0" w:space="0" w:color="auto"/>
        <w:left w:val="none" w:sz="0" w:space="0" w:color="auto"/>
        <w:bottom w:val="none" w:sz="0" w:space="0" w:color="auto"/>
        <w:right w:val="none" w:sz="0" w:space="0" w:color="auto"/>
      </w:divBdr>
    </w:div>
    <w:div w:id="558782459">
      <w:bodyDiv w:val="1"/>
      <w:marLeft w:val="0"/>
      <w:marRight w:val="0"/>
      <w:marTop w:val="0"/>
      <w:marBottom w:val="0"/>
      <w:divBdr>
        <w:top w:val="none" w:sz="0" w:space="0" w:color="auto"/>
        <w:left w:val="none" w:sz="0" w:space="0" w:color="auto"/>
        <w:bottom w:val="none" w:sz="0" w:space="0" w:color="auto"/>
        <w:right w:val="none" w:sz="0" w:space="0" w:color="auto"/>
      </w:divBdr>
    </w:div>
    <w:div w:id="732002088">
      <w:bodyDiv w:val="1"/>
      <w:marLeft w:val="0"/>
      <w:marRight w:val="0"/>
      <w:marTop w:val="0"/>
      <w:marBottom w:val="0"/>
      <w:divBdr>
        <w:top w:val="none" w:sz="0" w:space="0" w:color="auto"/>
        <w:left w:val="none" w:sz="0" w:space="0" w:color="auto"/>
        <w:bottom w:val="none" w:sz="0" w:space="0" w:color="auto"/>
        <w:right w:val="none" w:sz="0" w:space="0" w:color="auto"/>
      </w:divBdr>
    </w:div>
    <w:div w:id="871188104">
      <w:bodyDiv w:val="1"/>
      <w:marLeft w:val="0"/>
      <w:marRight w:val="0"/>
      <w:marTop w:val="0"/>
      <w:marBottom w:val="0"/>
      <w:divBdr>
        <w:top w:val="none" w:sz="0" w:space="0" w:color="auto"/>
        <w:left w:val="none" w:sz="0" w:space="0" w:color="auto"/>
        <w:bottom w:val="none" w:sz="0" w:space="0" w:color="auto"/>
        <w:right w:val="none" w:sz="0" w:space="0" w:color="auto"/>
      </w:divBdr>
    </w:div>
    <w:div w:id="937060018">
      <w:bodyDiv w:val="1"/>
      <w:marLeft w:val="0"/>
      <w:marRight w:val="0"/>
      <w:marTop w:val="0"/>
      <w:marBottom w:val="0"/>
      <w:divBdr>
        <w:top w:val="none" w:sz="0" w:space="0" w:color="auto"/>
        <w:left w:val="none" w:sz="0" w:space="0" w:color="auto"/>
        <w:bottom w:val="none" w:sz="0" w:space="0" w:color="auto"/>
        <w:right w:val="none" w:sz="0" w:space="0" w:color="auto"/>
      </w:divBdr>
    </w:div>
    <w:div w:id="1077362302">
      <w:bodyDiv w:val="1"/>
      <w:marLeft w:val="0"/>
      <w:marRight w:val="0"/>
      <w:marTop w:val="0"/>
      <w:marBottom w:val="0"/>
      <w:divBdr>
        <w:top w:val="none" w:sz="0" w:space="0" w:color="auto"/>
        <w:left w:val="none" w:sz="0" w:space="0" w:color="auto"/>
        <w:bottom w:val="none" w:sz="0" w:space="0" w:color="auto"/>
        <w:right w:val="none" w:sz="0" w:space="0" w:color="auto"/>
      </w:divBdr>
    </w:div>
    <w:div w:id="1260062869">
      <w:bodyDiv w:val="1"/>
      <w:marLeft w:val="0"/>
      <w:marRight w:val="0"/>
      <w:marTop w:val="0"/>
      <w:marBottom w:val="0"/>
      <w:divBdr>
        <w:top w:val="none" w:sz="0" w:space="0" w:color="auto"/>
        <w:left w:val="none" w:sz="0" w:space="0" w:color="auto"/>
        <w:bottom w:val="none" w:sz="0" w:space="0" w:color="auto"/>
        <w:right w:val="none" w:sz="0" w:space="0" w:color="auto"/>
      </w:divBdr>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361322914">
      <w:bodyDiv w:val="1"/>
      <w:marLeft w:val="0"/>
      <w:marRight w:val="0"/>
      <w:marTop w:val="0"/>
      <w:marBottom w:val="0"/>
      <w:divBdr>
        <w:top w:val="none" w:sz="0" w:space="0" w:color="auto"/>
        <w:left w:val="none" w:sz="0" w:space="0" w:color="auto"/>
        <w:bottom w:val="none" w:sz="0" w:space="0" w:color="auto"/>
        <w:right w:val="none" w:sz="0" w:space="0" w:color="auto"/>
      </w:divBdr>
    </w:div>
    <w:div w:id="1461342411">
      <w:bodyDiv w:val="1"/>
      <w:marLeft w:val="0"/>
      <w:marRight w:val="0"/>
      <w:marTop w:val="0"/>
      <w:marBottom w:val="0"/>
      <w:divBdr>
        <w:top w:val="none" w:sz="0" w:space="0" w:color="auto"/>
        <w:left w:val="none" w:sz="0" w:space="0" w:color="auto"/>
        <w:bottom w:val="none" w:sz="0" w:space="0" w:color="auto"/>
        <w:right w:val="none" w:sz="0" w:space="0" w:color="auto"/>
      </w:divBdr>
    </w:div>
    <w:div w:id="1561474432">
      <w:bodyDiv w:val="1"/>
      <w:marLeft w:val="0"/>
      <w:marRight w:val="0"/>
      <w:marTop w:val="0"/>
      <w:marBottom w:val="0"/>
      <w:divBdr>
        <w:top w:val="none" w:sz="0" w:space="0" w:color="auto"/>
        <w:left w:val="none" w:sz="0" w:space="0" w:color="auto"/>
        <w:bottom w:val="none" w:sz="0" w:space="0" w:color="auto"/>
        <w:right w:val="none" w:sz="0" w:space="0" w:color="auto"/>
      </w:divBdr>
    </w:div>
    <w:div w:id="1586769621">
      <w:bodyDiv w:val="1"/>
      <w:marLeft w:val="0"/>
      <w:marRight w:val="0"/>
      <w:marTop w:val="0"/>
      <w:marBottom w:val="0"/>
      <w:divBdr>
        <w:top w:val="none" w:sz="0" w:space="0" w:color="auto"/>
        <w:left w:val="none" w:sz="0" w:space="0" w:color="auto"/>
        <w:bottom w:val="none" w:sz="0" w:space="0" w:color="auto"/>
        <w:right w:val="none" w:sz="0" w:space="0" w:color="auto"/>
      </w:divBdr>
    </w:div>
    <w:div w:id="1752576942">
      <w:bodyDiv w:val="1"/>
      <w:marLeft w:val="0"/>
      <w:marRight w:val="0"/>
      <w:marTop w:val="0"/>
      <w:marBottom w:val="0"/>
      <w:divBdr>
        <w:top w:val="none" w:sz="0" w:space="0" w:color="auto"/>
        <w:left w:val="none" w:sz="0" w:space="0" w:color="auto"/>
        <w:bottom w:val="none" w:sz="0" w:space="0" w:color="auto"/>
        <w:right w:val="none" w:sz="0" w:space="0" w:color="auto"/>
      </w:divBdr>
    </w:div>
    <w:div w:id="1841198011">
      <w:bodyDiv w:val="1"/>
      <w:marLeft w:val="0"/>
      <w:marRight w:val="0"/>
      <w:marTop w:val="0"/>
      <w:marBottom w:val="0"/>
      <w:divBdr>
        <w:top w:val="none" w:sz="0" w:space="0" w:color="auto"/>
        <w:left w:val="none" w:sz="0" w:space="0" w:color="auto"/>
        <w:bottom w:val="none" w:sz="0" w:space="0" w:color="auto"/>
        <w:right w:val="none" w:sz="0" w:space="0" w:color="auto"/>
      </w:divBdr>
    </w:div>
    <w:div w:id="1907916702">
      <w:bodyDiv w:val="1"/>
      <w:marLeft w:val="0"/>
      <w:marRight w:val="0"/>
      <w:marTop w:val="0"/>
      <w:marBottom w:val="0"/>
      <w:divBdr>
        <w:top w:val="none" w:sz="0" w:space="0" w:color="auto"/>
        <w:left w:val="none" w:sz="0" w:space="0" w:color="auto"/>
        <w:bottom w:val="none" w:sz="0" w:space="0" w:color="auto"/>
        <w:right w:val="none" w:sz="0" w:space="0" w:color="auto"/>
      </w:divBdr>
    </w:div>
    <w:div w:id="1915579628">
      <w:bodyDiv w:val="1"/>
      <w:marLeft w:val="0"/>
      <w:marRight w:val="0"/>
      <w:marTop w:val="0"/>
      <w:marBottom w:val="0"/>
      <w:divBdr>
        <w:top w:val="none" w:sz="0" w:space="0" w:color="auto"/>
        <w:left w:val="none" w:sz="0" w:space="0" w:color="auto"/>
        <w:bottom w:val="none" w:sz="0" w:space="0" w:color="auto"/>
        <w:right w:val="none" w:sz="0" w:space="0" w:color="auto"/>
      </w:divBdr>
    </w:div>
    <w:div w:id="203407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A1176-1AE9-9D46-930E-2465E8B2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1313</Words>
  <Characters>6829</Characters>
  <Application>Microsoft Office Word</Application>
  <DocSecurity>0</DocSecurity>
  <Lines>155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Lamensch</dc:creator>
  <cp:keywords/>
  <dc:description/>
  <cp:lastModifiedBy>Marie Lamensch</cp:lastModifiedBy>
  <cp:revision>2</cp:revision>
  <dcterms:created xsi:type="dcterms:W3CDTF">2022-12-01T14:55:00Z</dcterms:created>
  <dcterms:modified xsi:type="dcterms:W3CDTF">2022-12-01T14:55:00Z</dcterms:modified>
</cp:coreProperties>
</file>