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9CCAC" w14:textId="02EF2BF3" w:rsidR="00950962" w:rsidRPr="007C05E5" w:rsidRDefault="00950962" w:rsidP="00950962">
      <w:pPr>
        <w:jc w:val="center"/>
        <w:rPr>
          <w:rFonts w:ascii="Times New Roman" w:eastAsia="Times New Roman" w:hAnsi="Times New Roman" w:cs="Times New Roman"/>
          <w:b/>
          <w:bCs/>
          <w:color w:val="201F1E"/>
          <w:sz w:val="28"/>
          <w:szCs w:val="28"/>
          <w:shd w:val="clear" w:color="auto" w:fill="FFFFFF"/>
          <w:lang w:val="en-GB" w:eastAsia="fr-FR"/>
        </w:rPr>
      </w:pPr>
      <w:r w:rsidRPr="00950962">
        <w:rPr>
          <w:rFonts w:ascii="Times New Roman" w:eastAsia="Times New Roman" w:hAnsi="Times New Roman" w:cs="Times New Roman"/>
          <w:b/>
          <w:bCs/>
          <w:color w:val="201F1E"/>
          <w:sz w:val="28"/>
          <w:szCs w:val="28"/>
          <w:shd w:val="clear" w:color="auto" w:fill="FFFFFF"/>
          <w:lang w:val="en-GB" w:eastAsia="fr-FR"/>
        </w:rPr>
        <w:t xml:space="preserve">The </w:t>
      </w:r>
      <w:r w:rsidR="00355FC0">
        <w:rPr>
          <w:rFonts w:ascii="Times New Roman" w:eastAsia="Times New Roman" w:hAnsi="Times New Roman" w:cs="Times New Roman"/>
          <w:b/>
          <w:bCs/>
          <w:color w:val="201F1E"/>
          <w:sz w:val="28"/>
          <w:szCs w:val="28"/>
          <w:shd w:val="clear" w:color="auto" w:fill="FFFFFF"/>
          <w:lang w:val="en-GB" w:eastAsia="fr-FR"/>
        </w:rPr>
        <w:t>“</w:t>
      </w:r>
      <w:r w:rsidRPr="007C05E5">
        <w:rPr>
          <w:rFonts w:ascii="Times New Roman" w:eastAsia="Times New Roman" w:hAnsi="Times New Roman" w:cs="Times New Roman"/>
          <w:b/>
          <w:bCs/>
          <w:color w:val="201F1E"/>
          <w:sz w:val="28"/>
          <w:szCs w:val="28"/>
          <w:shd w:val="clear" w:color="auto" w:fill="FFFFFF"/>
          <w:lang w:val="en-GB" w:eastAsia="fr-FR"/>
        </w:rPr>
        <w:t xml:space="preserve">choice of the </w:t>
      </w:r>
      <w:r w:rsidR="007C05E5">
        <w:rPr>
          <w:rFonts w:ascii="Times New Roman" w:eastAsia="Times New Roman" w:hAnsi="Times New Roman" w:cs="Times New Roman"/>
          <w:b/>
          <w:bCs/>
          <w:color w:val="201F1E"/>
          <w:sz w:val="28"/>
          <w:szCs w:val="28"/>
          <w:shd w:val="clear" w:color="auto" w:fill="FFFFFF"/>
          <w:lang w:val="en-GB" w:eastAsia="fr-FR"/>
        </w:rPr>
        <w:t>Constituent</w:t>
      </w:r>
      <w:r w:rsidR="00355FC0">
        <w:rPr>
          <w:rFonts w:ascii="Times New Roman" w:eastAsia="Times New Roman" w:hAnsi="Times New Roman" w:cs="Times New Roman"/>
          <w:b/>
          <w:bCs/>
          <w:color w:val="201F1E"/>
          <w:sz w:val="28"/>
          <w:szCs w:val="28"/>
          <w:shd w:val="clear" w:color="auto" w:fill="FFFFFF"/>
          <w:lang w:val="en-GB" w:eastAsia="fr-FR"/>
        </w:rPr>
        <w:t>”</w:t>
      </w:r>
      <w:r w:rsidRPr="00950962">
        <w:rPr>
          <w:rFonts w:ascii="Times New Roman" w:eastAsia="Times New Roman" w:hAnsi="Times New Roman" w:cs="Times New Roman"/>
          <w:b/>
          <w:bCs/>
          <w:color w:val="201F1E"/>
          <w:sz w:val="28"/>
          <w:szCs w:val="28"/>
          <w:shd w:val="clear" w:color="auto" w:fill="FFFFFF"/>
          <w:lang w:val="en-GB" w:eastAsia="fr-FR"/>
        </w:rPr>
        <w:t xml:space="preserve"> in the </w:t>
      </w:r>
      <w:r w:rsidR="007C05E5">
        <w:rPr>
          <w:rFonts w:ascii="Times New Roman" w:eastAsia="Times New Roman" w:hAnsi="Times New Roman" w:cs="Times New Roman"/>
          <w:b/>
          <w:bCs/>
          <w:color w:val="201F1E"/>
          <w:sz w:val="28"/>
          <w:szCs w:val="28"/>
          <w:shd w:val="clear" w:color="auto" w:fill="FFFFFF"/>
          <w:lang w:val="en-GB" w:eastAsia="fr-FR"/>
        </w:rPr>
        <w:t>jurisprudence</w:t>
      </w:r>
      <w:r w:rsidRPr="00950962">
        <w:rPr>
          <w:rFonts w:ascii="Times New Roman" w:eastAsia="Times New Roman" w:hAnsi="Times New Roman" w:cs="Times New Roman"/>
          <w:b/>
          <w:bCs/>
          <w:color w:val="201F1E"/>
          <w:sz w:val="28"/>
          <w:szCs w:val="28"/>
          <w:shd w:val="clear" w:color="auto" w:fill="FFFFFF"/>
          <w:lang w:val="en-GB" w:eastAsia="fr-FR"/>
        </w:rPr>
        <w:t xml:space="preserve"> of the Belgian Constitutional Court</w:t>
      </w:r>
    </w:p>
    <w:p w14:paraId="4357C61C" w14:textId="4B78EDFC" w:rsidR="007C05E5" w:rsidRDefault="007C05E5" w:rsidP="007C05E5">
      <w:pPr>
        <w:jc w:val="right"/>
        <w:rPr>
          <w:rFonts w:ascii="Times New Roman" w:eastAsia="Times New Roman" w:hAnsi="Times New Roman" w:cs="Times New Roman"/>
          <w:color w:val="201F1E"/>
          <w:shd w:val="clear" w:color="auto" w:fill="FFFFFF"/>
          <w:lang w:val="en-GB" w:eastAsia="fr-FR"/>
        </w:rPr>
      </w:pPr>
    </w:p>
    <w:p w14:paraId="794EC644" w14:textId="77777777" w:rsidR="007C05E5" w:rsidRDefault="007C05E5" w:rsidP="007C05E5">
      <w:pPr>
        <w:jc w:val="right"/>
        <w:rPr>
          <w:rFonts w:ascii="Times New Roman" w:eastAsia="Times New Roman" w:hAnsi="Times New Roman" w:cs="Times New Roman"/>
          <w:color w:val="201F1E"/>
          <w:shd w:val="clear" w:color="auto" w:fill="FFFFFF"/>
          <w:lang w:val="en-GB" w:eastAsia="fr-FR"/>
        </w:rPr>
      </w:pPr>
    </w:p>
    <w:p w14:paraId="7C9101DE" w14:textId="1957F751" w:rsidR="00950962" w:rsidRPr="007C05E5" w:rsidRDefault="00950962" w:rsidP="007C05E5">
      <w:pPr>
        <w:jc w:val="right"/>
        <w:rPr>
          <w:rFonts w:ascii="Times New Roman" w:eastAsia="Times New Roman" w:hAnsi="Times New Roman" w:cs="Times New Roman"/>
          <w:color w:val="201F1E"/>
          <w:sz w:val="20"/>
          <w:szCs w:val="20"/>
          <w:shd w:val="clear" w:color="auto" w:fill="FFFFFF"/>
          <w:lang w:val="en-GB" w:eastAsia="fr-FR"/>
        </w:rPr>
      </w:pPr>
      <w:r w:rsidRPr="007C05E5">
        <w:rPr>
          <w:rFonts w:ascii="Times New Roman" w:eastAsia="Times New Roman" w:hAnsi="Times New Roman" w:cs="Times New Roman"/>
          <w:color w:val="201F1E"/>
          <w:sz w:val="20"/>
          <w:szCs w:val="20"/>
          <w:shd w:val="clear" w:color="auto" w:fill="FFFFFF"/>
          <w:lang w:val="en-GB" w:eastAsia="fr-FR"/>
        </w:rPr>
        <w:t>N. B. Bernard</w:t>
      </w:r>
    </w:p>
    <w:p w14:paraId="786B90E2" w14:textId="77777777" w:rsidR="007C05E5" w:rsidRPr="007C05E5" w:rsidRDefault="007C05E5" w:rsidP="007C05E5">
      <w:pPr>
        <w:jc w:val="right"/>
        <w:rPr>
          <w:rFonts w:ascii="Times New Roman" w:eastAsia="Times New Roman" w:hAnsi="Times New Roman" w:cs="Times New Roman"/>
          <w:i/>
          <w:iCs/>
          <w:color w:val="201F1E"/>
          <w:sz w:val="20"/>
          <w:szCs w:val="20"/>
          <w:shd w:val="clear" w:color="auto" w:fill="FFFFFF"/>
          <w:lang w:val="en-GB" w:eastAsia="fr-FR"/>
        </w:rPr>
      </w:pPr>
      <w:r w:rsidRPr="007C05E5">
        <w:rPr>
          <w:rFonts w:ascii="Times New Roman" w:eastAsia="Times New Roman" w:hAnsi="Times New Roman" w:cs="Times New Roman"/>
          <w:i/>
          <w:iCs/>
          <w:color w:val="201F1E"/>
          <w:sz w:val="20"/>
          <w:szCs w:val="20"/>
          <w:shd w:val="clear" w:color="auto" w:fill="FFFFFF"/>
          <w:lang w:val="en-GB" w:eastAsia="fr-FR"/>
        </w:rPr>
        <w:t>Law clerk at the Belgian Constitutional Court</w:t>
      </w:r>
    </w:p>
    <w:p w14:paraId="5EB79B6A" w14:textId="6FEF5410" w:rsidR="007C05E5" w:rsidRPr="007C05E5" w:rsidRDefault="007C05E5" w:rsidP="007C05E5">
      <w:pPr>
        <w:jc w:val="right"/>
        <w:rPr>
          <w:rFonts w:ascii="Times New Roman" w:eastAsia="Times New Roman" w:hAnsi="Times New Roman" w:cs="Times New Roman"/>
          <w:i/>
          <w:iCs/>
          <w:color w:val="201F1E"/>
          <w:sz w:val="20"/>
          <w:szCs w:val="20"/>
          <w:shd w:val="clear" w:color="auto" w:fill="FFFFFF"/>
          <w:lang w:val="en-GB" w:eastAsia="fr-FR"/>
        </w:rPr>
      </w:pPr>
      <w:r w:rsidRPr="007C05E5">
        <w:rPr>
          <w:rFonts w:ascii="Times New Roman" w:eastAsia="Times New Roman" w:hAnsi="Times New Roman" w:cs="Times New Roman"/>
          <w:i/>
          <w:iCs/>
          <w:color w:val="201F1E"/>
          <w:sz w:val="20"/>
          <w:szCs w:val="20"/>
          <w:shd w:val="clear" w:color="auto" w:fill="FFFFFF"/>
          <w:lang w:val="en-GB" w:eastAsia="fr-FR"/>
        </w:rPr>
        <w:t xml:space="preserve">Teaching assistant in Administrative Law in </w:t>
      </w:r>
      <w:proofErr w:type="spellStart"/>
      <w:r w:rsidRPr="007C05E5">
        <w:rPr>
          <w:rFonts w:ascii="Times New Roman" w:eastAsia="Times New Roman" w:hAnsi="Times New Roman" w:cs="Times New Roman"/>
          <w:i/>
          <w:iCs/>
          <w:color w:val="201F1E"/>
          <w:sz w:val="20"/>
          <w:szCs w:val="20"/>
          <w:shd w:val="clear" w:color="auto" w:fill="FFFFFF"/>
          <w:lang w:val="en-GB" w:eastAsia="fr-FR"/>
        </w:rPr>
        <w:t>Université</w:t>
      </w:r>
      <w:proofErr w:type="spellEnd"/>
      <w:r w:rsidRPr="007C05E5">
        <w:rPr>
          <w:rFonts w:ascii="Times New Roman" w:eastAsia="Times New Roman" w:hAnsi="Times New Roman" w:cs="Times New Roman"/>
          <w:i/>
          <w:iCs/>
          <w:color w:val="201F1E"/>
          <w:sz w:val="20"/>
          <w:szCs w:val="20"/>
          <w:shd w:val="clear" w:color="auto" w:fill="FFFFFF"/>
          <w:lang w:val="en-GB" w:eastAsia="fr-FR"/>
        </w:rPr>
        <w:t xml:space="preserve"> Saint-Louis – </w:t>
      </w:r>
      <w:proofErr w:type="spellStart"/>
      <w:r w:rsidRPr="007C05E5">
        <w:rPr>
          <w:rFonts w:ascii="Times New Roman" w:eastAsia="Times New Roman" w:hAnsi="Times New Roman" w:cs="Times New Roman"/>
          <w:i/>
          <w:iCs/>
          <w:color w:val="201F1E"/>
          <w:sz w:val="20"/>
          <w:szCs w:val="20"/>
          <w:shd w:val="clear" w:color="auto" w:fill="FFFFFF"/>
          <w:lang w:val="en-GB" w:eastAsia="fr-FR"/>
        </w:rPr>
        <w:t>Bruxelles</w:t>
      </w:r>
      <w:proofErr w:type="spellEnd"/>
      <w:r w:rsidRPr="007C05E5">
        <w:rPr>
          <w:rFonts w:ascii="Times New Roman" w:eastAsia="Times New Roman" w:hAnsi="Times New Roman" w:cs="Times New Roman"/>
          <w:i/>
          <w:iCs/>
          <w:color w:val="201F1E"/>
          <w:sz w:val="20"/>
          <w:szCs w:val="20"/>
          <w:shd w:val="clear" w:color="auto" w:fill="FFFFFF"/>
          <w:lang w:val="en-GB" w:eastAsia="fr-FR"/>
        </w:rPr>
        <w:t xml:space="preserve"> </w:t>
      </w:r>
    </w:p>
    <w:p w14:paraId="2801B3B4" w14:textId="7DDA53A3" w:rsidR="007C05E5" w:rsidRPr="007C05E5" w:rsidRDefault="007C05E5" w:rsidP="007C05E5">
      <w:pPr>
        <w:jc w:val="right"/>
        <w:rPr>
          <w:rFonts w:ascii="Times New Roman" w:eastAsia="Times New Roman" w:hAnsi="Times New Roman" w:cs="Times New Roman"/>
          <w:i/>
          <w:iCs/>
          <w:color w:val="201F1E"/>
          <w:sz w:val="20"/>
          <w:szCs w:val="20"/>
          <w:shd w:val="clear" w:color="auto" w:fill="FFFFFF"/>
          <w:lang w:eastAsia="fr-FR"/>
        </w:rPr>
      </w:pPr>
      <w:r w:rsidRPr="007C05E5">
        <w:rPr>
          <w:rFonts w:ascii="Times New Roman" w:eastAsia="Times New Roman" w:hAnsi="Times New Roman" w:cs="Times New Roman"/>
          <w:i/>
          <w:iCs/>
          <w:color w:val="201F1E"/>
          <w:sz w:val="20"/>
          <w:szCs w:val="20"/>
          <w:shd w:val="clear" w:color="auto" w:fill="FFFFFF"/>
          <w:lang w:eastAsia="fr-FR"/>
        </w:rPr>
        <w:t xml:space="preserve">Scientific </w:t>
      </w:r>
      <w:proofErr w:type="spellStart"/>
      <w:r w:rsidRPr="007C05E5">
        <w:rPr>
          <w:rFonts w:ascii="Times New Roman" w:eastAsia="Times New Roman" w:hAnsi="Times New Roman" w:cs="Times New Roman"/>
          <w:i/>
          <w:iCs/>
          <w:color w:val="201F1E"/>
          <w:sz w:val="20"/>
          <w:szCs w:val="20"/>
          <w:shd w:val="clear" w:color="auto" w:fill="FFFFFF"/>
          <w:lang w:eastAsia="fr-FR"/>
        </w:rPr>
        <w:t>associate</w:t>
      </w:r>
      <w:proofErr w:type="spellEnd"/>
      <w:r w:rsidRPr="007C05E5">
        <w:rPr>
          <w:rFonts w:ascii="Times New Roman" w:eastAsia="Times New Roman" w:hAnsi="Times New Roman" w:cs="Times New Roman"/>
          <w:i/>
          <w:iCs/>
          <w:color w:val="201F1E"/>
          <w:sz w:val="20"/>
          <w:szCs w:val="20"/>
          <w:shd w:val="clear" w:color="auto" w:fill="FFFFFF"/>
          <w:lang w:eastAsia="fr-FR"/>
        </w:rPr>
        <w:t xml:space="preserve"> at Université Catholique de Louvain</w:t>
      </w:r>
    </w:p>
    <w:p w14:paraId="6A1DB030" w14:textId="77777777" w:rsidR="007C05E5" w:rsidRPr="007C05E5" w:rsidRDefault="007C05E5" w:rsidP="007C05E5">
      <w:pPr>
        <w:jc w:val="right"/>
        <w:rPr>
          <w:rFonts w:ascii="Times New Roman" w:eastAsia="Times New Roman" w:hAnsi="Times New Roman" w:cs="Times New Roman"/>
          <w:color w:val="201F1E"/>
          <w:shd w:val="clear" w:color="auto" w:fill="FFFFFF"/>
          <w:lang w:eastAsia="fr-FR"/>
        </w:rPr>
      </w:pPr>
    </w:p>
    <w:p w14:paraId="1E45A277" w14:textId="5E192A38" w:rsidR="00950962" w:rsidRDefault="00950962" w:rsidP="00950962">
      <w:pPr>
        <w:jc w:val="center"/>
        <w:rPr>
          <w:rFonts w:ascii="Times New Roman" w:eastAsia="Times New Roman" w:hAnsi="Times New Roman" w:cs="Times New Roman"/>
          <w:color w:val="201F1E"/>
          <w:shd w:val="clear" w:color="auto" w:fill="FFFFFF"/>
          <w:lang w:eastAsia="fr-FR"/>
        </w:rPr>
      </w:pPr>
    </w:p>
    <w:p w14:paraId="06758894" w14:textId="77777777" w:rsidR="007C05E5" w:rsidRPr="007C05E5" w:rsidRDefault="007C05E5" w:rsidP="00950962">
      <w:pPr>
        <w:jc w:val="center"/>
        <w:rPr>
          <w:rFonts w:ascii="Times New Roman" w:eastAsia="Times New Roman" w:hAnsi="Times New Roman" w:cs="Times New Roman"/>
          <w:color w:val="201F1E"/>
          <w:shd w:val="clear" w:color="auto" w:fill="FFFFFF"/>
          <w:lang w:eastAsia="fr-FR"/>
        </w:rPr>
      </w:pPr>
    </w:p>
    <w:p w14:paraId="02721B77" w14:textId="77777777" w:rsidR="00950962" w:rsidRPr="007C05E5" w:rsidRDefault="00950962" w:rsidP="00950962">
      <w:pPr>
        <w:jc w:val="center"/>
        <w:rPr>
          <w:rFonts w:ascii="Times New Roman" w:eastAsia="Times New Roman" w:hAnsi="Times New Roman" w:cs="Times New Roman"/>
          <w:color w:val="201F1E"/>
          <w:shd w:val="clear" w:color="auto" w:fill="FFFFFF"/>
          <w:lang w:eastAsia="fr-FR"/>
        </w:rPr>
      </w:pPr>
    </w:p>
    <w:p w14:paraId="0C2803BA" w14:textId="150A85A3" w:rsidR="00950962" w:rsidRPr="00950962" w:rsidRDefault="00950962" w:rsidP="00950962">
      <w:pPr>
        <w:rPr>
          <w:rFonts w:ascii="Times New Roman" w:eastAsia="Times New Roman" w:hAnsi="Times New Roman" w:cs="Times New Roman"/>
          <w:b/>
          <w:bCs/>
          <w:u w:val="single"/>
          <w:lang w:val="en-GB" w:eastAsia="fr-FR"/>
        </w:rPr>
      </w:pPr>
      <w:r w:rsidRPr="007C05E5">
        <w:rPr>
          <w:rFonts w:ascii="Times New Roman" w:eastAsia="Times New Roman" w:hAnsi="Times New Roman" w:cs="Times New Roman"/>
          <w:b/>
          <w:bCs/>
          <w:color w:val="201F1E"/>
          <w:u w:val="single"/>
          <w:shd w:val="clear" w:color="auto" w:fill="FFFFFF"/>
          <w:lang w:val="en-GB" w:eastAsia="fr-FR"/>
        </w:rPr>
        <w:t xml:space="preserve">Introduction </w:t>
      </w:r>
    </w:p>
    <w:p w14:paraId="38A9A65D" w14:textId="6E9444BF" w:rsidR="00950962" w:rsidRPr="007C05E5" w:rsidRDefault="00950962">
      <w:pPr>
        <w:rPr>
          <w:rFonts w:ascii="Times New Roman" w:hAnsi="Times New Roman" w:cs="Times New Roman"/>
          <w:lang w:val="en-GB"/>
        </w:rPr>
      </w:pPr>
    </w:p>
    <w:p w14:paraId="498A2000" w14:textId="257CB60F"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1.</w:t>
      </w:r>
      <w:r w:rsidRPr="007C05E5">
        <w:rPr>
          <w:rFonts w:ascii="Times New Roman" w:hAnsi="Times New Roman" w:cs="Times New Roman"/>
          <w:lang w:val="en-GB"/>
        </w:rPr>
        <w:t xml:space="preserve"> In the Middle Ages and under the </w:t>
      </w:r>
      <w:proofErr w:type="spellStart"/>
      <w:r w:rsidRPr="007C05E5">
        <w:rPr>
          <w:rFonts w:ascii="Times New Roman" w:hAnsi="Times New Roman" w:cs="Times New Roman"/>
          <w:lang w:val="en-GB"/>
        </w:rPr>
        <w:t>Ancien</w:t>
      </w:r>
      <w:proofErr w:type="spellEnd"/>
      <w:r w:rsidRPr="007C05E5">
        <w:rPr>
          <w:rFonts w:ascii="Times New Roman" w:hAnsi="Times New Roman" w:cs="Times New Roman"/>
          <w:lang w:val="en-GB"/>
        </w:rPr>
        <w:t xml:space="preserve"> </w:t>
      </w:r>
      <w:proofErr w:type="spellStart"/>
      <w:r w:rsidRPr="007C05E5">
        <w:rPr>
          <w:rFonts w:ascii="Times New Roman" w:hAnsi="Times New Roman" w:cs="Times New Roman"/>
          <w:lang w:val="en-GB"/>
        </w:rPr>
        <w:t>Régime</w:t>
      </w:r>
      <w:proofErr w:type="spellEnd"/>
      <w:r w:rsidRPr="007C05E5">
        <w:rPr>
          <w:rFonts w:ascii="Times New Roman" w:hAnsi="Times New Roman" w:cs="Times New Roman"/>
          <w:lang w:val="en-GB"/>
        </w:rPr>
        <w:t xml:space="preserve"> in France, the expression </w:t>
      </w:r>
      <w:r w:rsidR="007C05E5">
        <w:rPr>
          <w:rFonts w:ascii="Times New Roman" w:hAnsi="Times New Roman" w:cs="Times New Roman"/>
          <w:lang w:val="en-GB"/>
        </w:rPr>
        <w:t>“</w:t>
      </w:r>
      <w:r w:rsidRPr="007C05E5">
        <w:rPr>
          <w:rFonts w:ascii="Times New Roman" w:hAnsi="Times New Roman" w:cs="Times New Roman"/>
          <w:i/>
          <w:iCs/>
          <w:lang w:val="en-GB"/>
        </w:rPr>
        <w:t>lit de justice</w:t>
      </w:r>
      <w:r w:rsidR="007C05E5">
        <w:rPr>
          <w:rFonts w:ascii="Times New Roman" w:hAnsi="Times New Roman" w:cs="Times New Roman"/>
          <w:lang w:val="en-GB"/>
        </w:rPr>
        <w:t>”</w:t>
      </w:r>
      <w:r w:rsidRPr="007C05E5">
        <w:rPr>
          <w:rFonts w:ascii="Times New Roman" w:hAnsi="Times New Roman" w:cs="Times New Roman"/>
          <w:lang w:val="en-GB"/>
        </w:rPr>
        <w:t xml:space="preserve"> </w:t>
      </w:r>
      <w:r w:rsidR="007C05E5">
        <w:rPr>
          <w:rFonts w:ascii="Times New Roman" w:hAnsi="Times New Roman" w:cs="Times New Roman"/>
          <w:lang w:val="en-GB"/>
        </w:rPr>
        <w:t xml:space="preserve">– literally, </w:t>
      </w:r>
      <w:r w:rsidR="00733563">
        <w:rPr>
          <w:rFonts w:ascii="Times New Roman" w:hAnsi="Times New Roman" w:cs="Times New Roman"/>
          <w:lang w:val="en-GB"/>
        </w:rPr>
        <w:t>“</w:t>
      </w:r>
      <w:r w:rsidR="007C05E5">
        <w:rPr>
          <w:rFonts w:ascii="Times New Roman" w:hAnsi="Times New Roman" w:cs="Times New Roman"/>
          <w:lang w:val="en-GB"/>
        </w:rPr>
        <w:t>bed of justice</w:t>
      </w:r>
      <w:r w:rsidR="00733563">
        <w:rPr>
          <w:rFonts w:ascii="Times New Roman" w:hAnsi="Times New Roman" w:cs="Times New Roman"/>
          <w:lang w:val="en-GB"/>
        </w:rPr>
        <w:t>”</w:t>
      </w:r>
      <w:r w:rsidR="007C05E5">
        <w:rPr>
          <w:rFonts w:ascii="Times New Roman" w:hAnsi="Times New Roman" w:cs="Times New Roman"/>
          <w:lang w:val="en-GB"/>
        </w:rPr>
        <w:t xml:space="preserve"> – </w:t>
      </w:r>
      <w:r w:rsidRPr="007C05E5">
        <w:rPr>
          <w:rFonts w:ascii="Times New Roman" w:hAnsi="Times New Roman" w:cs="Times New Roman"/>
          <w:lang w:val="en-GB"/>
        </w:rPr>
        <w:t xml:space="preserve">referred to the technique whereby the </w:t>
      </w:r>
      <w:r w:rsidR="007C05E5">
        <w:rPr>
          <w:rFonts w:ascii="Times New Roman" w:hAnsi="Times New Roman" w:cs="Times New Roman"/>
          <w:lang w:val="en-GB"/>
        </w:rPr>
        <w:t>King</w:t>
      </w:r>
      <w:r w:rsidRPr="007C05E5">
        <w:rPr>
          <w:rFonts w:ascii="Times New Roman" w:hAnsi="Times New Roman" w:cs="Times New Roman"/>
          <w:lang w:val="en-GB"/>
        </w:rPr>
        <w:t xml:space="preserve"> went in person to the various </w:t>
      </w:r>
      <w:r w:rsidR="00270F2A">
        <w:rPr>
          <w:rFonts w:ascii="Times New Roman" w:hAnsi="Times New Roman" w:cs="Times New Roman"/>
          <w:lang w:val="en-GB"/>
        </w:rPr>
        <w:t>p</w:t>
      </w:r>
      <w:r w:rsidRPr="007C05E5">
        <w:rPr>
          <w:rFonts w:ascii="Times New Roman" w:hAnsi="Times New Roman" w:cs="Times New Roman"/>
          <w:lang w:val="en-GB"/>
        </w:rPr>
        <w:t xml:space="preserve">arliaments to order to register an ordinance that had been refused by the </w:t>
      </w:r>
      <w:r w:rsidR="00270F2A">
        <w:rPr>
          <w:rFonts w:ascii="Times New Roman" w:hAnsi="Times New Roman" w:cs="Times New Roman"/>
          <w:lang w:val="en-GB"/>
        </w:rPr>
        <w:t>assembly</w:t>
      </w:r>
      <w:r w:rsidRPr="007C05E5">
        <w:rPr>
          <w:rFonts w:ascii="Times New Roman" w:hAnsi="Times New Roman" w:cs="Times New Roman"/>
          <w:lang w:val="en-GB"/>
        </w:rPr>
        <w:t xml:space="preserve"> concerned. In this way, the </w:t>
      </w:r>
      <w:r w:rsidR="007C05E5">
        <w:rPr>
          <w:rFonts w:ascii="Times New Roman" w:hAnsi="Times New Roman" w:cs="Times New Roman"/>
          <w:lang w:val="en-GB"/>
        </w:rPr>
        <w:t>Roy</w:t>
      </w:r>
      <w:r w:rsidRPr="007C05E5">
        <w:rPr>
          <w:rFonts w:ascii="Times New Roman" w:hAnsi="Times New Roman" w:cs="Times New Roman"/>
          <w:lang w:val="en-GB"/>
        </w:rPr>
        <w:t xml:space="preserve"> overrode the opposition of the body and imposed his will</w:t>
      </w:r>
      <w:r w:rsidRPr="007C05E5">
        <w:rPr>
          <w:rStyle w:val="Appelnotedebasdep"/>
          <w:rFonts w:ascii="Times New Roman" w:hAnsi="Times New Roman" w:cs="Times New Roman"/>
        </w:rPr>
        <w:footnoteReference w:id="1"/>
      </w:r>
      <w:r w:rsidRPr="007C05E5">
        <w:rPr>
          <w:rFonts w:ascii="Times New Roman" w:hAnsi="Times New Roman" w:cs="Times New Roman"/>
          <w:lang w:val="en-GB"/>
        </w:rPr>
        <w:t xml:space="preserve">. In the 20th century, the term </w:t>
      </w:r>
      <w:r w:rsidR="00270F2A">
        <w:rPr>
          <w:rFonts w:ascii="Times New Roman" w:hAnsi="Times New Roman" w:cs="Times New Roman"/>
          <w:lang w:val="en-GB"/>
        </w:rPr>
        <w:t>“</w:t>
      </w:r>
      <w:r w:rsidRPr="007C05E5">
        <w:rPr>
          <w:rFonts w:ascii="Times New Roman" w:hAnsi="Times New Roman" w:cs="Times New Roman"/>
          <w:lang w:val="en-GB"/>
        </w:rPr>
        <w:t>lit de justice</w:t>
      </w:r>
      <w:r w:rsidR="00270F2A">
        <w:rPr>
          <w:rFonts w:ascii="Times New Roman" w:hAnsi="Times New Roman" w:cs="Times New Roman"/>
          <w:lang w:val="en-GB"/>
        </w:rPr>
        <w:t>”</w:t>
      </w:r>
      <w:r w:rsidRPr="007C05E5">
        <w:rPr>
          <w:rFonts w:ascii="Times New Roman" w:hAnsi="Times New Roman" w:cs="Times New Roman"/>
          <w:lang w:val="en-GB"/>
        </w:rPr>
        <w:t xml:space="preserve"> was used to designate the hypothesis that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power would invalidate a decision of a constitutional court </w:t>
      </w:r>
      <w:r w:rsidRPr="007C05E5">
        <w:rPr>
          <w:rFonts w:ascii="Times New Roman" w:hAnsi="Times New Roman" w:cs="Times New Roman"/>
          <w:i/>
          <w:iCs/>
          <w:lang w:val="en-GB"/>
        </w:rPr>
        <w:t>a posteriori</w:t>
      </w:r>
      <w:r w:rsidRPr="007C05E5">
        <w:rPr>
          <w:rFonts w:ascii="Times New Roman" w:hAnsi="Times New Roman" w:cs="Times New Roman"/>
          <w:lang w:val="en-GB"/>
        </w:rPr>
        <w:t xml:space="preserve"> by revising the Constitution in the opposite direction. As George </w:t>
      </w:r>
      <w:proofErr w:type="spellStart"/>
      <w:r w:rsidRPr="007C05E5">
        <w:rPr>
          <w:rFonts w:ascii="Times New Roman" w:hAnsi="Times New Roman" w:cs="Times New Roman"/>
          <w:lang w:val="en-GB"/>
        </w:rPr>
        <w:t>Vedel</w:t>
      </w:r>
      <w:proofErr w:type="spellEnd"/>
      <w:r w:rsidRPr="007C05E5">
        <w:rPr>
          <w:rFonts w:ascii="Times New Roman" w:hAnsi="Times New Roman" w:cs="Times New Roman"/>
          <w:lang w:val="en-GB"/>
        </w:rPr>
        <w:t xml:space="preserve"> writes, </w:t>
      </w:r>
      <w:r w:rsidR="007C05E5">
        <w:rPr>
          <w:rFonts w:ascii="Times New Roman" w:hAnsi="Times New Roman" w:cs="Times New Roman"/>
          <w:lang w:val="en-GB"/>
        </w:rPr>
        <w:t>“</w:t>
      </w:r>
      <w:r w:rsidRPr="007C05E5">
        <w:rPr>
          <w:rFonts w:ascii="Times New Roman" w:hAnsi="Times New Roman" w:cs="Times New Roman"/>
          <w:lang w:val="en-GB"/>
        </w:rPr>
        <w:t xml:space="preserve">to those who complain that the law passed by the representatives of the Nation is not as sovereign as the Nation itself, the answer is that 'the law expresses the general will only in compliance with the Constitution'. This formula justifies constitutionality review, but it only has this virtue because it implies that the obstacle that the law meets in the Constitution can be removed by the sovereign people or their representatives if they resort to the supreme mode of expression: constitutional revision. If the judges do not govern, it is because, at any moment, the sovereign, on condition that he appears in majesty as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can, in a sort of </w:t>
      </w:r>
      <w:r w:rsidRPr="007C05E5">
        <w:rPr>
          <w:rFonts w:ascii="Times New Roman" w:hAnsi="Times New Roman" w:cs="Times New Roman"/>
          <w:i/>
          <w:iCs/>
          <w:lang w:val="en-GB"/>
        </w:rPr>
        <w:t>lit de justice</w:t>
      </w:r>
      <w:r w:rsidRPr="007C05E5">
        <w:rPr>
          <w:rFonts w:ascii="Times New Roman" w:hAnsi="Times New Roman" w:cs="Times New Roman"/>
          <w:lang w:val="en-GB"/>
        </w:rPr>
        <w:t>, break their judgments</w:t>
      </w:r>
      <w:r w:rsidR="007C05E5">
        <w:rPr>
          <w:rFonts w:ascii="Times New Roman" w:hAnsi="Times New Roman" w:cs="Times New Roman"/>
          <w:lang w:val="en-GB"/>
        </w:rPr>
        <w:t>”</w:t>
      </w:r>
      <w:r w:rsidRPr="007C05E5">
        <w:rPr>
          <w:rStyle w:val="Appelnotedebasdep"/>
          <w:rFonts w:ascii="Times New Roman" w:hAnsi="Times New Roman" w:cs="Times New Roman"/>
        </w:rPr>
        <w:footnoteReference w:id="2"/>
      </w:r>
      <w:r w:rsidRPr="007C05E5">
        <w:rPr>
          <w:rFonts w:ascii="Times New Roman" w:hAnsi="Times New Roman" w:cs="Times New Roman"/>
          <w:lang w:val="en-GB"/>
        </w:rPr>
        <w:t xml:space="preserve">. </w:t>
      </w:r>
    </w:p>
    <w:p w14:paraId="52FA7B7D" w14:textId="77777777" w:rsidR="00950962" w:rsidRPr="007C05E5" w:rsidRDefault="00950962" w:rsidP="00950962">
      <w:pPr>
        <w:rPr>
          <w:rFonts w:ascii="Times New Roman" w:hAnsi="Times New Roman" w:cs="Times New Roman"/>
          <w:lang w:val="en-GB"/>
        </w:rPr>
      </w:pPr>
    </w:p>
    <w:p w14:paraId="6E603BEE" w14:textId="5B0F45C7"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 xml:space="preserve">The case law of the Constitutional Court on the choices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which is the subject of this study, refers to a similar procedure, in a </w:t>
      </w:r>
      <w:r w:rsidRPr="007C05E5">
        <w:rPr>
          <w:rFonts w:ascii="Times New Roman" w:hAnsi="Times New Roman" w:cs="Times New Roman"/>
          <w:i/>
          <w:iCs/>
          <w:lang w:val="en-GB"/>
        </w:rPr>
        <w:t>preventive</w:t>
      </w:r>
      <w:r w:rsidRPr="007C05E5">
        <w:rPr>
          <w:rFonts w:ascii="Times New Roman" w:hAnsi="Times New Roman" w:cs="Times New Roman"/>
          <w:lang w:val="en-GB"/>
        </w:rPr>
        <w:t xml:space="preserve"> form: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sometimes immunises a law that he designates, in the preparatory work for constitutional revision, from any subsequent constitutional review. In this case, the </w:t>
      </w:r>
      <w:r w:rsidR="00270F2A">
        <w:rPr>
          <w:rFonts w:ascii="Times New Roman" w:hAnsi="Times New Roman" w:cs="Times New Roman"/>
          <w:lang w:val="en-GB"/>
        </w:rPr>
        <w:t>Constituent power</w:t>
      </w:r>
      <w:r w:rsidRPr="007C05E5">
        <w:rPr>
          <w:rFonts w:ascii="Times New Roman" w:hAnsi="Times New Roman" w:cs="Times New Roman"/>
          <w:lang w:val="en-GB"/>
        </w:rPr>
        <w:t xml:space="preserve"> acts as a kind of </w:t>
      </w:r>
      <w:r w:rsidRPr="007C05E5">
        <w:rPr>
          <w:rFonts w:ascii="Times New Roman" w:hAnsi="Times New Roman" w:cs="Times New Roman"/>
          <w:i/>
          <w:iCs/>
          <w:lang w:val="en-GB"/>
        </w:rPr>
        <w:t>preventive</w:t>
      </w:r>
      <w:r w:rsidRPr="007C05E5">
        <w:rPr>
          <w:rFonts w:ascii="Times New Roman" w:hAnsi="Times New Roman" w:cs="Times New Roman"/>
          <w:lang w:val="en-GB"/>
        </w:rPr>
        <w:t xml:space="preserve"> </w:t>
      </w:r>
      <w:r w:rsidR="007C05E5" w:rsidRPr="007C05E5">
        <w:rPr>
          <w:rFonts w:ascii="Times New Roman" w:hAnsi="Times New Roman" w:cs="Times New Roman"/>
          <w:i/>
          <w:iCs/>
          <w:lang w:val="en-GB"/>
        </w:rPr>
        <w:t>lit de justice</w:t>
      </w:r>
      <w:r w:rsidRPr="007C05E5">
        <w:rPr>
          <w:rFonts w:ascii="Times New Roman" w:hAnsi="Times New Roman" w:cs="Times New Roman"/>
          <w:lang w:val="en-GB"/>
        </w:rPr>
        <w:t xml:space="preserve">. As a result, the Constitutional Court bows to this legislative provision, on the grounds that it takes up a </w:t>
      </w:r>
      <w:r w:rsidR="00270F2A">
        <w:rPr>
          <w:rFonts w:ascii="Times New Roman" w:hAnsi="Times New Roman" w:cs="Times New Roman"/>
          <w:lang w:val="en-GB"/>
        </w:rPr>
        <w:t>“</w:t>
      </w:r>
      <w:r w:rsidRPr="007C05E5">
        <w:rPr>
          <w:rFonts w:ascii="Times New Roman" w:hAnsi="Times New Roman" w:cs="Times New Roman"/>
          <w:lang w:val="en-GB"/>
        </w:rPr>
        <w:t xml:space="preserve">choice of the </w:t>
      </w:r>
      <w:r w:rsidR="007C05E5">
        <w:rPr>
          <w:rFonts w:ascii="Times New Roman" w:hAnsi="Times New Roman" w:cs="Times New Roman"/>
          <w:lang w:val="en-GB"/>
        </w:rPr>
        <w:t>Constituent</w:t>
      </w:r>
      <w:r w:rsidR="00270F2A">
        <w:rPr>
          <w:rFonts w:ascii="Times New Roman" w:hAnsi="Times New Roman" w:cs="Times New Roman"/>
          <w:lang w:val="en-GB"/>
        </w:rPr>
        <w:t>”</w:t>
      </w:r>
      <w:r w:rsidRPr="007C05E5">
        <w:rPr>
          <w:rFonts w:ascii="Times New Roman" w:hAnsi="Times New Roman" w:cs="Times New Roman"/>
          <w:lang w:val="en-GB"/>
        </w:rPr>
        <w:t xml:space="preserve">. Before returning to this case law in detail, it is appropriate to set out certain conceptual </w:t>
      </w:r>
      <w:r w:rsidR="007C05E5">
        <w:rPr>
          <w:rFonts w:ascii="Times New Roman" w:hAnsi="Times New Roman" w:cs="Times New Roman"/>
          <w:lang w:val="en-GB"/>
        </w:rPr>
        <w:t>guidelines</w:t>
      </w:r>
      <w:r w:rsidRPr="007C05E5">
        <w:rPr>
          <w:rFonts w:ascii="Times New Roman" w:hAnsi="Times New Roman" w:cs="Times New Roman"/>
          <w:lang w:val="en-GB"/>
        </w:rPr>
        <w:t xml:space="preserve"> (I). Based on these theoretical benchmarks, we will analyse the development of this case law (II) as well as, on the one hand, the inconsistencies that it generates (III) and, on the other hand, the consequences that it implies for the functioning of the rule of law (IV). </w:t>
      </w:r>
    </w:p>
    <w:p w14:paraId="7CE80B46" w14:textId="77777777" w:rsidR="00950962" w:rsidRPr="007C05E5" w:rsidRDefault="00950962" w:rsidP="00950962">
      <w:pPr>
        <w:rPr>
          <w:rFonts w:ascii="Times New Roman" w:hAnsi="Times New Roman" w:cs="Times New Roman"/>
          <w:lang w:val="en-GB"/>
        </w:rPr>
      </w:pPr>
    </w:p>
    <w:p w14:paraId="491E4D26" w14:textId="7D57FD8A" w:rsidR="00950962" w:rsidRPr="007C05E5" w:rsidRDefault="00950962" w:rsidP="00950962">
      <w:pPr>
        <w:rPr>
          <w:rFonts w:ascii="Times New Roman" w:hAnsi="Times New Roman" w:cs="Times New Roman"/>
          <w:b/>
          <w:bCs/>
          <w:u w:val="single"/>
          <w:lang w:val="en-GB"/>
        </w:rPr>
      </w:pPr>
      <w:r w:rsidRPr="007C05E5">
        <w:rPr>
          <w:rFonts w:ascii="Times New Roman" w:hAnsi="Times New Roman" w:cs="Times New Roman"/>
          <w:b/>
          <w:bCs/>
          <w:u w:val="single"/>
          <w:lang w:val="en-GB"/>
        </w:rPr>
        <w:t>I. Some preliminary observations on the scope of the Court's review</w:t>
      </w:r>
    </w:p>
    <w:p w14:paraId="3D0BE357" w14:textId="4404F00A" w:rsidR="00950962" w:rsidRPr="007C05E5" w:rsidRDefault="00950962" w:rsidP="00950962">
      <w:pPr>
        <w:rPr>
          <w:rFonts w:ascii="Times New Roman" w:hAnsi="Times New Roman" w:cs="Times New Roman"/>
          <w:lang w:val="en-GB"/>
        </w:rPr>
      </w:pPr>
    </w:p>
    <w:p w14:paraId="32991CFF" w14:textId="36455FC8"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2.</w:t>
      </w:r>
      <w:r w:rsidRPr="007C05E5">
        <w:rPr>
          <w:rFonts w:ascii="Times New Roman" w:hAnsi="Times New Roman" w:cs="Times New Roman"/>
          <w:lang w:val="en-GB"/>
        </w:rPr>
        <w:t xml:space="preserve"> The Belgian Constitutional Court is charged, by virtue of Article 142 of the Constitution and Articles 1 and 26 of the </w:t>
      </w:r>
      <w:r w:rsidR="001950CC">
        <w:rPr>
          <w:rFonts w:ascii="Times New Roman" w:hAnsi="Times New Roman" w:cs="Times New Roman"/>
          <w:lang w:val="en-GB"/>
        </w:rPr>
        <w:t>s</w:t>
      </w:r>
      <w:r w:rsidRPr="007C05E5">
        <w:rPr>
          <w:rFonts w:ascii="Times New Roman" w:hAnsi="Times New Roman" w:cs="Times New Roman"/>
          <w:lang w:val="en-GB"/>
        </w:rPr>
        <w:t>pecial</w:t>
      </w:r>
      <w:r w:rsidR="001950CC">
        <w:rPr>
          <w:rFonts w:ascii="Times New Roman" w:hAnsi="Times New Roman" w:cs="Times New Roman"/>
          <w:lang w:val="en-GB"/>
        </w:rPr>
        <w:t xml:space="preserve"> law</w:t>
      </w:r>
      <w:r w:rsidRPr="007C05E5">
        <w:rPr>
          <w:rFonts w:ascii="Times New Roman" w:hAnsi="Times New Roman" w:cs="Times New Roman"/>
          <w:lang w:val="en-GB"/>
        </w:rPr>
        <w:t xml:space="preserve"> of 6 January 1989 on the Constitutional Court</w:t>
      </w:r>
      <w:r w:rsidRPr="007C05E5">
        <w:rPr>
          <w:rStyle w:val="Appelnotedebasdep"/>
          <w:rFonts w:ascii="Times New Roman" w:hAnsi="Times New Roman" w:cs="Times New Roman"/>
        </w:rPr>
        <w:footnoteReference w:id="3"/>
      </w:r>
      <w:r w:rsidRPr="007C05E5">
        <w:rPr>
          <w:rFonts w:ascii="Times New Roman" w:hAnsi="Times New Roman" w:cs="Times New Roman"/>
          <w:lang w:val="en-GB"/>
        </w:rPr>
        <w:t xml:space="preserve">, with the </w:t>
      </w:r>
      <w:r w:rsidR="00270F2A">
        <w:rPr>
          <w:rFonts w:ascii="Times New Roman" w:hAnsi="Times New Roman" w:cs="Times New Roman"/>
          <w:lang w:val="en-GB"/>
        </w:rPr>
        <w:lastRenderedPageBreak/>
        <w:t xml:space="preserve">constitutional </w:t>
      </w:r>
      <w:r w:rsidRPr="007C05E5">
        <w:rPr>
          <w:rFonts w:ascii="Times New Roman" w:hAnsi="Times New Roman" w:cs="Times New Roman"/>
          <w:lang w:val="en-GB"/>
        </w:rPr>
        <w:t>review of legislative provisions adopted by the federal authority and the federated entities</w:t>
      </w:r>
      <w:r w:rsidR="001950CC">
        <w:rPr>
          <w:rStyle w:val="Appelnotedebasdep"/>
          <w:rFonts w:ascii="Times New Roman" w:hAnsi="Times New Roman" w:cs="Times New Roman"/>
          <w:lang w:val="en-GB"/>
        </w:rPr>
        <w:footnoteReference w:id="4"/>
      </w:r>
      <w:r w:rsidRPr="007C05E5">
        <w:rPr>
          <w:rFonts w:ascii="Times New Roman" w:hAnsi="Times New Roman" w:cs="Times New Roman"/>
          <w:lang w:val="en-GB"/>
        </w:rPr>
        <w:t>. This is its main task</w:t>
      </w:r>
      <w:r w:rsidRPr="007C05E5">
        <w:rPr>
          <w:rStyle w:val="Appelnotedebasdep"/>
          <w:rFonts w:ascii="Times New Roman" w:hAnsi="Times New Roman" w:cs="Times New Roman"/>
        </w:rPr>
        <w:footnoteReference w:id="5"/>
      </w:r>
      <w:r w:rsidRPr="007C05E5">
        <w:rPr>
          <w:rFonts w:ascii="Times New Roman" w:hAnsi="Times New Roman" w:cs="Times New Roman"/>
          <w:lang w:val="en-GB"/>
        </w:rPr>
        <w:t>. At the same time, the Court considers that the provisions of the Constitution as well as the acts of the administrative authorities are not subject to its control. Regarding constitutional provisions</w:t>
      </w:r>
      <w:r w:rsidRPr="007C05E5">
        <w:rPr>
          <w:rStyle w:val="Appelnotedebasdep"/>
          <w:rFonts w:ascii="Times New Roman" w:hAnsi="Times New Roman" w:cs="Times New Roman"/>
        </w:rPr>
        <w:footnoteReference w:id="6"/>
      </w:r>
      <w:r w:rsidRPr="007C05E5">
        <w:rPr>
          <w:rFonts w:ascii="Times New Roman" w:hAnsi="Times New Roman" w:cs="Times New Roman"/>
          <w:lang w:val="en-GB"/>
        </w:rPr>
        <w:t>, it considers that “neither Article 1 of the special law of 6 January 1989 on the [Constitutional Court] nor any other constitutional or legislative provision confers on the Court the power to verify whether a constitutional article has been adopted in compliance with the conditions laid down in Article [195] of the Constitution</w:t>
      </w:r>
      <w:r w:rsidRPr="007C05E5">
        <w:rPr>
          <w:rStyle w:val="Appelnotedebasdep"/>
          <w:rFonts w:ascii="Times New Roman" w:hAnsi="Times New Roman" w:cs="Times New Roman"/>
        </w:rPr>
        <w:footnoteReference w:id="7"/>
      </w:r>
      <w:r w:rsidRPr="007C05E5">
        <w:rPr>
          <w:rFonts w:ascii="Times New Roman" w:hAnsi="Times New Roman" w:cs="Times New Roman"/>
          <w:lang w:val="en-GB"/>
        </w:rPr>
        <w:t xml:space="preserve"> or to rule on an appeal to annul a constitutional article”</w:t>
      </w:r>
      <w:r w:rsidRPr="007C05E5">
        <w:rPr>
          <w:rStyle w:val="Appelnotedebasdep"/>
          <w:rFonts w:ascii="Times New Roman" w:hAnsi="Times New Roman" w:cs="Times New Roman"/>
          <w:lang w:val="en-US"/>
        </w:rPr>
        <w:t xml:space="preserve"> </w:t>
      </w:r>
      <w:r w:rsidRPr="007C05E5">
        <w:rPr>
          <w:rStyle w:val="Appelnotedebasdep"/>
          <w:rFonts w:ascii="Times New Roman" w:hAnsi="Times New Roman" w:cs="Times New Roman"/>
        </w:rPr>
        <w:footnoteReference w:id="8"/>
      </w:r>
      <w:r w:rsidRPr="007C05E5">
        <w:rPr>
          <w:rFonts w:ascii="Times New Roman" w:hAnsi="Times New Roman" w:cs="Times New Roman"/>
          <w:lang w:val="en-GB"/>
        </w:rPr>
        <w:t xml:space="preserve">. In other words, it is not for the court to verify the regularity of the procedure for amending the Constitution, nor is it for the </w:t>
      </w:r>
      <w:r w:rsidR="007C05E5">
        <w:rPr>
          <w:rFonts w:ascii="Times New Roman" w:hAnsi="Times New Roman" w:cs="Times New Roman"/>
          <w:lang w:val="en-GB"/>
        </w:rPr>
        <w:t>C</w:t>
      </w:r>
      <w:r w:rsidRPr="007C05E5">
        <w:rPr>
          <w:rFonts w:ascii="Times New Roman" w:hAnsi="Times New Roman" w:cs="Times New Roman"/>
          <w:lang w:val="en-GB"/>
        </w:rPr>
        <w:t>ourt to verify the compatibility of a constitutional article with the other provisions of the Basic Charter</w:t>
      </w:r>
      <w:r w:rsidRPr="007C05E5">
        <w:rPr>
          <w:rStyle w:val="Appelnotedebasdep"/>
          <w:rFonts w:ascii="Times New Roman" w:hAnsi="Times New Roman" w:cs="Times New Roman"/>
        </w:rPr>
        <w:footnoteReference w:id="9"/>
      </w:r>
      <w:r w:rsidRPr="007C05E5">
        <w:rPr>
          <w:rFonts w:ascii="Times New Roman" w:hAnsi="Times New Roman" w:cs="Times New Roman"/>
          <w:lang w:val="en-GB"/>
        </w:rPr>
        <w:t xml:space="preserve">. This constant </w:t>
      </w:r>
      <w:r w:rsidR="007C05E5">
        <w:rPr>
          <w:rFonts w:ascii="Times New Roman" w:hAnsi="Times New Roman" w:cs="Times New Roman"/>
          <w:lang w:val="en-GB"/>
        </w:rPr>
        <w:t>case-law</w:t>
      </w:r>
      <w:r w:rsidRPr="007C05E5">
        <w:rPr>
          <w:rStyle w:val="Appelnotedebasdep"/>
          <w:rFonts w:ascii="Times New Roman" w:hAnsi="Times New Roman" w:cs="Times New Roman"/>
        </w:rPr>
        <w:footnoteReference w:id="10"/>
      </w:r>
      <w:r w:rsidRPr="007C05E5">
        <w:rPr>
          <w:rFonts w:ascii="Times New Roman" w:hAnsi="Times New Roman" w:cs="Times New Roman"/>
          <w:lang w:val="en-GB"/>
        </w:rPr>
        <w:t xml:space="preserve"> is directly based on the normative texts that establish and organise the </w:t>
      </w:r>
      <w:r w:rsidRPr="007C05E5">
        <w:rPr>
          <w:rFonts w:ascii="Times New Roman" w:hAnsi="Times New Roman" w:cs="Times New Roman"/>
          <w:lang w:val="en-GB"/>
        </w:rPr>
        <w:lastRenderedPageBreak/>
        <w:t>Constitutional Court, which do not empower it to extend its review to constitutional provisions</w:t>
      </w:r>
      <w:r w:rsidR="007C05E5">
        <w:rPr>
          <w:rFonts w:ascii="Times New Roman" w:hAnsi="Times New Roman" w:cs="Times New Roman"/>
          <w:lang w:val="en-GB"/>
        </w:rPr>
        <w:t>.</w:t>
      </w:r>
      <w:r w:rsidRPr="007C05E5">
        <w:rPr>
          <w:rFonts w:ascii="Times New Roman" w:hAnsi="Times New Roman" w:cs="Times New Roman"/>
          <w:lang w:val="en-GB"/>
        </w:rPr>
        <w:t xml:space="preserve"> </w:t>
      </w:r>
      <w:r w:rsidR="007C05E5">
        <w:rPr>
          <w:rFonts w:ascii="Times New Roman" w:hAnsi="Times New Roman" w:cs="Times New Roman"/>
          <w:lang w:val="en-GB"/>
        </w:rPr>
        <w:t>They</w:t>
      </w:r>
      <w:r w:rsidRPr="007C05E5">
        <w:rPr>
          <w:rFonts w:ascii="Times New Roman" w:hAnsi="Times New Roman" w:cs="Times New Roman"/>
          <w:lang w:val="en-GB"/>
        </w:rPr>
        <w:t xml:space="preserve"> limit it to provisions of legislative value</w:t>
      </w:r>
      <w:r w:rsidRPr="007C05E5">
        <w:rPr>
          <w:rStyle w:val="Appelnotedebasdep"/>
          <w:rFonts w:ascii="Times New Roman" w:hAnsi="Times New Roman" w:cs="Times New Roman"/>
        </w:rPr>
        <w:footnoteReference w:id="11"/>
      </w:r>
      <w:r w:rsidRPr="007C05E5">
        <w:rPr>
          <w:rFonts w:ascii="Times New Roman" w:hAnsi="Times New Roman" w:cs="Times New Roman"/>
          <w:lang w:val="en-GB"/>
        </w:rPr>
        <w:t xml:space="preserve">. The solution advocated by the Court is also logical, since from the point of view of legal technique, it is accepted that one norm derogates from another of the same legal value, which is expressed by the adage </w:t>
      </w:r>
      <w:r w:rsidRPr="007C05E5">
        <w:rPr>
          <w:rFonts w:ascii="Times New Roman" w:hAnsi="Times New Roman" w:cs="Times New Roman"/>
          <w:i/>
          <w:iCs/>
          <w:lang w:val="en-GB"/>
        </w:rPr>
        <w:t xml:space="preserve">lex </w:t>
      </w:r>
      <w:proofErr w:type="spellStart"/>
      <w:r w:rsidRPr="007C05E5">
        <w:rPr>
          <w:rFonts w:ascii="Times New Roman" w:hAnsi="Times New Roman" w:cs="Times New Roman"/>
          <w:i/>
          <w:iCs/>
          <w:lang w:val="en-GB"/>
        </w:rPr>
        <w:t>specialis</w:t>
      </w:r>
      <w:proofErr w:type="spellEnd"/>
      <w:r w:rsidRPr="007C05E5">
        <w:rPr>
          <w:rFonts w:ascii="Times New Roman" w:hAnsi="Times New Roman" w:cs="Times New Roman"/>
          <w:i/>
          <w:iCs/>
          <w:lang w:val="en-GB"/>
        </w:rPr>
        <w:t xml:space="preserve"> </w:t>
      </w:r>
      <w:proofErr w:type="spellStart"/>
      <w:r w:rsidRPr="007C05E5">
        <w:rPr>
          <w:rFonts w:ascii="Times New Roman" w:hAnsi="Times New Roman" w:cs="Times New Roman"/>
          <w:i/>
          <w:iCs/>
          <w:lang w:val="en-GB"/>
        </w:rPr>
        <w:t>derogat</w:t>
      </w:r>
      <w:proofErr w:type="spellEnd"/>
      <w:r w:rsidRPr="007C05E5">
        <w:rPr>
          <w:rFonts w:ascii="Times New Roman" w:hAnsi="Times New Roman" w:cs="Times New Roman"/>
          <w:i/>
          <w:iCs/>
          <w:lang w:val="en-GB"/>
        </w:rPr>
        <w:t xml:space="preserve"> </w:t>
      </w:r>
      <w:proofErr w:type="spellStart"/>
      <w:r w:rsidRPr="007C05E5">
        <w:rPr>
          <w:rFonts w:ascii="Times New Roman" w:hAnsi="Times New Roman" w:cs="Times New Roman"/>
          <w:i/>
          <w:iCs/>
          <w:lang w:val="en-GB"/>
        </w:rPr>
        <w:t>generali</w:t>
      </w:r>
      <w:proofErr w:type="spellEnd"/>
      <w:r w:rsidRPr="007C05E5">
        <w:rPr>
          <w:rStyle w:val="Appelnotedebasdep"/>
          <w:rFonts w:ascii="Times New Roman" w:hAnsi="Times New Roman" w:cs="Times New Roman"/>
        </w:rPr>
        <w:footnoteReference w:id="12"/>
      </w:r>
      <w:r w:rsidRPr="007C05E5">
        <w:rPr>
          <w:rFonts w:ascii="Times New Roman" w:hAnsi="Times New Roman" w:cs="Times New Roman"/>
          <w:lang w:val="en-GB"/>
        </w:rPr>
        <w:t xml:space="preserve">. </w:t>
      </w:r>
    </w:p>
    <w:p w14:paraId="36FA39B5" w14:textId="77777777" w:rsidR="00950962" w:rsidRPr="007C05E5" w:rsidRDefault="00950962" w:rsidP="00950962">
      <w:pPr>
        <w:rPr>
          <w:rFonts w:ascii="Times New Roman" w:hAnsi="Times New Roman" w:cs="Times New Roman"/>
          <w:lang w:val="en-GB"/>
        </w:rPr>
      </w:pPr>
    </w:p>
    <w:p w14:paraId="0EE23197" w14:textId="7F222A15"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3.</w:t>
      </w:r>
      <w:r w:rsidRPr="007C05E5">
        <w:rPr>
          <w:rFonts w:ascii="Times New Roman" w:hAnsi="Times New Roman" w:cs="Times New Roman"/>
          <w:lang w:val="en-GB"/>
        </w:rPr>
        <w:t xml:space="preserve"> In the context of its examination of legislative provisions, the Constitutional Court has also developed several interpretative techniques leading to a reduction in the intensity of review of public action, by practising judicial self-restraint</w:t>
      </w:r>
      <w:r w:rsidRPr="001950CC">
        <w:rPr>
          <w:rStyle w:val="Appelnotedebasdep"/>
          <w:rFonts w:ascii="Times New Roman" w:hAnsi="Times New Roman" w:cs="Times New Roman"/>
        </w:rPr>
        <w:footnoteReference w:id="13"/>
      </w:r>
      <w:r w:rsidRPr="007C05E5">
        <w:rPr>
          <w:rFonts w:ascii="Times New Roman" w:hAnsi="Times New Roman" w:cs="Times New Roman"/>
          <w:lang w:val="en-GB"/>
        </w:rPr>
        <w:t xml:space="preserve">. Literally, this term translates the general idea of a certain limitation of the review decided by the judges themselves, without them having been formally obliged to do so by the texts that organise the scope of their </w:t>
      </w:r>
      <w:r w:rsidR="007C05E5">
        <w:rPr>
          <w:rFonts w:ascii="Times New Roman" w:hAnsi="Times New Roman" w:cs="Times New Roman"/>
          <w:lang w:val="en-GB"/>
        </w:rPr>
        <w:t>jurisdiction</w:t>
      </w:r>
      <w:r w:rsidRPr="007C05E5">
        <w:rPr>
          <w:rFonts w:ascii="Times New Roman" w:hAnsi="Times New Roman" w:cs="Times New Roman"/>
          <w:lang w:val="en-GB"/>
        </w:rPr>
        <w:t xml:space="preserve">. The Constitutional Court exercises judicial self-restraint in several ways. It sometimes carries out a marginal review of certain laws by considering that the legislator enjoys, in certain areas - mainly in fiscal, economic, and budgetary matters - a certain </w:t>
      </w:r>
      <w:r w:rsidR="007C05E5">
        <w:rPr>
          <w:rFonts w:ascii="Times New Roman" w:hAnsi="Times New Roman" w:cs="Times New Roman"/>
          <w:lang w:val="en-GB"/>
        </w:rPr>
        <w:t>“</w:t>
      </w:r>
      <w:r w:rsidRPr="007C05E5">
        <w:rPr>
          <w:rFonts w:ascii="Times New Roman" w:hAnsi="Times New Roman" w:cs="Times New Roman"/>
          <w:lang w:val="en-GB"/>
        </w:rPr>
        <w:t>margin of appreciation</w:t>
      </w:r>
      <w:r w:rsidR="007C05E5">
        <w:rPr>
          <w:rFonts w:ascii="Times New Roman" w:hAnsi="Times New Roman" w:cs="Times New Roman"/>
          <w:lang w:val="en-GB"/>
        </w:rPr>
        <w:t>”</w:t>
      </w:r>
      <w:r w:rsidRPr="007C05E5">
        <w:rPr>
          <w:rFonts w:ascii="Times New Roman" w:hAnsi="Times New Roman" w:cs="Times New Roman"/>
          <w:lang w:val="en-GB"/>
        </w:rPr>
        <w:t xml:space="preserve"> proper to democratically elected assemblies. The Court also limits its control when the legislator pursues </w:t>
      </w:r>
      <w:r w:rsidR="00270F2A">
        <w:rPr>
          <w:rFonts w:ascii="Times New Roman" w:hAnsi="Times New Roman" w:cs="Times New Roman"/>
          <w:lang w:val="en-GB"/>
        </w:rPr>
        <w:t>“</w:t>
      </w:r>
      <w:r w:rsidR="007C05E5">
        <w:rPr>
          <w:rFonts w:ascii="Times New Roman" w:hAnsi="Times New Roman" w:cs="Times New Roman"/>
          <w:lang w:val="en-GB"/>
        </w:rPr>
        <w:t>overriding</w:t>
      </w:r>
      <w:r w:rsidRPr="007C05E5">
        <w:rPr>
          <w:rFonts w:ascii="Times New Roman" w:hAnsi="Times New Roman" w:cs="Times New Roman"/>
          <w:lang w:val="en-GB"/>
        </w:rPr>
        <w:t xml:space="preserve"> reasons of general interest</w:t>
      </w:r>
      <w:r w:rsidR="00270F2A">
        <w:rPr>
          <w:rFonts w:ascii="Times New Roman" w:hAnsi="Times New Roman" w:cs="Times New Roman"/>
          <w:lang w:val="en-GB"/>
        </w:rPr>
        <w:t>”</w:t>
      </w:r>
      <w:r w:rsidRPr="007C05E5">
        <w:rPr>
          <w:rFonts w:ascii="Times New Roman" w:hAnsi="Times New Roman" w:cs="Times New Roman"/>
          <w:lang w:val="en-GB"/>
        </w:rPr>
        <w:t xml:space="preserve">, for example the concern to combat legal </w:t>
      </w:r>
      <w:r w:rsidR="007C05E5">
        <w:rPr>
          <w:rFonts w:ascii="Times New Roman" w:hAnsi="Times New Roman" w:cs="Times New Roman"/>
          <w:lang w:val="en-GB"/>
        </w:rPr>
        <w:t>insecurity</w:t>
      </w:r>
      <w:r w:rsidRPr="007C05E5">
        <w:rPr>
          <w:rStyle w:val="Appelnotedebasdep"/>
          <w:rFonts w:ascii="Times New Roman" w:hAnsi="Times New Roman" w:cs="Times New Roman"/>
        </w:rPr>
        <w:footnoteReference w:id="14"/>
      </w:r>
      <w:r w:rsidRPr="007C05E5">
        <w:rPr>
          <w:rFonts w:ascii="Times New Roman" w:hAnsi="Times New Roman" w:cs="Times New Roman"/>
          <w:lang w:val="en-GB"/>
        </w:rPr>
        <w:t xml:space="preserve">. In both cases, the Constitutional Court does indeed review the legislative provision submitted to it, only this review is less intense than usual. The </w:t>
      </w:r>
      <w:r w:rsidR="007C05E5">
        <w:rPr>
          <w:rFonts w:ascii="Times New Roman" w:hAnsi="Times New Roman" w:cs="Times New Roman"/>
          <w:lang w:val="en-GB"/>
        </w:rPr>
        <w:t>control</w:t>
      </w:r>
      <w:r w:rsidRPr="007C05E5">
        <w:rPr>
          <w:rFonts w:ascii="Times New Roman" w:hAnsi="Times New Roman" w:cs="Times New Roman"/>
          <w:lang w:val="en-GB"/>
        </w:rPr>
        <w:t xml:space="preserve"> can be described as marginal. Another interpretative technique of judicial self-restraint developed by the Belgian constitutional judges goes one step further: the Court declares itself incompetent to review a legislative provision when the latter takes up a </w:t>
      </w:r>
      <w:r w:rsidR="001950CC">
        <w:rPr>
          <w:rFonts w:ascii="Times New Roman" w:hAnsi="Times New Roman" w:cs="Times New Roman"/>
          <w:lang w:val="en-GB"/>
        </w:rPr>
        <w:t>“</w:t>
      </w:r>
      <w:r w:rsidRPr="007C05E5">
        <w:rPr>
          <w:rFonts w:ascii="Times New Roman" w:hAnsi="Times New Roman" w:cs="Times New Roman"/>
          <w:lang w:val="en-GB"/>
        </w:rPr>
        <w:t xml:space="preserve">choice of the </w:t>
      </w:r>
      <w:r w:rsidR="007C05E5">
        <w:rPr>
          <w:rFonts w:ascii="Times New Roman" w:hAnsi="Times New Roman" w:cs="Times New Roman"/>
          <w:lang w:val="en-GB"/>
        </w:rPr>
        <w:t>Constituent</w:t>
      </w:r>
      <w:r w:rsidR="001950CC">
        <w:rPr>
          <w:rFonts w:ascii="Times New Roman" w:hAnsi="Times New Roman" w:cs="Times New Roman"/>
          <w:lang w:val="en-GB"/>
        </w:rPr>
        <w:t>”</w:t>
      </w:r>
      <w:r w:rsidRPr="007C05E5">
        <w:rPr>
          <w:rFonts w:ascii="Times New Roman" w:hAnsi="Times New Roman" w:cs="Times New Roman"/>
          <w:lang w:val="en-GB"/>
        </w:rPr>
        <w:t xml:space="preserve">. The radical consequence of this interpretative technique on the intensity of the control of public action, namely the declaration of incompetence, deserves a particular examination which is the subject of this study. </w:t>
      </w:r>
    </w:p>
    <w:p w14:paraId="7223954C" w14:textId="5A23747A" w:rsidR="00950962" w:rsidRPr="007C05E5" w:rsidRDefault="00950962" w:rsidP="00950962">
      <w:pPr>
        <w:jc w:val="both"/>
        <w:rPr>
          <w:rFonts w:ascii="Times New Roman" w:hAnsi="Times New Roman" w:cs="Times New Roman"/>
          <w:lang w:val="en-GB"/>
        </w:rPr>
      </w:pPr>
    </w:p>
    <w:p w14:paraId="1D384D81" w14:textId="278BFC7E"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 xml:space="preserve">4. </w:t>
      </w:r>
      <w:r w:rsidRPr="007C05E5">
        <w:rPr>
          <w:rFonts w:ascii="Times New Roman" w:hAnsi="Times New Roman" w:cs="Times New Roman"/>
          <w:lang w:val="en-GB"/>
        </w:rPr>
        <w:t xml:space="preserve">The case law on the </w:t>
      </w:r>
      <w:r w:rsidR="00270F2A">
        <w:rPr>
          <w:rFonts w:ascii="Times New Roman" w:hAnsi="Times New Roman" w:cs="Times New Roman"/>
          <w:lang w:val="en-GB"/>
        </w:rPr>
        <w:t>“</w:t>
      </w:r>
      <w:r w:rsidRPr="007C05E5">
        <w:rPr>
          <w:rFonts w:ascii="Times New Roman" w:hAnsi="Times New Roman" w:cs="Times New Roman"/>
          <w:lang w:val="en-GB"/>
        </w:rPr>
        <w:t xml:space="preserve">choices of the </w:t>
      </w:r>
      <w:r w:rsidR="007C05E5">
        <w:rPr>
          <w:rFonts w:ascii="Times New Roman" w:hAnsi="Times New Roman" w:cs="Times New Roman"/>
          <w:lang w:val="en-GB"/>
        </w:rPr>
        <w:t>Constituent</w:t>
      </w:r>
      <w:r w:rsidR="00270F2A">
        <w:rPr>
          <w:rFonts w:ascii="Times New Roman" w:hAnsi="Times New Roman" w:cs="Times New Roman"/>
          <w:lang w:val="en-GB"/>
        </w:rPr>
        <w:t>”</w:t>
      </w:r>
      <w:r w:rsidRPr="007C05E5">
        <w:rPr>
          <w:rFonts w:ascii="Times New Roman" w:hAnsi="Times New Roman" w:cs="Times New Roman"/>
          <w:lang w:val="en-GB"/>
        </w:rPr>
        <w:t xml:space="preserve"> must be understood in the general perspective of the construction of bipolar Belgian federalism, which arose from the demands for autonomy of the country's two main communities, namely the Dutch-speaking and the French-speaking</w:t>
      </w:r>
      <w:r w:rsidRPr="007C05E5">
        <w:rPr>
          <w:rStyle w:val="Appelnotedebasdep"/>
          <w:rFonts w:ascii="Times New Roman" w:hAnsi="Times New Roman" w:cs="Times New Roman"/>
        </w:rPr>
        <w:footnoteReference w:id="15"/>
      </w:r>
      <w:r w:rsidRPr="007C05E5">
        <w:rPr>
          <w:rFonts w:ascii="Times New Roman" w:hAnsi="Times New Roman" w:cs="Times New Roman"/>
          <w:lang w:val="en-GB"/>
        </w:rPr>
        <w:t xml:space="preserve">. The Constitutional Court owes its birth precisely to the transformation of the Belgian state into a federal state, which made it necessary to create a constitutional court to arbitrate conflicts of jurisdiction between the different components of the federation, namely the federal authority and the federated entities. Once established, the Court took care, in its </w:t>
      </w:r>
      <w:r w:rsidRPr="007C05E5">
        <w:rPr>
          <w:rFonts w:ascii="Times New Roman" w:hAnsi="Times New Roman" w:cs="Times New Roman"/>
          <w:lang w:val="en-GB"/>
        </w:rPr>
        <w:lastRenderedPageBreak/>
        <w:t xml:space="preserve">jurisprudence, to contribute to the construction of the federal model by developing in a praetorian manner the major principles governing the distribution of competences between </w:t>
      </w:r>
      <w:r w:rsidR="007C05E5">
        <w:rPr>
          <w:rFonts w:ascii="Times New Roman" w:hAnsi="Times New Roman" w:cs="Times New Roman"/>
          <w:lang w:val="en-GB"/>
        </w:rPr>
        <w:t>the components of the federation</w:t>
      </w:r>
      <w:r w:rsidRPr="007C05E5">
        <w:rPr>
          <w:rFonts w:ascii="Times New Roman" w:hAnsi="Times New Roman" w:cs="Times New Roman"/>
          <w:lang w:val="en-GB"/>
        </w:rPr>
        <w:t>, showing a certain activism that deepened the community claims</w:t>
      </w:r>
      <w:r w:rsidRPr="007C05E5">
        <w:rPr>
          <w:rStyle w:val="Appelnotedebasdep"/>
          <w:rFonts w:ascii="Times New Roman" w:hAnsi="Times New Roman" w:cs="Times New Roman"/>
        </w:rPr>
        <w:footnoteReference w:id="16"/>
      </w:r>
      <w:r w:rsidRPr="007C05E5">
        <w:rPr>
          <w:rFonts w:ascii="Times New Roman" w:hAnsi="Times New Roman" w:cs="Times New Roman"/>
          <w:lang w:val="en-GB"/>
        </w:rPr>
        <w:t xml:space="preserve">. It has also been careful not to call into question certain sensitive political compromises that have enabled community pacification, which it does not hesitate to describe as </w:t>
      </w:r>
      <w:r w:rsidR="001950CC">
        <w:rPr>
          <w:rFonts w:ascii="Times New Roman" w:hAnsi="Times New Roman" w:cs="Times New Roman"/>
          <w:lang w:val="en-GB"/>
        </w:rPr>
        <w:t>“</w:t>
      </w:r>
      <w:r w:rsidRPr="007C05E5">
        <w:rPr>
          <w:rFonts w:ascii="Times New Roman" w:hAnsi="Times New Roman" w:cs="Times New Roman"/>
          <w:lang w:val="en-GB"/>
        </w:rPr>
        <w:t>higher public interest</w:t>
      </w:r>
      <w:r w:rsidR="001950CC">
        <w:rPr>
          <w:rFonts w:ascii="Times New Roman" w:hAnsi="Times New Roman" w:cs="Times New Roman"/>
          <w:lang w:val="en-GB"/>
        </w:rPr>
        <w:t>”</w:t>
      </w:r>
      <w:r w:rsidRPr="007C05E5">
        <w:rPr>
          <w:rStyle w:val="Appelnotedebasdep"/>
          <w:rFonts w:ascii="Times New Roman" w:hAnsi="Times New Roman" w:cs="Times New Roman"/>
        </w:rPr>
        <w:footnoteReference w:id="17"/>
      </w:r>
      <w:r w:rsidRPr="007C05E5">
        <w:rPr>
          <w:rFonts w:ascii="Times New Roman" w:hAnsi="Times New Roman" w:cs="Times New Roman"/>
          <w:lang w:val="en-GB"/>
        </w:rPr>
        <w:t>,</w:t>
      </w:r>
      <w:r w:rsidRPr="007C05E5">
        <w:rPr>
          <w:rFonts w:ascii="Times New Roman" w:hAnsi="Times New Roman" w:cs="Times New Roman"/>
          <w:lang w:val="en-US"/>
        </w:rPr>
        <w:t xml:space="preserve"> </w:t>
      </w:r>
      <w:r w:rsidRPr="007C05E5">
        <w:rPr>
          <w:rFonts w:ascii="Times New Roman" w:hAnsi="Times New Roman" w:cs="Times New Roman"/>
          <w:lang w:val="en-GB"/>
        </w:rPr>
        <w:t xml:space="preserve">sometimes saying that </w:t>
      </w:r>
      <w:r w:rsidR="00270F2A">
        <w:rPr>
          <w:rFonts w:ascii="Times New Roman" w:hAnsi="Times New Roman" w:cs="Times New Roman"/>
          <w:lang w:val="en-GB"/>
        </w:rPr>
        <w:t>“</w:t>
      </w:r>
      <w:r w:rsidRPr="007C05E5">
        <w:rPr>
          <w:rFonts w:ascii="Times New Roman" w:hAnsi="Times New Roman" w:cs="Times New Roman"/>
          <w:lang w:val="en-GB"/>
        </w:rPr>
        <w:t xml:space="preserve">it does not have control over all the problems that [the legislator] </w:t>
      </w:r>
      <w:proofErr w:type="gramStart"/>
      <w:r w:rsidRPr="007C05E5">
        <w:rPr>
          <w:rFonts w:ascii="Times New Roman" w:hAnsi="Times New Roman" w:cs="Times New Roman"/>
          <w:lang w:val="en-GB"/>
        </w:rPr>
        <w:t>has to</w:t>
      </w:r>
      <w:proofErr w:type="gramEnd"/>
      <w:r w:rsidRPr="007C05E5">
        <w:rPr>
          <w:rFonts w:ascii="Times New Roman" w:hAnsi="Times New Roman" w:cs="Times New Roman"/>
          <w:lang w:val="en-GB"/>
        </w:rPr>
        <w:t xml:space="preserve"> face in order to maintain community peace</w:t>
      </w:r>
      <w:r w:rsidR="00270F2A">
        <w:rPr>
          <w:rFonts w:ascii="Times New Roman" w:hAnsi="Times New Roman" w:cs="Times New Roman"/>
          <w:lang w:val="en-GB"/>
        </w:rPr>
        <w:t>”</w:t>
      </w:r>
      <w:r w:rsidRPr="007C05E5">
        <w:rPr>
          <w:rStyle w:val="Appelnotedebasdep"/>
          <w:rFonts w:ascii="Times New Roman" w:hAnsi="Times New Roman" w:cs="Times New Roman"/>
        </w:rPr>
        <w:footnoteReference w:id="18"/>
      </w:r>
      <w:r w:rsidRPr="007C05E5">
        <w:rPr>
          <w:rFonts w:ascii="Times New Roman" w:hAnsi="Times New Roman" w:cs="Times New Roman"/>
          <w:lang w:val="en-GB"/>
        </w:rPr>
        <w:t>. In this case, it demonstrates judicial self-restraint</w:t>
      </w:r>
      <w:r w:rsidRPr="007C05E5">
        <w:rPr>
          <w:rStyle w:val="Appelnotedebasdep"/>
          <w:rFonts w:ascii="Times New Roman" w:hAnsi="Times New Roman" w:cs="Times New Roman"/>
        </w:rPr>
        <w:footnoteReference w:id="19"/>
      </w:r>
      <w:r w:rsidRPr="007C05E5">
        <w:rPr>
          <w:rFonts w:ascii="Times New Roman" w:hAnsi="Times New Roman" w:cs="Times New Roman"/>
          <w:lang w:val="en-GB"/>
        </w:rPr>
        <w:t xml:space="preserve">. The case law relating to the choices of the </w:t>
      </w:r>
      <w:r w:rsidR="007C05E5">
        <w:rPr>
          <w:rFonts w:ascii="Times New Roman" w:hAnsi="Times New Roman" w:cs="Times New Roman"/>
          <w:lang w:val="en-GB"/>
        </w:rPr>
        <w:t>Constituent</w:t>
      </w:r>
      <w:r w:rsidRPr="007C05E5">
        <w:rPr>
          <w:rFonts w:ascii="Times New Roman" w:hAnsi="Times New Roman" w:cs="Times New Roman"/>
          <w:lang w:val="en-GB"/>
        </w:rPr>
        <w:t>, which will now be analysed, is an example of self-restraint that is in line with this concern to preserve community peace.</w:t>
      </w:r>
    </w:p>
    <w:p w14:paraId="2D31BC55" w14:textId="77777777" w:rsidR="00950962" w:rsidRPr="007C05E5" w:rsidRDefault="00950962" w:rsidP="00950962">
      <w:pPr>
        <w:rPr>
          <w:rFonts w:ascii="Times New Roman" w:hAnsi="Times New Roman" w:cs="Times New Roman"/>
          <w:lang w:val="en-GB"/>
        </w:rPr>
      </w:pPr>
    </w:p>
    <w:p w14:paraId="16C3EA1E" w14:textId="5F16738D" w:rsidR="00950962" w:rsidRPr="007C05E5" w:rsidRDefault="00950962" w:rsidP="00950962">
      <w:pPr>
        <w:rPr>
          <w:rFonts w:ascii="Times New Roman" w:hAnsi="Times New Roman" w:cs="Times New Roman"/>
          <w:b/>
          <w:bCs/>
          <w:u w:val="single"/>
          <w:lang w:val="en-GB"/>
        </w:rPr>
      </w:pPr>
      <w:r w:rsidRPr="007C05E5">
        <w:rPr>
          <w:rFonts w:ascii="Times New Roman" w:hAnsi="Times New Roman" w:cs="Times New Roman"/>
          <w:b/>
          <w:bCs/>
          <w:u w:val="single"/>
          <w:lang w:val="en-GB"/>
        </w:rPr>
        <w:t xml:space="preserve">II. Choice of the </w:t>
      </w:r>
      <w:r w:rsidR="007C05E5">
        <w:rPr>
          <w:rFonts w:ascii="Times New Roman" w:hAnsi="Times New Roman" w:cs="Times New Roman"/>
          <w:b/>
          <w:bCs/>
          <w:u w:val="single"/>
          <w:lang w:val="en-GB"/>
        </w:rPr>
        <w:t>Constituent</w:t>
      </w:r>
      <w:r w:rsidRPr="007C05E5">
        <w:rPr>
          <w:rFonts w:ascii="Times New Roman" w:hAnsi="Times New Roman" w:cs="Times New Roman"/>
          <w:b/>
          <w:bCs/>
          <w:u w:val="single"/>
          <w:lang w:val="en-GB"/>
        </w:rPr>
        <w:t xml:space="preserve"> as a judicial self-restraint</w:t>
      </w:r>
    </w:p>
    <w:p w14:paraId="2B8D65BC" w14:textId="2C4E75EC" w:rsidR="00950962" w:rsidRPr="007C05E5" w:rsidRDefault="00950962" w:rsidP="00950962">
      <w:pPr>
        <w:rPr>
          <w:rFonts w:ascii="Times New Roman" w:hAnsi="Times New Roman" w:cs="Times New Roman"/>
          <w:lang w:val="en-GB"/>
        </w:rPr>
      </w:pPr>
    </w:p>
    <w:p w14:paraId="590EB8DF" w14:textId="33CA4DF5"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5.</w:t>
      </w:r>
      <w:r w:rsidRPr="007C05E5">
        <w:rPr>
          <w:rFonts w:ascii="Times New Roman" w:hAnsi="Times New Roman" w:cs="Times New Roman"/>
          <w:lang w:val="en-GB"/>
        </w:rPr>
        <w:t xml:space="preserve"> The case law on the </w:t>
      </w:r>
      <w:r w:rsidR="007C05E5">
        <w:rPr>
          <w:rFonts w:ascii="Times New Roman" w:hAnsi="Times New Roman" w:cs="Times New Roman"/>
          <w:lang w:val="en-GB"/>
        </w:rPr>
        <w:t>“</w:t>
      </w:r>
      <w:r w:rsidRPr="007C05E5">
        <w:rPr>
          <w:rFonts w:ascii="Times New Roman" w:hAnsi="Times New Roman" w:cs="Times New Roman"/>
          <w:lang w:val="en-GB"/>
        </w:rPr>
        <w:t xml:space="preserve">choice of the </w:t>
      </w:r>
      <w:r w:rsidR="007C05E5">
        <w:rPr>
          <w:rFonts w:ascii="Times New Roman" w:hAnsi="Times New Roman" w:cs="Times New Roman"/>
          <w:lang w:val="en-GB"/>
        </w:rPr>
        <w:t xml:space="preserve">Constituent” </w:t>
      </w:r>
      <w:r w:rsidRPr="007C05E5">
        <w:rPr>
          <w:rFonts w:ascii="Times New Roman" w:hAnsi="Times New Roman" w:cs="Times New Roman"/>
          <w:lang w:val="en-GB"/>
        </w:rPr>
        <w:t xml:space="preserve">can be divided into three distinct categories, depending on the </w:t>
      </w:r>
      <w:r w:rsidRPr="007C05E5">
        <w:rPr>
          <w:rFonts w:ascii="Times New Roman" w:hAnsi="Times New Roman" w:cs="Times New Roman"/>
          <w:i/>
          <w:iCs/>
          <w:lang w:val="en-GB"/>
        </w:rPr>
        <w:t>location</w:t>
      </w:r>
      <w:r w:rsidRPr="007C05E5">
        <w:rPr>
          <w:rFonts w:ascii="Times New Roman" w:hAnsi="Times New Roman" w:cs="Times New Roman"/>
          <w:lang w:val="en-GB"/>
        </w:rPr>
        <w:t xml:space="preserve"> of </w:t>
      </w:r>
      <w:r w:rsidR="007C05E5">
        <w:rPr>
          <w:rFonts w:ascii="Times New Roman" w:hAnsi="Times New Roman" w:cs="Times New Roman"/>
          <w:lang w:val="en-GB"/>
        </w:rPr>
        <w:t>the</w:t>
      </w:r>
      <w:r w:rsidRPr="007C05E5">
        <w:rPr>
          <w:rFonts w:ascii="Times New Roman" w:hAnsi="Times New Roman" w:cs="Times New Roman"/>
          <w:lang w:val="en-GB"/>
        </w:rPr>
        <w:t xml:space="preserve"> </w:t>
      </w:r>
      <w:r w:rsidR="007C05E5">
        <w:rPr>
          <w:rFonts w:ascii="Times New Roman" w:hAnsi="Times New Roman" w:cs="Times New Roman"/>
          <w:lang w:val="en-GB"/>
        </w:rPr>
        <w:t>“</w:t>
      </w:r>
      <w:r w:rsidRPr="007C05E5">
        <w:rPr>
          <w:rFonts w:ascii="Times New Roman" w:hAnsi="Times New Roman" w:cs="Times New Roman"/>
          <w:lang w:val="en-GB"/>
        </w:rPr>
        <w:t>choice</w:t>
      </w:r>
      <w:r w:rsidR="007C05E5">
        <w:rPr>
          <w:rFonts w:ascii="Times New Roman" w:hAnsi="Times New Roman" w:cs="Times New Roman"/>
          <w:lang w:val="en-GB"/>
        </w:rPr>
        <w:t>”.</w:t>
      </w:r>
      <w:r w:rsidRPr="007C05E5">
        <w:rPr>
          <w:rFonts w:ascii="Times New Roman" w:hAnsi="Times New Roman" w:cs="Times New Roman"/>
          <w:lang w:val="en-GB"/>
        </w:rPr>
        <w:t xml:space="preserve"> The Constitutional Court considers that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can be in the Constitution itself (II.1), in a general principle of law (II.2), and, finally, in the preparatory work for constitutional revision (II.3). We will concentrate on this third category because of the many questions it raises. It should also be pointed out that the following overview of case law is deliberately intended to be synthetic, to theorise this </w:t>
      </w:r>
      <w:r w:rsidR="00270F2A">
        <w:rPr>
          <w:rFonts w:ascii="Times New Roman" w:hAnsi="Times New Roman" w:cs="Times New Roman"/>
          <w:lang w:val="en-GB"/>
        </w:rPr>
        <w:t>jurisprudence</w:t>
      </w:r>
      <w:r w:rsidRPr="007C05E5">
        <w:rPr>
          <w:rFonts w:ascii="Times New Roman" w:hAnsi="Times New Roman" w:cs="Times New Roman"/>
          <w:lang w:val="en-GB"/>
        </w:rPr>
        <w:t>. For a descriptive and exhaustive presentation, we refer to previous studies</w:t>
      </w:r>
      <w:r w:rsidRPr="007C05E5">
        <w:rPr>
          <w:rStyle w:val="Appelnotedebasdep"/>
          <w:rFonts w:ascii="Times New Roman" w:hAnsi="Times New Roman" w:cs="Times New Roman"/>
        </w:rPr>
        <w:footnoteReference w:id="20"/>
      </w:r>
      <w:r w:rsidRPr="007C05E5">
        <w:rPr>
          <w:rFonts w:ascii="Times New Roman" w:hAnsi="Times New Roman" w:cs="Times New Roman"/>
          <w:lang w:val="en-GB"/>
        </w:rPr>
        <w:t>.</w:t>
      </w:r>
    </w:p>
    <w:p w14:paraId="6E6EA6DA" w14:textId="2E32EBA3" w:rsidR="00950962" w:rsidRPr="007C05E5" w:rsidRDefault="00950962" w:rsidP="00950962">
      <w:pPr>
        <w:rPr>
          <w:rFonts w:ascii="Times New Roman" w:hAnsi="Times New Roman" w:cs="Times New Roman"/>
          <w:lang w:val="en-GB"/>
        </w:rPr>
      </w:pPr>
    </w:p>
    <w:p w14:paraId="728694F8" w14:textId="0D074C08" w:rsidR="00950962" w:rsidRPr="007C05E5" w:rsidRDefault="00950962" w:rsidP="00950962">
      <w:pPr>
        <w:rPr>
          <w:rFonts w:ascii="Times New Roman" w:hAnsi="Times New Roman" w:cs="Times New Roman"/>
          <w:u w:val="single"/>
          <w:lang w:val="en-GB"/>
        </w:rPr>
      </w:pPr>
      <w:r w:rsidRPr="007C05E5">
        <w:rPr>
          <w:rFonts w:ascii="Times New Roman" w:hAnsi="Times New Roman" w:cs="Times New Roman"/>
          <w:u w:val="single"/>
          <w:lang w:val="en-GB"/>
        </w:rPr>
        <w:t xml:space="preserve">II.1. The choice of the </w:t>
      </w:r>
      <w:r w:rsidR="007C05E5">
        <w:rPr>
          <w:rFonts w:ascii="Times New Roman" w:hAnsi="Times New Roman" w:cs="Times New Roman"/>
          <w:u w:val="single"/>
          <w:lang w:val="en-GB"/>
        </w:rPr>
        <w:t>Constituent</w:t>
      </w:r>
      <w:r w:rsidRPr="007C05E5">
        <w:rPr>
          <w:rFonts w:ascii="Times New Roman" w:hAnsi="Times New Roman" w:cs="Times New Roman"/>
          <w:u w:val="single"/>
          <w:lang w:val="en-GB"/>
        </w:rPr>
        <w:t xml:space="preserve"> in the Constitution</w:t>
      </w:r>
    </w:p>
    <w:p w14:paraId="16C28FC4" w14:textId="0089A46D" w:rsidR="00950962" w:rsidRPr="007C05E5" w:rsidRDefault="00950962" w:rsidP="00950962">
      <w:pPr>
        <w:rPr>
          <w:rFonts w:ascii="Times New Roman" w:hAnsi="Times New Roman" w:cs="Times New Roman"/>
          <w:lang w:val="en-GB"/>
        </w:rPr>
      </w:pPr>
    </w:p>
    <w:p w14:paraId="5F5F513D" w14:textId="58E7DC96"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6.</w:t>
      </w:r>
      <w:r w:rsidRPr="007C05E5">
        <w:rPr>
          <w:rFonts w:ascii="Times New Roman" w:hAnsi="Times New Roman" w:cs="Times New Roman"/>
          <w:lang w:val="en-GB"/>
        </w:rPr>
        <w:t xml:space="preserve"> In line with the jurisprudence concluding that it has no jurisdiction to review constitutional amendments themselves, the Constitutional Court logically refuses to </w:t>
      </w:r>
      <w:r w:rsidR="00270F2A">
        <w:rPr>
          <w:rFonts w:ascii="Times New Roman" w:hAnsi="Times New Roman" w:cs="Times New Roman"/>
          <w:lang w:val="en-GB"/>
        </w:rPr>
        <w:t>control</w:t>
      </w:r>
      <w:r w:rsidRPr="007C05E5">
        <w:rPr>
          <w:rFonts w:ascii="Times New Roman" w:hAnsi="Times New Roman" w:cs="Times New Roman"/>
          <w:lang w:val="en-GB"/>
        </w:rPr>
        <w:t xml:space="preserve"> legislative provisions that take up the content of a constitutional provision</w:t>
      </w:r>
      <w:r w:rsidRPr="007C05E5">
        <w:rPr>
          <w:rStyle w:val="Appelnotedebasdep"/>
          <w:rFonts w:ascii="Times New Roman" w:hAnsi="Times New Roman" w:cs="Times New Roman"/>
        </w:rPr>
        <w:footnoteReference w:id="21"/>
      </w:r>
      <w:r w:rsidRPr="007C05E5">
        <w:rPr>
          <w:rFonts w:ascii="Times New Roman" w:hAnsi="Times New Roman" w:cs="Times New Roman"/>
          <w:lang w:val="en-GB"/>
        </w:rPr>
        <w:t xml:space="preserve">: in other words, it is not its task to review a choice made by the </w:t>
      </w:r>
      <w:r w:rsidR="007C05E5">
        <w:rPr>
          <w:rFonts w:ascii="Times New Roman" w:hAnsi="Times New Roman" w:cs="Times New Roman"/>
          <w:lang w:val="en-GB"/>
        </w:rPr>
        <w:t>Constituent</w:t>
      </w:r>
      <w:r w:rsidRPr="007C05E5">
        <w:rPr>
          <w:rFonts w:ascii="Times New Roman" w:hAnsi="Times New Roman" w:cs="Times New Roman"/>
          <w:lang w:val="en-GB"/>
        </w:rPr>
        <w:t>. It should be pointed out here that the vocabulary used by the Court varies</w:t>
      </w:r>
      <w:r w:rsidR="001950CC" w:rsidRPr="007C05E5">
        <w:rPr>
          <w:rStyle w:val="Appelnotedebasdep"/>
          <w:rFonts w:ascii="Times New Roman" w:hAnsi="Times New Roman" w:cs="Times New Roman"/>
        </w:rPr>
        <w:footnoteReference w:id="22"/>
      </w:r>
      <w:r w:rsidRPr="007C05E5">
        <w:rPr>
          <w:rFonts w:ascii="Times New Roman" w:hAnsi="Times New Roman" w:cs="Times New Roman"/>
          <w:lang w:val="en-GB"/>
        </w:rPr>
        <w:t xml:space="preserve">: it also refers to the same reality as the option of the </w:t>
      </w:r>
      <w:r w:rsidR="007C05E5">
        <w:rPr>
          <w:rFonts w:ascii="Times New Roman" w:hAnsi="Times New Roman" w:cs="Times New Roman"/>
          <w:lang w:val="en-GB"/>
        </w:rPr>
        <w:t>Constituent</w:t>
      </w:r>
      <w:r w:rsidRPr="007C05E5">
        <w:rPr>
          <w:rStyle w:val="Appelnotedebasdep"/>
          <w:rFonts w:ascii="Times New Roman" w:hAnsi="Times New Roman" w:cs="Times New Roman"/>
        </w:rPr>
        <w:footnoteReference w:id="23"/>
      </w:r>
      <w:r w:rsidRPr="007C05E5">
        <w:rPr>
          <w:rFonts w:ascii="Times New Roman" w:hAnsi="Times New Roman" w:cs="Times New Roman"/>
          <w:lang w:val="en-GB"/>
        </w:rPr>
        <w:t xml:space="preserve">, the will of the </w:t>
      </w:r>
      <w:r w:rsidR="007C05E5">
        <w:rPr>
          <w:rFonts w:ascii="Times New Roman" w:hAnsi="Times New Roman" w:cs="Times New Roman"/>
          <w:lang w:val="en-GB"/>
        </w:rPr>
        <w:t>Constituent</w:t>
      </w:r>
      <w:r w:rsidRPr="007C05E5">
        <w:rPr>
          <w:rStyle w:val="Appelnotedebasdep"/>
          <w:rFonts w:ascii="Times New Roman" w:hAnsi="Times New Roman" w:cs="Times New Roman"/>
        </w:rPr>
        <w:footnoteReference w:id="24"/>
      </w:r>
      <w:r w:rsidRPr="007C05E5">
        <w:rPr>
          <w:rFonts w:ascii="Times New Roman" w:hAnsi="Times New Roman" w:cs="Times New Roman"/>
          <w:lang w:val="en-GB"/>
        </w:rPr>
        <w:t xml:space="preserve">, or the system desired by the </w:t>
      </w:r>
      <w:r w:rsidR="007C05E5">
        <w:rPr>
          <w:rFonts w:ascii="Times New Roman" w:hAnsi="Times New Roman" w:cs="Times New Roman"/>
          <w:lang w:val="en-GB"/>
        </w:rPr>
        <w:t>Constituent</w:t>
      </w:r>
      <w:r w:rsidR="00270F2A">
        <w:rPr>
          <w:rFonts w:ascii="Times New Roman" w:hAnsi="Times New Roman" w:cs="Times New Roman"/>
          <w:lang w:val="en-GB"/>
        </w:rPr>
        <w:t xml:space="preserve"> too</w:t>
      </w:r>
      <w:r w:rsidRPr="007C05E5">
        <w:rPr>
          <w:rStyle w:val="Appelnotedebasdep"/>
          <w:rFonts w:ascii="Times New Roman" w:hAnsi="Times New Roman" w:cs="Times New Roman"/>
        </w:rPr>
        <w:footnoteReference w:id="25"/>
      </w:r>
      <w:r w:rsidRPr="007C05E5">
        <w:rPr>
          <w:rFonts w:ascii="Times New Roman" w:hAnsi="Times New Roman" w:cs="Times New Roman"/>
          <w:lang w:val="en-GB"/>
        </w:rPr>
        <w:t xml:space="preserve">. Since </w:t>
      </w:r>
      <w:r w:rsidRPr="007C05E5">
        <w:rPr>
          <w:rFonts w:ascii="Times New Roman" w:hAnsi="Times New Roman" w:cs="Times New Roman"/>
          <w:lang w:val="en-GB"/>
        </w:rPr>
        <w:lastRenderedPageBreak/>
        <w:t xml:space="preserve">the expression </w:t>
      </w:r>
      <w:r w:rsidR="00270F2A">
        <w:rPr>
          <w:rFonts w:ascii="Times New Roman" w:hAnsi="Times New Roman" w:cs="Times New Roman"/>
          <w:lang w:val="en-GB"/>
        </w:rPr>
        <w:t>“</w:t>
      </w:r>
      <w:r w:rsidRPr="007C05E5">
        <w:rPr>
          <w:rFonts w:ascii="Times New Roman" w:hAnsi="Times New Roman" w:cs="Times New Roman"/>
          <w:lang w:val="en-GB"/>
        </w:rPr>
        <w:t xml:space="preserve">choice of the </w:t>
      </w:r>
      <w:r w:rsidR="007C05E5">
        <w:rPr>
          <w:rFonts w:ascii="Times New Roman" w:hAnsi="Times New Roman" w:cs="Times New Roman"/>
          <w:lang w:val="en-GB"/>
        </w:rPr>
        <w:t>Constituent</w:t>
      </w:r>
      <w:r w:rsidR="00270F2A">
        <w:rPr>
          <w:rFonts w:ascii="Times New Roman" w:hAnsi="Times New Roman" w:cs="Times New Roman"/>
          <w:lang w:val="en-GB"/>
        </w:rPr>
        <w:t>”</w:t>
      </w:r>
      <w:r w:rsidRPr="007C05E5">
        <w:rPr>
          <w:rFonts w:ascii="Times New Roman" w:hAnsi="Times New Roman" w:cs="Times New Roman"/>
          <w:lang w:val="en-GB"/>
        </w:rPr>
        <w:t xml:space="preserve"> appears to be the most consistent in the case law and in the literature, it is used in the following pages. </w:t>
      </w:r>
    </w:p>
    <w:p w14:paraId="66BC8586" w14:textId="77777777" w:rsidR="00950962" w:rsidRPr="007C05E5" w:rsidRDefault="00950962" w:rsidP="00950962">
      <w:pPr>
        <w:jc w:val="both"/>
        <w:rPr>
          <w:rFonts w:ascii="Times New Roman" w:hAnsi="Times New Roman" w:cs="Times New Roman"/>
          <w:lang w:val="en-GB"/>
        </w:rPr>
      </w:pPr>
    </w:p>
    <w:p w14:paraId="695B42E3" w14:textId="03114D06"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The case law on this subject is abundant</w:t>
      </w:r>
      <w:r w:rsidRPr="007C05E5">
        <w:rPr>
          <w:rStyle w:val="Appelnotedebasdep"/>
          <w:rFonts w:ascii="Times New Roman" w:hAnsi="Times New Roman" w:cs="Times New Roman"/>
        </w:rPr>
        <w:footnoteReference w:id="26"/>
      </w:r>
      <w:r w:rsidRPr="007C05E5">
        <w:rPr>
          <w:rFonts w:ascii="Times New Roman" w:hAnsi="Times New Roman" w:cs="Times New Roman"/>
          <w:lang w:val="en-GB"/>
        </w:rPr>
        <w:t xml:space="preserve">. To take just one example, perhaps one of the most exemplary, the Court refused, in judgment </w:t>
      </w:r>
      <w:r w:rsidR="001950CC">
        <w:rPr>
          <w:rFonts w:ascii="Times New Roman" w:hAnsi="Times New Roman" w:cs="Times New Roman"/>
          <w:lang w:val="en-GB"/>
        </w:rPr>
        <w:t>no.</w:t>
      </w:r>
      <w:r w:rsidRPr="007C05E5">
        <w:rPr>
          <w:rFonts w:ascii="Times New Roman" w:hAnsi="Times New Roman" w:cs="Times New Roman"/>
          <w:lang w:val="en-GB"/>
        </w:rPr>
        <w:t xml:space="preserve"> 201/2004 of 15 December 2004, to review the distinction in treatment provided for by Article 2 of the special law of 6 January 1989 on the Constitutional Court</w:t>
      </w:r>
      <w:r w:rsidRPr="007C05E5">
        <w:rPr>
          <w:rStyle w:val="Appelnotedebasdep"/>
          <w:rFonts w:ascii="Times New Roman" w:hAnsi="Times New Roman" w:cs="Times New Roman"/>
        </w:rPr>
        <w:footnoteReference w:id="27"/>
      </w:r>
      <w:r w:rsidRPr="007C05E5">
        <w:rPr>
          <w:rFonts w:ascii="Times New Roman" w:hAnsi="Times New Roman" w:cs="Times New Roman"/>
          <w:lang w:val="en-GB"/>
        </w:rPr>
        <w:t xml:space="preserve"> between </w:t>
      </w:r>
      <w:r w:rsidR="00270F2A">
        <w:rPr>
          <w:rFonts w:ascii="Times New Roman" w:hAnsi="Times New Roman" w:cs="Times New Roman"/>
          <w:lang w:val="en-GB"/>
        </w:rPr>
        <w:t>“</w:t>
      </w:r>
      <w:r w:rsidRPr="007C05E5">
        <w:rPr>
          <w:rFonts w:ascii="Times New Roman" w:hAnsi="Times New Roman" w:cs="Times New Roman"/>
          <w:lang w:val="en-GB"/>
        </w:rPr>
        <w:t>privileged</w:t>
      </w:r>
      <w:r w:rsidR="00270F2A">
        <w:rPr>
          <w:rFonts w:ascii="Times New Roman" w:hAnsi="Times New Roman" w:cs="Times New Roman"/>
          <w:lang w:val="en-GB"/>
        </w:rPr>
        <w:t>”</w:t>
      </w:r>
      <w:r w:rsidRPr="007C05E5">
        <w:rPr>
          <w:rFonts w:ascii="Times New Roman" w:hAnsi="Times New Roman" w:cs="Times New Roman"/>
          <w:lang w:val="en-GB"/>
        </w:rPr>
        <w:t xml:space="preserve"> applicants - i.e. certain public authorities</w:t>
      </w:r>
      <w:r w:rsidR="001950CC" w:rsidRPr="007C05E5">
        <w:rPr>
          <w:rStyle w:val="Appelnotedebasdep"/>
          <w:rFonts w:ascii="Times New Roman" w:hAnsi="Times New Roman" w:cs="Times New Roman"/>
        </w:rPr>
        <w:footnoteReference w:id="28"/>
      </w:r>
      <w:r w:rsidRPr="007C05E5">
        <w:rPr>
          <w:rFonts w:ascii="Times New Roman" w:hAnsi="Times New Roman" w:cs="Times New Roman"/>
          <w:lang w:val="en-GB"/>
        </w:rPr>
        <w:t xml:space="preserve"> - before the </w:t>
      </w:r>
      <w:r w:rsidR="00270F2A">
        <w:rPr>
          <w:rFonts w:ascii="Times New Roman" w:hAnsi="Times New Roman" w:cs="Times New Roman"/>
          <w:lang w:val="en-GB"/>
        </w:rPr>
        <w:t>C</w:t>
      </w:r>
      <w:r w:rsidRPr="007C05E5">
        <w:rPr>
          <w:rFonts w:ascii="Times New Roman" w:hAnsi="Times New Roman" w:cs="Times New Roman"/>
          <w:lang w:val="en-GB"/>
        </w:rPr>
        <w:t xml:space="preserve">onstitutional </w:t>
      </w:r>
      <w:r w:rsidR="00270F2A">
        <w:rPr>
          <w:rFonts w:ascii="Times New Roman" w:hAnsi="Times New Roman" w:cs="Times New Roman"/>
          <w:lang w:val="en-GB"/>
        </w:rPr>
        <w:t>C</w:t>
      </w:r>
      <w:r w:rsidRPr="007C05E5">
        <w:rPr>
          <w:rFonts w:ascii="Times New Roman" w:hAnsi="Times New Roman" w:cs="Times New Roman"/>
          <w:lang w:val="en-GB"/>
        </w:rPr>
        <w:t xml:space="preserve">ourt, who do not have to demonstrate an interest in bringing proceedings, and </w:t>
      </w:r>
      <w:r w:rsidR="00270F2A">
        <w:rPr>
          <w:rFonts w:ascii="Times New Roman" w:hAnsi="Times New Roman" w:cs="Times New Roman"/>
          <w:lang w:val="en-GB"/>
        </w:rPr>
        <w:t>“</w:t>
      </w:r>
      <w:r w:rsidRPr="007C05E5">
        <w:rPr>
          <w:rFonts w:ascii="Times New Roman" w:hAnsi="Times New Roman" w:cs="Times New Roman"/>
          <w:lang w:val="en-GB"/>
        </w:rPr>
        <w:t>ordinary</w:t>
      </w:r>
      <w:r w:rsidR="00270F2A">
        <w:rPr>
          <w:rFonts w:ascii="Times New Roman" w:hAnsi="Times New Roman" w:cs="Times New Roman"/>
          <w:lang w:val="en-GB"/>
        </w:rPr>
        <w:t>”</w:t>
      </w:r>
      <w:r w:rsidRPr="007C05E5">
        <w:rPr>
          <w:rFonts w:ascii="Times New Roman" w:hAnsi="Times New Roman" w:cs="Times New Roman"/>
          <w:lang w:val="en-GB"/>
        </w:rPr>
        <w:t xml:space="preserve"> applicants - i.e. other natural and legal persons - who have to provide such a demonstration. In this judgment, the Court noted that this difference in treatment was attributable to Article 142, paragraph 3, of the Constitution, which </w:t>
      </w:r>
      <w:r w:rsidR="007C05E5">
        <w:rPr>
          <w:rFonts w:ascii="Times New Roman" w:hAnsi="Times New Roman" w:cs="Times New Roman"/>
          <w:lang w:val="en-GB"/>
        </w:rPr>
        <w:t>states</w:t>
      </w:r>
      <w:r w:rsidRPr="007C05E5">
        <w:rPr>
          <w:rFonts w:ascii="Times New Roman" w:hAnsi="Times New Roman" w:cs="Times New Roman"/>
          <w:lang w:val="en-GB"/>
        </w:rPr>
        <w:t xml:space="preserve"> that the Constitutional Court may be seized by </w:t>
      </w:r>
      <w:r w:rsidR="007C05E5">
        <w:rPr>
          <w:rFonts w:ascii="Times New Roman" w:hAnsi="Times New Roman" w:cs="Times New Roman"/>
          <w:lang w:val="en-GB"/>
        </w:rPr>
        <w:t>“</w:t>
      </w:r>
      <w:r w:rsidRPr="007C05E5">
        <w:rPr>
          <w:rFonts w:ascii="Times New Roman" w:hAnsi="Times New Roman" w:cs="Times New Roman"/>
          <w:lang w:val="en-GB"/>
        </w:rPr>
        <w:t>any authority that the law designates</w:t>
      </w:r>
      <w:r w:rsidR="007C05E5">
        <w:rPr>
          <w:rFonts w:ascii="Times New Roman" w:hAnsi="Times New Roman" w:cs="Times New Roman"/>
          <w:lang w:val="en-GB"/>
        </w:rPr>
        <w:t>”</w:t>
      </w:r>
      <w:r w:rsidRPr="007C05E5">
        <w:rPr>
          <w:rFonts w:ascii="Times New Roman" w:hAnsi="Times New Roman" w:cs="Times New Roman"/>
          <w:lang w:val="en-GB"/>
        </w:rPr>
        <w:t>, without further specification, on the one hand, and by 'any person who can demonstrate an interest', on the other</w:t>
      </w:r>
      <w:r w:rsidRPr="007C05E5">
        <w:rPr>
          <w:rStyle w:val="Appelnotedebasdep"/>
          <w:rFonts w:ascii="Times New Roman" w:hAnsi="Times New Roman" w:cs="Times New Roman"/>
        </w:rPr>
        <w:footnoteReference w:id="29"/>
      </w:r>
      <w:r w:rsidRPr="007C05E5">
        <w:rPr>
          <w:rFonts w:ascii="Times New Roman" w:hAnsi="Times New Roman" w:cs="Times New Roman"/>
          <w:lang w:val="en-GB"/>
        </w:rPr>
        <w:t xml:space="preserve">. </w:t>
      </w:r>
    </w:p>
    <w:p w14:paraId="6D21FD2B" w14:textId="77777777" w:rsidR="00950962" w:rsidRPr="007C05E5" w:rsidRDefault="00950962" w:rsidP="00950962">
      <w:pPr>
        <w:jc w:val="both"/>
        <w:rPr>
          <w:rFonts w:ascii="Times New Roman" w:hAnsi="Times New Roman" w:cs="Times New Roman"/>
          <w:lang w:val="en-GB"/>
        </w:rPr>
      </w:pPr>
    </w:p>
    <w:p w14:paraId="3B759342" w14:textId="5DE46727"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 xml:space="preserve">The reasoning of the Constitutional Court does not lend itself to any legal criticism and constitutes a simple application of the principle of the hierarchy of norms. Nevertheless, the consequence is radical: the aspect of the law that takes up a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is, under the effect of this jurisprudence, immune from any judicial review, in a manner like a constitutional provision</w:t>
      </w:r>
      <w:r w:rsidRPr="007C05E5">
        <w:rPr>
          <w:rStyle w:val="Appelnotedebasdep"/>
          <w:rFonts w:ascii="Times New Roman" w:hAnsi="Times New Roman" w:cs="Times New Roman"/>
        </w:rPr>
        <w:footnoteReference w:id="30"/>
      </w:r>
      <w:r w:rsidRPr="007C05E5">
        <w:rPr>
          <w:rFonts w:ascii="Times New Roman" w:hAnsi="Times New Roman" w:cs="Times New Roman"/>
          <w:lang w:val="en-GB"/>
        </w:rPr>
        <w:t>.</w:t>
      </w:r>
    </w:p>
    <w:p w14:paraId="67CA1A84" w14:textId="4F683702" w:rsidR="00950962" w:rsidRPr="007C05E5" w:rsidRDefault="00950962" w:rsidP="00950962">
      <w:pPr>
        <w:jc w:val="both"/>
        <w:rPr>
          <w:rFonts w:ascii="Times New Roman" w:hAnsi="Times New Roman" w:cs="Times New Roman"/>
          <w:lang w:val="en-GB"/>
        </w:rPr>
      </w:pPr>
    </w:p>
    <w:p w14:paraId="6C1327A2" w14:textId="4E8F82CD"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7.</w:t>
      </w:r>
      <w:r w:rsidRPr="007C05E5">
        <w:rPr>
          <w:rFonts w:ascii="Times New Roman" w:hAnsi="Times New Roman" w:cs="Times New Roman"/>
          <w:lang w:val="en-GB"/>
        </w:rPr>
        <w:t xml:space="preserve"> As an exception to the principle according to which all legislative provisions are reviewed by the Constitutional Court,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must be interpreted restrictively. In fact, for the Constitutional Court to be found incompetent, the law must obviously not be limited to expressing principles contained, in germ, in the Constitution, otherwise it will be excluded from the Court's review in many cases. In fact, the law must take up the substance of the choice made by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w:t>
      </w:r>
      <w:r w:rsidR="007C05E5" w:rsidRPr="007C05E5">
        <w:rPr>
          <w:rFonts w:ascii="Times New Roman" w:hAnsi="Times New Roman" w:cs="Times New Roman"/>
          <w:lang w:val="en-GB"/>
        </w:rPr>
        <w:t>i.e.,</w:t>
      </w:r>
      <w:r w:rsidRPr="007C05E5">
        <w:rPr>
          <w:rFonts w:ascii="Times New Roman" w:hAnsi="Times New Roman" w:cs="Times New Roman"/>
          <w:lang w:val="en-GB"/>
        </w:rPr>
        <w:t xml:space="preserve"> the constitutional position that leaves no room for manoeuvre </w:t>
      </w:r>
      <w:r w:rsidR="00270F2A">
        <w:rPr>
          <w:rFonts w:ascii="Times New Roman" w:hAnsi="Times New Roman" w:cs="Times New Roman"/>
          <w:lang w:val="en-GB"/>
        </w:rPr>
        <w:t>for the legislator unless the Constitution is violated.</w:t>
      </w:r>
      <w:r w:rsidRPr="007C05E5">
        <w:rPr>
          <w:rFonts w:ascii="Times New Roman" w:hAnsi="Times New Roman" w:cs="Times New Roman"/>
          <w:lang w:val="en-GB"/>
        </w:rPr>
        <w:t xml:space="preserve"> On the other hand, the aspects that the legislator can regulate within the manoeuvre left by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cannot be imputed to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himself and, therefore, must be subject to the Court's review. Thus, in judgment </w:t>
      </w:r>
      <w:r w:rsidR="001950CC">
        <w:rPr>
          <w:rFonts w:ascii="Times New Roman" w:hAnsi="Times New Roman" w:cs="Times New Roman"/>
          <w:lang w:val="en-GB"/>
        </w:rPr>
        <w:t>no.</w:t>
      </w:r>
      <w:r w:rsidRPr="007C05E5">
        <w:rPr>
          <w:rFonts w:ascii="Times New Roman" w:hAnsi="Times New Roman" w:cs="Times New Roman"/>
          <w:lang w:val="en-GB"/>
        </w:rPr>
        <w:t xml:space="preserve"> 157/2021 of 28 October 2021, the Court ruled that although the offence of offending the King provided for in Article 1 of the Law of 6 April 1847</w:t>
      </w:r>
      <w:r w:rsidRPr="007C05E5">
        <w:rPr>
          <w:rStyle w:val="Appelnotedebasdep"/>
          <w:rFonts w:ascii="Times New Roman" w:hAnsi="Times New Roman" w:cs="Times New Roman"/>
        </w:rPr>
        <w:footnoteReference w:id="31"/>
      </w:r>
      <w:r w:rsidRPr="007C05E5">
        <w:rPr>
          <w:rFonts w:ascii="Times New Roman" w:hAnsi="Times New Roman" w:cs="Times New Roman"/>
          <w:lang w:val="en-GB"/>
        </w:rPr>
        <w:t xml:space="preserve"> is </w:t>
      </w:r>
      <w:r w:rsidR="007C05E5">
        <w:rPr>
          <w:rFonts w:ascii="Times New Roman" w:hAnsi="Times New Roman" w:cs="Times New Roman"/>
          <w:lang w:val="en-GB"/>
        </w:rPr>
        <w:t>“</w:t>
      </w:r>
      <w:r w:rsidRPr="007C05E5">
        <w:rPr>
          <w:rFonts w:ascii="Times New Roman" w:hAnsi="Times New Roman" w:cs="Times New Roman"/>
          <w:lang w:val="en-GB"/>
        </w:rPr>
        <w:t>dictated by the constitutional status of the King, as currently regulated in Articles 88 and 106 of the Constitution</w:t>
      </w:r>
      <w:r w:rsidR="007C05E5">
        <w:rPr>
          <w:rFonts w:ascii="Times New Roman" w:hAnsi="Times New Roman" w:cs="Times New Roman"/>
          <w:lang w:val="en-GB"/>
        </w:rPr>
        <w:t>”</w:t>
      </w:r>
      <w:r w:rsidRPr="007C05E5">
        <w:rPr>
          <w:rStyle w:val="Appelnotedebasdep"/>
          <w:rFonts w:ascii="Times New Roman" w:hAnsi="Times New Roman" w:cs="Times New Roman"/>
        </w:rPr>
        <w:footnoteReference w:id="32"/>
      </w:r>
      <w:r w:rsidRPr="007C05E5">
        <w:rPr>
          <w:rFonts w:ascii="Times New Roman" w:hAnsi="Times New Roman" w:cs="Times New Roman"/>
          <w:lang w:val="en-GB"/>
        </w:rPr>
        <w:t xml:space="preserve">, the latter cannot imply </w:t>
      </w:r>
      <w:r w:rsidR="007C05E5">
        <w:rPr>
          <w:rFonts w:ascii="Times New Roman" w:hAnsi="Times New Roman" w:cs="Times New Roman"/>
          <w:lang w:val="en-GB"/>
        </w:rPr>
        <w:t>“</w:t>
      </w:r>
      <w:r w:rsidRPr="007C05E5">
        <w:rPr>
          <w:rFonts w:ascii="Times New Roman" w:hAnsi="Times New Roman" w:cs="Times New Roman"/>
          <w:lang w:val="en-GB"/>
        </w:rPr>
        <w:t xml:space="preserve">that this provision is the result of a choice made by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itself</w:t>
      </w:r>
      <w:r w:rsidR="007C05E5">
        <w:rPr>
          <w:rFonts w:ascii="Times New Roman" w:hAnsi="Times New Roman" w:cs="Times New Roman"/>
          <w:lang w:val="en-GB"/>
        </w:rPr>
        <w:t>”</w:t>
      </w:r>
      <w:r w:rsidRPr="007C05E5">
        <w:rPr>
          <w:rFonts w:ascii="Times New Roman" w:hAnsi="Times New Roman" w:cs="Times New Roman"/>
          <w:lang w:val="en-GB"/>
        </w:rPr>
        <w:t xml:space="preserve">. Indeed, </w:t>
      </w:r>
      <w:r w:rsidR="007C05E5">
        <w:rPr>
          <w:rFonts w:ascii="Times New Roman" w:hAnsi="Times New Roman" w:cs="Times New Roman"/>
          <w:lang w:val="en-GB"/>
        </w:rPr>
        <w:t>“</w:t>
      </w:r>
      <w:r w:rsidRPr="007C05E5">
        <w:rPr>
          <w:rFonts w:ascii="Times New Roman" w:hAnsi="Times New Roman" w:cs="Times New Roman"/>
          <w:lang w:val="en-GB"/>
        </w:rPr>
        <w:t>the constitutional principles of the inviolability and non-accountability of the King do not in themselves require that offences against the person of the King be punished according to the modalities contained in the provision in question as regards the scope of the offence, the condition of intent and the rate of punishment</w:t>
      </w:r>
      <w:r w:rsidR="007C05E5">
        <w:rPr>
          <w:rFonts w:ascii="Times New Roman" w:hAnsi="Times New Roman" w:cs="Times New Roman"/>
          <w:lang w:val="en-GB"/>
        </w:rPr>
        <w:t>”</w:t>
      </w:r>
      <w:r w:rsidRPr="007C05E5">
        <w:rPr>
          <w:rStyle w:val="Appelnotedebasdep"/>
          <w:rFonts w:ascii="Times New Roman" w:hAnsi="Times New Roman" w:cs="Times New Roman"/>
        </w:rPr>
        <w:footnoteReference w:id="33"/>
      </w:r>
      <w:r w:rsidRPr="007C05E5">
        <w:rPr>
          <w:rFonts w:ascii="Times New Roman" w:hAnsi="Times New Roman" w:cs="Times New Roman"/>
          <w:lang w:val="en-GB"/>
        </w:rPr>
        <w:t xml:space="preserve">. The restrictive interpretation of the choice of </w:t>
      </w:r>
      <w:r w:rsidRPr="007C05E5">
        <w:rPr>
          <w:rFonts w:ascii="Times New Roman" w:hAnsi="Times New Roman" w:cs="Times New Roman"/>
          <w:lang w:val="en-GB"/>
        </w:rPr>
        <w:lastRenderedPageBreak/>
        <w:t xml:space="preserve">the Constitution also logically implies that the silence of the Constitution cannot be equated with a choice made by the </w:t>
      </w:r>
      <w:r w:rsidR="00270F2A">
        <w:rPr>
          <w:rFonts w:ascii="Times New Roman" w:hAnsi="Times New Roman" w:cs="Times New Roman"/>
          <w:lang w:val="en-GB"/>
        </w:rPr>
        <w:t>Constituent</w:t>
      </w:r>
      <w:r w:rsidRPr="007C05E5">
        <w:rPr>
          <w:rStyle w:val="Appelnotedebasdep"/>
          <w:rFonts w:ascii="Times New Roman" w:hAnsi="Times New Roman" w:cs="Times New Roman"/>
        </w:rPr>
        <w:footnoteReference w:id="34"/>
      </w:r>
      <w:r w:rsidRPr="007C05E5">
        <w:rPr>
          <w:rFonts w:ascii="Times New Roman" w:hAnsi="Times New Roman" w:cs="Times New Roman"/>
          <w:lang w:val="en-GB"/>
        </w:rPr>
        <w:t>.</w:t>
      </w:r>
    </w:p>
    <w:p w14:paraId="7C48C393" w14:textId="77777777" w:rsidR="00950962" w:rsidRPr="007C05E5" w:rsidRDefault="00950962" w:rsidP="00950962">
      <w:pPr>
        <w:rPr>
          <w:rFonts w:ascii="Times New Roman" w:hAnsi="Times New Roman" w:cs="Times New Roman"/>
          <w:lang w:val="en-GB"/>
        </w:rPr>
      </w:pPr>
    </w:p>
    <w:p w14:paraId="6B79557E" w14:textId="566AE23D" w:rsidR="00950962" w:rsidRPr="007C05E5" w:rsidRDefault="00950962" w:rsidP="00950962">
      <w:pPr>
        <w:rPr>
          <w:rFonts w:ascii="Times New Roman" w:hAnsi="Times New Roman" w:cs="Times New Roman"/>
          <w:u w:val="single"/>
          <w:lang w:val="en-GB"/>
        </w:rPr>
      </w:pPr>
      <w:r w:rsidRPr="007C05E5">
        <w:rPr>
          <w:rFonts w:ascii="Times New Roman" w:hAnsi="Times New Roman" w:cs="Times New Roman"/>
          <w:u w:val="single"/>
          <w:lang w:val="en-GB"/>
        </w:rPr>
        <w:t xml:space="preserve">II.2. The choice of the </w:t>
      </w:r>
      <w:r w:rsidR="007C05E5">
        <w:rPr>
          <w:rFonts w:ascii="Times New Roman" w:hAnsi="Times New Roman" w:cs="Times New Roman"/>
          <w:u w:val="single"/>
          <w:lang w:val="en-GB"/>
        </w:rPr>
        <w:t>Constituent</w:t>
      </w:r>
      <w:r w:rsidRPr="007C05E5">
        <w:rPr>
          <w:rFonts w:ascii="Times New Roman" w:hAnsi="Times New Roman" w:cs="Times New Roman"/>
          <w:u w:val="single"/>
          <w:lang w:val="en-GB"/>
        </w:rPr>
        <w:t xml:space="preserve"> in the general principles of law</w:t>
      </w:r>
    </w:p>
    <w:p w14:paraId="1DE0F4F2" w14:textId="451D57B0" w:rsidR="00950962" w:rsidRPr="007C05E5" w:rsidRDefault="00950962" w:rsidP="00950962">
      <w:pPr>
        <w:rPr>
          <w:rFonts w:ascii="Times New Roman" w:hAnsi="Times New Roman" w:cs="Times New Roman"/>
          <w:lang w:val="en-GB"/>
        </w:rPr>
      </w:pPr>
    </w:p>
    <w:p w14:paraId="11B9CA11" w14:textId="5B338755"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8.</w:t>
      </w:r>
      <w:r w:rsidRPr="007C05E5">
        <w:rPr>
          <w:rFonts w:ascii="Times New Roman" w:hAnsi="Times New Roman" w:cs="Times New Roman"/>
          <w:lang w:val="en-GB"/>
        </w:rPr>
        <w:t xml:space="preserve"> In an isolated judgment, the Court extended its case law on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to the hypothesis of the general principles of law deriving from the Constitution. In judgment no. 45/2017 of 27 April 2017, it ruled that Article 9 of the </w:t>
      </w:r>
      <w:r w:rsidR="001950CC">
        <w:rPr>
          <w:rFonts w:ascii="Times New Roman" w:hAnsi="Times New Roman" w:cs="Times New Roman"/>
          <w:lang w:val="en-GB"/>
        </w:rPr>
        <w:t>Law</w:t>
      </w:r>
      <w:r w:rsidRPr="007C05E5">
        <w:rPr>
          <w:rFonts w:ascii="Times New Roman" w:hAnsi="Times New Roman" w:cs="Times New Roman"/>
          <w:lang w:val="en-GB"/>
        </w:rPr>
        <w:t xml:space="preserve"> of 29 May 1959</w:t>
      </w:r>
      <w:r w:rsidRPr="007C05E5">
        <w:rPr>
          <w:rStyle w:val="Appelnotedebasdep"/>
          <w:rFonts w:ascii="Times New Roman" w:hAnsi="Times New Roman" w:cs="Times New Roman"/>
        </w:rPr>
        <w:footnoteReference w:id="35"/>
      </w:r>
      <w:r w:rsidRPr="007C05E5">
        <w:rPr>
          <w:rFonts w:ascii="Times New Roman" w:hAnsi="Times New Roman" w:cs="Times New Roman"/>
          <w:lang w:val="en-GB"/>
        </w:rPr>
        <w:t>, which provides for a different system of termination of service for religious inspectors on the one hand and for other inspectors of education organised by the French Community on the other, echoes the principle of separation of Church and State</w:t>
      </w:r>
      <w:r w:rsidRPr="007C05E5">
        <w:rPr>
          <w:rStyle w:val="Appelnotedebasdep"/>
          <w:rFonts w:ascii="Times New Roman" w:hAnsi="Times New Roman" w:cs="Times New Roman"/>
        </w:rPr>
        <w:footnoteReference w:id="36"/>
      </w:r>
      <w:r w:rsidRPr="007C05E5">
        <w:rPr>
          <w:rFonts w:ascii="Times New Roman" w:hAnsi="Times New Roman" w:cs="Times New Roman"/>
          <w:lang w:val="en-GB"/>
        </w:rPr>
        <w:t>, deduced from the general scheme of the Constitution, and from its articles 19, 21 and 24</w:t>
      </w:r>
      <w:r w:rsidR="00D90CC8" w:rsidRPr="00D90CC8">
        <w:rPr>
          <w:rFonts w:ascii="Times New Roman" w:hAnsi="Times New Roman" w:cs="Times New Roman"/>
          <w:i/>
          <w:iCs/>
          <w:lang w:val="en-GB"/>
        </w:rPr>
        <w:t xml:space="preserve"> </w:t>
      </w:r>
      <w:r w:rsidR="00D90CC8" w:rsidRPr="007C05E5">
        <w:rPr>
          <w:rFonts w:ascii="Times New Roman" w:hAnsi="Times New Roman" w:cs="Times New Roman"/>
          <w:i/>
          <w:iCs/>
          <w:lang w:val="en-GB"/>
        </w:rPr>
        <w:t>in particular</w:t>
      </w:r>
      <w:r w:rsidRPr="007C05E5">
        <w:rPr>
          <w:rStyle w:val="Appelnotedebasdep"/>
          <w:rFonts w:ascii="Times New Roman" w:hAnsi="Times New Roman" w:cs="Times New Roman"/>
        </w:rPr>
        <w:footnoteReference w:id="37"/>
      </w:r>
      <w:r w:rsidRPr="007C05E5">
        <w:rPr>
          <w:rFonts w:ascii="Times New Roman" w:hAnsi="Times New Roman" w:cs="Times New Roman"/>
          <w:lang w:val="en-GB"/>
        </w:rPr>
        <w:t xml:space="preserve">. According to the Court, although </w:t>
      </w:r>
      <w:r w:rsidR="007C05E5">
        <w:rPr>
          <w:rFonts w:ascii="Times New Roman" w:hAnsi="Times New Roman" w:cs="Times New Roman"/>
          <w:lang w:val="en-GB"/>
        </w:rPr>
        <w:t>“</w:t>
      </w:r>
      <w:r w:rsidRPr="007C05E5">
        <w:rPr>
          <w:rFonts w:ascii="Times New Roman" w:hAnsi="Times New Roman" w:cs="Times New Roman"/>
          <w:lang w:val="en-GB"/>
        </w:rPr>
        <w:t xml:space="preserve">this choice must in principle be derived from the text of the Constitution, it may also be derived from the scheme of the Constitution as a whole, when the combination of several constitutional provisions makes it possible to clarify an undeniable choice of the </w:t>
      </w:r>
      <w:r w:rsidR="007C05E5">
        <w:rPr>
          <w:rFonts w:ascii="Times New Roman" w:hAnsi="Times New Roman" w:cs="Times New Roman"/>
          <w:lang w:val="en-GB"/>
        </w:rPr>
        <w:t>Constituent”</w:t>
      </w:r>
      <w:r w:rsidRPr="007C05E5">
        <w:rPr>
          <w:rStyle w:val="Appelnotedebasdep"/>
          <w:rFonts w:ascii="Times New Roman" w:hAnsi="Times New Roman" w:cs="Times New Roman"/>
        </w:rPr>
        <w:footnoteReference w:id="38"/>
      </w:r>
      <w:r w:rsidRPr="007C05E5">
        <w:rPr>
          <w:rFonts w:ascii="Times New Roman" w:hAnsi="Times New Roman" w:cs="Times New Roman"/>
          <w:lang w:val="en-GB"/>
        </w:rPr>
        <w:t xml:space="preserve">. In this judgment, the Court nevertheless concludes that the distinction in treatment as formulated by the judge </w:t>
      </w:r>
      <w:r w:rsidRPr="007C05E5">
        <w:rPr>
          <w:rFonts w:ascii="Times New Roman" w:hAnsi="Times New Roman" w:cs="Times New Roman"/>
          <w:i/>
          <w:iCs/>
          <w:lang w:val="en-GB"/>
        </w:rPr>
        <w:t>a quo</w:t>
      </w:r>
      <w:r w:rsidRPr="007C05E5">
        <w:rPr>
          <w:rFonts w:ascii="Times New Roman" w:hAnsi="Times New Roman" w:cs="Times New Roman"/>
          <w:lang w:val="en-GB"/>
        </w:rPr>
        <w:t xml:space="preserve"> does not respect the choice of the Constitutional Court, so that it considers itself competent to deal with the substance of the question submitted to it for a preliminary ruling.</w:t>
      </w:r>
    </w:p>
    <w:p w14:paraId="3ECA7C99" w14:textId="791AD930" w:rsidR="00950962" w:rsidRPr="007C05E5" w:rsidRDefault="00950962" w:rsidP="00950962">
      <w:pPr>
        <w:jc w:val="both"/>
        <w:rPr>
          <w:rFonts w:ascii="Times New Roman" w:hAnsi="Times New Roman" w:cs="Times New Roman"/>
          <w:lang w:val="en-GB"/>
        </w:rPr>
      </w:pPr>
    </w:p>
    <w:p w14:paraId="55ECA346" w14:textId="2BAFAA97"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9.</w:t>
      </w:r>
      <w:r w:rsidRPr="007C05E5">
        <w:rPr>
          <w:rFonts w:ascii="Times New Roman" w:hAnsi="Times New Roman" w:cs="Times New Roman"/>
          <w:lang w:val="en-GB"/>
        </w:rPr>
        <w:t xml:space="preserve"> The recognition of the existence of </w:t>
      </w:r>
      <w:r w:rsidR="007C05E5">
        <w:rPr>
          <w:rFonts w:ascii="Times New Roman" w:hAnsi="Times New Roman" w:cs="Times New Roman"/>
          <w:lang w:val="en-GB"/>
        </w:rPr>
        <w:t>Constituent</w:t>
      </w:r>
      <w:r w:rsidRPr="007C05E5">
        <w:rPr>
          <w:rFonts w:ascii="Times New Roman" w:hAnsi="Times New Roman" w:cs="Times New Roman"/>
          <w:lang w:val="en-GB"/>
        </w:rPr>
        <w:t xml:space="preserve"> choices in a general principle of law must be emphasised, as it runs counter to the restrictive approach favoured by the Court in its case law on </w:t>
      </w:r>
      <w:r w:rsidR="007C05E5">
        <w:rPr>
          <w:rFonts w:ascii="Times New Roman" w:hAnsi="Times New Roman" w:cs="Times New Roman"/>
          <w:lang w:val="en-GB"/>
        </w:rPr>
        <w:t>Constituent</w:t>
      </w:r>
      <w:r w:rsidRPr="007C05E5">
        <w:rPr>
          <w:rFonts w:ascii="Times New Roman" w:hAnsi="Times New Roman" w:cs="Times New Roman"/>
          <w:lang w:val="en-GB"/>
        </w:rPr>
        <w:t xml:space="preserve"> choices in the Constitution. According to the latter's teachings, the legislator must have appropriated the content of a specific constitutional provision for a law to escape the Court's control, and the </w:t>
      </w:r>
      <w:r w:rsidR="007C05E5">
        <w:rPr>
          <w:rFonts w:ascii="Times New Roman" w:hAnsi="Times New Roman" w:cs="Times New Roman"/>
          <w:lang w:val="en-GB"/>
        </w:rPr>
        <w:t>Constituent</w:t>
      </w:r>
      <w:r w:rsidR="00270F2A">
        <w:rPr>
          <w:rFonts w:ascii="Times New Roman" w:hAnsi="Times New Roman" w:cs="Times New Roman"/>
          <w:lang w:val="en-GB"/>
        </w:rPr>
        <w:t>’</w:t>
      </w:r>
      <w:r w:rsidRPr="007C05E5">
        <w:rPr>
          <w:rFonts w:ascii="Times New Roman" w:hAnsi="Times New Roman" w:cs="Times New Roman"/>
          <w:lang w:val="en-GB"/>
        </w:rPr>
        <w:t>s silence cannot be equated with a choice made by the latter. However, in judgment no. 45/2017, the Court admits the possibility of incompetence arising from a general principle of law, with a content that is by nature vague and of a certain imprecision</w:t>
      </w:r>
      <w:r w:rsidRPr="007C05E5">
        <w:rPr>
          <w:rStyle w:val="Appelnotedebasdep"/>
          <w:rFonts w:ascii="Times New Roman" w:hAnsi="Times New Roman" w:cs="Times New Roman"/>
          <w:lang w:val="en-GB"/>
        </w:rPr>
        <w:footnoteReference w:id="39"/>
      </w:r>
      <w:r w:rsidR="00270F2A">
        <w:rPr>
          <w:rFonts w:ascii="Times New Roman" w:hAnsi="Times New Roman" w:cs="Times New Roman"/>
          <w:lang w:val="en-GB"/>
        </w:rPr>
        <w:t xml:space="preserve">. Nevertheless, such a general principle </w:t>
      </w:r>
      <w:r w:rsidRPr="007C05E5">
        <w:rPr>
          <w:rFonts w:ascii="Times New Roman" w:hAnsi="Times New Roman" w:cs="Times New Roman"/>
          <w:lang w:val="en-GB"/>
        </w:rPr>
        <w:t xml:space="preserve">should not, in our opinion, entail a consequence as radical as incompetence. To return to our example, one may ask what difference in treatment between a religious inspector and another inspector could be imposed by the principle of separation between </w:t>
      </w:r>
      <w:r w:rsidR="00270F2A">
        <w:rPr>
          <w:rFonts w:ascii="Times New Roman" w:hAnsi="Times New Roman" w:cs="Times New Roman"/>
          <w:lang w:val="en-GB"/>
        </w:rPr>
        <w:t>C</w:t>
      </w:r>
      <w:r w:rsidRPr="007C05E5">
        <w:rPr>
          <w:rFonts w:ascii="Times New Roman" w:hAnsi="Times New Roman" w:cs="Times New Roman"/>
          <w:lang w:val="en-GB"/>
        </w:rPr>
        <w:t xml:space="preserve">hurch and </w:t>
      </w:r>
      <w:r w:rsidR="00270F2A">
        <w:rPr>
          <w:rFonts w:ascii="Times New Roman" w:hAnsi="Times New Roman" w:cs="Times New Roman"/>
          <w:lang w:val="en-GB"/>
        </w:rPr>
        <w:t>S</w:t>
      </w:r>
      <w:r w:rsidRPr="007C05E5">
        <w:rPr>
          <w:rFonts w:ascii="Times New Roman" w:hAnsi="Times New Roman" w:cs="Times New Roman"/>
          <w:lang w:val="en-GB"/>
        </w:rPr>
        <w:t xml:space="preserve">tate. In fact, it is not clear in which case </w:t>
      </w:r>
      <w:r w:rsidR="007C05E5">
        <w:rPr>
          <w:rFonts w:ascii="Times New Roman" w:hAnsi="Times New Roman" w:cs="Times New Roman"/>
          <w:lang w:val="en-GB"/>
        </w:rPr>
        <w:t>such a principle</w:t>
      </w:r>
      <w:r w:rsidRPr="007C05E5">
        <w:rPr>
          <w:rFonts w:ascii="Times New Roman" w:hAnsi="Times New Roman" w:cs="Times New Roman"/>
          <w:lang w:val="en-GB"/>
        </w:rPr>
        <w:t xml:space="preserve"> could </w:t>
      </w:r>
      <w:r w:rsidR="00270F2A" w:rsidRPr="007C05E5">
        <w:rPr>
          <w:rFonts w:ascii="Times New Roman" w:hAnsi="Times New Roman" w:cs="Times New Roman"/>
          <w:i/>
          <w:iCs/>
          <w:lang w:val="en-GB"/>
        </w:rPr>
        <w:t>lead</w:t>
      </w:r>
      <w:r w:rsidRPr="007C05E5">
        <w:rPr>
          <w:rFonts w:ascii="Times New Roman" w:hAnsi="Times New Roman" w:cs="Times New Roman"/>
          <w:lang w:val="en-GB"/>
        </w:rPr>
        <w:t xml:space="preserve"> to a finding of incompetence.  </w:t>
      </w:r>
      <w:r w:rsidR="007C05E5" w:rsidRPr="007C05E5">
        <w:rPr>
          <w:rFonts w:ascii="Times New Roman" w:hAnsi="Times New Roman" w:cs="Times New Roman"/>
          <w:lang w:val="en-GB"/>
        </w:rPr>
        <w:t xml:space="preserve">Rather, it should be </w:t>
      </w:r>
      <w:r w:rsidR="00270F2A" w:rsidRPr="007C05E5">
        <w:rPr>
          <w:rFonts w:ascii="Times New Roman" w:hAnsi="Times New Roman" w:cs="Times New Roman"/>
          <w:lang w:val="en-GB"/>
        </w:rPr>
        <w:t>considered</w:t>
      </w:r>
      <w:r w:rsidR="007C05E5" w:rsidRPr="007C05E5">
        <w:rPr>
          <w:rFonts w:ascii="Times New Roman" w:hAnsi="Times New Roman" w:cs="Times New Roman"/>
          <w:lang w:val="en-GB"/>
        </w:rPr>
        <w:t xml:space="preserve"> in the context of proportionality control.</w:t>
      </w:r>
    </w:p>
    <w:p w14:paraId="72408B92" w14:textId="77777777" w:rsidR="00950962" w:rsidRPr="007C05E5" w:rsidRDefault="00950962" w:rsidP="00950962">
      <w:pPr>
        <w:jc w:val="both"/>
        <w:rPr>
          <w:rFonts w:ascii="Times New Roman" w:hAnsi="Times New Roman" w:cs="Times New Roman"/>
          <w:lang w:val="en-GB"/>
        </w:rPr>
      </w:pPr>
    </w:p>
    <w:p w14:paraId="160AFDF3" w14:textId="130BF8F3"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 xml:space="preserve">This second category of judgments, recognising the existence of choices made by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in the general principles of law, leads to a diffraction of the constitutional text, and thus to a loss of normativity of the standard of review of the constitutional court. This loss is not total, since the general principles of law are provided with a certain degree of normativity, but they remain subject to the texts that contain them in germ.</w:t>
      </w:r>
    </w:p>
    <w:p w14:paraId="7CF761C0" w14:textId="77777777" w:rsidR="00950962" w:rsidRPr="007C05E5" w:rsidRDefault="00950962" w:rsidP="00950962">
      <w:pPr>
        <w:rPr>
          <w:rFonts w:ascii="Times New Roman" w:hAnsi="Times New Roman" w:cs="Times New Roman"/>
          <w:lang w:val="en-GB"/>
        </w:rPr>
      </w:pPr>
    </w:p>
    <w:p w14:paraId="194C0B5E" w14:textId="47F150DB" w:rsidR="00950962" w:rsidRPr="007C05E5" w:rsidRDefault="00950962" w:rsidP="00950962">
      <w:pPr>
        <w:rPr>
          <w:rFonts w:ascii="Times New Roman" w:hAnsi="Times New Roman" w:cs="Times New Roman"/>
          <w:u w:val="single"/>
          <w:lang w:val="en-GB"/>
        </w:rPr>
      </w:pPr>
      <w:r w:rsidRPr="007C05E5">
        <w:rPr>
          <w:rFonts w:ascii="Times New Roman" w:hAnsi="Times New Roman" w:cs="Times New Roman"/>
          <w:u w:val="single"/>
          <w:lang w:val="en-GB"/>
        </w:rPr>
        <w:t xml:space="preserve">II.3. The choice of the </w:t>
      </w:r>
      <w:r w:rsidR="007C05E5">
        <w:rPr>
          <w:rFonts w:ascii="Times New Roman" w:hAnsi="Times New Roman" w:cs="Times New Roman"/>
          <w:u w:val="single"/>
          <w:lang w:val="en-GB"/>
        </w:rPr>
        <w:t>Constituent</w:t>
      </w:r>
      <w:r w:rsidRPr="007C05E5">
        <w:rPr>
          <w:rFonts w:ascii="Times New Roman" w:hAnsi="Times New Roman" w:cs="Times New Roman"/>
          <w:u w:val="single"/>
          <w:lang w:val="en-GB"/>
        </w:rPr>
        <w:t xml:space="preserve"> in the preparatory work</w:t>
      </w:r>
    </w:p>
    <w:p w14:paraId="281B5F2A" w14:textId="25267F8E" w:rsidR="00950962" w:rsidRPr="007C05E5" w:rsidRDefault="00950962" w:rsidP="00950962">
      <w:pPr>
        <w:rPr>
          <w:rFonts w:ascii="Times New Roman" w:hAnsi="Times New Roman" w:cs="Times New Roman"/>
          <w:lang w:val="en-GB"/>
        </w:rPr>
      </w:pPr>
    </w:p>
    <w:p w14:paraId="50F834B0" w14:textId="76662026"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10.</w:t>
      </w:r>
      <w:r w:rsidRPr="007C05E5">
        <w:rPr>
          <w:rFonts w:ascii="Times New Roman" w:hAnsi="Times New Roman" w:cs="Times New Roman"/>
          <w:lang w:val="en-GB"/>
        </w:rPr>
        <w:t xml:space="preserve"> In a third category of judgments, the Constitutional Court has gone even further in the loss of normativity of the standard of review: according to its constant jurisprudence, it considers that the choice of the </w:t>
      </w:r>
      <w:r w:rsidR="007C05E5">
        <w:rPr>
          <w:rFonts w:ascii="Times New Roman" w:hAnsi="Times New Roman" w:cs="Times New Roman"/>
          <w:lang w:val="en-GB"/>
        </w:rPr>
        <w:t>Constituent</w:t>
      </w:r>
      <w:r w:rsidRPr="007C05E5">
        <w:rPr>
          <w:rFonts w:ascii="Times New Roman" w:hAnsi="Times New Roman" w:cs="Times New Roman"/>
          <w:lang w:val="en-GB"/>
        </w:rPr>
        <w:t>, which results, let us recall, in a declaration of incompetence, can also be lodged in the preparatory work of the revision, and in this case</w:t>
      </w:r>
      <w:r w:rsidR="00270F2A">
        <w:rPr>
          <w:rFonts w:ascii="Times New Roman" w:hAnsi="Times New Roman" w:cs="Times New Roman"/>
          <w:lang w:val="en-GB"/>
        </w:rPr>
        <w:t xml:space="preserve"> (</w:t>
      </w:r>
      <w:r w:rsidRPr="007C05E5">
        <w:rPr>
          <w:rFonts w:ascii="Times New Roman" w:hAnsi="Times New Roman" w:cs="Times New Roman"/>
          <w:lang w:val="en-GB"/>
        </w:rPr>
        <w:t>the precision is important</w:t>
      </w:r>
      <w:r w:rsidR="00270F2A">
        <w:rPr>
          <w:rFonts w:ascii="Times New Roman" w:hAnsi="Times New Roman" w:cs="Times New Roman"/>
          <w:lang w:val="en-GB"/>
        </w:rPr>
        <w:t xml:space="preserve">) </w:t>
      </w:r>
      <w:r w:rsidRPr="007C05E5">
        <w:rPr>
          <w:rFonts w:ascii="Times New Roman" w:hAnsi="Times New Roman" w:cs="Times New Roman"/>
          <w:lang w:val="en-GB"/>
        </w:rPr>
        <w:t xml:space="preserve">only in these, without any trace in the constitutional text itself (otherwise the hypothesis actually comes under the first category of judgments commented on above). This case law runs counter to the Court's case law on the preparatory work of legislative provisions, according to which </w:t>
      </w:r>
      <w:r w:rsidR="001950CC">
        <w:rPr>
          <w:rFonts w:ascii="Times New Roman" w:hAnsi="Times New Roman" w:cs="Times New Roman"/>
          <w:lang w:val="en-GB"/>
        </w:rPr>
        <w:t>“</w:t>
      </w:r>
      <w:r w:rsidRPr="007C05E5">
        <w:rPr>
          <w:rFonts w:ascii="Times New Roman" w:hAnsi="Times New Roman" w:cs="Times New Roman"/>
          <w:lang w:val="en-GB"/>
        </w:rPr>
        <w:t>the meaning of a legislative provision cannot be altered by relying on the clear text of that provision in statements made before its adoption</w:t>
      </w:r>
      <w:r w:rsidR="001950CC">
        <w:rPr>
          <w:rFonts w:ascii="Times New Roman" w:hAnsi="Times New Roman" w:cs="Times New Roman"/>
          <w:lang w:val="en-GB"/>
        </w:rPr>
        <w:t>”</w:t>
      </w:r>
      <w:r w:rsidRPr="007C05E5">
        <w:rPr>
          <w:rStyle w:val="Appelnotedebasdep"/>
          <w:rFonts w:ascii="Times New Roman" w:hAnsi="Times New Roman" w:cs="Times New Roman"/>
        </w:rPr>
        <w:footnoteReference w:id="40"/>
      </w:r>
      <w:r w:rsidRPr="007C05E5">
        <w:rPr>
          <w:rFonts w:ascii="Times New Roman" w:hAnsi="Times New Roman" w:cs="Times New Roman"/>
          <w:lang w:val="en-GB"/>
        </w:rPr>
        <w:t>.</w:t>
      </w:r>
    </w:p>
    <w:p w14:paraId="6BD6E26A" w14:textId="220B9D0F" w:rsidR="00950962" w:rsidRPr="007C05E5" w:rsidRDefault="00950962" w:rsidP="00950962">
      <w:pPr>
        <w:rPr>
          <w:rFonts w:ascii="Times New Roman" w:hAnsi="Times New Roman" w:cs="Times New Roman"/>
          <w:lang w:val="en-GB"/>
        </w:rPr>
      </w:pPr>
    </w:p>
    <w:p w14:paraId="32951926" w14:textId="6FEB3083"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Let us take a simple example of this self-</w:t>
      </w:r>
      <w:r w:rsidR="00270F2A">
        <w:rPr>
          <w:rFonts w:ascii="Times New Roman" w:hAnsi="Times New Roman" w:cs="Times New Roman"/>
          <w:lang w:val="en-GB"/>
        </w:rPr>
        <w:t>restraint</w:t>
      </w:r>
      <w:r w:rsidRPr="007C05E5">
        <w:rPr>
          <w:rFonts w:ascii="Times New Roman" w:hAnsi="Times New Roman" w:cs="Times New Roman"/>
          <w:lang w:val="en-GB"/>
        </w:rPr>
        <w:t xml:space="preserve"> technique. The Labour Party of Belgium lodged an </w:t>
      </w:r>
      <w:r w:rsidR="007C05E5">
        <w:rPr>
          <w:rFonts w:ascii="Times New Roman" w:hAnsi="Times New Roman" w:cs="Times New Roman"/>
          <w:lang w:val="en-GB"/>
        </w:rPr>
        <w:t>action for</w:t>
      </w:r>
      <w:r w:rsidRPr="007C05E5">
        <w:rPr>
          <w:rFonts w:ascii="Times New Roman" w:hAnsi="Times New Roman" w:cs="Times New Roman"/>
          <w:lang w:val="en-GB"/>
        </w:rPr>
        <w:t xml:space="preserve"> annulment against Article 21 of the act of 6 January 2014 inserting an </w:t>
      </w:r>
      <w:proofErr w:type="gramStart"/>
      <w:r w:rsidR="007C05E5">
        <w:rPr>
          <w:rFonts w:ascii="Times New Roman" w:hAnsi="Times New Roman" w:cs="Times New Roman"/>
          <w:lang w:val="en-GB"/>
        </w:rPr>
        <w:t>A</w:t>
      </w:r>
      <w:r w:rsidR="007C05E5" w:rsidRPr="007C05E5">
        <w:rPr>
          <w:rFonts w:ascii="Times New Roman" w:hAnsi="Times New Roman" w:cs="Times New Roman"/>
          <w:lang w:val="en-GB"/>
        </w:rPr>
        <w:t>rticle</w:t>
      </w:r>
      <w:proofErr w:type="gramEnd"/>
      <w:r w:rsidRPr="007C05E5">
        <w:rPr>
          <w:rFonts w:ascii="Times New Roman" w:hAnsi="Times New Roman" w:cs="Times New Roman"/>
          <w:lang w:val="en-GB"/>
        </w:rPr>
        <w:t xml:space="preserve"> 210 </w:t>
      </w:r>
      <w:proofErr w:type="spellStart"/>
      <w:r w:rsidRPr="007C05E5">
        <w:rPr>
          <w:rFonts w:ascii="Times New Roman" w:hAnsi="Times New Roman" w:cs="Times New Roman"/>
          <w:i/>
          <w:iCs/>
          <w:lang w:val="en-GB"/>
        </w:rPr>
        <w:t>decies</w:t>
      </w:r>
      <w:proofErr w:type="spellEnd"/>
      <w:r w:rsidRPr="007C05E5">
        <w:rPr>
          <w:rFonts w:ascii="Times New Roman" w:hAnsi="Times New Roman" w:cs="Times New Roman"/>
          <w:lang w:val="en-GB"/>
        </w:rPr>
        <w:t xml:space="preserve"> into the Electoral Code, following the reform of the Senate. This legislative provision imposes that to obtain an elected member in the Upper House, a party must henceforth obtain 5% of the votes both in the Parliament of the Walloon Region and in the French language group of the Brussels-Capital Region: this is the so-called </w:t>
      </w:r>
      <w:r w:rsidRPr="007C05E5">
        <w:rPr>
          <w:rFonts w:ascii="Times New Roman" w:hAnsi="Times New Roman" w:cs="Times New Roman"/>
          <w:i/>
          <w:iCs/>
          <w:lang w:val="en-GB"/>
        </w:rPr>
        <w:t>double electoral threshold</w:t>
      </w:r>
      <w:r w:rsidRPr="007C05E5">
        <w:rPr>
          <w:rFonts w:ascii="Times New Roman" w:hAnsi="Times New Roman" w:cs="Times New Roman"/>
          <w:lang w:val="en-GB"/>
        </w:rPr>
        <w:t xml:space="preserve">. In the legislative elections of 25 May 2014, the Belgian Labour Party did not obtain this double threshold and alleged that this requirement violates Article 68 of the Constitution, which regulates the modalities for the distribution of seats in the Senate. With regard to the seats contested by this party, Article 68 of the Constitution simply states that the seats in the Senate </w:t>
      </w:r>
      <w:r w:rsidR="007C05E5">
        <w:rPr>
          <w:rFonts w:ascii="Times New Roman" w:hAnsi="Times New Roman" w:cs="Times New Roman"/>
          <w:lang w:val="en-GB"/>
        </w:rPr>
        <w:t>“</w:t>
      </w:r>
      <w:r w:rsidRPr="007C05E5">
        <w:rPr>
          <w:rFonts w:ascii="Times New Roman" w:hAnsi="Times New Roman" w:cs="Times New Roman"/>
          <w:lang w:val="en-GB"/>
        </w:rPr>
        <w:t>are distributed among the lists according to the addition of the electoral figures of the lists obtained in the different electoral districts in the elections for the Parliament of the Walloon Region and the electoral figures of the lists for the French linguistic group obtained in the elections for the Parliament of the Brussels-Capital Region, in accordance with the modalities provided for by the law and according to the system of proportional representation determined by the law</w:t>
      </w:r>
      <w:r w:rsidR="007C05E5">
        <w:rPr>
          <w:rFonts w:ascii="Times New Roman" w:hAnsi="Times New Roman" w:cs="Times New Roman"/>
          <w:lang w:val="en-GB"/>
        </w:rPr>
        <w:t>”</w:t>
      </w:r>
      <w:r w:rsidRPr="007C05E5">
        <w:rPr>
          <w:rFonts w:ascii="Times New Roman" w:hAnsi="Times New Roman" w:cs="Times New Roman"/>
          <w:lang w:val="en-GB"/>
        </w:rPr>
        <w:t>. The Constitution does not mention the double electoral threshold. However, in its judgment no. 161/2015 of 19 November 2015, the Constitutional Court ruled that it was not up to it to analyse the constitutionality of the double threshold provided for in Article 210</w:t>
      </w:r>
      <w:r w:rsidR="007C05E5">
        <w:rPr>
          <w:rFonts w:ascii="Times New Roman" w:hAnsi="Times New Roman" w:cs="Times New Roman"/>
          <w:lang w:val="en-GB"/>
        </w:rPr>
        <w:t xml:space="preserve"> </w:t>
      </w:r>
      <w:proofErr w:type="spellStart"/>
      <w:r w:rsidR="007C05E5" w:rsidRPr="007C05E5">
        <w:rPr>
          <w:rFonts w:ascii="Times New Roman" w:hAnsi="Times New Roman" w:cs="Times New Roman"/>
          <w:i/>
          <w:iCs/>
          <w:lang w:val="en-GB"/>
        </w:rPr>
        <w:t>decies</w:t>
      </w:r>
      <w:proofErr w:type="spellEnd"/>
      <w:r w:rsidRPr="007C05E5">
        <w:rPr>
          <w:rFonts w:ascii="Times New Roman" w:hAnsi="Times New Roman" w:cs="Times New Roman"/>
          <w:lang w:val="en-GB"/>
        </w:rPr>
        <w:t xml:space="preserve"> of the Electoral Code, on the grounds that this stemmed from a choice made by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which was not provided for in the text of the Constitution - as we have just seen - but was mentioned in </w:t>
      </w:r>
      <w:r w:rsidRPr="007C05E5">
        <w:rPr>
          <w:rFonts w:ascii="Times New Roman" w:hAnsi="Times New Roman" w:cs="Times New Roman"/>
          <w:i/>
          <w:iCs/>
          <w:lang w:val="en-GB"/>
        </w:rPr>
        <w:t>the preparatory work for the revision</w:t>
      </w:r>
      <w:r w:rsidRPr="007C05E5">
        <w:rPr>
          <w:rFonts w:ascii="Times New Roman" w:hAnsi="Times New Roman" w:cs="Times New Roman"/>
          <w:lang w:val="en-GB"/>
        </w:rPr>
        <w:t xml:space="preserve">. The proposal for the revision of Article 68 of the Constitution specifies that this proposal for revision must be read </w:t>
      </w:r>
      <w:r w:rsidRPr="007C05E5">
        <w:rPr>
          <w:rFonts w:ascii="Times New Roman" w:hAnsi="Times New Roman" w:cs="Times New Roman"/>
          <w:i/>
          <w:iCs/>
          <w:lang w:val="en-GB"/>
        </w:rPr>
        <w:t>in conjunction</w:t>
      </w:r>
      <w:r w:rsidRPr="007C05E5">
        <w:rPr>
          <w:rFonts w:ascii="Times New Roman" w:hAnsi="Times New Roman" w:cs="Times New Roman"/>
          <w:lang w:val="en-GB"/>
        </w:rPr>
        <w:t xml:space="preserve"> with the bill that gave rise to Article 210 </w:t>
      </w:r>
      <w:proofErr w:type="spellStart"/>
      <w:r w:rsidRPr="001A7A02">
        <w:rPr>
          <w:rFonts w:ascii="Times New Roman" w:hAnsi="Times New Roman" w:cs="Times New Roman"/>
          <w:i/>
          <w:iCs/>
          <w:lang w:val="en-GB"/>
        </w:rPr>
        <w:t>decies</w:t>
      </w:r>
      <w:proofErr w:type="spellEnd"/>
      <w:r w:rsidRPr="007C05E5">
        <w:rPr>
          <w:rFonts w:ascii="Times New Roman" w:hAnsi="Times New Roman" w:cs="Times New Roman"/>
          <w:lang w:val="en-GB"/>
        </w:rPr>
        <w:t xml:space="preserve">. These preparatory works state that </w:t>
      </w:r>
      <w:r w:rsidR="007C05E5">
        <w:rPr>
          <w:rFonts w:ascii="Times New Roman" w:hAnsi="Times New Roman" w:cs="Times New Roman"/>
          <w:lang w:val="en-GB"/>
        </w:rPr>
        <w:t>“</w:t>
      </w:r>
      <w:r w:rsidRPr="007C05E5">
        <w:rPr>
          <w:rFonts w:ascii="Times New Roman" w:hAnsi="Times New Roman" w:cs="Times New Roman"/>
          <w:lang w:val="en-GB"/>
        </w:rPr>
        <w:t xml:space="preserve">these two proposals reveal a definite and unequivocal unity of intent between the present approach of the </w:t>
      </w:r>
      <w:r w:rsidR="007C05E5">
        <w:rPr>
          <w:rFonts w:ascii="Times New Roman" w:hAnsi="Times New Roman" w:cs="Times New Roman"/>
          <w:lang w:val="en-GB"/>
        </w:rPr>
        <w:t>Constituent</w:t>
      </w:r>
      <w:r w:rsidRPr="007C05E5">
        <w:rPr>
          <w:rFonts w:ascii="Times New Roman" w:hAnsi="Times New Roman" w:cs="Times New Roman"/>
          <w:lang w:val="en-GB"/>
        </w:rPr>
        <w:t>, on the one hand, and the special bill amending the Electoral Code submitted concomitantly to Parliament, on the other</w:t>
      </w:r>
      <w:r w:rsidR="007C05E5">
        <w:rPr>
          <w:rFonts w:ascii="Times New Roman" w:hAnsi="Times New Roman" w:cs="Times New Roman"/>
          <w:lang w:val="en-GB"/>
        </w:rPr>
        <w:t>”</w:t>
      </w:r>
      <w:r w:rsidRPr="007C05E5">
        <w:rPr>
          <w:rStyle w:val="Appelnotedebasdep"/>
          <w:rFonts w:ascii="Times New Roman" w:hAnsi="Times New Roman" w:cs="Times New Roman"/>
        </w:rPr>
        <w:footnoteReference w:id="41"/>
      </w:r>
      <w:r w:rsidRPr="007C05E5">
        <w:rPr>
          <w:rFonts w:ascii="Times New Roman" w:hAnsi="Times New Roman" w:cs="Times New Roman"/>
          <w:lang w:val="en-GB"/>
        </w:rPr>
        <w:t>. Therefore, the Court considers itself incompetent to analyse the constitutionality of the double threshold</w:t>
      </w:r>
      <w:r w:rsidRPr="007C05E5">
        <w:rPr>
          <w:rStyle w:val="Appelnotedebasdep"/>
          <w:rFonts w:ascii="Times New Roman" w:hAnsi="Times New Roman" w:cs="Times New Roman"/>
        </w:rPr>
        <w:footnoteReference w:id="42"/>
      </w:r>
      <w:r w:rsidRPr="007C05E5">
        <w:rPr>
          <w:rFonts w:ascii="Times New Roman" w:hAnsi="Times New Roman" w:cs="Times New Roman"/>
          <w:lang w:val="en-GB"/>
        </w:rPr>
        <w:t>.</w:t>
      </w:r>
    </w:p>
    <w:p w14:paraId="20E4A451" w14:textId="37F23E79" w:rsidR="00950962" w:rsidRPr="007C05E5" w:rsidRDefault="00950962" w:rsidP="00950962">
      <w:pPr>
        <w:rPr>
          <w:rFonts w:ascii="Times New Roman" w:hAnsi="Times New Roman" w:cs="Times New Roman"/>
          <w:lang w:val="en-GB"/>
        </w:rPr>
      </w:pPr>
    </w:p>
    <w:p w14:paraId="63538205" w14:textId="0481D8C6"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11.</w:t>
      </w:r>
      <w:r w:rsidRPr="007C05E5">
        <w:rPr>
          <w:rFonts w:ascii="Times New Roman" w:hAnsi="Times New Roman" w:cs="Times New Roman"/>
          <w:lang w:val="en-GB"/>
        </w:rPr>
        <w:t xml:space="preserve"> Nevertheless, the Constitutional Court does not blindly bow to the preparatory work of constitutional revision: it seems that it imposes certain criteria on itself to conclude that it lacks jurisdiction.  This case law is the result of an evolution. It was initiated by judgment no. 18/90 of 23 May 1990, which seems to be the first in which it concluded that it lacked jurisdiction because of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works</w:t>
      </w:r>
      <w:r w:rsidRPr="007C05E5">
        <w:rPr>
          <w:rStyle w:val="Appelnotedebasdep"/>
          <w:rFonts w:ascii="Times New Roman" w:hAnsi="Times New Roman" w:cs="Times New Roman"/>
        </w:rPr>
        <w:footnoteReference w:id="43"/>
      </w:r>
      <w:r w:rsidRPr="007C05E5">
        <w:rPr>
          <w:rFonts w:ascii="Times New Roman" w:hAnsi="Times New Roman" w:cs="Times New Roman"/>
          <w:lang w:val="en-GB"/>
        </w:rPr>
        <w:t xml:space="preserve">. The Court's statement is then rather general and does not proceed, in the judgment, to a detailed exposition of the </w:t>
      </w:r>
      <w:r w:rsidR="007C05E5">
        <w:rPr>
          <w:rFonts w:ascii="Times New Roman" w:hAnsi="Times New Roman" w:cs="Times New Roman"/>
          <w:lang w:val="en-GB"/>
        </w:rPr>
        <w:t>preparatory work</w:t>
      </w:r>
      <w:r w:rsidRPr="007C05E5">
        <w:rPr>
          <w:rFonts w:ascii="Times New Roman" w:hAnsi="Times New Roman" w:cs="Times New Roman"/>
          <w:lang w:val="en-GB"/>
        </w:rPr>
        <w:t>. The assertion of incompetence is therefore quite broad</w:t>
      </w:r>
      <w:r w:rsidRPr="007C05E5">
        <w:rPr>
          <w:rStyle w:val="Appelnotedebasdep"/>
          <w:rFonts w:ascii="Times New Roman" w:hAnsi="Times New Roman" w:cs="Times New Roman"/>
        </w:rPr>
        <w:footnoteReference w:id="44"/>
      </w:r>
      <w:r w:rsidRPr="007C05E5">
        <w:rPr>
          <w:rFonts w:ascii="Times New Roman" w:hAnsi="Times New Roman" w:cs="Times New Roman"/>
          <w:lang w:val="en-GB"/>
        </w:rPr>
        <w:t xml:space="preserve">. In judgment no. 3/2001 of 25 January 2001, the Court refined its jurisprudence: it refuted the argument of lack of jurisdiction, due to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works, raised by the Council of Ministers, by affirming that the </w:t>
      </w:r>
      <w:r w:rsidR="007C05E5">
        <w:rPr>
          <w:rFonts w:ascii="Times New Roman" w:hAnsi="Times New Roman" w:cs="Times New Roman"/>
          <w:lang w:val="en-GB"/>
        </w:rPr>
        <w:t>circumstance</w:t>
      </w:r>
      <w:r w:rsidRPr="007C05E5">
        <w:rPr>
          <w:rFonts w:ascii="Times New Roman" w:hAnsi="Times New Roman" w:cs="Times New Roman"/>
          <w:lang w:val="en-GB"/>
        </w:rPr>
        <w:t xml:space="preserve"> that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refers, in the preparatory works of a constitutional provision, to modalities foreseen by the legislator does not allow to conclude that the Court lacks jurisdiction</w:t>
      </w:r>
      <w:r w:rsidRPr="007C05E5">
        <w:rPr>
          <w:rStyle w:val="Appelnotedebasdep"/>
          <w:rFonts w:ascii="Times New Roman" w:hAnsi="Times New Roman" w:cs="Times New Roman"/>
        </w:rPr>
        <w:footnoteReference w:id="45"/>
      </w:r>
      <w:r w:rsidRPr="007C05E5">
        <w:rPr>
          <w:rFonts w:ascii="Times New Roman" w:hAnsi="Times New Roman" w:cs="Times New Roman"/>
          <w:lang w:val="en-GB"/>
        </w:rPr>
        <w:t xml:space="preserve">. This case law called on the Court to clarify, in the future, which </w:t>
      </w:r>
      <w:r w:rsidR="00270F2A">
        <w:rPr>
          <w:rFonts w:ascii="Times New Roman" w:hAnsi="Times New Roman" w:cs="Times New Roman"/>
          <w:lang w:val="en-GB"/>
        </w:rPr>
        <w:t>“</w:t>
      </w:r>
      <w:r w:rsidRPr="007C05E5">
        <w:rPr>
          <w:rFonts w:ascii="Times New Roman" w:hAnsi="Times New Roman" w:cs="Times New Roman"/>
          <w:lang w:val="en-GB"/>
        </w:rPr>
        <w:t>circumstances</w:t>
      </w:r>
      <w:r w:rsidR="00270F2A">
        <w:rPr>
          <w:rFonts w:ascii="Times New Roman" w:hAnsi="Times New Roman" w:cs="Times New Roman"/>
          <w:lang w:val="en-GB"/>
        </w:rPr>
        <w:t xml:space="preserve">” </w:t>
      </w:r>
      <w:r w:rsidRPr="007C05E5">
        <w:rPr>
          <w:rFonts w:ascii="Times New Roman" w:hAnsi="Times New Roman" w:cs="Times New Roman"/>
          <w:lang w:val="en-GB"/>
        </w:rPr>
        <w:t>allowed it to conclude that it lacked jurisdiction.</w:t>
      </w:r>
    </w:p>
    <w:p w14:paraId="5D4C6AEF" w14:textId="57AF368D" w:rsidR="00950962" w:rsidRPr="007C05E5" w:rsidRDefault="00950962" w:rsidP="00950962">
      <w:pPr>
        <w:jc w:val="both"/>
        <w:rPr>
          <w:rFonts w:ascii="Times New Roman" w:hAnsi="Times New Roman" w:cs="Times New Roman"/>
          <w:lang w:val="en-GB"/>
        </w:rPr>
      </w:pPr>
    </w:p>
    <w:p w14:paraId="17404FB8" w14:textId="250DD3BE" w:rsidR="00950962" w:rsidRPr="007C05E5" w:rsidRDefault="00950962" w:rsidP="00E67947">
      <w:pPr>
        <w:jc w:val="both"/>
        <w:rPr>
          <w:rFonts w:ascii="Times New Roman" w:hAnsi="Times New Roman" w:cs="Times New Roman"/>
          <w:lang w:val="en-GB"/>
        </w:rPr>
      </w:pPr>
      <w:r w:rsidRPr="007C05E5">
        <w:rPr>
          <w:rFonts w:ascii="Times New Roman" w:hAnsi="Times New Roman" w:cs="Times New Roman"/>
          <w:lang w:val="en-GB"/>
        </w:rPr>
        <w:t xml:space="preserve">It had the opportunity to clarify these in the rulings issued following the Sixth State Reform. This reform was the result of what were at the time the longest political negotiations in the history of the Kingdom. At the end of these interminable discussions - which, according to some, put the country's future at risk - the political actors agreed on the </w:t>
      </w:r>
      <w:r w:rsidR="007C05E5">
        <w:rPr>
          <w:rFonts w:ascii="Times New Roman" w:hAnsi="Times New Roman" w:cs="Times New Roman"/>
          <w:lang w:val="en-GB"/>
        </w:rPr>
        <w:t>“</w:t>
      </w:r>
      <w:r w:rsidRPr="007C05E5">
        <w:rPr>
          <w:rFonts w:ascii="Times New Roman" w:hAnsi="Times New Roman" w:cs="Times New Roman"/>
          <w:lang w:val="en-GB"/>
        </w:rPr>
        <w:t>butterfly</w:t>
      </w:r>
      <w:r w:rsidR="007C05E5">
        <w:rPr>
          <w:rFonts w:ascii="Times New Roman" w:hAnsi="Times New Roman" w:cs="Times New Roman"/>
          <w:lang w:val="en-GB"/>
        </w:rPr>
        <w:t>”</w:t>
      </w:r>
      <w:r w:rsidRPr="007C05E5">
        <w:rPr>
          <w:rFonts w:ascii="Times New Roman" w:hAnsi="Times New Roman" w:cs="Times New Roman"/>
          <w:lang w:val="en-GB"/>
        </w:rPr>
        <w:t xml:space="preserve"> political agreement</w:t>
      </w:r>
      <w:r w:rsidR="001950CC">
        <w:rPr>
          <w:rStyle w:val="Appelnotedebasdep"/>
          <w:rFonts w:ascii="Times New Roman" w:hAnsi="Times New Roman" w:cs="Times New Roman"/>
          <w:lang w:val="en-GB"/>
        </w:rPr>
        <w:footnoteReference w:id="46"/>
      </w:r>
      <w:r w:rsidRPr="007C05E5">
        <w:rPr>
          <w:rFonts w:ascii="Times New Roman" w:hAnsi="Times New Roman" w:cs="Times New Roman"/>
          <w:lang w:val="en-GB"/>
        </w:rPr>
        <w:t xml:space="preserve">. During the </w:t>
      </w:r>
      <w:r w:rsidR="007C05E5">
        <w:rPr>
          <w:rFonts w:ascii="Times New Roman" w:hAnsi="Times New Roman" w:cs="Times New Roman"/>
          <w:lang w:val="en-GB"/>
        </w:rPr>
        <w:t xml:space="preserve">actions for </w:t>
      </w:r>
      <w:r w:rsidRPr="007C05E5">
        <w:rPr>
          <w:rFonts w:ascii="Times New Roman" w:hAnsi="Times New Roman" w:cs="Times New Roman"/>
          <w:lang w:val="en-GB"/>
        </w:rPr>
        <w:t xml:space="preserve">annulment and preliminary </w:t>
      </w:r>
      <w:r w:rsidR="007C05E5">
        <w:rPr>
          <w:rFonts w:ascii="Times New Roman" w:hAnsi="Times New Roman" w:cs="Times New Roman"/>
          <w:lang w:val="en-GB"/>
        </w:rPr>
        <w:t>rulings</w:t>
      </w:r>
      <w:r w:rsidRPr="007C05E5">
        <w:rPr>
          <w:rFonts w:ascii="Times New Roman" w:hAnsi="Times New Roman" w:cs="Times New Roman"/>
          <w:lang w:val="en-GB"/>
        </w:rPr>
        <w:t xml:space="preserve"> concerning the legislative provisions giving concrete form to this political agreement, the Court repeatedly declined jurisdiction</w:t>
      </w:r>
      <w:r w:rsidRPr="007C05E5">
        <w:rPr>
          <w:rStyle w:val="Appelnotedebasdep"/>
          <w:rFonts w:ascii="Times New Roman" w:hAnsi="Times New Roman" w:cs="Times New Roman"/>
        </w:rPr>
        <w:footnoteReference w:id="47"/>
      </w:r>
      <w:r w:rsidRPr="007C05E5">
        <w:rPr>
          <w:rFonts w:ascii="Times New Roman" w:hAnsi="Times New Roman" w:cs="Times New Roman"/>
          <w:lang w:val="en-GB"/>
        </w:rPr>
        <w:t xml:space="preserve"> on the grounds of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 while taking care to identify the criteria</w:t>
      </w:r>
      <w:r w:rsidRPr="007C05E5">
        <w:rPr>
          <w:rStyle w:val="Appelnotedebasdep"/>
          <w:rFonts w:ascii="Times New Roman" w:hAnsi="Times New Roman" w:cs="Times New Roman"/>
        </w:rPr>
        <w:footnoteReference w:id="48"/>
      </w:r>
      <w:r w:rsidRPr="007C05E5">
        <w:rPr>
          <w:rFonts w:ascii="Times New Roman" w:hAnsi="Times New Roman" w:cs="Times New Roman"/>
          <w:lang w:val="en-GB"/>
        </w:rPr>
        <w:t xml:space="preserve"> for concluding that it lacked jurisdiction:</w:t>
      </w:r>
    </w:p>
    <w:p w14:paraId="44496A1D" w14:textId="77777777" w:rsidR="00950962" w:rsidRPr="007C05E5" w:rsidRDefault="00950962" w:rsidP="00950962">
      <w:pPr>
        <w:rPr>
          <w:rFonts w:ascii="Times New Roman" w:hAnsi="Times New Roman" w:cs="Times New Roman"/>
          <w:lang w:val="en-GB"/>
        </w:rPr>
      </w:pPr>
    </w:p>
    <w:p w14:paraId="4F78A5FD" w14:textId="1F88AB16" w:rsidR="00950962" w:rsidRPr="007C05E5" w:rsidRDefault="00950962" w:rsidP="00950962">
      <w:pPr>
        <w:ind w:left="993" w:hanging="426"/>
        <w:rPr>
          <w:rFonts w:ascii="Times New Roman" w:hAnsi="Times New Roman" w:cs="Times New Roman"/>
          <w:lang w:val="en-GB"/>
        </w:rPr>
      </w:pPr>
      <w:r w:rsidRPr="007C05E5">
        <w:rPr>
          <w:rFonts w:ascii="Times New Roman" w:hAnsi="Times New Roman" w:cs="Times New Roman"/>
          <w:lang w:val="en-GB"/>
        </w:rPr>
        <w:t>1)</w:t>
      </w:r>
      <w:r w:rsidRPr="007C05E5">
        <w:rPr>
          <w:rFonts w:ascii="Times New Roman" w:hAnsi="Times New Roman" w:cs="Times New Roman"/>
          <w:lang w:val="en-GB"/>
        </w:rPr>
        <w:tab/>
        <w:t xml:space="preserve">It must be "undeniable" from the preparatory work that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was aware of the future legislative </w:t>
      </w:r>
      <w:r w:rsidR="007C05E5">
        <w:rPr>
          <w:rFonts w:ascii="Times New Roman" w:hAnsi="Times New Roman" w:cs="Times New Roman"/>
          <w:lang w:val="en-GB"/>
        </w:rPr>
        <w:t>act</w:t>
      </w:r>
      <w:r w:rsidRPr="007C05E5">
        <w:rPr>
          <w:rFonts w:ascii="Times New Roman" w:hAnsi="Times New Roman" w:cs="Times New Roman"/>
          <w:lang w:val="en-GB"/>
        </w:rPr>
        <w:t xml:space="preserve">. </w:t>
      </w:r>
    </w:p>
    <w:p w14:paraId="6284B160" w14:textId="5C55269E" w:rsidR="00950962" w:rsidRPr="007C05E5" w:rsidRDefault="00950962" w:rsidP="00950962">
      <w:pPr>
        <w:ind w:left="993" w:hanging="426"/>
        <w:rPr>
          <w:rFonts w:ascii="Times New Roman" w:hAnsi="Times New Roman" w:cs="Times New Roman"/>
          <w:lang w:val="en-GB"/>
        </w:rPr>
      </w:pPr>
      <w:r w:rsidRPr="007C05E5">
        <w:rPr>
          <w:rFonts w:ascii="Times New Roman" w:hAnsi="Times New Roman" w:cs="Times New Roman"/>
          <w:lang w:val="en-GB"/>
        </w:rPr>
        <w:lastRenderedPageBreak/>
        <w:t>2)</w:t>
      </w:r>
      <w:r w:rsidRPr="007C05E5">
        <w:rPr>
          <w:rFonts w:ascii="Times New Roman" w:hAnsi="Times New Roman" w:cs="Times New Roman"/>
          <w:lang w:val="en-GB"/>
        </w:rPr>
        <w:tab/>
        <w:t xml:space="preserve">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must have appropriated the content of the future legislative </w:t>
      </w:r>
      <w:r w:rsidR="007C05E5">
        <w:rPr>
          <w:rFonts w:ascii="Times New Roman" w:hAnsi="Times New Roman" w:cs="Times New Roman"/>
          <w:lang w:val="en-GB"/>
        </w:rPr>
        <w:t>act</w:t>
      </w:r>
      <w:r w:rsidRPr="007C05E5">
        <w:rPr>
          <w:rFonts w:ascii="Times New Roman" w:hAnsi="Times New Roman" w:cs="Times New Roman"/>
          <w:lang w:val="en-GB"/>
        </w:rPr>
        <w:t xml:space="preserve">. This is the most important criterion, as it follows from the first. </w:t>
      </w:r>
    </w:p>
    <w:p w14:paraId="3BE9E811" w14:textId="4ABFF181" w:rsidR="00950962" w:rsidRPr="007C05E5" w:rsidRDefault="00950962" w:rsidP="00950962">
      <w:pPr>
        <w:ind w:left="993" w:hanging="426"/>
        <w:rPr>
          <w:rFonts w:ascii="Times New Roman" w:hAnsi="Times New Roman" w:cs="Times New Roman"/>
          <w:lang w:val="en-GB"/>
        </w:rPr>
      </w:pPr>
      <w:r w:rsidRPr="007C05E5">
        <w:rPr>
          <w:rFonts w:ascii="Times New Roman" w:hAnsi="Times New Roman" w:cs="Times New Roman"/>
          <w:lang w:val="en-GB"/>
        </w:rPr>
        <w:t>3)</w:t>
      </w:r>
      <w:r w:rsidRPr="007C05E5">
        <w:rPr>
          <w:rFonts w:ascii="Times New Roman" w:hAnsi="Times New Roman" w:cs="Times New Roman"/>
          <w:lang w:val="en-GB"/>
        </w:rPr>
        <w:tab/>
        <w:t>The first two criteria must not contradict each other.</w:t>
      </w:r>
    </w:p>
    <w:p w14:paraId="55D0AA3A" w14:textId="411F43D8" w:rsidR="00950962" w:rsidRPr="007C05E5" w:rsidRDefault="00950962" w:rsidP="00950962">
      <w:pPr>
        <w:rPr>
          <w:rFonts w:ascii="Times New Roman" w:hAnsi="Times New Roman" w:cs="Times New Roman"/>
          <w:lang w:val="en-GB"/>
        </w:rPr>
      </w:pPr>
    </w:p>
    <w:p w14:paraId="677A87F6" w14:textId="38BCE57C"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 xml:space="preserve">In other words, the preparatory work for the constitutional revision, on the one hand, and the legislative provisions, on the other, must demonstrate the </w:t>
      </w:r>
      <w:r w:rsidRPr="007C05E5">
        <w:rPr>
          <w:rFonts w:ascii="Times New Roman" w:hAnsi="Times New Roman" w:cs="Times New Roman"/>
          <w:i/>
          <w:iCs/>
          <w:lang w:val="en-GB"/>
        </w:rPr>
        <w:t>unity of intent</w:t>
      </w:r>
      <w:r w:rsidRPr="007C05E5">
        <w:rPr>
          <w:rFonts w:ascii="Times New Roman" w:hAnsi="Times New Roman" w:cs="Times New Roman"/>
          <w:lang w:val="en-GB"/>
        </w:rPr>
        <w:t xml:space="preserv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and the legislator. Of course, it is up to the Court to check whether the choice made by the Constitutional Court is correctly implemented by the legislat</w:t>
      </w:r>
      <w:r w:rsidR="00270F2A">
        <w:rPr>
          <w:rFonts w:ascii="Times New Roman" w:hAnsi="Times New Roman" w:cs="Times New Roman"/>
          <w:lang w:val="en-GB"/>
        </w:rPr>
        <w:t>or</w:t>
      </w:r>
      <w:r w:rsidRPr="007C05E5">
        <w:rPr>
          <w:rFonts w:ascii="Times New Roman" w:hAnsi="Times New Roman" w:cs="Times New Roman"/>
          <w:lang w:val="en-GB"/>
        </w:rPr>
        <w:t>, so that it leaves itself a certain margin of appreciation</w:t>
      </w:r>
      <w:r w:rsidRPr="007C05E5">
        <w:rPr>
          <w:rStyle w:val="Appelnotedebasdep"/>
          <w:rFonts w:ascii="Times New Roman" w:hAnsi="Times New Roman" w:cs="Times New Roman"/>
        </w:rPr>
        <w:footnoteReference w:id="49"/>
      </w:r>
      <w:r w:rsidRPr="007C05E5">
        <w:rPr>
          <w:rFonts w:ascii="Times New Roman" w:hAnsi="Times New Roman" w:cs="Times New Roman"/>
          <w:lang w:val="en-GB"/>
        </w:rPr>
        <w:t xml:space="preserve">. </w:t>
      </w:r>
      <w:r w:rsidR="007C05E5">
        <w:rPr>
          <w:rFonts w:ascii="Times New Roman" w:hAnsi="Times New Roman" w:cs="Times New Roman"/>
          <w:lang w:val="en-GB"/>
        </w:rPr>
        <w:t>The Court</w:t>
      </w:r>
      <w:r w:rsidRPr="007C05E5">
        <w:rPr>
          <w:rFonts w:ascii="Times New Roman" w:hAnsi="Times New Roman" w:cs="Times New Roman"/>
          <w:lang w:val="en-GB"/>
        </w:rPr>
        <w:t xml:space="preserve"> also states that by using this technique, </w:t>
      </w:r>
      <w:r w:rsidR="007C05E5">
        <w:rPr>
          <w:rFonts w:ascii="Times New Roman" w:hAnsi="Times New Roman" w:cs="Times New Roman"/>
          <w:lang w:val="en-GB"/>
        </w:rPr>
        <w:t>“</w:t>
      </w:r>
      <w:r w:rsidRPr="007C05E5">
        <w:rPr>
          <w:rFonts w:ascii="Times New Roman" w:hAnsi="Times New Roman" w:cs="Times New Roman"/>
          <w:lang w:val="en-GB"/>
        </w:rPr>
        <w:t xml:space="preserve">the </w:t>
      </w:r>
      <w:r w:rsidR="007C05E5">
        <w:rPr>
          <w:rFonts w:ascii="Times New Roman" w:hAnsi="Times New Roman" w:cs="Times New Roman"/>
          <w:lang w:val="en-GB"/>
        </w:rPr>
        <w:t>Constituent</w:t>
      </w:r>
      <w:r w:rsidRPr="007C05E5">
        <w:rPr>
          <w:rFonts w:ascii="Times New Roman" w:hAnsi="Times New Roman" w:cs="Times New Roman"/>
          <w:lang w:val="en-GB"/>
        </w:rPr>
        <w:t xml:space="preserve"> has not, in this way, added a rule to the text of the Constitution, which can only be done by means of the procedure prescribed by Article 195 of the Constitution. It is only expressing itself on the compatibility of the </w:t>
      </w:r>
      <w:proofErr w:type="gramStart"/>
      <w:r w:rsidRPr="007C05E5">
        <w:rPr>
          <w:rFonts w:ascii="Times New Roman" w:hAnsi="Times New Roman" w:cs="Times New Roman"/>
          <w:lang w:val="en-GB"/>
        </w:rPr>
        <w:t>aforementioned modality</w:t>
      </w:r>
      <w:proofErr w:type="gramEnd"/>
      <w:r w:rsidRPr="007C05E5">
        <w:rPr>
          <w:rFonts w:ascii="Times New Roman" w:hAnsi="Times New Roman" w:cs="Times New Roman"/>
          <w:lang w:val="en-GB"/>
        </w:rPr>
        <w:t xml:space="preserve"> with the Constitution itself</w:t>
      </w:r>
      <w:r w:rsidR="007C05E5">
        <w:rPr>
          <w:rFonts w:ascii="Times New Roman" w:hAnsi="Times New Roman" w:cs="Times New Roman"/>
          <w:lang w:val="en-GB"/>
        </w:rPr>
        <w:t>”</w:t>
      </w:r>
      <w:r w:rsidRPr="007C05E5">
        <w:rPr>
          <w:rStyle w:val="Appelnotedebasdep"/>
          <w:rFonts w:ascii="Times New Roman" w:hAnsi="Times New Roman" w:cs="Times New Roman"/>
        </w:rPr>
        <w:footnoteReference w:id="50"/>
      </w:r>
      <w:r w:rsidRPr="007C05E5">
        <w:rPr>
          <w:rFonts w:ascii="Times New Roman" w:hAnsi="Times New Roman" w:cs="Times New Roman"/>
          <w:lang w:val="en-GB"/>
        </w:rPr>
        <w:t>. While this statement is correct from a legal point of view - it is indeed impossible to see how preparatory works could add a rule to a text that is binding - it should be noted that the consequence is nevertheless identical to adding a rule to the text of the Constitution, namely an absence of constitutional review.</w:t>
      </w:r>
    </w:p>
    <w:p w14:paraId="57792177" w14:textId="5D05BB0E" w:rsidR="00950962" w:rsidRPr="007C05E5" w:rsidRDefault="00950962" w:rsidP="00950962">
      <w:pPr>
        <w:jc w:val="both"/>
        <w:rPr>
          <w:rFonts w:ascii="Times New Roman" w:hAnsi="Times New Roman" w:cs="Times New Roman"/>
          <w:lang w:val="en-GB"/>
        </w:rPr>
      </w:pPr>
    </w:p>
    <w:p w14:paraId="3FE5E659" w14:textId="74617014"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12.</w:t>
      </w:r>
      <w:r w:rsidRPr="007C05E5">
        <w:rPr>
          <w:rFonts w:ascii="Times New Roman" w:hAnsi="Times New Roman" w:cs="Times New Roman"/>
          <w:lang w:val="en-GB"/>
        </w:rPr>
        <w:t xml:space="preserve"> The development of this jurisprudence in the context of the Sixth State Reform is not insignificant since the desire of the political actors was precisely to cement certain compromises necessary for this reform and to remove them from the Court's control. The </w:t>
      </w:r>
      <w:r w:rsidR="007C05E5">
        <w:rPr>
          <w:rFonts w:ascii="Times New Roman" w:hAnsi="Times New Roman" w:cs="Times New Roman"/>
          <w:lang w:val="en-GB"/>
        </w:rPr>
        <w:t>“</w:t>
      </w:r>
      <w:r w:rsidRPr="007C05E5">
        <w:rPr>
          <w:rFonts w:ascii="Times New Roman" w:hAnsi="Times New Roman" w:cs="Times New Roman"/>
          <w:lang w:val="en-GB"/>
        </w:rPr>
        <w:t>Butterfly</w:t>
      </w:r>
      <w:r w:rsidR="007C05E5">
        <w:rPr>
          <w:rFonts w:ascii="Times New Roman" w:hAnsi="Times New Roman" w:cs="Times New Roman"/>
          <w:lang w:val="en-GB"/>
        </w:rPr>
        <w:t xml:space="preserve">” </w:t>
      </w:r>
      <w:r w:rsidRPr="007C05E5">
        <w:rPr>
          <w:rFonts w:ascii="Times New Roman" w:hAnsi="Times New Roman" w:cs="Times New Roman"/>
          <w:lang w:val="en-GB"/>
        </w:rPr>
        <w:t xml:space="preserve">political agreement was based on a complex tangle of compromises, so that a possible annulment by the Court of one of the laws resulting from this agreement risked bringing down the whole house of cards. The use of the </w:t>
      </w:r>
      <w:r w:rsidR="007C05E5">
        <w:rPr>
          <w:rFonts w:ascii="Times New Roman" w:hAnsi="Times New Roman" w:cs="Times New Roman"/>
          <w:lang w:val="en-GB"/>
        </w:rPr>
        <w:t>“Constituent</w:t>
      </w:r>
      <w:r w:rsidRPr="007C05E5">
        <w:rPr>
          <w:rFonts w:ascii="Times New Roman" w:hAnsi="Times New Roman" w:cs="Times New Roman"/>
          <w:lang w:val="en-GB"/>
        </w:rPr>
        <w:t>'s choice</w:t>
      </w:r>
      <w:r w:rsidR="007C05E5">
        <w:rPr>
          <w:rFonts w:ascii="Times New Roman" w:hAnsi="Times New Roman" w:cs="Times New Roman"/>
          <w:lang w:val="en-GB"/>
        </w:rPr>
        <w:t>”</w:t>
      </w:r>
      <w:r w:rsidRPr="007C05E5">
        <w:rPr>
          <w:rFonts w:ascii="Times New Roman" w:hAnsi="Times New Roman" w:cs="Times New Roman"/>
          <w:lang w:val="en-GB"/>
        </w:rPr>
        <w:t xml:space="preserve"> technique mentioned in the preparatory work offered the advantage of immunising political choices without enshrining them in the Constitution, and therefore without having to go through a dissolution of the chambers, while offering the same </w:t>
      </w:r>
      <w:r w:rsidR="007C05E5">
        <w:rPr>
          <w:rFonts w:ascii="Times New Roman" w:hAnsi="Times New Roman" w:cs="Times New Roman"/>
          <w:lang w:val="en-GB"/>
        </w:rPr>
        <w:t>“</w:t>
      </w:r>
      <w:r w:rsidRPr="007C05E5">
        <w:rPr>
          <w:rFonts w:ascii="Times New Roman" w:hAnsi="Times New Roman" w:cs="Times New Roman"/>
          <w:lang w:val="en-GB"/>
        </w:rPr>
        <w:t>privilege</w:t>
      </w:r>
      <w:r w:rsidR="007C05E5">
        <w:rPr>
          <w:rFonts w:ascii="Times New Roman" w:hAnsi="Times New Roman" w:cs="Times New Roman"/>
          <w:lang w:val="en-GB"/>
        </w:rPr>
        <w:t>”</w:t>
      </w:r>
      <w:r w:rsidRPr="007C05E5">
        <w:rPr>
          <w:rFonts w:ascii="Times New Roman" w:hAnsi="Times New Roman" w:cs="Times New Roman"/>
          <w:lang w:val="en-GB"/>
        </w:rPr>
        <w:t>, namely an absence of control</w:t>
      </w:r>
      <w:r w:rsidRPr="007C05E5">
        <w:rPr>
          <w:rStyle w:val="Appelnotedebasdep"/>
          <w:rFonts w:ascii="Times New Roman" w:hAnsi="Times New Roman" w:cs="Times New Roman"/>
        </w:rPr>
        <w:footnoteReference w:id="51"/>
      </w:r>
      <w:r w:rsidRPr="007C05E5">
        <w:rPr>
          <w:rFonts w:ascii="Times New Roman" w:hAnsi="Times New Roman" w:cs="Times New Roman"/>
          <w:lang w:val="en-GB"/>
        </w:rPr>
        <w:t xml:space="preserve">. </w:t>
      </w:r>
      <w:r w:rsidR="00270F2A">
        <w:rPr>
          <w:rFonts w:ascii="Times New Roman" w:hAnsi="Times New Roman" w:cs="Times New Roman"/>
          <w:lang w:val="en-GB"/>
        </w:rPr>
        <w:t>It was not certain that the Court would follow this reasoning</w:t>
      </w:r>
      <w:r w:rsidRPr="007C05E5">
        <w:rPr>
          <w:rFonts w:ascii="Times New Roman" w:hAnsi="Times New Roman" w:cs="Times New Roman"/>
          <w:lang w:val="en-GB"/>
        </w:rPr>
        <w:t xml:space="preserve">, whereas the preparatory works are, as we shall see, devoid of normative scope. </w:t>
      </w:r>
      <w:r w:rsidR="00270F2A">
        <w:rPr>
          <w:rFonts w:ascii="Times New Roman" w:hAnsi="Times New Roman" w:cs="Times New Roman"/>
          <w:lang w:val="en-GB"/>
        </w:rPr>
        <w:t>Nevertheless, the</w:t>
      </w:r>
      <w:r w:rsidRPr="007C05E5">
        <w:rPr>
          <w:rFonts w:ascii="Times New Roman" w:hAnsi="Times New Roman" w:cs="Times New Roman"/>
          <w:lang w:val="en-GB"/>
        </w:rPr>
        <w:t xml:space="preserve"> Court got the message - one wonders whether it really had a choice - and was able to show self-restraint in the face of these political compromises considered by some to be vital for community peace, which constitutes, in the words of its own case law, an </w:t>
      </w:r>
      <w:r w:rsidR="00270F2A">
        <w:rPr>
          <w:rFonts w:ascii="Times New Roman" w:hAnsi="Times New Roman" w:cs="Times New Roman"/>
          <w:lang w:val="en-GB"/>
        </w:rPr>
        <w:t>“</w:t>
      </w:r>
      <w:r w:rsidRPr="007C05E5">
        <w:rPr>
          <w:rFonts w:ascii="Times New Roman" w:hAnsi="Times New Roman" w:cs="Times New Roman"/>
          <w:lang w:val="en-GB"/>
        </w:rPr>
        <w:t>overriding public interest</w:t>
      </w:r>
      <w:r w:rsidR="00270F2A">
        <w:rPr>
          <w:rFonts w:ascii="Times New Roman" w:hAnsi="Times New Roman" w:cs="Times New Roman"/>
          <w:lang w:val="en-GB"/>
        </w:rPr>
        <w:t>”</w:t>
      </w:r>
      <w:r w:rsidRPr="007C05E5">
        <w:rPr>
          <w:rFonts w:ascii="Times New Roman" w:hAnsi="Times New Roman" w:cs="Times New Roman"/>
          <w:lang w:val="en-GB"/>
        </w:rPr>
        <w:t>, as we have seen above</w:t>
      </w:r>
      <w:r w:rsidR="001950CC">
        <w:rPr>
          <w:rStyle w:val="Appelnotedebasdep"/>
          <w:rFonts w:ascii="Times New Roman" w:hAnsi="Times New Roman" w:cs="Times New Roman"/>
          <w:lang w:val="en-GB"/>
        </w:rPr>
        <w:footnoteReference w:id="52"/>
      </w:r>
      <w:r w:rsidRPr="007C05E5">
        <w:rPr>
          <w:rFonts w:ascii="Times New Roman" w:hAnsi="Times New Roman" w:cs="Times New Roman"/>
          <w:lang w:val="en-GB"/>
        </w:rPr>
        <w:t>.</w:t>
      </w:r>
    </w:p>
    <w:p w14:paraId="5EB945A6" w14:textId="04B1D5DD" w:rsidR="00950962" w:rsidRPr="007C05E5" w:rsidRDefault="00950962" w:rsidP="00950962">
      <w:pPr>
        <w:jc w:val="both"/>
        <w:rPr>
          <w:rFonts w:ascii="Times New Roman" w:hAnsi="Times New Roman" w:cs="Times New Roman"/>
          <w:lang w:val="en-GB"/>
        </w:rPr>
      </w:pPr>
    </w:p>
    <w:p w14:paraId="7F41D867" w14:textId="7DB554B5" w:rsidR="007C05E5" w:rsidRDefault="00950962" w:rsidP="00950962">
      <w:pPr>
        <w:jc w:val="both"/>
        <w:rPr>
          <w:rFonts w:ascii="Times New Roman" w:hAnsi="Times New Roman" w:cs="Times New Roman"/>
          <w:lang w:val="en-GB"/>
        </w:rPr>
      </w:pPr>
      <w:r w:rsidRPr="007C05E5">
        <w:rPr>
          <w:rFonts w:ascii="Times New Roman" w:hAnsi="Times New Roman" w:cs="Times New Roman"/>
          <w:b/>
          <w:bCs/>
          <w:lang w:val="en-GB"/>
        </w:rPr>
        <w:t>13.</w:t>
      </w:r>
      <w:r w:rsidRPr="007C05E5">
        <w:rPr>
          <w:rFonts w:ascii="Times New Roman" w:hAnsi="Times New Roman" w:cs="Times New Roman"/>
          <w:lang w:val="en-GB"/>
        </w:rPr>
        <w:t xml:space="preserve"> It should be added that the more recent judgments seem to suggest the prospect of a jurisprudential reversal. After the turmoil of the </w:t>
      </w:r>
      <w:r w:rsidR="007C05E5">
        <w:rPr>
          <w:rFonts w:ascii="Times New Roman" w:hAnsi="Times New Roman" w:cs="Times New Roman"/>
          <w:lang w:val="en-GB"/>
        </w:rPr>
        <w:t>Sixth S</w:t>
      </w:r>
      <w:r w:rsidRPr="007C05E5">
        <w:rPr>
          <w:rFonts w:ascii="Times New Roman" w:hAnsi="Times New Roman" w:cs="Times New Roman"/>
          <w:lang w:val="en-GB"/>
        </w:rPr>
        <w:t xml:space="preserve">tate </w:t>
      </w:r>
      <w:r w:rsidR="007C05E5">
        <w:rPr>
          <w:rFonts w:ascii="Times New Roman" w:hAnsi="Times New Roman" w:cs="Times New Roman"/>
          <w:lang w:val="en-GB"/>
        </w:rPr>
        <w:t>R</w:t>
      </w:r>
      <w:r w:rsidRPr="007C05E5">
        <w:rPr>
          <w:rFonts w:ascii="Times New Roman" w:hAnsi="Times New Roman" w:cs="Times New Roman"/>
          <w:lang w:val="en-GB"/>
        </w:rPr>
        <w:t xml:space="preserve">eform and once the situation had calmed down (temporarily), the Court seemed to opt for a more restrictive conception of the choice of </w:t>
      </w:r>
      <w:r w:rsidR="007C05E5">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 without however completely abandoning its former case law</w:t>
      </w:r>
      <w:r w:rsidR="001950CC">
        <w:rPr>
          <w:rStyle w:val="Appelnotedebasdep"/>
          <w:rFonts w:ascii="Times New Roman" w:hAnsi="Times New Roman" w:cs="Times New Roman"/>
          <w:lang w:val="en-GB"/>
        </w:rPr>
        <w:footnoteReference w:id="53"/>
      </w:r>
      <w:r w:rsidRPr="007C05E5">
        <w:rPr>
          <w:rFonts w:ascii="Times New Roman" w:hAnsi="Times New Roman" w:cs="Times New Roman"/>
          <w:lang w:val="en-GB"/>
        </w:rPr>
        <w:t xml:space="preserve">. </w:t>
      </w:r>
    </w:p>
    <w:p w14:paraId="59F88922" w14:textId="77777777" w:rsidR="007C05E5" w:rsidRDefault="007C05E5" w:rsidP="00950962">
      <w:pPr>
        <w:jc w:val="both"/>
        <w:rPr>
          <w:rFonts w:ascii="Times New Roman" w:hAnsi="Times New Roman" w:cs="Times New Roman"/>
          <w:lang w:val="en-GB"/>
        </w:rPr>
      </w:pPr>
    </w:p>
    <w:p w14:paraId="3566299F" w14:textId="7CAA4000" w:rsidR="00950962" w:rsidRPr="007C05E5" w:rsidRDefault="00950962" w:rsidP="00950962">
      <w:pPr>
        <w:jc w:val="both"/>
        <w:rPr>
          <w:rFonts w:ascii="Times New Roman" w:hAnsi="Times New Roman" w:cs="Times New Roman"/>
          <w:lang w:val="en-GB"/>
        </w:rPr>
      </w:pPr>
      <w:r w:rsidRPr="007C05E5">
        <w:rPr>
          <w:rFonts w:ascii="Times New Roman" w:hAnsi="Times New Roman" w:cs="Times New Roman"/>
          <w:lang w:val="en-GB"/>
        </w:rPr>
        <w:t xml:space="preserve">In its judgment no. 70/2019, the Court seems to add a requirement to its analysis of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against the current of openness and grievance it has shown towards the choices of the political actors following the Sixth State Reform, it states that </w:t>
      </w:r>
      <w:r w:rsidR="00270F2A">
        <w:rPr>
          <w:rFonts w:ascii="Times New Roman" w:hAnsi="Times New Roman" w:cs="Times New Roman"/>
          <w:lang w:val="en-GB"/>
        </w:rPr>
        <w:t>“</w:t>
      </w:r>
      <w:r w:rsidRPr="007C05E5">
        <w:rPr>
          <w:rFonts w:ascii="Times New Roman" w:hAnsi="Times New Roman" w:cs="Times New Roman"/>
          <w:lang w:val="en-GB"/>
        </w:rPr>
        <w:t xml:space="preserve">insofar as it limits the Court's jurisdiction, the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must be interpreted restrictively. The Court must therefore verify, about each of the differences in treatment submitted to it, whether </w:t>
      </w:r>
      <w:r w:rsidRPr="007C05E5">
        <w:rPr>
          <w:rFonts w:ascii="Times New Roman" w:hAnsi="Times New Roman" w:cs="Times New Roman"/>
          <w:lang w:val="en-GB"/>
        </w:rPr>
        <w:lastRenderedPageBreak/>
        <w:t xml:space="preserve">they relate to provisions whose choice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has appropriated</w:t>
      </w:r>
      <w:r w:rsidR="00270F2A">
        <w:rPr>
          <w:rFonts w:ascii="Times New Roman" w:hAnsi="Times New Roman" w:cs="Times New Roman"/>
          <w:lang w:val="en-GB"/>
        </w:rPr>
        <w:t>”</w:t>
      </w:r>
      <w:r w:rsidRPr="007C05E5">
        <w:rPr>
          <w:rStyle w:val="Appelnotedebasdep"/>
          <w:rFonts w:ascii="Times New Roman" w:hAnsi="Times New Roman" w:cs="Times New Roman"/>
        </w:rPr>
        <w:footnoteReference w:id="54"/>
      </w:r>
      <w:r w:rsidRPr="007C05E5">
        <w:rPr>
          <w:rFonts w:ascii="Times New Roman" w:hAnsi="Times New Roman" w:cs="Times New Roman"/>
          <w:lang w:val="en-GB"/>
        </w:rPr>
        <w:t xml:space="preserve">. In the wake of this statement, the Court seems to be slightly reversing its </w:t>
      </w:r>
      <w:r w:rsidR="00270F2A">
        <w:rPr>
          <w:rFonts w:ascii="Times New Roman" w:hAnsi="Times New Roman" w:cs="Times New Roman"/>
          <w:lang w:val="en-GB"/>
        </w:rPr>
        <w:t>jurisprudence</w:t>
      </w:r>
      <w:r w:rsidRPr="007C05E5">
        <w:rPr>
          <w:rFonts w:ascii="Times New Roman" w:hAnsi="Times New Roman" w:cs="Times New Roman"/>
          <w:lang w:val="en-GB"/>
        </w:rPr>
        <w:t xml:space="preserve"> and refusing to consider as a choice of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a modality provided for by the law, namely the possibility, provided for by Article 11 bis of the Consolidated Acts on the Council of State, for the claimant before the Council of State alone, and not for the opposing party, to opt either for the mechanism of compensatory damages before that </w:t>
      </w:r>
      <w:r w:rsidR="007C05E5">
        <w:rPr>
          <w:rFonts w:ascii="Times New Roman" w:hAnsi="Times New Roman" w:cs="Times New Roman"/>
          <w:lang w:val="en-GB"/>
        </w:rPr>
        <w:t>Council</w:t>
      </w:r>
      <w:r w:rsidRPr="007C05E5">
        <w:rPr>
          <w:rFonts w:ascii="Times New Roman" w:hAnsi="Times New Roman" w:cs="Times New Roman"/>
          <w:lang w:val="en-GB"/>
        </w:rPr>
        <w:t xml:space="preserve"> or for the mechanism of liability before the civil court. However, on reading the preparatory work of Article 144</w:t>
      </w:r>
      <w:r w:rsidR="007C05E5">
        <w:rPr>
          <w:rFonts w:ascii="Times New Roman" w:hAnsi="Times New Roman" w:cs="Times New Roman"/>
          <w:lang w:val="en-GB"/>
        </w:rPr>
        <w:t xml:space="preserve">, </w:t>
      </w:r>
      <w:proofErr w:type="gramStart"/>
      <w:r w:rsidR="007C05E5">
        <w:rPr>
          <w:rFonts w:ascii="Times New Roman" w:hAnsi="Times New Roman" w:cs="Times New Roman"/>
          <w:lang w:val="en-GB"/>
        </w:rPr>
        <w:t>second paragraph,</w:t>
      </w:r>
      <w:proofErr w:type="gramEnd"/>
      <w:r w:rsidRPr="007C05E5">
        <w:rPr>
          <w:rFonts w:ascii="Times New Roman" w:hAnsi="Times New Roman" w:cs="Times New Roman"/>
          <w:lang w:val="en-GB"/>
        </w:rPr>
        <w:t xml:space="preserve"> of the Constitution, it seems that the criteria set out by the Court in its case law on the Sixth State Reform - which the Court does not set out in this case - are met. There is no doubt that the </w:t>
      </w:r>
      <w:r w:rsidR="007C05E5">
        <w:rPr>
          <w:rFonts w:ascii="Times New Roman" w:hAnsi="Times New Roman" w:cs="Times New Roman"/>
          <w:lang w:val="en-GB"/>
        </w:rPr>
        <w:t>Constituent</w:t>
      </w:r>
      <w:r w:rsidRPr="007C05E5">
        <w:rPr>
          <w:rFonts w:ascii="Times New Roman" w:hAnsi="Times New Roman" w:cs="Times New Roman"/>
          <w:lang w:val="en-GB"/>
        </w:rPr>
        <w:t xml:space="preserve"> was aware of the bill inserting Article 11 bis of the Consolidated Acts on the Council of State - indeed, he explicitly quotes it</w:t>
      </w:r>
      <w:r w:rsidR="007C05E5">
        <w:rPr>
          <w:rStyle w:val="Appelnotedebasdep"/>
          <w:rFonts w:ascii="Times New Roman" w:hAnsi="Times New Roman" w:cs="Times New Roman"/>
          <w:lang w:val="en-GB"/>
        </w:rPr>
        <w:footnoteReference w:id="55"/>
      </w:r>
      <w:r w:rsidRPr="007C05E5">
        <w:rPr>
          <w:rFonts w:ascii="Times New Roman" w:hAnsi="Times New Roman" w:cs="Times New Roman"/>
          <w:lang w:val="en-GB"/>
        </w:rPr>
        <w:t xml:space="preserve">. The first criterion is therefore met. He also seems to have made this choice his own - he states that </w:t>
      </w:r>
      <w:r w:rsidR="00270F2A">
        <w:rPr>
          <w:rFonts w:ascii="Times New Roman" w:hAnsi="Times New Roman" w:cs="Times New Roman"/>
          <w:lang w:val="en-GB"/>
        </w:rPr>
        <w:t>“</w:t>
      </w:r>
      <w:r w:rsidRPr="007C05E5">
        <w:rPr>
          <w:rFonts w:ascii="Times New Roman" w:hAnsi="Times New Roman" w:cs="Times New Roman"/>
          <w:lang w:val="en-GB"/>
        </w:rPr>
        <w:t>this law provides for a procedure whereby parties who allege that they have suffered damage as a result of an illegal decision must, at a time determined by law, opt either for a civil liability action before the courts and tribunals, or for compensation awarded by the Council of State</w:t>
      </w:r>
      <w:r w:rsidR="00270F2A">
        <w:rPr>
          <w:rFonts w:ascii="Times New Roman" w:hAnsi="Times New Roman" w:cs="Times New Roman"/>
          <w:lang w:val="en-GB"/>
        </w:rPr>
        <w:t>”</w:t>
      </w:r>
      <w:r w:rsidRPr="007C05E5">
        <w:rPr>
          <w:rFonts w:ascii="Times New Roman" w:hAnsi="Times New Roman" w:cs="Times New Roman"/>
          <w:lang w:val="en-GB"/>
        </w:rPr>
        <w:t xml:space="preserve"> and that </w:t>
      </w:r>
      <w:r w:rsidR="00270F2A">
        <w:rPr>
          <w:rFonts w:ascii="Times New Roman" w:hAnsi="Times New Roman" w:cs="Times New Roman"/>
          <w:lang w:val="en-GB"/>
        </w:rPr>
        <w:t>“</w:t>
      </w:r>
      <w:r w:rsidRPr="007C05E5">
        <w:rPr>
          <w:rFonts w:ascii="Times New Roman" w:hAnsi="Times New Roman" w:cs="Times New Roman"/>
          <w:lang w:val="en-GB"/>
        </w:rPr>
        <w:t xml:space="preserve">the fact that this bill has been tabled at the same time as the proposal to revise the constitutional article whose application it seeks to ensure does not mean, of course, that the legislator cannot lay down </w:t>
      </w:r>
      <w:r w:rsidR="00270F2A">
        <w:rPr>
          <w:rFonts w:ascii="Times New Roman" w:hAnsi="Times New Roman" w:cs="Times New Roman"/>
          <w:lang w:val="en-GB"/>
        </w:rPr>
        <w:t>modalities</w:t>
      </w:r>
      <w:r w:rsidRPr="007C05E5">
        <w:rPr>
          <w:rFonts w:ascii="Times New Roman" w:hAnsi="Times New Roman" w:cs="Times New Roman"/>
          <w:lang w:val="en-GB"/>
        </w:rPr>
        <w:t xml:space="preserve"> other than those provided for by that provision</w:t>
      </w:r>
      <w:r w:rsidR="00270F2A">
        <w:rPr>
          <w:rFonts w:ascii="Times New Roman" w:hAnsi="Times New Roman" w:cs="Times New Roman"/>
          <w:lang w:val="en-GB"/>
        </w:rPr>
        <w:t>”</w:t>
      </w:r>
      <w:r w:rsidR="007C05E5">
        <w:rPr>
          <w:rStyle w:val="Appelnotedebasdep"/>
          <w:rFonts w:ascii="Times New Roman" w:hAnsi="Times New Roman" w:cs="Times New Roman"/>
          <w:lang w:val="en-GB"/>
        </w:rPr>
        <w:footnoteReference w:id="56"/>
      </w:r>
      <w:r w:rsidRPr="007C05E5">
        <w:rPr>
          <w:rFonts w:ascii="Times New Roman" w:hAnsi="Times New Roman" w:cs="Times New Roman"/>
          <w:lang w:val="en-GB"/>
        </w:rPr>
        <w:t>. In our view, the second criterion seems to be met. At the very least, it should be noted that the first and second criteria do not contradict each other</w:t>
      </w:r>
      <w:r w:rsidRPr="007C05E5">
        <w:rPr>
          <w:rStyle w:val="Appelnotedebasdep"/>
          <w:rFonts w:ascii="Times New Roman" w:hAnsi="Times New Roman" w:cs="Times New Roman"/>
        </w:rPr>
        <w:footnoteReference w:id="57"/>
      </w:r>
      <w:r w:rsidRPr="007C05E5">
        <w:rPr>
          <w:rFonts w:ascii="Times New Roman" w:hAnsi="Times New Roman" w:cs="Times New Roman"/>
          <w:lang w:val="en-GB"/>
        </w:rPr>
        <w:t>. It is to be hoped that subsequent case law will provide some clarification as to whether the three criteria mentioned above are still required.</w:t>
      </w:r>
    </w:p>
    <w:p w14:paraId="0B346714" w14:textId="77777777" w:rsidR="00950962" w:rsidRPr="007C05E5" w:rsidRDefault="00950962" w:rsidP="00950962">
      <w:pPr>
        <w:rPr>
          <w:rFonts w:ascii="Times New Roman" w:hAnsi="Times New Roman" w:cs="Times New Roman"/>
          <w:lang w:val="en-GB"/>
        </w:rPr>
      </w:pPr>
    </w:p>
    <w:p w14:paraId="7F81163F" w14:textId="680F9A4B" w:rsidR="00950962" w:rsidRPr="007C05E5" w:rsidRDefault="00950962" w:rsidP="00950962">
      <w:pPr>
        <w:rPr>
          <w:rFonts w:ascii="Times New Roman" w:hAnsi="Times New Roman" w:cs="Times New Roman"/>
          <w:b/>
          <w:bCs/>
          <w:u w:val="single"/>
          <w:lang w:val="en-GB"/>
        </w:rPr>
      </w:pPr>
      <w:r w:rsidRPr="007C05E5">
        <w:rPr>
          <w:rFonts w:ascii="Times New Roman" w:hAnsi="Times New Roman" w:cs="Times New Roman"/>
          <w:b/>
          <w:bCs/>
          <w:u w:val="single"/>
          <w:lang w:val="en-GB"/>
        </w:rPr>
        <w:t>III. Some inconsistencies in the hierarchy of norms</w:t>
      </w:r>
    </w:p>
    <w:p w14:paraId="399F1899" w14:textId="609A7EA0" w:rsidR="00950962" w:rsidRPr="007C05E5" w:rsidRDefault="00950962" w:rsidP="00950962">
      <w:pPr>
        <w:rPr>
          <w:rFonts w:ascii="Times New Roman" w:hAnsi="Times New Roman" w:cs="Times New Roman"/>
          <w:lang w:val="en-GB"/>
        </w:rPr>
      </w:pPr>
    </w:p>
    <w:p w14:paraId="21F898C4" w14:textId="79232B8C" w:rsidR="00950962" w:rsidRPr="007C05E5" w:rsidRDefault="00950962" w:rsidP="007C05E5">
      <w:pPr>
        <w:jc w:val="both"/>
        <w:rPr>
          <w:rFonts w:ascii="Times New Roman" w:hAnsi="Times New Roman" w:cs="Times New Roman"/>
          <w:lang w:val="en-GB"/>
        </w:rPr>
      </w:pPr>
      <w:r w:rsidRPr="007C05E5">
        <w:rPr>
          <w:rFonts w:ascii="Times New Roman" w:hAnsi="Times New Roman" w:cs="Times New Roman"/>
          <w:b/>
          <w:bCs/>
          <w:lang w:val="en-GB"/>
        </w:rPr>
        <w:t>14.</w:t>
      </w:r>
      <w:r w:rsidR="007C05E5" w:rsidRPr="007C05E5">
        <w:rPr>
          <w:rFonts w:ascii="Times New Roman" w:hAnsi="Times New Roman" w:cs="Times New Roman"/>
          <w:lang w:val="en-GB"/>
        </w:rPr>
        <w:t xml:space="preserve"> In its case-law on the choices made by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in the preparatory work, the Constitutional Court takes care to specify, as we have seen, that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has not, in this way, added a rule to the text of the Constitution, which can only be done by means of the procedure prescribed by Article 195 of the Constitution. It only expresses itself on the compatibility of the above-mentioned modality with the Constitution itself”</w:t>
      </w:r>
      <w:r w:rsidR="007C05E5" w:rsidRPr="007C05E5">
        <w:rPr>
          <w:rStyle w:val="Appelnotedebasdep"/>
          <w:rFonts w:ascii="Times New Roman" w:hAnsi="Times New Roman" w:cs="Times New Roman"/>
          <w:lang w:val="en-US"/>
        </w:rPr>
        <w:t xml:space="preserve"> </w:t>
      </w:r>
      <w:r w:rsidR="007C05E5" w:rsidRPr="007C05E5">
        <w:rPr>
          <w:rStyle w:val="Appelnotedebasdep"/>
          <w:rFonts w:ascii="Times New Roman" w:hAnsi="Times New Roman" w:cs="Times New Roman"/>
        </w:rPr>
        <w:footnoteReference w:id="58"/>
      </w:r>
      <w:r w:rsidR="007C05E5" w:rsidRPr="007C05E5">
        <w:rPr>
          <w:rFonts w:ascii="Times New Roman" w:hAnsi="Times New Roman" w:cs="Times New Roman"/>
          <w:lang w:val="en-GB"/>
        </w:rPr>
        <w:t xml:space="preserve">. This statement shows a tension as to the status of the immunised legislative </w:t>
      </w:r>
      <w:r w:rsidR="00270F2A">
        <w:rPr>
          <w:rFonts w:ascii="Times New Roman" w:hAnsi="Times New Roman" w:cs="Times New Roman"/>
          <w:lang w:val="en-GB"/>
        </w:rPr>
        <w:t>act</w:t>
      </w:r>
      <w:r w:rsidR="007C05E5" w:rsidRPr="007C05E5">
        <w:rPr>
          <w:rFonts w:ascii="Times New Roman" w:hAnsi="Times New Roman" w:cs="Times New Roman"/>
          <w:lang w:val="en-GB"/>
        </w:rPr>
        <w:t xml:space="preserve"> in the hierarchy of norms: on the one hand, it escapes the constitutionality control because its will is imputed to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just like a formal constitutional provision. However, the law was not adopted in accordance with the procedure for revising the Constitution: it remains a legislative provision. The recognition of a special status for laws incorporating a choice of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leads to certain inconsistencies in the hierarchy of norms: it gives normative scope to statements made in the preparatory work (III.1), it circumvents the procedure for revising the Constitution and its corollaries (III.2) and it creates a type of norm with a hybrid normative status (III.3).</w:t>
      </w:r>
    </w:p>
    <w:p w14:paraId="59932C8E" w14:textId="7FB041C7" w:rsidR="00950962" w:rsidRPr="007C05E5" w:rsidRDefault="00950962" w:rsidP="00950962">
      <w:pPr>
        <w:rPr>
          <w:rFonts w:ascii="Times New Roman" w:hAnsi="Times New Roman" w:cs="Times New Roman"/>
          <w:lang w:val="en-GB"/>
        </w:rPr>
      </w:pPr>
    </w:p>
    <w:p w14:paraId="27D8709F" w14:textId="76CFA91F" w:rsidR="007C05E5" w:rsidRPr="007C05E5" w:rsidRDefault="007C05E5" w:rsidP="00950962">
      <w:pPr>
        <w:rPr>
          <w:rFonts w:ascii="Times New Roman" w:hAnsi="Times New Roman" w:cs="Times New Roman"/>
          <w:u w:val="single"/>
          <w:lang w:val="en-GB"/>
        </w:rPr>
      </w:pPr>
      <w:r w:rsidRPr="007C05E5">
        <w:rPr>
          <w:rFonts w:ascii="Times New Roman" w:hAnsi="Times New Roman" w:cs="Times New Roman"/>
          <w:u w:val="single"/>
          <w:lang w:val="en-GB"/>
        </w:rPr>
        <w:t>III.1. The normative value of preparatory work</w:t>
      </w:r>
    </w:p>
    <w:p w14:paraId="17980659" w14:textId="1BCD32D7" w:rsidR="007C05E5" w:rsidRPr="007C05E5" w:rsidRDefault="007C05E5" w:rsidP="00950962">
      <w:pPr>
        <w:rPr>
          <w:rFonts w:ascii="Times New Roman" w:hAnsi="Times New Roman" w:cs="Times New Roman"/>
          <w:lang w:val="en-GB"/>
        </w:rPr>
      </w:pPr>
    </w:p>
    <w:p w14:paraId="2A2410A3" w14:textId="66AB24C0"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b/>
          <w:bCs/>
          <w:lang w:val="en-GB"/>
        </w:rPr>
        <w:t>15.</w:t>
      </w:r>
      <w:r w:rsidRPr="007C05E5">
        <w:rPr>
          <w:rFonts w:ascii="Times New Roman" w:hAnsi="Times New Roman" w:cs="Times New Roman"/>
          <w:lang w:val="en-GB"/>
        </w:rPr>
        <w:t xml:space="preserve"> In 1969, Paul de Visscher wrote, </w:t>
      </w:r>
      <w:proofErr w:type="gramStart"/>
      <w:r w:rsidRPr="007C05E5">
        <w:rPr>
          <w:rFonts w:ascii="Times New Roman" w:hAnsi="Times New Roman" w:cs="Times New Roman"/>
          <w:lang w:val="en-GB"/>
        </w:rPr>
        <w:t>on the subject of the</w:t>
      </w:r>
      <w:proofErr w:type="gramEnd"/>
      <w:r w:rsidRPr="007C05E5">
        <w:rPr>
          <w:rFonts w:ascii="Times New Roman" w:hAnsi="Times New Roman" w:cs="Times New Roman"/>
          <w:lang w:val="en-GB"/>
        </w:rPr>
        <w:t xml:space="preserve"> preparatory work for constitutional revision, that </w:t>
      </w:r>
      <w:r w:rsidR="00270F2A">
        <w:rPr>
          <w:rFonts w:ascii="Times New Roman" w:hAnsi="Times New Roman" w:cs="Times New Roman"/>
          <w:lang w:val="en-GB"/>
        </w:rPr>
        <w:t>“</w:t>
      </w:r>
      <w:r w:rsidRPr="007C05E5">
        <w:rPr>
          <w:rFonts w:ascii="Times New Roman" w:hAnsi="Times New Roman" w:cs="Times New Roman"/>
          <w:lang w:val="en-GB"/>
        </w:rPr>
        <w:t xml:space="preserve">there is no work more tiresome than to review the debates which, in the course of the past years, the </w:t>
      </w:r>
      <w:r>
        <w:rPr>
          <w:rFonts w:ascii="Times New Roman" w:hAnsi="Times New Roman" w:cs="Times New Roman"/>
          <w:lang w:val="en-GB"/>
        </w:rPr>
        <w:t>Constituent</w:t>
      </w:r>
      <w:r w:rsidRPr="007C05E5">
        <w:rPr>
          <w:rFonts w:ascii="Times New Roman" w:hAnsi="Times New Roman" w:cs="Times New Roman"/>
          <w:lang w:val="en-GB"/>
        </w:rPr>
        <w:t xml:space="preserve"> chambers have devoted to the drafting of new texts. Hundreds and hundreds of pages must be read in the hope of discovering, beyond the partisan diatribes </w:t>
      </w:r>
      <w:r w:rsidRPr="007C05E5">
        <w:rPr>
          <w:rFonts w:ascii="Times New Roman" w:hAnsi="Times New Roman" w:cs="Times New Roman"/>
          <w:lang w:val="en-GB"/>
        </w:rPr>
        <w:lastRenderedPageBreak/>
        <w:t>and electoral speeches, the phrase or word that will shed light on the scope of the new terms from a strictly legal point of view”</w:t>
      </w:r>
      <w:r w:rsidRPr="007C05E5">
        <w:rPr>
          <w:rStyle w:val="Appelnotedebasdep"/>
          <w:rFonts w:ascii="Times New Roman" w:hAnsi="Times New Roman" w:cs="Times New Roman"/>
          <w:lang w:val="en-US"/>
        </w:rPr>
        <w:t xml:space="preserve"> </w:t>
      </w:r>
      <w:r w:rsidRPr="007C05E5">
        <w:rPr>
          <w:rStyle w:val="Appelnotedebasdep"/>
          <w:rFonts w:ascii="Times New Roman" w:hAnsi="Times New Roman" w:cs="Times New Roman"/>
        </w:rPr>
        <w:footnoteReference w:id="59"/>
      </w:r>
      <w:r w:rsidRPr="007C05E5">
        <w:rPr>
          <w:rFonts w:ascii="Times New Roman" w:hAnsi="Times New Roman" w:cs="Times New Roman"/>
          <w:lang w:val="en-GB"/>
        </w:rPr>
        <w:t xml:space="preserve">. Indeed, the constitutional revision is the fruit of a complex parliamentary process, during which the bodies involved in its elaboration are led to express divergent opinions. In this process, the preparatory work relates above all the opinions formulated by the members of the assembly, who cannot therefore be assimilated to the </w:t>
      </w:r>
      <w:r>
        <w:rPr>
          <w:rFonts w:ascii="Times New Roman" w:hAnsi="Times New Roman" w:cs="Times New Roman"/>
          <w:lang w:val="en-GB"/>
        </w:rPr>
        <w:t>Constituent</w:t>
      </w:r>
      <w:r w:rsidRPr="007C05E5">
        <w:rPr>
          <w:rFonts w:ascii="Times New Roman" w:hAnsi="Times New Roman" w:cs="Times New Roman"/>
          <w:lang w:val="en-GB"/>
        </w:rPr>
        <w:t xml:space="preserve"> power itself. Taken separately, these opinions may even contradict each other. Logically, only the final text, voted in accordance with Article 195 of the Constitution, can be attributed to the </w:t>
      </w:r>
      <w:r>
        <w:rPr>
          <w:rFonts w:ascii="Times New Roman" w:hAnsi="Times New Roman" w:cs="Times New Roman"/>
          <w:lang w:val="en-GB"/>
        </w:rPr>
        <w:t>Constituent</w:t>
      </w:r>
      <w:r w:rsidRPr="007C05E5">
        <w:rPr>
          <w:rFonts w:ascii="Times New Roman" w:hAnsi="Times New Roman" w:cs="Times New Roman"/>
          <w:lang w:val="en-GB"/>
        </w:rPr>
        <w:t xml:space="preserve"> Power, </w:t>
      </w:r>
      <w:r w:rsidR="00D174D3" w:rsidRPr="007C05E5">
        <w:rPr>
          <w:rFonts w:ascii="Times New Roman" w:hAnsi="Times New Roman" w:cs="Times New Roman"/>
          <w:lang w:val="en-GB"/>
        </w:rPr>
        <w:t>i.e.,</w:t>
      </w:r>
      <w:r w:rsidRPr="007C05E5">
        <w:rPr>
          <w:rFonts w:ascii="Times New Roman" w:hAnsi="Times New Roman" w:cs="Times New Roman"/>
          <w:lang w:val="en-GB"/>
        </w:rPr>
        <w:t xml:space="preserve"> the one agreed upon by the Chamber, the </w:t>
      </w:r>
      <w:r w:rsidR="00D174D3" w:rsidRPr="007C05E5">
        <w:rPr>
          <w:rFonts w:ascii="Times New Roman" w:hAnsi="Times New Roman" w:cs="Times New Roman"/>
          <w:lang w:val="en-GB"/>
        </w:rPr>
        <w:t>Senate,</w:t>
      </w:r>
      <w:r w:rsidRPr="007C05E5">
        <w:rPr>
          <w:rFonts w:ascii="Times New Roman" w:hAnsi="Times New Roman" w:cs="Times New Roman"/>
          <w:lang w:val="en-GB"/>
        </w:rPr>
        <w:t xml:space="preserve"> and the King, by a two-thirds majority of the members present, subject to a</w:t>
      </w:r>
      <w:r w:rsidR="00D174D3">
        <w:rPr>
          <w:rFonts w:ascii="Times New Roman" w:hAnsi="Times New Roman" w:cs="Times New Roman"/>
          <w:lang w:val="en-GB"/>
        </w:rPr>
        <w:t>n attendance</w:t>
      </w:r>
      <w:r w:rsidRPr="007C05E5">
        <w:rPr>
          <w:rFonts w:ascii="Times New Roman" w:hAnsi="Times New Roman" w:cs="Times New Roman"/>
          <w:lang w:val="en-GB"/>
        </w:rPr>
        <w:t xml:space="preserve"> quorum of two-thirds. This text is the only one with normative significance, unlike the preparatory works. The latter are only interpretative</w:t>
      </w:r>
      <w:r w:rsidRPr="007C05E5">
        <w:rPr>
          <w:rStyle w:val="Appelnotedebasdep"/>
          <w:rFonts w:ascii="Times New Roman" w:hAnsi="Times New Roman" w:cs="Times New Roman"/>
          <w:lang w:val="en-GB"/>
        </w:rPr>
        <w:footnoteReference w:id="60"/>
      </w:r>
      <w:r w:rsidRPr="007C05E5">
        <w:rPr>
          <w:rFonts w:ascii="Times New Roman" w:hAnsi="Times New Roman" w:cs="Times New Roman"/>
          <w:lang w:val="en-GB"/>
        </w:rPr>
        <w:t>.</w:t>
      </w:r>
    </w:p>
    <w:p w14:paraId="21B75FE0" w14:textId="12E5D1E5" w:rsidR="007C05E5" w:rsidRPr="007C05E5" w:rsidRDefault="007C05E5" w:rsidP="007C05E5">
      <w:pPr>
        <w:jc w:val="both"/>
        <w:rPr>
          <w:rFonts w:ascii="Times New Roman" w:hAnsi="Times New Roman" w:cs="Times New Roman"/>
          <w:lang w:val="en-GB"/>
        </w:rPr>
      </w:pPr>
    </w:p>
    <w:p w14:paraId="07EBC061" w14:textId="4B73787B" w:rsidR="00D174D3" w:rsidRDefault="007C05E5" w:rsidP="007C05E5">
      <w:pPr>
        <w:jc w:val="both"/>
        <w:rPr>
          <w:rFonts w:ascii="Times New Roman" w:hAnsi="Times New Roman" w:cs="Times New Roman"/>
          <w:lang w:val="en-GB"/>
        </w:rPr>
      </w:pPr>
      <w:r w:rsidRPr="007C05E5">
        <w:rPr>
          <w:rFonts w:ascii="Times New Roman" w:hAnsi="Times New Roman" w:cs="Times New Roman"/>
          <w:lang w:val="en-GB"/>
        </w:rPr>
        <w:t>The Constitutional Court is not mistaken in its jurisprudence on the preparatory work of legislative provisions, in which it expresses a certain reservation regarding the use of parliamentary documents. It considers that the positions taken during parliamentary debates may contradict each other and that, to have normative significance, the content of the preparatory work must be included in the law</w:t>
      </w:r>
      <w:r w:rsidRPr="007C05E5">
        <w:rPr>
          <w:rStyle w:val="Appelnotedebasdep"/>
          <w:rFonts w:ascii="Times New Roman" w:hAnsi="Times New Roman" w:cs="Times New Roman"/>
        </w:rPr>
        <w:footnoteReference w:id="61"/>
      </w:r>
      <w:r w:rsidRPr="007C05E5">
        <w:rPr>
          <w:rFonts w:ascii="Times New Roman" w:hAnsi="Times New Roman" w:cs="Times New Roman"/>
          <w:lang w:val="en-GB"/>
        </w:rPr>
        <w:t xml:space="preserve">. However, when the </w:t>
      </w:r>
      <w:r w:rsidR="00270F2A">
        <w:rPr>
          <w:rFonts w:ascii="Times New Roman" w:hAnsi="Times New Roman" w:cs="Times New Roman"/>
          <w:lang w:val="en-GB"/>
        </w:rPr>
        <w:t>preparatory works</w:t>
      </w:r>
      <w:r w:rsidRPr="007C05E5">
        <w:rPr>
          <w:rFonts w:ascii="Times New Roman" w:hAnsi="Times New Roman" w:cs="Times New Roman"/>
          <w:lang w:val="en-GB"/>
        </w:rPr>
        <w:t xml:space="preserve"> are those of a constitutional revision, the Court confers normative significance on them even though their content is not included in a constitutional provision. This jurisprudence results in the sanctification of the scope of parliamentary documents, by attributing to them what the law does not confer, namely </w:t>
      </w:r>
      <w:r w:rsidR="00270F2A">
        <w:rPr>
          <w:rFonts w:ascii="Times New Roman" w:hAnsi="Times New Roman" w:cs="Times New Roman"/>
          <w:lang w:val="en-GB"/>
        </w:rPr>
        <w:t>the status</w:t>
      </w:r>
      <w:r w:rsidRPr="007C05E5">
        <w:rPr>
          <w:rFonts w:ascii="Times New Roman" w:hAnsi="Times New Roman" w:cs="Times New Roman"/>
          <w:lang w:val="en-GB"/>
        </w:rPr>
        <w:t xml:space="preserve"> of a constitutional provision. </w:t>
      </w:r>
      <w:r w:rsidR="00D174D3" w:rsidRPr="00D174D3">
        <w:rPr>
          <w:rFonts w:ascii="Times New Roman" w:hAnsi="Times New Roman" w:cs="Times New Roman"/>
          <w:lang w:val="en-GB"/>
        </w:rPr>
        <w:t xml:space="preserve">As a result of the Court's case law, the </w:t>
      </w:r>
      <w:r w:rsidR="00D174D3">
        <w:rPr>
          <w:rFonts w:ascii="Times New Roman" w:hAnsi="Times New Roman" w:cs="Times New Roman"/>
          <w:lang w:val="en-GB"/>
        </w:rPr>
        <w:t>preparatory work</w:t>
      </w:r>
      <w:r w:rsidR="00D174D3" w:rsidRPr="00D174D3">
        <w:rPr>
          <w:rFonts w:ascii="Times New Roman" w:hAnsi="Times New Roman" w:cs="Times New Roman"/>
          <w:lang w:val="en-GB"/>
        </w:rPr>
        <w:t xml:space="preserve"> </w:t>
      </w:r>
      <w:r w:rsidR="00733563" w:rsidRPr="00D174D3">
        <w:rPr>
          <w:rFonts w:ascii="Times New Roman" w:hAnsi="Times New Roman" w:cs="Times New Roman"/>
          <w:lang w:val="en-GB"/>
        </w:rPr>
        <w:t>undergoes</w:t>
      </w:r>
      <w:r w:rsidR="00D174D3" w:rsidRPr="00D174D3">
        <w:rPr>
          <w:rFonts w:ascii="Times New Roman" w:hAnsi="Times New Roman" w:cs="Times New Roman"/>
          <w:lang w:val="en-GB"/>
        </w:rPr>
        <w:t xml:space="preserve"> a </w:t>
      </w:r>
      <w:r w:rsidR="00D174D3">
        <w:rPr>
          <w:rFonts w:ascii="Times New Roman" w:hAnsi="Times New Roman" w:cs="Times New Roman"/>
          <w:lang w:val="en-GB"/>
        </w:rPr>
        <w:t xml:space="preserve">real </w:t>
      </w:r>
      <w:r w:rsidR="00D174D3" w:rsidRPr="00D174D3">
        <w:rPr>
          <w:rFonts w:ascii="Times New Roman" w:hAnsi="Times New Roman" w:cs="Times New Roman"/>
          <w:lang w:val="en-GB"/>
        </w:rPr>
        <w:t xml:space="preserve">transubstantiation and </w:t>
      </w:r>
      <w:r w:rsidR="00733563">
        <w:rPr>
          <w:rFonts w:ascii="Times New Roman" w:hAnsi="Times New Roman" w:cs="Times New Roman"/>
          <w:lang w:val="en-GB"/>
        </w:rPr>
        <w:t>is</w:t>
      </w:r>
      <w:r w:rsidR="00D174D3" w:rsidRPr="00D174D3">
        <w:rPr>
          <w:rFonts w:ascii="Times New Roman" w:hAnsi="Times New Roman" w:cs="Times New Roman"/>
          <w:lang w:val="en-GB"/>
        </w:rPr>
        <w:t xml:space="preserve"> transformed into formal constitutional provision</w:t>
      </w:r>
      <w:r w:rsidR="00733563">
        <w:rPr>
          <w:rFonts w:ascii="Times New Roman" w:hAnsi="Times New Roman" w:cs="Times New Roman"/>
          <w:lang w:val="en-GB"/>
        </w:rPr>
        <w:t xml:space="preserve"> </w:t>
      </w:r>
      <w:r w:rsidR="00733563" w:rsidRPr="00D174D3">
        <w:rPr>
          <w:rFonts w:ascii="Times New Roman" w:hAnsi="Times New Roman" w:cs="Times New Roman"/>
          <w:lang w:val="en-GB"/>
        </w:rPr>
        <w:t>regarding</w:t>
      </w:r>
      <w:r w:rsidR="00D174D3" w:rsidRPr="00D174D3">
        <w:rPr>
          <w:rFonts w:ascii="Times New Roman" w:hAnsi="Times New Roman" w:cs="Times New Roman"/>
          <w:lang w:val="en-GB"/>
        </w:rPr>
        <w:t xml:space="preserve"> the Court's jurisdiction.</w:t>
      </w:r>
    </w:p>
    <w:p w14:paraId="04D45E63" w14:textId="77777777" w:rsidR="00D174D3" w:rsidRDefault="00D174D3" w:rsidP="007C05E5">
      <w:pPr>
        <w:jc w:val="both"/>
        <w:rPr>
          <w:rFonts w:ascii="Times New Roman" w:hAnsi="Times New Roman" w:cs="Times New Roman"/>
          <w:lang w:val="en-GB"/>
        </w:rPr>
      </w:pPr>
    </w:p>
    <w:p w14:paraId="15B1F68A" w14:textId="09271B11"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This position raises many questions that remain unanswered. For example, should all parliamentary documents, or only some of them, be recognised as having the value of a </w:t>
      </w:r>
      <w:r w:rsidR="00270F2A">
        <w:rPr>
          <w:rFonts w:ascii="Times New Roman" w:hAnsi="Times New Roman" w:cs="Times New Roman"/>
          <w:lang w:val="en-GB"/>
        </w:rPr>
        <w:t>“</w:t>
      </w:r>
      <w:r w:rsidRPr="007C05E5">
        <w:rPr>
          <w:rFonts w:ascii="Times New Roman" w:hAnsi="Times New Roman" w:cs="Times New Roman"/>
          <w:lang w:val="en-GB"/>
        </w:rPr>
        <w:t>choice</w:t>
      </w:r>
      <w:r w:rsidR="00270F2A">
        <w:rPr>
          <w:rFonts w:ascii="Times New Roman" w:hAnsi="Times New Roman" w:cs="Times New Roman"/>
          <w:lang w:val="en-GB"/>
        </w:rPr>
        <w:t>”</w:t>
      </w:r>
      <w:r w:rsidRPr="007C05E5">
        <w:rPr>
          <w:rFonts w:ascii="Times New Roman" w:hAnsi="Times New Roman" w:cs="Times New Roman"/>
          <w:lang w:val="en-GB"/>
        </w:rPr>
        <w:t xml:space="preserve"> by the </w:t>
      </w:r>
      <w:r>
        <w:rPr>
          <w:rFonts w:ascii="Times New Roman" w:hAnsi="Times New Roman" w:cs="Times New Roman"/>
          <w:lang w:val="en-GB"/>
        </w:rPr>
        <w:t>Constituent</w:t>
      </w:r>
      <w:r w:rsidRPr="007C05E5">
        <w:rPr>
          <w:rFonts w:ascii="Times New Roman" w:hAnsi="Times New Roman" w:cs="Times New Roman"/>
          <w:lang w:val="en-GB"/>
        </w:rPr>
        <w:t xml:space="preserve"> when the </w:t>
      </w:r>
      <w:r w:rsidRPr="00D174D3">
        <w:rPr>
          <w:rFonts w:ascii="Times New Roman" w:hAnsi="Times New Roman" w:cs="Times New Roman"/>
          <w:lang w:val="en-GB"/>
        </w:rPr>
        <w:t>criteria developed by the Court are met</w:t>
      </w:r>
      <w:r w:rsidRPr="00D174D3">
        <w:rPr>
          <w:rStyle w:val="Appelnotedebasdep"/>
          <w:rFonts w:ascii="Times New Roman" w:hAnsi="Times New Roman" w:cs="Times New Roman"/>
        </w:rPr>
        <w:footnoteReference w:id="62"/>
      </w:r>
      <w:r w:rsidRPr="00D174D3">
        <w:rPr>
          <w:rFonts w:ascii="Times New Roman" w:hAnsi="Times New Roman" w:cs="Times New Roman"/>
          <w:lang w:val="en-GB"/>
        </w:rPr>
        <w:t>? So far, the Court's rulings seem to favour the</w:t>
      </w:r>
      <w:r w:rsidR="00D174D3" w:rsidRPr="00D174D3">
        <w:rPr>
          <w:rFonts w:ascii="Times New Roman" w:hAnsi="Times New Roman" w:cs="Times New Roman"/>
          <w:lang w:val="en-GB"/>
        </w:rPr>
        <w:t xml:space="preserve"> </w:t>
      </w:r>
      <w:r w:rsidR="00D174D3">
        <w:rPr>
          <w:rFonts w:ascii="Times New Roman" w:hAnsi="Times New Roman" w:cs="Times New Roman"/>
          <w:lang w:val="en-GB"/>
        </w:rPr>
        <w:t>developments</w:t>
      </w:r>
      <w:r w:rsidR="00D174D3">
        <w:rPr>
          <w:rStyle w:val="Appelnotedebasdep"/>
          <w:rFonts w:ascii="Times New Roman" w:hAnsi="Times New Roman" w:cs="Times New Roman"/>
          <w:lang w:val="en-GB"/>
        </w:rPr>
        <w:footnoteReference w:id="63"/>
      </w:r>
      <w:r w:rsidR="00D174D3">
        <w:rPr>
          <w:rFonts w:ascii="Times New Roman" w:hAnsi="Times New Roman" w:cs="Times New Roman"/>
          <w:lang w:val="en-GB"/>
        </w:rPr>
        <w:t xml:space="preserve">, </w:t>
      </w:r>
      <w:r w:rsidRPr="00D174D3">
        <w:rPr>
          <w:rFonts w:ascii="Times New Roman" w:hAnsi="Times New Roman" w:cs="Times New Roman"/>
          <w:lang w:val="en-GB"/>
        </w:rPr>
        <w:t xml:space="preserve">the </w:t>
      </w:r>
      <w:r w:rsidR="00D174D3">
        <w:rPr>
          <w:rFonts w:ascii="Times New Roman" w:hAnsi="Times New Roman" w:cs="Times New Roman"/>
          <w:lang w:val="en-GB"/>
        </w:rPr>
        <w:t>explanatory memorandum</w:t>
      </w:r>
      <w:r w:rsidR="00D174D3">
        <w:rPr>
          <w:rStyle w:val="Appelnotedebasdep"/>
          <w:rFonts w:ascii="Times New Roman" w:hAnsi="Times New Roman" w:cs="Times New Roman"/>
          <w:lang w:val="en-GB"/>
        </w:rPr>
        <w:footnoteReference w:id="64"/>
      </w:r>
      <w:r w:rsidRPr="00D174D3">
        <w:rPr>
          <w:rFonts w:ascii="Times New Roman" w:hAnsi="Times New Roman" w:cs="Times New Roman"/>
          <w:lang w:val="en-GB"/>
        </w:rPr>
        <w:t xml:space="preserve"> </w:t>
      </w:r>
      <w:r w:rsidR="00D174D3">
        <w:rPr>
          <w:rFonts w:ascii="Times New Roman" w:hAnsi="Times New Roman" w:cs="Times New Roman"/>
          <w:lang w:val="en-GB"/>
        </w:rPr>
        <w:t>and</w:t>
      </w:r>
      <w:r w:rsidRPr="00D174D3">
        <w:rPr>
          <w:rFonts w:ascii="Times New Roman" w:hAnsi="Times New Roman" w:cs="Times New Roman"/>
          <w:lang w:val="en-GB"/>
        </w:rPr>
        <w:t xml:space="preserve"> the committee reports.</w:t>
      </w:r>
      <w:r w:rsidRPr="007C05E5">
        <w:rPr>
          <w:rFonts w:ascii="Times New Roman" w:hAnsi="Times New Roman" w:cs="Times New Roman"/>
          <w:lang w:val="en-GB"/>
        </w:rPr>
        <w:t xml:space="preserve"> But can the </w:t>
      </w:r>
      <w:r>
        <w:rPr>
          <w:rFonts w:ascii="Times New Roman" w:hAnsi="Times New Roman" w:cs="Times New Roman"/>
          <w:lang w:val="en-GB"/>
        </w:rPr>
        <w:t>Constituent</w:t>
      </w:r>
      <w:r w:rsidRPr="007C05E5">
        <w:rPr>
          <w:rFonts w:ascii="Times New Roman" w:hAnsi="Times New Roman" w:cs="Times New Roman"/>
          <w:lang w:val="en-GB"/>
        </w:rPr>
        <w:t xml:space="preserve"> validly express himself elsewhere, especially in oral debates recorded in the parliamentary annals and in the full report? Can </w:t>
      </w:r>
      <w:r w:rsidR="00D174D3">
        <w:rPr>
          <w:rFonts w:ascii="Times New Roman" w:hAnsi="Times New Roman" w:cs="Times New Roman"/>
          <w:lang w:val="en-GB"/>
        </w:rPr>
        <w:t>the Constituent</w:t>
      </w:r>
      <w:r w:rsidRPr="007C05E5">
        <w:rPr>
          <w:rFonts w:ascii="Times New Roman" w:hAnsi="Times New Roman" w:cs="Times New Roman"/>
          <w:lang w:val="en-GB"/>
        </w:rPr>
        <w:t xml:space="preserve"> speak through the mouth of a single parliamentarian, or is a certain collegiality required? Furthermore, since the revision of the Constitution follows a full bicameral procedure, must the parliamentary proceedings of the other chamber echo, albeit in a summary manner, the choice expressed by the parliamentarians of the first chamber for it to be considered as emanating from the </w:t>
      </w:r>
      <w:r>
        <w:rPr>
          <w:rFonts w:ascii="Times New Roman" w:hAnsi="Times New Roman" w:cs="Times New Roman"/>
          <w:lang w:val="en-GB"/>
        </w:rPr>
        <w:t>Constituent</w:t>
      </w:r>
      <w:r w:rsidRPr="007C05E5">
        <w:rPr>
          <w:rFonts w:ascii="Times New Roman" w:hAnsi="Times New Roman" w:cs="Times New Roman"/>
          <w:lang w:val="en-GB"/>
        </w:rPr>
        <w:t>?</w:t>
      </w:r>
    </w:p>
    <w:p w14:paraId="772D7ECE" w14:textId="27669EF9" w:rsidR="007C05E5" w:rsidRPr="007C05E5" w:rsidRDefault="007C05E5" w:rsidP="007C05E5">
      <w:pPr>
        <w:jc w:val="both"/>
        <w:rPr>
          <w:rFonts w:ascii="Times New Roman" w:hAnsi="Times New Roman" w:cs="Times New Roman"/>
          <w:lang w:val="en-GB"/>
        </w:rPr>
      </w:pPr>
    </w:p>
    <w:p w14:paraId="26ED6CEF" w14:textId="4D5455CD" w:rsidR="007C05E5" w:rsidRPr="007C05E5" w:rsidRDefault="007C05E5" w:rsidP="007C05E5">
      <w:pPr>
        <w:jc w:val="both"/>
        <w:rPr>
          <w:rFonts w:ascii="Times New Roman" w:hAnsi="Times New Roman" w:cs="Times New Roman"/>
          <w:lang w:val="en-GB"/>
        </w:rPr>
      </w:pPr>
      <w:r w:rsidRPr="00D174D3">
        <w:rPr>
          <w:rFonts w:ascii="Times New Roman" w:hAnsi="Times New Roman" w:cs="Times New Roman"/>
          <w:b/>
          <w:bCs/>
          <w:lang w:val="en-GB"/>
        </w:rPr>
        <w:t>16.</w:t>
      </w:r>
      <w:r w:rsidRPr="007C05E5">
        <w:rPr>
          <w:rFonts w:ascii="Times New Roman" w:hAnsi="Times New Roman" w:cs="Times New Roman"/>
          <w:lang w:val="en-GB"/>
        </w:rPr>
        <w:t xml:space="preserve"> In our opinion, these multiple questions can be deduced from the fact that the vocabulary used by the Constitutional Court is confusing. Formally, the choices made by parliamentarians during the revision procedure are not choices made by the </w:t>
      </w:r>
      <w:r>
        <w:rPr>
          <w:rFonts w:ascii="Times New Roman" w:hAnsi="Times New Roman" w:cs="Times New Roman"/>
          <w:lang w:val="en-GB"/>
        </w:rPr>
        <w:t>Constituent</w:t>
      </w:r>
      <w:r w:rsidRPr="007C05E5">
        <w:rPr>
          <w:rFonts w:ascii="Times New Roman" w:hAnsi="Times New Roman" w:cs="Times New Roman"/>
          <w:lang w:val="en-GB"/>
        </w:rPr>
        <w:t xml:space="preserve">. When the </w:t>
      </w:r>
      <w:r w:rsidR="00270F2A">
        <w:rPr>
          <w:rFonts w:ascii="Times New Roman" w:hAnsi="Times New Roman" w:cs="Times New Roman"/>
          <w:lang w:val="en-GB"/>
        </w:rPr>
        <w:t>legislative act</w:t>
      </w:r>
      <w:r w:rsidRPr="007C05E5">
        <w:rPr>
          <w:rFonts w:ascii="Times New Roman" w:hAnsi="Times New Roman" w:cs="Times New Roman"/>
          <w:lang w:val="en-GB"/>
        </w:rPr>
        <w:t xml:space="preserve"> </w:t>
      </w:r>
      <w:r w:rsidRPr="007C05E5">
        <w:rPr>
          <w:rFonts w:ascii="Times New Roman" w:hAnsi="Times New Roman" w:cs="Times New Roman"/>
          <w:lang w:val="en-GB"/>
        </w:rPr>
        <w:lastRenderedPageBreak/>
        <w:t>takes up these choices, they are choices of the legislator, and of the legislator alone</w:t>
      </w:r>
      <w:r w:rsidRPr="007C05E5">
        <w:rPr>
          <w:rStyle w:val="Appelnotedebasdep"/>
          <w:rFonts w:ascii="Times New Roman" w:hAnsi="Times New Roman" w:cs="Times New Roman"/>
        </w:rPr>
        <w:footnoteReference w:id="65"/>
      </w:r>
      <w:r w:rsidRPr="007C05E5">
        <w:rPr>
          <w:rFonts w:ascii="Times New Roman" w:hAnsi="Times New Roman" w:cs="Times New Roman"/>
          <w:lang w:val="en-GB"/>
        </w:rPr>
        <w:t xml:space="preserve">. The exact term should be </w:t>
      </w:r>
      <w:r w:rsidR="00270F2A">
        <w:rPr>
          <w:rFonts w:ascii="Times New Roman" w:hAnsi="Times New Roman" w:cs="Times New Roman"/>
          <w:lang w:val="en-GB"/>
        </w:rPr>
        <w:t>“</w:t>
      </w:r>
      <w:r w:rsidRPr="007C05E5">
        <w:rPr>
          <w:rFonts w:ascii="Times New Roman" w:hAnsi="Times New Roman" w:cs="Times New Roman"/>
          <w:lang w:val="en-GB"/>
        </w:rPr>
        <w:t>choices of the preparatory work</w:t>
      </w:r>
      <w:r w:rsidR="00270F2A">
        <w:rPr>
          <w:rFonts w:ascii="Times New Roman" w:hAnsi="Times New Roman" w:cs="Times New Roman"/>
          <w:lang w:val="en-GB"/>
        </w:rPr>
        <w:t>”</w:t>
      </w:r>
      <w:r w:rsidRPr="007C05E5">
        <w:rPr>
          <w:rFonts w:ascii="Times New Roman" w:hAnsi="Times New Roman" w:cs="Times New Roman"/>
          <w:lang w:val="en-GB"/>
        </w:rPr>
        <w:t xml:space="preserve">, which immediately underlines the absence of normative scope. This is an important nuance, because if a text is not binding, the Court is not obliged to decline jurisdiction based on that text. In fact, formally, this text does not impose anything on </w:t>
      </w:r>
      <w:r w:rsidR="00D174D3">
        <w:rPr>
          <w:rFonts w:ascii="Times New Roman" w:hAnsi="Times New Roman" w:cs="Times New Roman"/>
          <w:lang w:val="en-GB"/>
        </w:rPr>
        <w:t>the judges</w:t>
      </w:r>
      <w:r w:rsidRPr="007C05E5">
        <w:rPr>
          <w:rFonts w:ascii="Times New Roman" w:hAnsi="Times New Roman" w:cs="Times New Roman"/>
          <w:lang w:val="en-GB"/>
        </w:rPr>
        <w:t xml:space="preserve">. At most, it indicates the meaning to be given to a provision, as well as the possible political sensitivity of a law, thereby inviting </w:t>
      </w:r>
      <w:r w:rsidR="00D174D3">
        <w:rPr>
          <w:rFonts w:ascii="Times New Roman" w:hAnsi="Times New Roman" w:cs="Times New Roman"/>
          <w:lang w:val="en-GB"/>
        </w:rPr>
        <w:t>them</w:t>
      </w:r>
      <w:r w:rsidRPr="007C05E5">
        <w:rPr>
          <w:rFonts w:ascii="Times New Roman" w:hAnsi="Times New Roman" w:cs="Times New Roman"/>
          <w:lang w:val="en-GB"/>
        </w:rPr>
        <w:t xml:space="preserve"> to be cautious.   </w:t>
      </w:r>
    </w:p>
    <w:p w14:paraId="251C3315" w14:textId="77777777" w:rsidR="007C05E5" w:rsidRPr="007C05E5" w:rsidRDefault="007C05E5" w:rsidP="00950962">
      <w:pPr>
        <w:rPr>
          <w:rFonts w:ascii="Times New Roman" w:hAnsi="Times New Roman" w:cs="Times New Roman"/>
          <w:lang w:val="en-GB"/>
        </w:rPr>
      </w:pPr>
    </w:p>
    <w:p w14:paraId="0C96DF53" w14:textId="1A98C5E4" w:rsidR="007C05E5" w:rsidRPr="007C05E5" w:rsidRDefault="007C05E5" w:rsidP="00950962">
      <w:pPr>
        <w:rPr>
          <w:rFonts w:ascii="Times New Roman" w:hAnsi="Times New Roman" w:cs="Times New Roman"/>
          <w:u w:val="single"/>
          <w:lang w:val="en-GB"/>
        </w:rPr>
      </w:pPr>
      <w:r w:rsidRPr="00733563">
        <w:rPr>
          <w:rFonts w:ascii="Times New Roman" w:hAnsi="Times New Roman" w:cs="Times New Roman"/>
          <w:u w:val="single"/>
          <w:lang w:val="en-GB"/>
        </w:rPr>
        <w:t>III.2. The procedure for revising the Constitution and its corollaries</w:t>
      </w:r>
    </w:p>
    <w:p w14:paraId="09FBCEB2" w14:textId="24F67CA1" w:rsidR="007C05E5" w:rsidRPr="007C05E5" w:rsidRDefault="007C05E5" w:rsidP="00950962">
      <w:pPr>
        <w:rPr>
          <w:rFonts w:ascii="Times New Roman" w:hAnsi="Times New Roman" w:cs="Times New Roman"/>
          <w:lang w:val="en-GB"/>
        </w:rPr>
      </w:pPr>
    </w:p>
    <w:p w14:paraId="1F17E4B0" w14:textId="720E2BCB" w:rsidR="007C05E5" w:rsidRPr="007C05E5" w:rsidRDefault="007C05E5" w:rsidP="007C05E5">
      <w:pPr>
        <w:jc w:val="both"/>
        <w:rPr>
          <w:rFonts w:ascii="Times New Roman" w:hAnsi="Times New Roman" w:cs="Times New Roman"/>
          <w:lang w:val="en-GB"/>
        </w:rPr>
      </w:pPr>
      <w:r w:rsidRPr="00D174D3">
        <w:rPr>
          <w:rFonts w:ascii="Times New Roman" w:hAnsi="Times New Roman" w:cs="Times New Roman"/>
          <w:b/>
          <w:bCs/>
          <w:lang w:val="en-GB"/>
        </w:rPr>
        <w:t>17.</w:t>
      </w:r>
      <w:r w:rsidRPr="007C05E5">
        <w:rPr>
          <w:rFonts w:ascii="Times New Roman" w:hAnsi="Times New Roman" w:cs="Times New Roman"/>
          <w:lang w:val="en-GB"/>
        </w:rPr>
        <w:t xml:space="preserve"> One of the functions of the revision procedure of the Belgian Constitution, which is one of the most rigid in the world</w:t>
      </w:r>
      <w:r w:rsidRPr="007C05E5">
        <w:rPr>
          <w:rStyle w:val="Appelnotedebasdep"/>
          <w:rFonts w:ascii="Times New Roman" w:hAnsi="Times New Roman" w:cs="Times New Roman"/>
        </w:rPr>
        <w:footnoteReference w:id="66"/>
      </w:r>
      <w:r w:rsidRPr="007C05E5">
        <w:rPr>
          <w:rFonts w:ascii="Times New Roman" w:hAnsi="Times New Roman" w:cs="Times New Roman"/>
          <w:lang w:val="en-GB"/>
        </w:rPr>
        <w:t xml:space="preserve">, is to ensure that the amendment has been more thoroughly examined than a </w:t>
      </w:r>
      <w:r w:rsidR="00270F2A">
        <w:rPr>
          <w:rFonts w:ascii="Times New Roman" w:hAnsi="Times New Roman" w:cs="Times New Roman"/>
          <w:lang w:val="en-GB"/>
        </w:rPr>
        <w:t>legislative act</w:t>
      </w:r>
      <w:r w:rsidRPr="007C05E5">
        <w:rPr>
          <w:rFonts w:ascii="Times New Roman" w:hAnsi="Times New Roman" w:cs="Times New Roman"/>
          <w:lang w:val="en-GB"/>
        </w:rPr>
        <w:t>. This is achieved, on the one hand, by the special majorities that this article imposes and, on the other hand, by the dissolution of the previous chambers</w:t>
      </w:r>
      <w:r w:rsidRPr="007C05E5">
        <w:rPr>
          <w:rStyle w:val="Appelnotedebasdep"/>
          <w:rFonts w:ascii="Times New Roman" w:hAnsi="Times New Roman" w:cs="Times New Roman"/>
        </w:rPr>
        <w:footnoteReference w:id="67"/>
      </w:r>
      <w:r w:rsidRPr="007C05E5">
        <w:rPr>
          <w:rFonts w:ascii="Times New Roman" w:hAnsi="Times New Roman" w:cs="Times New Roman"/>
          <w:lang w:val="en-GB"/>
        </w:rPr>
        <w:t xml:space="preserve">. The laws that take up the choices of the </w:t>
      </w:r>
      <w:r>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works are adopted, for their part, at the end of an ordinary or special legislative procedure. In both cases, the process of immunisation from the Court's control is made possible by the organic confusion existing in Belgian institutional law between the components of the legislative power and the </w:t>
      </w:r>
      <w:r>
        <w:rPr>
          <w:rFonts w:ascii="Times New Roman" w:hAnsi="Times New Roman" w:cs="Times New Roman"/>
          <w:lang w:val="en-GB"/>
        </w:rPr>
        <w:t>Constituent</w:t>
      </w:r>
      <w:r w:rsidRPr="007C05E5">
        <w:rPr>
          <w:rFonts w:ascii="Times New Roman" w:hAnsi="Times New Roman" w:cs="Times New Roman"/>
          <w:lang w:val="en-GB"/>
        </w:rPr>
        <w:t xml:space="preserve"> power</w:t>
      </w:r>
      <w:r w:rsidRPr="007C05E5">
        <w:rPr>
          <w:rStyle w:val="Appelnotedebasdep"/>
          <w:rFonts w:ascii="Times New Roman" w:hAnsi="Times New Roman" w:cs="Times New Roman"/>
        </w:rPr>
        <w:footnoteReference w:id="68"/>
      </w:r>
      <w:r w:rsidRPr="007C05E5">
        <w:rPr>
          <w:rFonts w:ascii="Times New Roman" w:hAnsi="Times New Roman" w:cs="Times New Roman"/>
          <w:lang w:val="en-GB"/>
        </w:rPr>
        <w:t>. This procedure circumvents Article 195 of the Constitution, because the legislative norm adopted benefits from an absence of constitutionality review, exactly as if this article had been respected. This absence of control is achieved at the end of a legislative procedure, which is a great advantage for the parliamentarians, because this procedure does not require a special majority in the case of an ordinary law, nor does it require the dissolution of the chambers - and therefore elections with uncertain results - in the case of an ordinary or special law</w:t>
      </w:r>
      <w:r w:rsidRPr="007C05E5">
        <w:rPr>
          <w:rStyle w:val="Appelnotedebasdep"/>
          <w:rFonts w:ascii="Times New Roman" w:hAnsi="Times New Roman" w:cs="Times New Roman"/>
        </w:rPr>
        <w:footnoteReference w:id="69"/>
      </w:r>
      <w:r w:rsidRPr="007C05E5">
        <w:rPr>
          <w:rFonts w:ascii="Times New Roman" w:hAnsi="Times New Roman" w:cs="Times New Roman"/>
          <w:lang w:val="en-GB"/>
        </w:rPr>
        <w:t>.</w:t>
      </w:r>
    </w:p>
    <w:p w14:paraId="6F89CFEB" w14:textId="146A1AB6" w:rsidR="007C05E5" w:rsidRPr="007C05E5" w:rsidRDefault="007C05E5" w:rsidP="00950962">
      <w:pPr>
        <w:rPr>
          <w:rFonts w:ascii="Times New Roman" w:hAnsi="Times New Roman" w:cs="Times New Roman"/>
          <w:lang w:val="en-GB"/>
        </w:rPr>
      </w:pPr>
    </w:p>
    <w:p w14:paraId="458F6F0A" w14:textId="29FC0DDA"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Moreover, Article 195 of the Belgian Constitution states that, on a constitutional revision, the </w:t>
      </w:r>
      <w:r>
        <w:rPr>
          <w:rFonts w:ascii="Times New Roman" w:hAnsi="Times New Roman" w:cs="Times New Roman"/>
          <w:lang w:val="en-GB"/>
        </w:rPr>
        <w:t>Constituent</w:t>
      </w:r>
      <w:r w:rsidRPr="007C05E5">
        <w:rPr>
          <w:rFonts w:ascii="Times New Roman" w:hAnsi="Times New Roman" w:cs="Times New Roman"/>
          <w:lang w:val="en-GB"/>
        </w:rPr>
        <w:t xml:space="preserve"> power may only revise the points subject to revision</w:t>
      </w:r>
      <w:r w:rsidRPr="007C05E5">
        <w:rPr>
          <w:rStyle w:val="Appelnotedebasdep"/>
          <w:rFonts w:ascii="Times New Roman" w:hAnsi="Times New Roman" w:cs="Times New Roman"/>
        </w:rPr>
        <w:footnoteReference w:id="70"/>
      </w:r>
      <w:r w:rsidRPr="007C05E5">
        <w:rPr>
          <w:rFonts w:ascii="Times New Roman" w:hAnsi="Times New Roman" w:cs="Times New Roman"/>
          <w:lang w:val="en-GB"/>
        </w:rPr>
        <w:t xml:space="preserve">. The rest of the constitutional text is, so to speak, </w:t>
      </w:r>
      <w:r w:rsidRPr="002A52F4">
        <w:rPr>
          <w:rFonts w:ascii="Times New Roman" w:hAnsi="Times New Roman" w:cs="Times New Roman"/>
          <w:i/>
          <w:iCs/>
          <w:lang w:val="en-GB"/>
        </w:rPr>
        <w:t>unavailable</w:t>
      </w:r>
      <w:r w:rsidRPr="007C05E5">
        <w:rPr>
          <w:rFonts w:ascii="Times New Roman" w:hAnsi="Times New Roman" w:cs="Times New Roman"/>
          <w:lang w:val="en-GB"/>
        </w:rPr>
        <w:t>. However, it happens that the preparatory work for a revision considers the legislative provision it refers to be compatible with the whole of the constitutional text, and not only with the points open to revision</w:t>
      </w:r>
      <w:r w:rsidRPr="007C05E5">
        <w:rPr>
          <w:rStyle w:val="Appelnotedebasdep"/>
          <w:rFonts w:ascii="Times New Roman" w:hAnsi="Times New Roman" w:cs="Times New Roman"/>
        </w:rPr>
        <w:footnoteReference w:id="71"/>
      </w:r>
      <w:r w:rsidRPr="007C05E5">
        <w:rPr>
          <w:rFonts w:ascii="Times New Roman" w:hAnsi="Times New Roman" w:cs="Times New Roman"/>
          <w:lang w:val="en-GB"/>
        </w:rPr>
        <w:t>. The Constitutional Court follows this reasoning</w:t>
      </w:r>
      <w:r w:rsidRPr="007C05E5">
        <w:rPr>
          <w:rStyle w:val="Appelnotedebasdep"/>
          <w:rFonts w:ascii="Times New Roman" w:hAnsi="Times New Roman" w:cs="Times New Roman"/>
        </w:rPr>
        <w:footnoteReference w:id="72"/>
      </w:r>
      <w:r w:rsidRPr="007C05E5">
        <w:rPr>
          <w:rFonts w:ascii="Times New Roman" w:hAnsi="Times New Roman" w:cs="Times New Roman"/>
          <w:lang w:val="en-GB"/>
        </w:rPr>
        <w:t xml:space="preserve">. In so doing, the parliamentarians find themselves in possession of greater power than the </w:t>
      </w:r>
      <w:r>
        <w:rPr>
          <w:rFonts w:ascii="Times New Roman" w:hAnsi="Times New Roman" w:cs="Times New Roman"/>
          <w:lang w:val="en-GB"/>
        </w:rPr>
        <w:t>Constituent</w:t>
      </w:r>
      <w:r w:rsidRPr="007C05E5">
        <w:rPr>
          <w:rFonts w:ascii="Times New Roman" w:hAnsi="Times New Roman" w:cs="Times New Roman"/>
          <w:lang w:val="en-GB"/>
        </w:rPr>
        <w:t xml:space="preserve"> himself, for whom the rest of the constitutional text appears unavailable. Nor can this procedure amount to a</w:t>
      </w:r>
      <w:r w:rsidR="002A52F4">
        <w:rPr>
          <w:rFonts w:ascii="Times New Roman" w:hAnsi="Times New Roman" w:cs="Times New Roman"/>
          <w:lang w:val="en-GB"/>
        </w:rPr>
        <w:t xml:space="preserve">n authentic </w:t>
      </w:r>
      <w:r w:rsidRPr="007C05E5">
        <w:rPr>
          <w:rFonts w:ascii="Times New Roman" w:hAnsi="Times New Roman" w:cs="Times New Roman"/>
          <w:lang w:val="en-GB"/>
        </w:rPr>
        <w:t xml:space="preserve">interpretation of the constitutional text. The doctrine considers that </w:t>
      </w:r>
      <w:r w:rsidR="002A52F4">
        <w:rPr>
          <w:rFonts w:ascii="Times New Roman" w:hAnsi="Times New Roman" w:cs="Times New Roman"/>
          <w:lang w:val="en-GB"/>
        </w:rPr>
        <w:t>such an</w:t>
      </w:r>
      <w:r w:rsidRPr="007C05E5">
        <w:rPr>
          <w:rFonts w:ascii="Times New Roman" w:hAnsi="Times New Roman" w:cs="Times New Roman"/>
          <w:lang w:val="en-GB"/>
        </w:rPr>
        <w:t xml:space="preserve"> interpretation of the Constitution, insofar as it is possible</w:t>
      </w:r>
      <w:r w:rsidRPr="007C05E5">
        <w:rPr>
          <w:rStyle w:val="Appelnotedebasdep"/>
          <w:rFonts w:ascii="Times New Roman" w:hAnsi="Times New Roman" w:cs="Times New Roman"/>
        </w:rPr>
        <w:footnoteReference w:id="73"/>
      </w:r>
      <w:r w:rsidRPr="007C05E5">
        <w:rPr>
          <w:rFonts w:ascii="Times New Roman" w:hAnsi="Times New Roman" w:cs="Times New Roman"/>
          <w:lang w:val="en-GB"/>
        </w:rPr>
        <w:t xml:space="preserve">, </w:t>
      </w:r>
      <w:r w:rsidRPr="007C05E5">
        <w:rPr>
          <w:rFonts w:ascii="Times New Roman" w:hAnsi="Times New Roman" w:cs="Times New Roman"/>
          <w:lang w:val="en-GB"/>
        </w:rPr>
        <w:lastRenderedPageBreak/>
        <w:t>requires compliance with the constitutional revision procedure, by virtue of the principle of parallelism of forms</w:t>
      </w:r>
      <w:r w:rsidR="001950CC">
        <w:rPr>
          <w:rStyle w:val="Appelnotedebasdep"/>
          <w:rFonts w:ascii="Times New Roman" w:hAnsi="Times New Roman" w:cs="Times New Roman"/>
          <w:lang w:val="en-GB"/>
        </w:rPr>
        <w:footnoteReference w:id="74"/>
      </w:r>
      <w:r w:rsidRPr="007C05E5">
        <w:rPr>
          <w:rFonts w:ascii="Times New Roman" w:hAnsi="Times New Roman" w:cs="Times New Roman"/>
          <w:lang w:val="en-GB"/>
        </w:rPr>
        <w:t xml:space="preserve">. Authentic interpretation requires, in fact, that it comes from the interpreted author - the </w:t>
      </w:r>
      <w:r>
        <w:rPr>
          <w:rFonts w:ascii="Times New Roman" w:hAnsi="Times New Roman" w:cs="Times New Roman"/>
          <w:lang w:val="en-GB"/>
        </w:rPr>
        <w:t>Constituent</w:t>
      </w:r>
      <w:r w:rsidRPr="007C05E5">
        <w:rPr>
          <w:rFonts w:ascii="Times New Roman" w:hAnsi="Times New Roman" w:cs="Times New Roman"/>
          <w:lang w:val="en-GB"/>
        </w:rPr>
        <w:t xml:space="preserve"> Power - according to the forms required to adopt the interpreted act - namely those laid down in article 195 of the Constitution - in a relationship of perfect symmetry</w:t>
      </w:r>
      <w:r w:rsidRPr="007C05E5">
        <w:rPr>
          <w:rStyle w:val="Appelnotedebasdep"/>
          <w:rFonts w:ascii="Times New Roman" w:hAnsi="Times New Roman" w:cs="Times New Roman"/>
        </w:rPr>
        <w:footnoteReference w:id="75"/>
      </w:r>
      <w:r w:rsidRPr="007C05E5">
        <w:rPr>
          <w:rFonts w:ascii="Times New Roman" w:hAnsi="Times New Roman" w:cs="Times New Roman"/>
          <w:lang w:val="en-GB"/>
        </w:rPr>
        <w:t>.</w:t>
      </w:r>
    </w:p>
    <w:p w14:paraId="64EE4630" w14:textId="77777777" w:rsidR="007C05E5" w:rsidRPr="007C05E5" w:rsidRDefault="007C05E5" w:rsidP="00950962">
      <w:pPr>
        <w:rPr>
          <w:rFonts w:ascii="Times New Roman" w:hAnsi="Times New Roman" w:cs="Times New Roman"/>
          <w:lang w:val="en-GB"/>
        </w:rPr>
      </w:pPr>
    </w:p>
    <w:p w14:paraId="15F85AB3" w14:textId="1213C730" w:rsidR="007C05E5" w:rsidRPr="002A52F4" w:rsidRDefault="007C05E5" w:rsidP="00950962">
      <w:pPr>
        <w:rPr>
          <w:rFonts w:ascii="Times New Roman" w:hAnsi="Times New Roman" w:cs="Times New Roman"/>
          <w:u w:val="single"/>
          <w:lang w:val="en-GB"/>
        </w:rPr>
      </w:pPr>
      <w:r w:rsidRPr="002A52F4">
        <w:rPr>
          <w:rFonts w:ascii="Times New Roman" w:hAnsi="Times New Roman" w:cs="Times New Roman"/>
          <w:u w:val="single"/>
          <w:lang w:val="en-GB"/>
        </w:rPr>
        <w:t>III.3. The normative status of the immunised norm</w:t>
      </w:r>
    </w:p>
    <w:p w14:paraId="1AF24EF2" w14:textId="6A33070F" w:rsidR="007C05E5" w:rsidRPr="002A52F4" w:rsidRDefault="007C05E5" w:rsidP="00950962">
      <w:pPr>
        <w:rPr>
          <w:rFonts w:ascii="Times New Roman" w:hAnsi="Times New Roman" w:cs="Times New Roman"/>
          <w:lang w:val="en-GB"/>
        </w:rPr>
      </w:pPr>
    </w:p>
    <w:p w14:paraId="2E8D3C91" w14:textId="0A96BC94" w:rsidR="007C05E5" w:rsidRPr="007C05E5" w:rsidRDefault="007C05E5" w:rsidP="007C05E5">
      <w:pPr>
        <w:jc w:val="both"/>
        <w:rPr>
          <w:rFonts w:ascii="Times New Roman" w:hAnsi="Times New Roman" w:cs="Times New Roman"/>
          <w:lang w:val="en-GB"/>
        </w:rPr>
      </w:pPr>
      <w:r w:rsidRPr="002A52F4">
        <w:rPr>
          <w:rFonts w:ascii="Times New Roman" w:hAnsi="Times New Roman" w:cs="Times New Roman"/>
          <w:b/>
          <w:bCs/>
          <w:lang w:val="en-GB"/>
        </w:rPr>
        <w:t>18.</w:t>
      </w:r>
      <w:r w:rsidRPr="002A52F4">
        <w:rPr>
          <w:rFonts w:ascii="Times New Roman" w:hAnsi="Times New Roman" w:cs="Times New Roman"/>
          <w:lang w:val="en-GB"/>
        </w:rPr>
        <w:t xml:space="preserve"> The status of the legislative norm immunised by a choice of the Constituent mentioned in the preparatory work appears complex in terms of the</w:t>
      </w:r>
      <w:r w:rsidRPr="007C05E5">
        <w:rPr>
          <w:rFonts w:ascii="Times New Roman" w:hAnsi="Times New Roman" w:cs="Times New Roman"/>
          <w:lang w:val="en-GB"/>
        </w:rPr>
        <w:t xml:space="preserve"> hierarchy of norms. As we have said, it is not formally a constitutional provision, since it was not adopted in accordance with the procedure laid down in Article 195 of the Constitution. It is nevertheless a materially constitutional provision</w:t>
      </w:r>
      <w:r w:rsidR="001950CC" w:rsidRPr="007C05E5">
        <w:rPr>
          <w:rStyle w:val="Appelnotedebasdep"/>
          <w:rFonts w:ascii="Times New Roman" w:hAnsi="Times New Roman" w:cs="Times New Roman"/>
        </w:rPr>
        <w:footnoteReference w:id="76"/>
      </w:r>
      <w:r w:rsidRPr="007C05E5">
        <w:rPr>
          <w:rFonts w:ascii="Times New Roman" w:hAnsi="Times New Roman" w:cs="Times New Roman"/>
          <w:lang w:val="en-GB"/>
        </w:rPr>
        <w:t xml:space="preserve">, insofar as it takes up a choice made by the </w:t>
      </w:r>
      <w:r>
        <w:rPr>
          <w:rFonts w:ascii="Times New Roman" w:hAnsi="Times New Roman" w:cs="Times New Roman"/>
          <w:lang w:val="en-GB"/>
        </w:rPr>
        <w:t>Constituent</w:t>
      </w:r>
      <w:r w:rsidRPr="007C05E5">
        <w:rPr>
          <w:rFonts w:ascii="Times New Roman" w:hAnsi="Times New Roman" w:cs="Times New Roman"/>
          <w:lang w:val="en-GB"/>
        </w:rPr>
        <w:t xml:space="preserve"> Assembly, since it appears to have been endorsed by the </w:t>
      </w:r>
      <w:r>
        <w:rPr>
          <w:rFonts w:ascii="Times New Roman" w:hAnsi="Times New Roman" w:cs="Times New Roman"/>
          <w:lang w:val="en-GB"/>
        </w:rPr>
        <w:t>Constituent</w:t>
      </w:r>
      <w:r w:rsidRPr="007C05E5">
        <w:rPr>
          <w:rFonts w:ascii="Times New Roman" w:hAnsi="Times New Roman" w:cs="Times New Roman"/>
          <w:lang w:val="en-GB"/>
        </w:rPr>
        <w:t xml:space="preserve"> Chambers, which took care to make it immune</w:t>
      </w:r>
      <w:r w:rsidR="001950CC">
        <w:rPr>
          <w:rStyle w:val="Appelnotedebasdep"/>
          <w:rFonts w:ascii="Times New Roman" w:hAnsi="Times New Roman" w:cs="Times New Roman"/>
          <w:lang w:val="en-GB"/>
        </w:rPr>
        <w:footnoteReference w:id="77"/>
      </w:r>
      <w:r w:rsidRPr="007C05E5">
        <w:rPr>
          <w:rFonts w:ascii="Times New Roman" w:hAnsi="Times New Roman" w:cs="Times New Roman"/>
          <w:lang w:val="en-GB"/>
        </w:rPr>
        <w:t xml:space="preserve">. </w:t>
      </w:r>
    </w:p>
    <w:p w14:paraId="7B5964C8" w14:textId="77777777" w:rsidR="007C05E5" w:rsidRPr="007C05E5" w:rsidRDefault="007C05E5" w:rsidP="007C05E5">
      <w:pPr>
        <w:rPr>
          <w:rFonts w:ascii="Times New Roman" w:hAnsi="Times New Roman" w:cs="Times New Roman"/>
          <w:lang w:val="en-GB"/>
        </w:rPr>
      </w:pPr>
    </w:p>
    <w:p w14:paraId="42A2B23A" w14:textId="792DE870"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This clarification is important because it reveals that it is the content of the law, and not the law itself, that is immunised</w:t>
      </w:r>
      <w:r w:rsidRPr="007C05E5">
        <w:rPr>
          <w:rStyle w:val="Appelnotedebasdep"/>
          <w:rFonts w:ascii="Times New Roman" w:hAnsi="Times New Roman" w:cs="Times New Roman"/>
        </w:rPr>
        <w:footnoteReference w:id="78"/>
      </w:r>
      <w:r w:rsidRPr="007C05E5">
        <w:rPr>
          <w:rFonts w:ascii="Times New Roman" w:hAnsi="Times New Roman" w:cs="Times New Roman"/>
          <w:lang w:val="en-GB"/>
        </w:rPr>
        <w:t xml:space="preserve">. The immunisation only affects the </w:t>
      </w:r>
      <w:proofErr w:type="spellStart"/>
      <w:r w:rsidRPr="002A52F4">
        <w:rPr>
          <w:rFonts w:ascii="Times New Roman" w:hAnsi="Times New Roman" w:cs="Times New Roman"/>
          <w:i/>
          <w:iCs/>
          <w:lang w:val="en-GB"/>
        </w:rPr>
        <w:t>negotium</w:t>
      </w:r>
      <w:proofErr w:type="spellEnd"/>
      <w:r w:rsidRPr="007C05E5">
        <w:rPr>
          <w:rFonts w:ascii="Times New Roman" w:hAnsi="Times New Roman" w:cs="Times New Roman"/>
          <w:lang w:val="en-GB"/>
        </w:rPr>
        <w:t xml:space="preserve">, not the </w:t>
      </w:r>
      <w:proofErr w:type="spellStart"/>
      <w:r w:rsidRPr="002A52F4">
        <w:rPr>
          <w:rFonts w:ascii="Times New Roman" w:hAnsi="Times New Roman" w:cs="Times New Roman"/>
          <w:i/>
          <w:iCs/>
          <w:lang w:val="en-GB"/>
        </w:rPr>
        <w:t>instrumentum</w:t>
      </w:r>
      <w:proofErr w:type="spellEnd"/>
      <w:r w:rsidRPr="007C05E5">
        <w:rPr>
          <w:rFonts w:ascii="Times New Roman" w:hAnsi="Times New Roman" w:cs="Times New Roman"/>
          <w:lang w:val="en-GB"/>
        </w:rPr>
        <w:t xml:space="preserve"> of the normative provision. It is also temporary, in the sense that through a subsequent amendment, the legislative power can reappropriate the content of the law and modify it. The text of the Constitution, which does not contain the choice of the </w:t>
      </w:r>
      <w:r>
        <w:rPr>
          <w:rFonts w:ascii="Times New Roman" w:hAnsi="Times New Roman" w:cs="Times New Roman"/>
          <w:lang w:val="en-GB"/>
        </w:rPr>
        <w:t>Constituent</w:t>
      </w:r>
      <w:r w:rsidRPr="007C05E5">
        <w:rPr>
          <w:rFonts w:ascii="Times New Roman" w:hAnsi="Times New Roman" w:cs="Times New Roman"/>
          <w:lang w:val="en-GB"/>
        </w:rPr>
        <w:t xml:space="preserve"> in this case, does not prevent this. In the event of such an amendment, the law in question would lose its immunity, and the Constitutional Court would have jurisdiction to review it</w:t>
      </w:r>
      <w:r w:rsidRPr="007C05E5">
        <w:rPr>
          <w:rStyle w:val="Appelnotedebasdep"/>
          <w:rFonts w:ascii="Times New Roman" w:hAnsi="Times New Roman" w:cs="Times New Roman"/>
        </w:rPr>
        <w:footnoteReference w:id="79"/>
      </w:r>
      <w:r w:rsidRPr="007C05E5">
        <w:rPr>
          <w:rFonts w:ascii="Times New Roman" w:hAnsi="Times New Roman" w:cs="Times New Roman"/>
          <w:lang w:val="en-GB"/>
        </w:rPr>
        <w:t>.</w:t>
      </w:r>
    </w:p>
    <w:p w14:paraId="48029AEB" w14:textId="26FE133F" w:rsidR="007C05E5" w:rsidRPr="007C05E5" w:rsidRDefault="007C05E5" w:rsidP="007C05E5">
      <w:pPr>
        <w:jc w:val="both"/>
        <w:rPr>
          <w:rFonts w:ascii="Times New Roman" w:hAnsi="Times New Roman" w:cs="Times New Roman"/>
          <w:lang w:val="en-GB"/>
        </w:rPr>
      </w:pPr>
    </w:p>
    <w:p w14:paraId="7C35249C" w14:textId="69381657" w:rsidR="007C05E5" w:rsidRPr="007C05E5" w:rsidRDefault="007C05E5" w:rsidP="007C05E5">
      <w:pPr>
        <w:jc w:val="both"/>
        <w:rPr>
          <w:rFonts w:ascii="Times New Roman" w:hAnsi="Times New Roman" w:cs="Times New Roman"/>
          <w:lang w:val="en-GB"/>
        </w:rPr>
      </w:pPr>
      <w:r w:rsidRPr="002A52F4">
        <w:rPr>
          <w:rFonts w:ascii="Times New Roman" w:hAnsi="Times New Roman" w:cs="Times New Roman"/>
          <w:b/>
          <w:bCs/>
          <w:lang w:val="en-GB"/>
        </w:rPr>
        <w:t>19.</w:t>
      </w:r>
      <w:r w:rsidRPr="007C05E5">
        <w:rPr>
          <w:rFonts w:ascii="Times New Roman" w:hAnsi="Times New Roman" w:cs="Times New Roman"/>
          <w:lang w:val="en-GB"/>
        </w:rPr>
        <w:t xml:space="preserve"> Of course, other legislative provisions also appear to be materially constitutional. This is the case of special laws in general - and not only those that implement a choice of the </w:t>
      </w:r>
      <w:r>
        <w:rPr>
          <w:rFonts w:ascii="Times New Roman" w:hAnsi="Times New Roman" w:cs="Times New Roman"/>
          <w:lang w:val="en-GB"/>
        </w:rPr>
        <w:t>Constituent</w:t>
      </w:r>
      <w:r w:rsidRPr="007C05E5">
        <w:rPr>
          <w:rFonts w:ascii="Times New Roman" w:hAnsi="Times New Roman" w:cs="Times New Roman"/>
          <w:lang w:val="en-GB"/>
        </w:rPr>
        <w:t xml:space="preserve"> - as well as certain ordinary laws</w:t>
      </w:r>
      <w:r w:rsidR="001950CC" w:rsidRPr="007C05E5">
        <w:rPr>
          <w:rStyle w:val="Appelnotedebasdep"/>
          <w:rFonts w:ascii="Times New Roman" w:hAnsi="Times New Roman" w:cs="Times New Roman"/>
        </w:rPr>
        <w:footnoteReference w:id="80"/>
      </w:r>
      <w:r w:rsidRPr="007C05E5">
        <w:rPr>
          <w:rFonts w:ascii="Times New Roman" w:hAnsi="Times New Roman" w:cs="Times New Roman"/>
          <w:lang w:val="en-GB"/>
        </w:rPr>
        <w:t xml:space="preserve">. But in these cases, the law is materially constitutional because of its content. In the case of immunisation by effect of the </w:t>
      </w:r>
      <w:r w:rsidR="002A52F4">
        <w:rPr>
          <w:rFonts w:ascii="Times New Roman" w:hAnsi="Times New Roman" w:cs="Times New Roman"/>
          <w:lang w:val="en-GB"/>
        </w:rPr>
        <w:t>choice of the C</w:t>
      </w:r>
      <w:r>
        <w:rPr>
          <w:rFonts w:ascii="Times New Roman" w:hAnsi="Times New Roman" w:cs="Times New Roman"/>
          <w:lang w:val="en-GB"/>
        </w:rPr>
        <w:t>onstituent</w:t>
      </w:r>
      <w:r w:rsidRPr="007C05E5">
        <w:rPr>
          <w:rFonts w:ascii="Times New Roman" w:hAnsi="Times New Roman" w:cs="Times New Roman"/>
          <w:lang w:val="en-GB"/>
        </w:rPr>
        <w:t>, the legislative provision is materially constitutional by the sole effect of an act of will of a higher power, which is imposed independently of the content of the norm and without this content being a copy of a formal constitutional provision.</w:t>
      </w:r>
    </w:p>
    <w:p w14:paraId="5F311CA3" w14:textId="77777777" w:rsidR="007C05E5" w:rsidRPr="007C05E5" w:rsidRDefault="007C05E5" w:rsidP="00950962">
      <w:pPr>
        <w:rPr>
          <w:rFonts w:ascii="Times New Roman" w:hAnsi="Times New Roman" w:cs="Times New Roman"/>
          <w:lang w:val="en-GB"/>
        </w:rPr>
      </w:pPr>
    </w:p>
    <w:p w14:paraId="5DC18C83" w14:textId="08A3D0C7" w:rsidR="00950962" w:rsidRPr="00733563" w:rsidRDefault="00950962" w:rsidP="00950962">
      <w:pPr>
        <w:rPr>
          <w:rFonts w:ascii="Times New Roman" w:hAnsi="Times New Roman" w:cs="Times New Roman"/>
          <w:b/>
          <w:bCs/>
          <w:u w:val="single"/>
          <w:lang w:val="en-GB"/>
        </w:rPr>
      </w:pPr>
      <w:r w:rsidRPr="00733563">
        <w:rPr>
          <w:rFonts w:ascii="Times New Roman" w:hAnsi="Times New Roman" w:cs="Times New Roman"/>
          <w:b/>
          <w:bCs/>
          <w:u w:val="single"/>
          <w:lang w:val="en-GB"/>
        </w:rPr>
        <w:t>IV. Two consequences for the functioning of the rule of law</w:t>
      </w:r>
    </w:p>
    <w:p w14:paraId="0F8D13F9" w14:textId="0B2777BD" w:rsidR="00950962" w:rsidRPr="00733563" w:rsidRDefault="00950962" w:rsidP="00950962">
      <w:pPr>
        <w:rPr>
          <w:rFonts w:ascii="Times New Roman" w:hAnsi="Times New Roman" w:cs="Times New Roman"/>
          <w:lang w:val="en-GB"/>
        </w:rPr>
      </w:pPr>
    </w:p>
    <w:p w14:paraId="04293E5E" w14:textId="7263060E"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t>20.</w:t>
      </w:r>
      <w:r w:rsidRPr="00733563">
        <w:rPr>
          <w:rFonts w:ascii="Times New Roman" w:hAnsi="Times New Roman" w:cs="Times New Roman"/>
          <w:lang w:val="en-GB"/>
        </w:rPr>
        <w:t xml:space="preserve"> The case law on the choice of the Constituent mentioned in the preparatory work does not only lead to certain inconsistencies in the hierarchy of norms. It also has certain consequences </w:t>
      </w:r>
      <w:r w:rsidRPr="00733563">
        <w:rPr>
          <w:rFonts w:ascii="Times New Roman" w:hAnsi="Times New Roman" w:cs="Times New Roman"/>
          <w:lang w:val="en-GB"/>
        </w:rPr>
        <w:lastRenderedPageBreak/>
        <w:t xml:space="preserve">for the functioning of the rule of law: it seems to deprive litigants of access to the </w:t>
      </w:r>
      <w:r w:rsidR="00733563">
        <w:rPr>
          <w:rFonts w:ascii="Times New Roman" w:hAnsi="Times New Roman" w:cs="Times New Roman"/>
          <w:lang w:val="en-GB"/>
        </w:rPr>
        <w:t>C</w:t>
      </w:r>
      <w:r w:rsidRPr="00733563">
        <w:rPr>
          <w:rFonts w:ascii="Times New Roman" w:hAnsi="Times New Roman" w:cs="Times New Roman"/>
          <w:lang w:val="en-GB"/>
        </w:rPr>
        <w:t xml:space="preserve">onstitutional </w:t>
      </w:r>
      <w:r w:rsidR="00733563">
        <w:rPr>
          <w:rFonts w:ascii="Times New Roman" w:hAnsi="Times New Roman" w:cs="Times New Roman"/>
          <w:lang w:val="en-GB"/>
        </w:rPr>
        <w:t>C</w:t>
      </w:r>
      <w:r w:rsidRPr="00733563">
        <w:rPr>
          <w:rFonts w:ascii="Times New Roman" w:hAnsi="Times New Roman" w:cs="Times New Roman"/>
          <w:lang w:val="en-GB"/>
        </w:rPr>
        <w:t>ourt, which may be problematic in the light of Article 6 of the European Convention o</w:t>
      </w:r>
      <w:r w:rsidRPr="007C05E5">
        <w:rPr>
          <w:rFonts w:ascii="Times New Roman" w:hAnsi="Times New Roman" w:cs="Times New Roman"/>
          <w:lang w:val="en-GB"/>
        </w:rPr>
        <w:t>n Human Rights (IV.1) and appears incompatible with the principle of equality as applicable in Belgian federalism (IV.2). The following analysis is purely prospective, in that it is not based on any existing case law, for lack of precedents.</w:t>
      </w:r>
    </w:p>
    <w:p w14:paraId="673F3A66" w14:textId="51EFFA96" w:rsidR="007C05E5" w:rsidRPr="007C05E5" w:rsidRDefault="007C05E5" w:rsidP="00950962">
      <w:pPr>
        <w:rPr>
          <w:rFonts w:ascii="Times New Roman" w:hAnsi="Times New Roman" w:cs="Times New Roman"/>
          <w:lang w:val="en-GB"/>
        </w:rPr>
      </w:pPr>
    </w:p>
    <w:p w14:paraId="7E6D32D7" w14:textId="3CC18E60" w:rsidR="007C05E5" w:rsidRPr="007C05E5" w:rsidRDefault="007C05E5" w:rsidP="00950962">
      <w:pPr>
        <w:rPr>
          <w:rFonts w:ascii="Times New Roman" w:hAnsi="Times New Roman" w:cs="Times New Roman"/>
          <w:u w:val="single"/>
          <w:lang w:val="en-GB"/>
        </w:rPr>
      </w:pPr>
      <w:r w:rsidRPr="007C05E5">
        <w:rPr>
          <w:rFonts w:ascii="Times New Roman" w:hAnsi="Times New Roman" w:cs="Times New Roman"/>
          <w:u w:val="single"/>
          <w:lang w:val="en-GB"/>
        </w:rPr>
        <w:t>IV.1. The right of access to a judge</w:t>
      </w:r>
    </w:p>
    <w:p w14:paraId="596F3714" w14:textId="06B5DEBC" w:rsidR="007C05E5" w:rsidRPr="007C05E5" w:rsidRDefault="007C05E5" w:rsidP="00950962">
      <w:pPr>
        <w:rPr>
          <w:rFonts w:ascii="Times New Roman" w:hAnsi="Times New Roman" w:cs="Times New Roman"/>
          <w:lang w:val="en-GB"/>
        </w:rPr>
      </w:pPr>
    </w:p>
    <w:p w14:paraId="0A2E737E" w14:textId="6507CED7"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t>21.</w:t>
      </w:r>
      <w:r w:rsidRPr="007C05E5">
        <w:rPr>
          <w:rFonts w:ascii="Times New Roman" w:hAnsi="Times New Roman" w:cs="Times New Roman"/>
          <w:lang w:val="en-GB"/>
        </w:rPr>
        <w:t xml:space="preserve"> By the effect of immunisation, the legislative provision that takes up a choice of the </w:t>
      </w:r>
      <w:r>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 escapes any judicial review. In other words, a provision whose normative status authorises, or even imposes, a constitutionality review can no longer be challenged. The litigant finds himself, by the effect of immunisation, deprived of the judge that the law assigns to him. One may therefore wonder about the compatibility of this situation with Article 6 of the European Convention on Human Rights, which enshrines the right of access to a judge</w:t>
      </w:r>
      <w:r w:rsidRPr="007C05E5">
        <w:rPr>
          <w:rStyle w:val="Appelnotedebasdep"/>
          <w:rFonts w:ascii="Times New Roman" w:hAnsi="Times New Roman" w:cs="Times New Roman"/>
        </w:rPr>
        <w:footnoteReference w:id="81"/>
      </w:r>
      <w:r w:rsidRPr="007C05E5">
        <w:rPr>
          <w:rFonts w:ascii="Times New Roman" w:hAnsi="Times New Roman" w:cs="Times New Roman"/>
          <w:lang w:val="en-GB"/>
        </w:rPr>
        <w:t>. To answer this question, it is necessary first to verify whether the Article 6 applies to the procedure before the Constitutional Court, and secondly whether the Court's lack of jurisdiction may amount to a restriction of the right of access to a judge.</w:t>
      </w:r>
    </w:p>
    <w:p w14:paraId="54295F80" w14:textId="5241A68A" w:rsidR="007C05E5" w:rsidRPr="007C05E5" w:rsidRDefault="007C05E5" w:rsidP="007C05E5">
      <w:pPr>
        <w:jc w:val="both"/>
        <w:rPr>
          <w:rFonts w:ascii="Times New Roman" w:hAnsi="Times New Roman" w:cs="Times New Roman"/>
          <w:lang w:val="en-GB"/>
        </w:rPr>
      </w:pPr>
    </w:p>
    <w:p w14:paraId="3B9ECB55" w14:textId="6AC83393"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t>22.</w:t>
      </w:r>
      <w:r w:rsidRPr="007C05E5">
        <w:rPr>
          <w:rFonts w:ascii="Times New Roman" w:hAnsi="Times New Roman" w:cs="Times New Roman"/>
          <w:lang w:val="en-GB"/>
        </w:rPr>
        <w:t xml:space="preserve"> Since the </w:t>
      </w:r>
      <w:r w:rsidRPr="007C05E5">
        <w:rPr>
          <w:rFonts w:ascii="Times New Roman" w:hAnsi="Times New Roman" w:cs="Times New Roman"/>
          <w:i/>
          <w:iCs/>
          <w:lang w:val="en-GB"/>
        </w:rPr>
        <w:t>Ruiz-</w:t>
      </w:r>
      <w:proofErr w:type="spellStart"/>
      <w:r w:rsidRPr="007C05E5">
        <w:rPr>
          <w:rFonts w:ascii="Times New Roman" w:hAnsi="Times New Roman" w:cs="Times New Roman"/>
          <w:i/>
          <w:iCs/>
          <w:lang w:val="en-GB"/>
        </w:rPr>
        <w:t>Mateos</w:t>
      </w:r>
      <w:proofErr w:type="spellEnd"/>
      <w:r w:rsidRPr="007C05E5">
        <w:rPr>
          <w:rFonts w:ascii="Times New Roman" w:hAnsi="Times New Roman" w:cs="Times New Roman"/>
          <w:lang w:val="en-GB"/>
        </w:rPr>
        <w:t xml:space="preserve"> judgment of 23 June 1993</w:t>
      </w:r>
      <w:r w:rsidR="001950CC">
        <w:rPr>
          <w:rStyle w:val="Appelnotedebasdep"/>
          <w:rFonts w:ascii="Times New Roman" w:hAnsi="Times New Roman" w:cs="Times New Roman"/>
          <w:lang w:val="en-GB"/>
        </w:rPr>
        <w:footnoteReference w:id="82"/>
      </w:r>
      <w:r w:rsidRPr="007C05E5">
        <w:rPr>
          <w:rFonts w:ascii="Times New Roman" w:hAnsi="Times New Roman" w:cs="Times New Roman"/>
          <w:lang w:val="en-GB"/>
        </w:rPr>
        <w:t>, the European Court of Human Rights has considered that the guarantees of Article 6(1) of the Convention are applicable to proceedings before the constitutional courts, when the outcome of these proceedings is decisive for disputes concerning civil rights and obligations or for the merits of a criminal charge</w:t>
      </w:r>
      <w:r w:rsidRPr="007C05E5">
        <w:rPr>
          <w:rStyle w:val="Appelnotedebasdep"/>
          <w:rFonts w:ascii="Times New Roman" w:hAnsi="Times New Roman" w:cs="Times New Roman"/>
        </w:rPr>
        <w:footnoteReference w:id="83"/>
      </w:r>
      <w:r w:rsidRPr="007C05E5">
        <w:rPr>
          <w:rFonts w:ascii="Times New Roman" w:hAnsi="Times New Roman" w:cs="Times New Roman"/>
          <w:lang w:val="en-GB"/>
        </w:rPr>
        <w:t xml:space="preserve">. In this context, it is irrelevant whether the court is seized of a matter by way of a preliminary </w:t>
      </w:r>
      <w:r w:rsidR="00733563">
        <w:rPr>
          <w:rFonts w:ascii="Times New Roman" w:hAnsi="Times New Roman" w:cs="Times New Roman"/>
          <w:lang w:val="en-GB"/>
        </w:rPr>
        <w:t>ruling</w:t>
      </w:r>
      <w:r w:rsidRPr="007C05E5">
        <w:rPr>
          <w:rFonts w:ascii="Times New Roman" w:hAnsi="Times New Roman" w:cs="Times New Roman"/>
          <w:lang w:val="en-GB"/>
        </w:rPr>
        <w:t xml:space="preserve"> or by way of an appeal directly against a law</w:t>
      </w:r>
      <w:r w:rsidRPr="007C05E5">
        <w:rPr>
          <w:rStyle w:val="Appelnotedebasdep"/>
          <w:rFonts w:ascii="Times New Roman" w:hAnsi="Times New Roman" w:cs="Times New Roman"/>
        </w:rPr>
        <w:footnoteReference w:id="84"/>
      </w:r>
      <w:r w:rsidRPr="007C05E5">
        <w:rPr>
          <w:rFonts w:ascii="Times New Roman" w:hAnsi="Times New Roman" w:cs="Times New Roman"/>
          <w:lang w:val="en-GB"/>
        </w:rPr>
        <w:t>. On the other hand, if the proceedings before the constitutional court do not relate to disputes concerning civil rights and obligations or the merits of a criminal charge, they fall outside the scope of Article 6</w:t>
      </w:r>
      <w:r w:rsidR="00733563">
        <w:rPr>
          <w:rFonts w:ascii="Times New Roman" w:hAnsi="Times New Roman" w:cs="Times New Roman"/>
          <w:lang w:val="en-GB"/>
        </w:rPr>
        <w:t xml:space="preserve"> (1)</w:t>
      </w:r>
      <w:r w:rsidRPr="007C05E5">
        <w:rPr>
          <w:rStyle w:val="Appelnotedebasdep"/>
          <w:rFonts w:ascii="Times New Roman" w:hAnsi="Times New Roman" w:cs="Times New Roman"/>
        </w:rPr>
        <w:footnoteReference w:id="85"/>
      </w:r>
      <w:r w:rsidRPr="007C05E5">
        <w:rPr>
          <w:rFonts w:ascii="Times New Roman" w:hAnsi="Times New Roman" w:cs="Times New Roman"/>
          <w:lang w:val="en-GB"/>
        </w:rPr>
        <w:t>.</w:t>
      </w:r>
    </w:p>
    <w:p w14:paraId="6D7AE814" w14:textId="1F2635CA" w:rsidR="007C05E5" w:rsidRPr="007C05E5" w:rsidRDefault="007C05E5" w:rsidP="007C05E5">
      <w:pPr>
        <w:jc w:val="both"/>
        <w:rPr>
          <w:rFonts w:ascii="Times New Roman" w:hAnsi="Times New Roman" w:cs="Times New Roman"/>
          <w:lang w:val="en-GB"/>
        </w:rPr>
      </w:pPr>
    </w:p>
    <w:p w14:paraId="17EA36DD" w14:textId="48670480"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The </w:t>
      </w:r>
      <w:r w:rsidR="00733563">
        <w:rPr>
          <w:rFonts w:ascii="Times New Roman" w:hAnsi="Times New Roman" w:cs="Times New Roman"/>
          <w:lang w:val="en-GB"/>
        </w:rPr>
        <w:t xml:space="preserve">Belgian </w:t>
      </w:r>
      <w:r w:rsidRPr="007C05E5">
        <w:rPr>
          <w:rFonts w:ascii="Times New Roman" w:hAnsi="Times New Roman" w:cs="Times New Roman"/>
          <w:lang w:val="en-GB"/>
        </w:rPr>
        <w:t>Constitutional Court applies this case law and considers that Article 6(1) of the European Convention on Human Rights applies before it</w:t>
      </w:r>
      <w:r w:rsidRPr="007C05E5">
        <w:rPr>
          <w:rStyle w:val="Appelnotedebasdep"/>
          <w:rFonts w:ascii="Times New Roman" w:hAnsi="Times New Roman" w:cs="Times New Roman"/>
        </w:rPr>
        <w:footnoteReference w:id="86"/>
      </w:r>
      <w:r w:rsidRPr="007C05E5">
        <w:rPr>
          <w:rFonts w:ascii="Times New Roman" w:hAnsi="Times New Roman" w:cs="Times New Roman"/>
          <w:lang w:val="en-GB"/>
        </w:rPr>
        <w:t>, at least when the case concerns civil rights and obligations or the merits of a criminal charge</w:t>
      </w:r>
      <w:r w:rsidRPr="007C05E5">
        <w:rPr>
          <w:rStyle w:val="Appelnotedebasdep"/>
          <w:rFonts w:ascii="Times New Roman" w:hAnsi="Times New Roman" w:cs="Times New Roman"/>
        </w:rPr>
        <w:footnoteReference w:id="87"/>
      </w:r>
      <w:r w:rsidRPr="007C05E5">
        <w:rPr>
          <w:rFonts w:ascii="Times New Roman" w:hAnsi="Times New Roman" w:cs="Times New Roman"/>
          <w:lang w:val="en-GB"/>
        </w:rPr>
        <w:t>. In some judgments, the Court goes even further and considers that certain guarantees listed in Article 6(1), namely the independence and impartiality of the judge, are valid as general principles of law, so that it does not consider it necessary to verify whether Article 6(1) applies to the case</w:t>
      </w:r>
      <w:r w:rsidRPr="007C05E5">
        <w:rPr>
          <w:rStyle w:val="Appelnotedebasdep"/>
          <w:rFonts w:ascii="Times New Roman" w:hAnsi="Times New Roman" w:cs="Times New Roman"/>
        </w:rPr>
        <w:footnoteReference w:id="88"/>
      </w:r>
      <w:r w:rsidRPr="007C05E5">
        <w:rPr>
          <w:rFonts w:ascii="Times New Roman" w:hAnsi="Times New Roman" w:cs="Times New Roman"/>
          <w:lang w:val="en-GB"/>
        </w:rPr>
        <w:t>.  It may therefore be said that the right of access to a court, enshrined in Article 6(1) of the European Convention on Human Rights, applies to proceedings before the Constitutional Court when they concern civil rights and obligations or the merits of a criminal charge.</w:t>
      </w:r>
    </w:p>
    <w:p w14:paraId="3E4404EC" w14:textId="527D9432" w:rsidR="007C05E5" w:rsidRPr="007C05E5" w:rsidRDefault="007C05E5" w:rsidP="007C05E5">
      <w:pPr>
        <w:jc w:val="both"/>
        <w:rPr>
          <w:rFonts w:ascii="Times New Roman" w:hAnsi="Times New Roman" w:cs="Times New Roman"/>
          <w:lang w:val="en-GB"/>
        </w:rPr>
      </w:pPr>
    </w:p>
    <w:p w14:paraId="4BEF79E6" w14:textId="1D9C555B"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lastRenderedPageBreak/>
        <w:t>23.</w:t>
      </w:r>
      <w:r w:rsidRPr="007C05E5">
        <w:rPr>
          <w:rFonts w:ascii="Times New Roman" w:hAnsi="Times New Roman" w:cs="Times New Roman"/>
          <w:lang w:val="en-GB"/>
        </w:rPr>
        <w:t xml:space="preserve"> Can the absence of control of a legislative provision on the grounds that it reproduces a choice made by the </w:t>
      </w:r>
      <w:r>
        <w:rPr>
          <w:rFonts w:ascii="Times New Roman" w:hAnsi="Times New Roman" w:cs="Times New Roman"/>
          <w:lang w:val="en-GB"/>
        </w:rPr>
        <w:t>Constituent</w:t>
      </w:r>
      <w:r w:rsidRPr="007C05E5">
        <w:rPr>
          <w:rFonts w:ascii="Times New Roman" w:hAnsi="Times New Roman" w:cs="Times New Roman"/>
          <w:lang w:val="en-GB"/>
        </w:rPr>
        <w:t xml:space="preserve"> constitute a restriction of the right of access to a judge, which must be </w:t>
      </w:r>
      <w:r w:rsidR="00733563">
        <w:rPr>
          <w:rFonts w:ascii="Times New Roman" w:hAnsi="Times New Roman" w:cs="Times New Roman"/>
          <w:lang w:val="en-GB"/>
        </w:rPr>
        <w:t>“</w:t>
      </w:r>
      <w:r w:rsidRPr="007C05E5">
        <w:rPr>
          <w:rFonts w:ascii="Times New Roman" w:hAnsi="Times New Roman" w:cs="Times New Roman"/>
          <w:lang w:val="en-GB"/>
        </w:rPr>
        <w:t>direct and effective</w:t>
      </w:r>
      <w:r w:rsidR="00733563">
        <w:rPr>
          <w:rFonts w:ascii="Times New Roman" w:hAnsi="Times New Roman" w:cs="Times New Roman"/>
          <w:lang w:val="en-GB"/>
        </w:rPr>
        <w:t>”</w:t>
      </w:r>
      <w:r w:rsidRPr="007C05E5">
        <w:rPr>
          <w:rFonts w:ascii="Times New Roman" w:hAnsi="Times New Roman" w:cs="Times New Roman"/>
          <w:lang w:val="en-GB"/>
        </w:rPr>
        <w:t xml:space="preserve">, </w:t>
      </w:r>
      <w:proofErr w:type="gramStart"/>
      <w:r w:rsidRPr="007C05E5">
        <w:rPr>
          <w:rFonts w:ascii="Times New Roman" w:hAnsi="Times New Roman" w:cs="Times New Roman"/>
          <w:lang w:val="en-GB"/>
        </w:rPr>
        <w:t>i.e.</w:t>
      </w:r>
      <w:proofErr w:type="gramEnd"/>
      <w:r w:rsidRPr="007C05E5">
        <w:rPr>
          <w:rFonts w:ascii="Times New Roman" w:hAnsi="Times New Roman" w:cs="Times New Roman"/>
          <w:lang w:val="en-GB"/>
        </w:rPr>
        <w:t xml:space="preserve"> give an individual </w:t>
      </w:r>
      <w:r w:rsidR="00F10584">
        <w:rPr>
          <w:rFonts w:ascii="Times New Roman" w:hAnsi="Times New Roman" w:cs="Times New Roman"/>
          <w:lang w:val="en-GB"/>
        </w:rPr>
        <w:t>“</w:t>
      </w:r>
      <w:r w:rsidRPr="007C05E5">
        <w:rPr>
          <w:rFonts w:ascii="Times New Roman" w:hAnsi="Times New Roman" w:cs="Times New Roman"/>
          <w:lang w:val="en-GB"/>
        </w:rPr>
        <w:t>a clear</w:t>
      </w:r>
      <w:r w:rsidR="00733563">
        <w:rPr>
          <w:rFonts w:ascii="Times New Roman" w:hAnsi="Times New Roman" w:cs="Times New Roman"/>
          <w:lang w:val="en-GB"/>
        </w:rPr>
        <w:t>, practical opportunity to challenge an act that is an interference with his rights”</w:t>
      </w:r>
      <w:r w:rsidRPr="007C05E5">
        <w:rPr>
          <w:rStyle w:val="Appelnotedebasdep"/>
          <w:rFonts w:ascii="Times New Roman" w:hAnsi="Times New Roman" w:cs="Times New Roman"/>
        </w:rPr>
        <w:footnoteReference w:id="89"/>
      </w:r>
      <w:r w:rsidRPr="007C05E5">
        <w:rPr>
          <w:rFonts w:ascii="Times New Roman" w:hAnsi="Times New Roman" w:cs="Times New Roman"/>
          <w:lang w:val="en-GB"/>
        </w:rPr>
        <w:t xml:space="preserve">? To our knowledge, the European Court of Human Rights has never been called upon to rule on this specific issue, as it is applied in Belgium or elsewhere. </w:t>
      </w:r>
    </w:p>
    <w:p w14:paraId="3D244113" w14:textId="77777777" w:rsidR="007C05E5" w:rsidRPr="007C05E5" w:rsidRDefault="007C05E5" w:rsidP="007C05E5">
      <w:pPr>
        <w:jc w:val="both"/>
        <w:rPr>
          <w:rFonts w:ascii="Times New Roman" w:hAnsi="Times New Roman" w:cs="Times New Roman"/>
          <w:lang w:val="en-GB"/>
        </w:rPr>
      </w:pPr>
    </w:p>
    <w:p w14:paraId="36AB206D" w14:textId="0CAC6835"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However, it has examined similar cases. In its judgment in </w:t>
      </w:r>
      <w:r w:rsidRPr="007C05E5">
        <w:rPr>
          <w:rFonts w:ascii="Times New Roman" w:hAnsi="Times New Roman" w:cs="Times New Roman"/>
          <w:i/>
          <w:iCs/>
          <w:lang w:val="en-GB"/>
        </w:rPr>
        <w:t>Al-</w:t>
      </w:r>
      <w:proofErr w:type="spellStart"/>
      <w:r w:rsidRPr="007C05E5">
        <w:rPr>
          <w:rFonts w:ascii="Times New Roman" w:hAnsi="Times New Roman" w:cs="Times New Roman"/>
          <w:i/>
          <w:iCs/>
          <w:lang w:val="en-GB"/>
        </w:rPr>
        <w:t>Dulimi</w:t>
      </w:r>
      <w:proofErr w:type="spellEnd"/>
      <w:r w:rsidRPr="007C05E5">
        <w:rPr>
          <w:rFonts w:ascii="Times New Roman" w:hAnsi="Times New Roman" w:cs="Times New Roman"/>
          <w:i/>
          <w:iCs/>
          <w:lang w:val="en-GB"/>
        </w:rPr>
        <w:t xml:space="preserve"> and Montana Management v. Switzerland</w:t>
      </w:r>
      <w:r w:rsidRPr="007C05E5">
        <w:rPr>
          <w:rFonts w:ascii="Times New Roman" w:hAnsi="Times New Roman" w:cs="Times New Roman"/>
          <w:lang w:val="en-GB"/>
        </w:rPr>
        <w:t xml:space="preserve"> of 21 June 2016, the European Court of Human Rights held that limitations on the review of an administrative decision on the grounds that its content resulted from hierarchically superior norms leaving the authorities no discretion - in this case, obligation</w:t>
      </w:r>
      <w:r w:rsidR="00733563">
        <w:rPr>
          <w:rFonts w:ascii="Times New Roman" w:hAnsi="Times New Roman" w:cs="Times New Roman"/>
          <w:lang w:val="en-GB"/>
        </w:rPr>
        <w:t xml:space="preserve">s </w:t>
      </w:r>
      <w:r w:rsidRPr="007C05E5">
        <w:rPr>
          <w:rFonts w:ascii="Times New Roman" w:hAnsi="Times New Roman" w:cs="Times New Roman"/>
          <w:lang w:val="en-GB"/>
        </w:rPr>
        <w:t>under the UN Charter and decisions of the UN Security Council - constituted a restriction on the right of access to a court within the meaning of Article 6(1) of the European Convention on Human Rights</w:t>
      </w:r>
      <w:r w:rsidR="00733563">
        <w:rPr>
          <w:rFonts w:ascii="Times New Roman" w:hAnsi="Times New Roman" w:cs="Times New Roman"/>
          <w:lang w:val="en-GB"/>
        </w:rPr>
        <w:t>.</w:t>
      </w:r>
      <w:r w:rsidRPr="007C05E5">
        <w:rPr>
          <w:rFonts w:ascii="Times New Roman" w:hAnsi="Times New Roman" w:cs="Times New Roman"/>
          <w:lang w:val="en-GB"/>
        </w:rPr>
        <w:t xml:space="preserve"> </w:t>
      </w:r>
      <w:r w:rsidR="00733563">
        <w:rPr>
          <w:rFonts w:ascii="Times New Roman" w:hAnsi="Times New Roman" w:cs="Times New Roman"/>
          <w:lang w:val="en-GB"/>
        </w:rPr>
        <w:t>S</w:t>
      </w:r>
      <w:r w:rsidR="00733563" w:rsidRPr="007C05E5">
        <w:rPr>
          <w:rFonts w:ascii="Times New Roman" w:hAnsi="Times New Roman" w:cs="Times New Roman"/>
          <w:lang w:val="en-GB"/>
        </w:rPr>
        <w:t>o,</w:t>
      </w:r>
      <w:r w:rsidRPr="007C05E5">
        <w:rPr>
          <w:rFonts w:ascii="Times New Roman" w:hAnsi="Times New Roman" w:cs="Times New Roman"/>
          <w:lang w:val="en-GB"/>
        </w:rPr>
        <w:t xml:space="preserve"> it was necessary to examine whether the restriction was justified, </w:t>
      </w:r>
      <w:r w:rsidR="00733563" w:rsidRPr="007C05E5">
        <w:rPr>
          <w:rFonts w:ascii="Times New Roman" w:hAnsi="Times New Roman" w:cs="Times New Roman"/>
          <w:lang w:val="en-GB"/>
        </w:rPr>
        <w:t>i.e.,</w:t>
      </w:r>
      <w:r w:rsidRPr="007C05E5">
        <w:rPr>
          <w:rFonts w:ascii="Times New Roman" w:hAnsi="Times New Roman" w:cs="Times New Roman"/>
          <w:lang w:val="en-GB"/>
        </w:rPr>
        <w:t xml:space="preserve"> whether it pursued a legitimate aim and was proportionate to that aim</w:t>
      </w:r>
      <w:r w:rsidRPr="007C05E5">
        <w:rPr>
          <w:rStyle w:val="Appelnotedebasdep"/>
          <w:rFonts w:ascii="Times New Roman" w:hAnsi="Times New Roman" w:cs="Times New Roman"/>
        </w:rPr>
        <w:footnoteReference w:id="90"/>
      </w:r>
      <w:r w:rsidRPr="007C05E5">
        <w:rPr>
          <w:rFonts w:ascii="Times New Roman" w:hAnsi="Times New Roman" w:cs="Times New Roman"/>
          <w:lang w:val="en-GB"/>
        </w:rPr>
        <w:t>. The lesson of this judgment can be transposed</w:t>
      </w:r>
      <w:r w:rsidR="00270F2A">
        <w:rPr>
          <w:rFonts w:ascii="Times New Roman" w:hAnsi="Times New Roman" w:cs="Times New Roman"/>
          <w:lang w:val="en-GB"/>
        </w:rPr>
        <w:t>, in our opinion,</w:t>
      </w:r>
      <w:r w:rsidRPr="007C05E5">
        <w:rPr>
          <w:rFonts w:ascii="Times New Roman" w:hAnsi="Times New Roman" w:cs="Times New Roman"/>
          <w:lang w:val="en-GB"/>
        </w:rPr>
        <w:t xml:space="preserve"> to the case law of the Belgian Constitutional Court concerning the choices of the </w:t>
      </w:r>
      <w:r>
        <w:rPr>
          <w:rFonts w:ascii="Times New Roman" w:hAnsi="Times New Roman" w:cs="Times New Roman"/>
          <w:lang w:val="en-GB"/>
        </w:rPr>
        <w:t>Constituent</w:t>
      </w:r>
      <w:r w:rsidRPr="007C05E5">
        <w:rPr>
          <w:rFonts w:ascii="Times New Roman" w:hAnsi="Times New Roman" w:cs="Times New Roman"/>
          <w:lang w:val="en-GB"/>
        </w:rPr>
        <w:t>.</w:t>
      </w:r>
    </w:p>
    <w:p w14:paraId="24B1CFCB" w14:textId="547D6F98" w:rsidR="007C05E5" w:rsidRPr="007C05E5" w:rsidRDefault="007C05E5" w:rsidP="007C05E5">
      <w:pPr>
        <w:jc w:val="both"/>
        <w:rPr>
          <w:rFonts w:ascii="Times New Roman" w:hAnsi="Times New Roman" w:cs="Times New Roman"/>
          <w:lang w:val="en-GB"/>
        </w:rPr>
      </w:pPr>
    </w:p>
    <w:p w14:paraId="6B2EF3AE" w14:textId="2509F9C8"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The immunisation of the law by the choice of the </w:t>
      </w:r>
      <w:r>
        <w:rPr>
          <w:rFonts w:ascii="Times New Roman" w:hAnsi="Times New Roman" w:cs="Times New Roman"/>
          <w:lang w:val="en-GB"/>
        </w:rPr>
        <w:t>Constituent</w:t>
      </w:r>
      <w:r w:rsidRPr="007C05E5">
        <w:rPr>
          <w:rFonts w:ascii="Times New Roman" w:hAnsi="Times New Roman" w:cs="Times New Roman"/>
          <w:lang w:val="en-GB"/>
        </w:rPr>
        <w:t xml:space="preserve"> undoubtedly pursues a legitimate </w:t>
      </w:r>
      <w:r w:rsidR="00733563">
        <w:rPr>
          <w:rFonts w:ascii="Times New Roman" w:hAnsi="Times New Roman" w:cs="Times New Roman"/>
          <w:lang w:val="en-GB"/>
        </w:rPr>
        <w:t>aim</w:t>
      </w:r>
      <w:r w:rsidRPr="007C05E5">
        <w:rPr>
          <w:rFonts w:ascii="Times New Roman" w:hAnsi="Times New Roman" w:cs="Times New Roman"/>
          <w:lang w:val="en-GB"/>
        </w:rPr>
        <w:t xml:space="preserve">, namely, to prevent sensitive political compromises, which seem essential to political actors for the maintenance of social peace, from being called into question. But is this immunisation proportionate to this goal? </w:t>
      </w:r>
      <w:r w:rsidR="00733563" w:rsidRPr="00733563">
        <w:rPr>
          <w:rFonts w:ascii="Times New Roman" w:hAnsi="Times New Roman" w:cs="Times New Roman"/>
          <w:lang w:val="en-GB"/>
        </w:rPr>
        <w:t>Two elements could lead to a negative answer to this question</w:t>
      </w:r>
      <w:r w:rsidRPr="007C05E5">
        <w:rPr>
          <w:rFonts w:ascii="Times New Roman" w:hAnsi="Times New Roman" w:cs="Times New Roman"/>
          <w:lang w:val="en-GB"/>
        </w:rPr>
        <w:t>. On the one hand, why not have concreted these choices in the Constitution itself? The argument of the concern for synthesis does not seem to hold, given the length and detail of certain constitutional provisions</w:t>
      </w:r>
      <w:r w:rsidRPr="007C05E5">
        <w:rPr>
          <w:rStyle w:val="Appelnotedebasdep"/>
          <w:rFonts w:ascii="Times New Roman" w:hAnsi="Times New Roman" w:cs="Times New Roman"/>
        </w:rPr>
        <w:footnoteReference w:id="91"/>
      </w:r>
      <w:r w:rsidRPr="007C05E5">
        <w:rPr>
          <w:rFonts w:ascii="Times New Roman" w:hAnsi="Times New Roman" w:cs="Times New Roman"/>
          <w:lang w:val="en-GB"/>
        </w:rPr>
        <w:t>. As mentioned above, it seems that the political actors were guided by the concern to be able to make a subsequent amendment without respecting the constitutional revision procedure. However, if the political compromise is of such importance that it should be made immune in the same way as a constitutional provision, why provide for a more flexible procedure in the event of subsequent amendment?</w:t>
      </w:r>
      <w:r w:rsidR="00733563" w:rsidRPr="00733563">
        <w:rPr>
          <w:lang w:val="en-US"/>
        </w:rPr>
        <w:t xml:space="preserve"> </w:t>
      </w:r>
      <w:r w:rsidR="00733563" w:rsidRPr="00733563">
        <w:rPr>
          <w:rFonts w:ascii="Times New Roman" w:hAnsi="Times New Roman" w:cs="Times New Roman"/>
          <w:lang w:val="en-GB"/>
        </w:rPr>
        <w:t>There is an inconsistency that could demonstrate that the measure is not proportionate</w:t>
      </w:r>
      <w:r w:rsidRPr="007C05E5">
        <w:rPr>
          <w:rFonts w:ascii="Times New Roman" w:hAnsi="Times New Roman" w:cs="Times New Roman"/>
          <w:lang w:val="en-GB"/>
        </w:rPr>
        <w:t>. On the other hand, since, as mentioned above, the normative force of the preparatory works does not make it possible to impose the incompetence of the Constitutional Court, the latter could favour another solution, contrary to the intention of the political actors. There is nothing to prevent the Court from carrying out a marginal review of the choices mentioned in the preparatory work, thus respecting the importance of the political compromise in question while sanctioning the obvious errors of appreciation of the legislator</w:t>
      </w:r>
      <w:r w:rsidRPr="007C05E5">
        <w:rPr>
          <w:rStyle w:val="Appelnotedebasdep"/>
          <w:rFonts w:ascii="Times New Roman" w:hAnsi="Times New Roman" w:cs="Times New Roman"/>
        </w:rPr>
        <w:footnoteReference w:id="92"/>
      </w:r>
      <w:r w:rsidRPr="007C05E5">
        <w:rPr>
          <w:rFonts w:ascii="Times New Roman" w:hAnsi="Times New Roman" w:cs="Times New Roman"/>
          <w:lang w:val="en-GB"/>
        </w:rPr>
        <w:t xml:space="preserve">. </w:t>
      </w:r>
      <w:r w:rsidR="00733563">
        <w:rPr>
          <w:rFonts w:ascii="Times New Roman" w:hAnsi="Times New Roman" w:cs="Times New Roman"/>
          <w:lang w:val="en-GB"/>
        </w:rPr>
        <w:t>In conclusion, the</w:t>
      </w:r>
      <w:r w:rsidRPr="007C05E5">
        <w:rPr>
          <w:rFonts w:ascii="Times New Roman" w:hAnsi="Times New Roman" w:cs="Times New Roman"/>
          <w:lang w:val="en-GB"/>
        </w:rPr>
        <w:t xml:space="preserve"> lack of jurisdiction might seem disproportionate.  </w:t>
      </w:r>
    </w:p>
    <w:p w14:paraId="3EBBD603" w14:textId="77777777" w:rsidR="007C05E5" w:rsidRPr="007C05E5" w:rsidRDefault="007C05E5" w:rsidP="00950962">
      <w:pPr>
        <w:rPr>
          <w:rFonts w:ascii="Times New Roman" w:hAnsi="Times New Roman" w:cs="Times New Roman"/>
          <w:lang w:val="en-GB"/>
        </w:rPr>
      </w:pPr>
    </w:p>
    <w:p w14:paraId="082E65E7" w14:textId="2DB937AD" w:rsidR="007C05E5" w:rsidRPr="007C05E5" w:rsidRDefault="007C05E5" w:rsidP="00950962">
      <w:pPr>
        <w:rPr>
          <w:rFonts w:ascii="Times New Roman" w:hAnsi="Times New Roman" w:cs="Times New Roman"/>
          <w:u w:val="single"/>
          <w:lang w:val="en-GB"/>
        </w:rPr>
      </w:pPr>
      <w:r w:rsidRPr="007C05E5">
        <w:rPr>
          <w:rFonts w:ascii="Times New Roman" w:hAnsi="Times New Roman" w:cs="Times New Roman"/>
          <w:u w:val="single"/>
          <w:lang w:val="en-GB"/>
        </w:rPr>
        <w:t>IV.2. The principle of equality in federalism</w:t>
      </w:r>
    </w:p>
    <w:p w14:paraId="2B11F226" w14:textId="431D5C82" w:rsidR="007C05E5" w:rsidRPr="007C05E5" w:rsidRDefault="007C05E5" w:rsidP="00950962">
      <w:pPr>
        <w:rPr>
          <w:rFonts w:ascii="Times New Roman" w:hAnsi="Times New Roman" w:cs="Times New Roman"/>
          <w:lang w:val="en-GB"/>
        </w:rPr>
      </w:pPr>
    </w:p>
    <w:p w14:paraId="5872CF9A" w14:textId="1B180601"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t>24.</w:t>
      </w:r>
      <w:r w:rsidRPr="007C05E5">
        <w:rPr>
          <w:rFonts w:ascii="Times New Roman" w:hAnsi="Times New Roman" w:cs="Times New Roman"/>
          <w:lang w:val="en-GB"/>
        </w:rPr>
        <w:t xml:space="preserve"> The principle of equality appears to be the true </w:t>
      </w:r>
      <w:r w:rsidR="00270F2A">
        <w:rPr>
          <w:rFonts w:ascii="Times New Roman" w:hAnsi="Times New Roman" w:cs="Times New Roman"/>
          <w:lang w:val="en-GB"/>
        </w:rPr>
        <w:t>“</w:t>
      </w:r>
      <w:r w:rsidRPr="007C05E5">
        <w:rPr>
          <w:rFonts w:ascii="Times New Roman" w:hAnsi="Times New Roman" w:cs="Times New Roman"/>
          <w:lang w:val="en-GB"/>
        </w:rPr>
        <w:t>measure of federalism</w:t>
      </w:r>
      <w:r w:rsidR="00270F2A">
        <w:rPr>
          <w:rFonts w:ascii="Times New Roman" w:hAnsi="Times New Roman" w:cs="Times New Roman"/>
          <w:lang w:val="en-GB"/>
        </w:rPr>
        <w:t>”</w:t>
      </w:r>
      <w:r w:rsidRPr="007C05E5">
        <w:rPr>
          <w:rFonts w:ascii="Times New Roman" w:hAnsi="Times New Roman" w:cs="Times New Roman"/>
          <w:lang w:val="en-GB"/>
        </w:rPr>
        <w:t xml:space="preserve">, </w:t>
      </w:r>
      <w:r w:rsidR="00733563">
        <w:rPr>
          <w:rFonts w:ascii="Times New Roman" w:hAnsi="Times New Roman" w:cs="Times New Roman"/>
          <w:lang w:val="en-GB"/>
        </w:rPr>
        <w:t>because</w:t>
      </w:r>
      <w:r w:rsidRPr="007C05E5">
        <w:rPr>
          <w:rFonts w:ascii="Times New Roman" w:hAnsi="Times New Roman" w:cs="Times New Roman"/>
          <w:lang w:val="en-GB"/>
        </w:rPr>
        <w:t xml:space="preserve"> it implies that </w:t>
      </w:r>
      <w:r w:rsidR="00270F2A">
        <w:rPr>
          <w:rFonts w:ascii="Times New Roman" w:hAnsi="Times New Roman" w:cs="Times New Roman"/>
          <w:lang w:val="en-GB"/>
        </w:rPr>
        <w:t>“</w:t>
      </w:r>
      <w:r w:rsidRPr="007C05E5">
        <w:rPr>
          <w:rFonts w:ascii="Times New Roman" w:hAnsi="Times New Roman" w:cs="Times New Roman"/>
          <w:lang w:val="en-GB"/>
        </w:rPr>
        <w:t xml:space="preserve">the federal authority, on the one hand, and each of the federated authorities, on the other, must be placed on an equal footing when it comes to exercising their respective functions and, </w:t>
      </w:r>
      <w:r w:rsidRPr="007C05E5">
        <w:rPr>
          <w:rFonts w:ascii="Times New Roman" w:hAnsi="Times New Roman" w:cs="Times New Roman"/>
          <w:lang w:val="en-GB"/>
        </w:rPr>
        <w:lastRenderedPageBreak/>
        <w:t>more concretely still, implementing the competences assigned to them</w:t>
      </w:r>
      <w:r w:rsidR="00270F2A">
        <w:rPr>
          <w:rFonts w:ascii="Times New Roman" w:hAnsi="Times New Roman" w:cs="Times New Roman"/>
          <w:lang w:val="en-GB"/>
        </w:rPr>
        <w:t>”</w:t>
      </w:r>
      <w:r w:rsidRPr="007C05E5">
        <w:rPr>
          <w:rStyle w:val="Appelnotedebasdep"/>
          <w:rFonts w:ascii="Times New Roman" w:hAnsi="Times New Roman" w:cs="Times New Roman"/>
        </w:rPr>
        <w:footnoteReference w:id="93"/>
      </w:r>
      <w:r w:rsidRPr="007C05E5">
        <w:rPr>
          <w:rFonts w:ascii="Times New Roman" w:hAnsi="Times New Roman" w:cs="Times New Roman"/>
          <w:lang w:val="en-GB"/>
        </w:rPr>
        <w:t xml:space="preserve">. In Belgium, this principle of equality is </w:t>
      </w:r>
      <w:r w:rsidR="00733563">
        <w:rPr>
          <w:rFonts w:ascii="Times New Roman" w:hAnsi="Times New Roman" w:cs="Times New Roman"/>
          <w:lang w:val="en-GB"/>
        </w:rPr>
        <w:t xml:space="preserve">notably </w:t>
      </w:r>
      <w:r w:rsidRPr="007C05E5">
        <w:rPr>
          <w:rFonts w:ascii="Times New Roman" w:hAnsi="Times New Roman" w:cs="Times New Roman"/>
          <w:lang w:val="en-GB"/>
        </w:rPr>
        <w:t>concretised at the level of the hierarchy of norms: the legislative norms adopted by the federal authority and the federated entities have, in principle</w:t>
      </w:r>
      <w:r w:rsidRPr="007C05E5">
        <w:rPr>
          <w:rStyle w:val="Appelnotedebasdep"/>
          <w:rFonts w:ascii="Times New Roman" w:hAnsi="Times New Roman" w:cs="Times New Roman"/>
        </w:rPr>
        <w:footnoteReference w:id="94"/>
      </w:r>
      <w:r w:rsidRPr="007C05E5">
        <w:rPr>
          <w:rFonts w:ascii="Times New Roman" w:hAnsi="Times New Roman" w:cs="Times New Roman"/>
          <w:lang w:val="en-GB"/>
        </w:rPr>
        <w:t>, an identical normative value</w:t>
      </w:r>
      <w:r w:rsidRPr="007C05E5">
        <w:rPr>
          <w:rStyle w:val="Appelnotedebasdep"/>
          <w:rFonts w:ascii="Times New Roman" w:hAnsi="Times New Roman" w:cs="Times New Roman"/>
        </w:rPr>
        <w:footnoteReference w:id="95"/>
      </w:r>
      <w:r w:rsidRPr="007C05E5">
        <w:rPr>
          <w:rFonts w:ascii="Times New Roman" w:hAnsi="Times New Roman" w:cs="Times New Roman"/>
          <w:lang w:val="en-GB"/>
        </w:rPr>
        <w:t xml:space="preserve">, except </w:t>
      </w:r>
      <w:r w:rsidR="00733563">
        <w:rPr>
          <w:rFonts w:ascii="Times New Roman" w:hAnsi="Times New Roman" w:cs="Times New Roman"/>
          <w:lang w:val="en-GB"/>
        </w:rPr>
        <w:t>in cases restrictively enumerated</w:t>
      </w:r>
      <w:r w:rsidRPr="007C05E5">
        <w:rPr>
          <w:rFonts w:ascii="Times New Roman" w:hAnsi="Times New Roman" w:cs="Times New Roman"/>
          <w:lang w:val="en-GB"/>
        </w:rPr>
        <w:t xml:space="preserve"> by the Constitution or the special law</w:t>
      </w:r>
      <w:r w:rsidRPr="007C05E5">
        <w:rPr>
          <w:rStyle w:val="Appelnotedebasdep"/>
          <w:rFonts w:ascii="Times New Roman" w:hAnsi="Times New Roman" w:cs="Times New Roman"/>
        </w:rPr>
        <w:footnoteReference w:id="96"/>
      </w:r>
      <w:r w:rsidRPr="007C05E5">
        <w:rPr>
          <w:rFonts w:ascii="Times New Roman" w:hAnsi="Times New Roman" w:cs="Times New Roman"/>
          <w:lang w:val="en-GB"/>
        </w:rPr>
        <w:t xml:space="preserve">. This equality of normative value constitutes, according to Hans </w:t>
      </w:r>
      <w:proofErr w:type="spellStart"/>
      <w:r w:rsidRPr="007C05E5">
        <w:rPr>
          <w:rFonts w:ascii="Times New Roman" w:hAnsi="Times New Roman" w:cs="Times New Roman"/>
          <w:lang w:val="en-GB"/>
        </w:rPr>
        <w:t>Kelsen</w:t>
      </w:r>
      <w:proofErr w:type="spellEnd"/>
      <w:r w:rsidRPr="007C05E5">
        <w:rPr>
          <w:rFonts w:ascii="Times New Roman" w:hAnsi="Times New Roman" w:cs="Times New Roman"/>
          <w:lang w:val="en-GB"/>
        </w:rPr>
        <w:t xml:space="preserve">, the </w:t>
      </w:r>
      <w:r w:rsidRPr="00733563">
        <w:rPr>
          <w:rFonts w:ascii="Times New Roman" w:hAnsi="Times New Roman" w:cs="Times New Roman"/>
          <w:i/>
          <w:iCs/>
          <w:lang w:val="en-GB"/>
        </w:rPr>
        <w:t>essence</w:t>
      </w:r>
      <w:r w:rsidRPr="007C05E5">
        <w:rPr>
          <w:rFonts w:ascii="Times New Roman" w:hAnsi="Times New Roman" w:cs="Times New Roman"/>
          <w:lang w:val="en-GB"/>
        </w:rPr>
        <w:t xml:space="preserve"> of the federal state</w:t>
      </w:r>
      <w:r w:rsidRPr="007C05E5">
        <w:rPr>
          <w:rStyle w:val="Appelnotedebasdep"/>
          <w:rFonts w:ascii="Times New Roman" w:hAnsi="Times New Roman" w:cs="Times New Roman"/>
        </w:rPr>
        <w:footnoteReference w:id="97"/>
      </w:r>
      <w:r w:rsidRPr="007C05E5">
        <w:rPr>
          <w:rFonts w:ascii="Times New Roman" w:hAnsi="Times New Roman" w:cs="Times New Roman"/>
          <w:lang w:val="en-GB"/>
        </w:rPr>
        <w:t xml:space="preserve">. In this perspective, it is precisely the task of the constitutional court to ensure this equality, so that </w:t>
      </w:r>
      <w:r w:rsidR="00733563">
        <w:rPr>
          <w:rFonts w:ascii="Times New Roman" w:hAnsi="Times New Roman" w:cs="Times New Roman"/>
          <w:lang w:val="en-GB"/>
        </w:rPr>
        <w:t>“</w:t>
      </w:r>
      <w:r w:rsidRPr="007C05E5">
        <w:rPr>
          <w:rFonts w:ascii="Times New Roman" w:hAnsi="Times New Roman" w:cs="Times New Roman"/>
          <w:lang w:val="en-GB"/>
        </w:rPr>
        <w:t>the political idea of the federal state is only fully realised with the institution of a constitutional court</w:t>
      </w:r>
      <w:r w:rsidR="00733563">
        <w:rPr>
          <w:rFonts w:ascii="Times New Roman" w:hAnsi="Times New Roman" w:cs="Times New Roman"/>
          <w:lang w:val="en-GB"/>
        </w:rPr>
        <w:t>”</w:t>
      </w:r>
      <w:r w:rsidRPr="007C05E5">
        <w:rPr>
          <w:rStyle w:val="Appelnotedebasdep"/>
          <w:rFonts w:ascii="Times New Roman" w:hAnsi="Times New Roman" w:cs="Times New Roman"/>
        </w:rPr>
        <w:footnoteReference w:id="98"/>
      </w:r>
      <w:r w:rsidRPr="007C05E5">
        <w:rPr>
          <w:rFonts w:ascii="Times New Roman" w:hAnsi="Times New Roman" w:cs="Times New Roman"/>
          <w:lang w:val="en-GB"/>
        </w:rPr>
        <w:t xml:space="preserve">. In Belgium, it was </w:t>
      </w:r>
      <w:r w:rsidR="00733563">
        <w:rPr>
          <w:rFonts w:ascii="Times New Roman" w:hAnsi="Times New Roman" w:cs="Times New Roman"/>
          <w:lang w:val="en-GB"/>
        </w:rPr>
        <w:t xml:space="preserve">precisely </w:t>
      </w:r>
      <w:r w:rsidRPr="007C05E5">
        <w:rPr>
          <w:rFonts w:ascii="Times New Roman" w:hAnsi="Times New Roman" w:cs="Times New Roman"/>
          <w:lang w:val="en-GB"/>
        </w:rPr>
        <w:t>the emergence of federalism that made the creation of the Constitutional Court – at that time the Court of Arbitration - necessary</w:t>
      </w:r>
      <w:r w:rsidRPr="007C05E5">
        <w:rPr>
          <w:rStyle w:val="Appelnotedebasdep"/>
          <w:rFonts w:ascii="Times New Roman" w:hAnsi="Times New Roman" w:cs="Times New Roman"/>
        </w:rPr>
        <w:footnoteReference w:id="99"/>
      </w:r>
      <w:r w:rsidRPr="007C05E5">
        <w:rPr>
          <w:rFonts w:ascii="Times New Roman" w:hAnsi="Times New Roman" w:cs="Times New Roman"/>
          <w:lang w:val="en-GB"/>
        </w:rPr>
        <w:t>.</w:t>
      </w:r>
    </w:p>
    <w:p w14:paraId="5AA1EB45" w14:textId="10CBA783" w:rsidR="007C05E5" w:rsidRPr="007C05E5" w:rsidRDefault="007C05E5" w:rsidP="007C05E5">
      <w:pPr>
        <w:jc w:val="both"/>
        <w:rPr>
          <w:rFonts w:ascii="Times New Roman" w:hAnsi="Times New Roman" w:cs="Times New Roman"/>
          <w:lang w:val="en-GB"/>
        </w:rPr>
      </w:pPr>
    </w:p>
    <w:p w14:paraId="6FE60036" w14:textId="27D4943A"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t xml:space="preserve">In the light of the distribution of competences between the federal authority and the federated entities, the </w:t>
      </w:r>
      <w:r>
        <w:rPr>
          <w:rFonts w:ascii="Times New Roman" w:hAnsi="Times New Roman" w:cs="Times New Roman"/>
          <w:lang w:val="en-GB"/>
        </w:rPr>
        <w:t>Constituent</w:t>
      </w:r>
      <w:r w:rsidRPr="007C05E5">
        <w:rPr>
          <w:rFonts w:ascii="Times New Roman" w:hAnsi="Times New Roman" w:cs="Times New Roman"/>
          <w:lang w:val="en-GB"/>
        </w:rPr>
        <w:t xml:space="preserve"> appears to be a power that falls exclusively under the federal authority. Indeed, in the current state of Belgian constitutional law, the federated entities do not intervene in the constitutional revision procedure, except, very indirectly, through the Senate</w:t>
      </w:r>
      <w:r w:rsidRPr="007C05E5">
        <w:rPr>
          <w:rStyle w:val="Appelnotedebasdep"/>
          <w:rFonts w:ascii="Times New Roman" w:hAnsi="Times New Roman" w:cs="Times New Roman"/>
        </w:rPr>
        <w:footnoteReference w:id="100"/>
      </w:r>
      <w:r w:rsidRPr="007C05E5">
        <w:rPr>
          <w:rFonts w:ascii="Times New Roman" w:hAnsi="Times New Roman" w:cs="Times New Roman"/>
          <w:lang w:val="en-GB"/>
        </w:rPr>
        <w:t xml:space="preserve">. Logically, the legislative provisions that are immune from the effect of the preparatory work for revision are only </w:t>
      </w:r>
      <w:r w:rsidRPr="00733563">
        <w:rPr>
          <w:rFonts w:ascii="Times New Roman" w:hAnsi="Times New Roman" w:cs="Times New Roman"/>
          <w:i/>
          <w:iCs/>
          <w:lang w:val="en-GB"/>
        </w:rPr>
        <w:t>federal laws</w:t>
      </w:r>
      <w:r w:rsidRPr="007C05E5">
        <w:rPr>
          <w:rFonts w:ascii="Times New Roman" w:hAnsi="Times New Roman" w:cs="Times New Roman"/>
          <w:lang w:val="en-GB"/>
        </w:rPr>
        <w:t xml:space="preserve">. This finding is likely to give rise to certain difficulties in the light of the principle of equality. The immunisation by effect of the choice of the </w:t>
      </w:r>
      <w:r>
        <w:rPr>
          <w:rFonts w:ascii="Times New Roman" w:hAnsi="Times New Roman" w:cs="Times New Roman"/>
          <w:lang w:val="en-GB"/>
        </w:rPr>
        <w:t>Constituent</w:t>
      </w:r>
      <w:r w:rsidRPr="007C05E5">
        <w:rPr>
          <w:rFonts w:ascii="Times New Roman" w:hAnsi="Times New Roman" w:cs="Times New Roman"/>
          <w:lang w:val="en-GB"/>
        </w:rPr>
        <w:t xml:space="preserve"> mentioned in the preparatory work has the effect of conferring on certain legislative provisions an irrebuttable presumption of constitutionality. They therefore do not really have the same normative scope as the legislative provisions adopted by the federated entities, since they cannot be subject to a constitutional review, to verify whether the division of competences between the federal authority, the communities and the regions is respected. Immunised laws are therefore deemed to comply with the rules on the division of powers. This is problematic in relation to the principle of equality, since the federated entities, excluded or almost excluded from the constitutional revision procedure, do not benefit from the privilege of immunisation</w:t>
      </w:r>
      <w:r w:rsidR="00AC3EB6">
        <w:rPr>
          <w:rFonts w:ascii="Times New Roman" w:hAnsi="Times New Roman" w:cs="Times New Roman"/>
          <w:lang w:val="en-GB"/>
        </w:rPr>
        <w:t xml:space="preserve"> of laws</w:t>
      </w:r>
      <w:r w:rsidRPr="007C05E5">
        <w:rPr>
          <w:rFonts w:ascii="Times New Roman" w:hAnsi="Times New Roman" w:cs="Times New Roman"/>
          <w:lang w:val="en-GB"/>
        </w:rPr>
        <w:t>. Moreover, if the preparatory work for the revision were to immunise a federated legislative provision - which is theoretically possible - the principle of equality would also be violated, because of interference by the federal authority in the exercise of the competences of the federated entities</w:t>
      </w:r>
      <w:r w:rsidRPr="007C05E5">
        <w:rPr>
          <w:rStyle w:val="Appelnotedebasdep"/>
          <w:rFonts w:ascii="Times New Roman" w:hAnsi="Times New Roman" w:cs="Times New Roman"/>
        </w:rPr>
        <w:footnoteReference w:id="101"/>
      </w:r>
      <w:r w:rsidRPr="007C05E5">
        <w:rPr>
          <w:rFonts w:ascii="Times New Roman" w:hAnsi="Times New Roman" w:cs="Times New Roman"/>
          <w:lang w:val="en-GB"/>
        </w:rPr>
        <w:t>.</w:t>
      </w:r>
    </w:p>
    <w:p w14:paraId="46DE0B05" w14:textId="4F599DD3" w:rsidR="007C05E5" w:rsidRPr="007C05E5" w:rsidRDefault="007C05E5" w:rsidP="007C05E5">
      <w:pPr>
        <w:jc w:val="both"/>
        <w:rPr>
          <w:rFonts w:ascii="Times New Roman" w:hAnsi="Times New Roman" w:cs="Times New Roman"/>
          <w:lang w:val="en-GB"/>
        </w:rPr>
      </w:pPr>
    </w:p>
    <w:p w14:paraId="3C088DC8" w14:textId="4696B10B" w:rsidR="007C05E5" w:rsidRPr="007C05E5" w:rsidRDefault="007C05E5" w:rsidP="007C05E5">
      <w:pPr>
        <w:jc w:val="both"/>
        <w:rPr>
          <w:rFonts w:ascii="Times New Roman" w:hAnsi="Times New Roman" w:cs="Times New Roman"/>
          <w:lang w:val="en-GB"/>
        </w:rPr>
      </w:pPr>
      <w:r w:rsidRPr="007C05E5">
        <w:rPr>
          <w:rFonts w:ascii="Times New Roman" w:hAnsi="Times New Roman" w:cs="Times New Roman"/>
          <w:lang w:val="en-GB"/>
        </w:rPr>
        <w:lastRenderedPageBreak/>
        <w:t xml:space="preserve">In any case, the immunisation of a legislative provision means that the interpretation, by a federated entity or the federal authority itself, of the exercise of competences expressed in this provision cannot be challenged by the other components of the federal state, whereas equality requires such a possibility. As Francis Delpérée and Marc </w:t>
      </w:r>
      <w:proofErr w:type="spellStart"/>
      <w:r w:rsidRPr="007C05E5">
        <w:rPr>
          <w:rFonts w:ascii="Times New Roman" w:hAnsi="Times New Roman" w:cs="Times New Roman"/>
          <w:lang w:val="en-GB"/>
        </w:rPr>
        <w:t>Verdussen</w:t>
      </w:r>
      <w:proofErr w:type="spellEnd"/>
      <w:r w:rsidRPr="007C05E5">
        <w:rPr>
          <w:rFonts w:ascii="Times New Roman" w:hAnsi="Times New Roman" w:cs="Times New Roman"/>
          <w:lang w:val="en-GB"/>
        </w:rPr>
        <w:t xml:space="preserve"> point out, </w:t>
      </w:r>
      <w:r w:rsidR="00733563">
        <w:rPr>
          <w:rFonts w:ascii="Times New Roman" w:hAnsi="Times New Roman" w:cs="Times New Roman"/>
          <w:lang w:val="en-GB"/>
        </w:rPr>
        <w:t>“</w:t>
      </w:r>
      <w:r w:rsidRPr="007C05E5">
        <w:rPr>
          <w:rFonts w:ascii="Times New Roman" w:hAnsi="Times New Roman" w:cs="Times New Roman"/>
          <w:lang w:val="en-GB"/>
        </w:rPr>
        <w:t>if an unequal status is organised to the benefit or detriment of one of them, it is questionable whether the institutional realities are equal to the privileged denominations and whether genuine federalism can develop under these unbalanced conditions</w:t>
      </w:r>
      <w:r w:rsidR="00733563">
        <w:rPr>
          <w:rFonts w:ascii="Times New Roman" w:hAnsi="Times New Roman" w:cs="Times New Roman"/>
          <w:lang w:val="en-GB"/>
        </w:rPr>
        <w:t>”</w:t>
      </w:r>
      <w:r w:rsidRPr="007C05E5">
        <w:rPr>
          <w:rStyle w:val="Appelnotedebasdep"/>
          <w:rFonts w:ascii="Times New Roman" w:hAnsi="Times New Roman" w:cs="Times New Roman"/>
        </w:rPr>
        <w:footnoteReference w:id="102"/>
      </w:r>
      <w:r w:rsidRPr="007C05E5">
        <w:rPr>
          <w:rFonts w:ascii="Times New Roman" w:hAnsi="Times New Roman" w:cs="Times New Roman"/>
          <w:lang w:val="en-GB"/>
        </w:rPr>
        <w:t>.</w:t>
      </w:r>
    </w:p>
    <w:p w14:paraId="743ABB38" w14:textId="77777777" w:rsidR="007C05E5" w:rsidRPr="007C05E5" w:rsidRDefault="007C05E5" w:rsidP="00950962">
      <w:pPr>
        <w:rPr>
          <w:rFonts w:ascii="Times New Roman" w:hAnsi="Times New Roman" w:cs="Times New Roman"/>
          <w:lang w:val="en-GB"/>
        </w:rPr>
      </w:pPr>
    </w:p>
    <w:p w14:paraId="750E282C" w14:textId="6D68C6FF" w:rsidR="00950962" w:rsidRPr="007C05E5" w:rsidRDefault="00950962" w:rsidP="00950962">
      <w:pPr>
        <w:rPr>
          <w:rFonts w:ascii="Times New Roman" w:hAnsi="Times New Roman" w:cs="Times New Roman"/>
          <w:b/>
          <w:bCs/>
          <w:u w:val="single"/>
          <w:lang w:val="en-GB"/>
        </w:rPr>
      </w:pPr>
      <w:r w:rsidRPr="007C05E5">
        <w:rPr>
          <w:rFonts w:ascii="Times New Roman" w:hAnsi="Times New Roman" w:cs="Times New Roman"/>
          <w:b/>
          <w:bCs/>
          <w:u w:val="single"/>
          <w:lang w:val="en-GB"/>
        </w:rPr>
        <w:t xml:space="preserve">Conclusion </w:t>
      </w:r>
    </w:p>
    <w:p w14:paraId="67A72656" w14:textId="12769B45" w:rsidR="007C05E5" w:rsidRPr="007C05E5" w:rsidRDefault="007C05E5" w:rsidP="00950962">
      <w:pPr>
        <w:rPr>
          <w:rFonts w:ascii="Times New Roman" w:hAnsi="Times New Roman" w:cs="Times New Roman"/>
          <w:b/>
          <w:bCs/>
          <w:u w:val="single"/>
          <w:lang w:val="en-GB"/>
        </w:rPr>
      </w:pPr>
    </w:p>
    <w:p w14:paraId="6B2F5A5D" w14:textId="43F345C9" w:rsidR="007C05E5" w:rsidRPr="007C05E5" w:rsidRDefault="007C05E5" w:rsidP="007C05E5">
      <w:pPr>
        <w:jc w:val="both"/>
        <w:rPr>
          <w:rFonts w:ascii="Times New Roman" w:hAnsi="Times New Roman" w:cs="Times New Roman"/>
          <w:lang w:val="en-GB"/>
        </w:rPr>
      </w:pPr>
      <w:r w:rsidRPr="00733563">
        <w:rPr>
          <w:rFonts w:ascii="Times New Roman" w:hAnsi="Times New Roman" w:cs="Times New Roman"/>
          <w:b/>
          <w:bCs/>
          <w:lang w:val="en-GB"/>
        </w:rPr>
        <w:t>25.</w:t>
      </w:r>
      <w:r w:rsidRPr="007C05E5">
        <w:rPr>
          <w:rFonts w:ascii="Times New Roman" w:hAnsi="Times New Roman" w:cs="Times New Roman"/>
          <w:lang w:val="en-GB"/>
        </w:rPr>
        <w:t xml:space="preserve"> The case law on the choice </w:t>
      </w:r>
      <w:r w:rsidR="0085771D">
        <w:rPr>
          <w:rFonts w:ascii="Times New Roman" w:hAnsi="Times New Roman" w:cs="Times New Roman"/>
          <w:lang w:val="en-GB"/>
        </w:rPr>
        <w:t>of the Constituent</w:t>
      </w:r>
      <w:r w:rsidRPr="007C05E5">
        <w:rPr>
          <w:rFonts w:ascii="Times New Roman" w:hAnsi="Times New Roman" w:cs="Times New Roman"/>
          <w:lang w:val="en-GB"/>
        </w:rPr>
        <w:t xml:space="preserve"> in the preparatory work is an example of the </w:t>
      </w:r>
      <w:r w:rsidR="0085771D">
        <w:rPr>
          <w:rFonts w:ascii="Times New Roman" w:hAnsi="Times New Roman" w:cs="Times New Roman"/>
          <w:lang w:val="en-GB"/>
        </w:rPr>
        <w:t xml:space="preserve">Belgian </w:t>
      </w:r>
      <w:r w:rsidRPr="007C05E5">
        <w:rPr>
          <w:rFonts w:ascii="Times New Roman" w:hAnsi="Times New Roman" w:cs="Times New Roman"/>
          <w:lang w:val="en-GB"/>
        </w:rPr>
        <w:t>C</w:t>
      </w:r>
      <w:r w:rsidR="0085771D">
        <w:rPr>
          <w:rFonts w:ascii="Times New Roman" w:hAnsi="Times New Roman" w:cs="Times New Roman"/>
          <w:lang w:val="en-GB"/>
        </w:rPr>
        <w:t>onstitutional Court</w:t>
      </w:r>
      <w:r w:rsidRPr="007C05E5">
        <w:rPr>
          <w:rFonts w:ascii="Times New Roman" w:hAnsi="Times New Roman" w:cs="Times New Roman"/>
          <w:lang w:val="en-GB"/>
        </w:rPr>
        <w:t xml:space="preserve">'s self-restraint, whereby it decides to weaken its control over the action of the public authorities. Because of the inconsistencies in the hierarchy of norms and the consequences for the functioning of the rule of law that this immunisation entails, it seems preferable in future to give priority to a marginal control over the legislative provisions concerned. The Court must avoid the adage </w:t>
      </w:r>
      <w:r w:rsidRPr="007C05E5">
        <w:rPr>
          <w:rFonts w:ascii="Times New Roman" w:hAnsi="Times New Roman" w:cs="Times New Roman"/>
          <w:i/>
          <w:iCs/>
          <w:lang w:val="en-GB"/>
        </w:rPr>
        <w:t xml:space="preserve">fiat </w:t>
      </w:r>
      <w:proofErr w:type="spellStart"/>
      <w:r w:rsidRPr="007C05E5">
        <w:rPr>
          <w:rFonts w:ascii="Times New Roman" w:hAnsi="Times New Roman" w:cs="Times New Roman"/>
          <w:i/>
          <w:iCs/>
          <w:lang w:val="en-GB"/>
        </w:rPr>
        <w:t>iustitia</w:t>
      </w:r>
      <w:proofErr w:type="spellEnd"/>
      <w:r w:rsidRPr="007C05E5">
        <w:rPr>
          <w:rFonts w:ascii="Times New Roman" w:hAnsi="Times New Roman" w:cs="Times New Roman"/>
          <w:i/>
          <w:iCs/>
          <w:lang w:val="en-GB"/>
        </w:rPr>
        <w:t xml:space="preserve"> et </w:t>
      </w:r>
      <w:proofErr w:type="spellStart"/>
      <w:r w:rsidRPr="007C05E5">
        <w:rPr>
          <w:rFonts w:ascii="Times New Roman" w:hAnsi="Times New Roman" w:cs="Times New Roman"/>
          <w:i/>
          <w:iCs/>
          <w:lang w:val="en-GB"/>
        </w:rPr>
        <w:t>pereat</w:t>
      </w:r>
      <w:proofErr w:type="spellEnd"/>
      <w:r w:rsidRPr="007C05E5">
        <w:rPr>
          <w:rFonts w:ascii="Times New Roman" w:hAnsi="Times New Roman" w:cs="Times New Roman"/>
          <w:i/>
          <w:iCs/>
          <w:lang w:val="en-GB"/>
        </w:rPr>
        <w:t xml:space="preserve"> mundus</w:t>
      </w:r>
      <w:r w:rsidRPr="007C05E5">
        <w:rPr>
          <w:rFonts w:ascii="Times New Roman" w:hAnsi="Times New Roman" w:cs="Times New Roman"/>
          <w:lang w:val="en-GB"/>
        </w:rPr>
        <w:t xml:space="preserve">, which implies an </w:t>
      </w:r>
      <w:r w:rsidRPr="00733563">
        <w:rPr>
          <w:rFonts w:ascii="Times New Roman" w:hAnsi="Times New Roman" w:cs="Times New Roman"/>
          <w:i/>
          <w:iCs/>
          <w:lang w:val="en-GB"/>
        </w:rPr>
        <w:t>absence of ordinary control</w:t>
      </w:r>
      <w:r w:rsidRPr="007C05E5">
        <w:rPr>
          <w:rFonts w:ascii="Times New Roman" w:hAnsi="Times New Roman" w:cs="Times New Roman"/>
          <w:lang w:val="en-GB"/>
        </w:rPr>
        <w:t xml:space="preserve"> over these laws, while at the same time avoiding the pitfalls we have identified, which </w:t>
      </w:r>
      <w:r w:rsidRPr="00733563">
        <w:rPr>
          <w:rFonts w:ascii="Times New Roman" w:hAnsi="Times New Roman" w:cs="Times New Roman"/>
          <w:i/>
          <w:iCs/>
          <w:lang w:val="en-GB"/>
        </w:rPr>
        <w:t>implies some control</w:t>
      </w:r>
      <w:r w:rsidRPr="007C05E5">
        <w:rPr>
          <w:rFonts w:ascii="Times New Roman" w:hAnsi="Times New Roman" w:cs="Times New Roman"/>
          <w:lang w:val="en-GB"/>
        </w:rPr>
        <w:t xml:space="preserve"> over these laws. Marginal control, and recourse to the figure of the normally prudent and diligent legislator, would make it possible to reconcile these two </w:t>
      </w:r>
      <w:r w:rsidRPr="00733563">
        <w:rPr>
          <w:rFonts w:ascii="Times New Roman" w:hAnsi="Times New Roman" w:cs="Times New Roman"/>
          <w:i/>
          <w:iCs/>
          <w:lang w:val="en-GB"/>
        </w:rPr>
        <w:t>a priori</w:t>
      </w:r>
      <w:r w:rsidRPr="007C05E5">
        <w:rPr>
          <w:rFonts w:ascii="Times New Roman" w:hAnsi="Times New Roman" w:cs="Times New Roman"/>
          <w:lang w:val="en-GB"/>
        </w:rPr>
        <w:t xml:space="preserve"> contradictory imperatives</w:t>
      </w:r>
      <w:r w:rsidR="00733563">
        <w:rPr>
          <w:rStyle w:val="Appelnotedebasdep"/>
          <w:rFonts w:ascii="Times New Roman" w:hAnsi="Times New Roman" w:cs="Times New Roman"/>
          <w:lang w:val="en-GB"/>
        </w:rPr>
        <w:footnoteReference w:id="103"/>
      </w:r>
      <w:r w:rsidRPr="007C05E5">
        <w:rPr>
          <w:rFonts w:ascii="Times New Roman" w:hAnsi="Times New Roman" w:cs="Times New Roman"/>
          <w:lang w:val="en-GB"/>
        </w:rPr>
        <w:t xml:space="preserve">. In assessing the normally prudent and diligent legislator test, the Court could consider that the legislator was reasonable in the circumstances of the case, such as the need to emerge from a political crisis, by including this circumstance in the proportionality review it is required to carry out. This system would have the great advantage of providing the parties with a </w:t>
      </w:r>
      <w:r w:rsidR="00733563">
        <w:rPr>
          <w:rFonts w:ascii="Times New Roman" w:hAnsi="Times New Roman" w:cs="Times New Roman"/>
          <w:lang w:val="en-GB"/>
        </w:rPr>
        <w:t>motivation for the</w:t>
      </w:r>
      <w:r w:rsidRPr="007C05E5">
        <w:rPr>
          <w:rFonts w:ascii="Times New Roman" w:hAnsi="Times New Roman" w:cs="Times New Roman"/>
          <w:lang w:val="en-GB"/>
        </w:rPr>
        <w:t xml:space="preserve"> decision, which they are </w:t>
      </w:r>
      <w:r w:rsidR="00270F2A">
        <w:rPr>
          <w:rFonts w:ascii="Times New Roman" w:hAnsi="Times New Roman" w:cs="Times New Roman"/>
          <w:lang w:val="en-GB"/>
        </w:rPr>
        <w:t xml:space="preserve">relatively </w:t>
      </w:r>
      <w:r w:rsidRPr="007C05E5">
        <w:rPr>
          <w:rFonts w:ascii="Times New Roman" w:hAnsi="Times New Roman" w:cs="Times New Roman"/>
          <w:lang w:val="en-GB"/>
        </w:rPr>
        <w:t xml:space="preserve">deprived of under the current case law. At the same time, the legitimacy of the </w:t>
      </w:r>
      <w:r w:rsidR="00733563">
        <w:rPr>
          <w:rFonts w:ascii="Times New Roman" w:hAnsi="Times New Roman" w:cs="Times New Roman"/>
          <w:lang w:val="en-GB"/>
        </w:rPr>
        <w:t>C</w:t>
      </w:r>
      <w:r w:rsidRPr="007C05E5">
        <w:rPr>
          <w:rFonts w:ascii="Times New Roman" w:hAnsi="Times New Roman" w:cs="Times New Roman"/>
          <w:lang w:val="en-GB"/>
        </w:rPr>
        <w:t xml:space="preserve">onstitutional </w:t>
      </w:r>
      <w:r w:rsidR="00733563">
        <w:rPr>
          <w:rFonts w:ascii="Times New Roman" w:hAnsi="Times New Roman" w:cs="Times New Roman"/>
          <w:lang w:val="en-GB"/>
        </w:rPr>
        <w:t>C</w:t>
      </w:r>
      <w:r w:rsidRPr="007C05E5">
        <w:rPr>
          <w:rFonts w:ascii="Times New Roman" w:hAnsi="Times New Roman" w:cs="Times New Roman"/>
          <w:lang w:val="en-GB"/>
        </w:rPr>
        <w:t>ourt would be enhanced, since this legitimacy stems from the clarity, precision, and pedagogy of the reasons for the judgments handed down</w:t>
      </w:r>
      <w:r w:rsidR="00E2418A">
        <w:rPr>
          <w:rStyle w:val="Appelnotedebasdep"/>
          <w:rFonts w:ascii="Times New Roman" w:hAnsi="Times New Roman" w:cs="Times New Roman"/>
          <w:lang w:val="en-GB"/>
        </w:rPr>
        <w:footnoteReference w:id="104"/>
      </w:r>
      <w:r w:rsidRPr="007C05E5">
        <w:rPr>
          <w:rFonts w:ascii="Times New Roman" w:hAnsi="Times New Roman" w:cs="Times New Roman"/>
          <w:lang w:val="en-GB"/>
        </w:rPr>
        <w:t xml:space="preserve">. In the current state of jurisprudence, the citizen still has the possibility of bringing an action before the courts of the judicial order for tort liability for the fault </w:t>
      </w:r>
      <w:r w:rsidR="00733563">
        <w:rPr>
          <w:rFonts w:ascii="Times New Roman" w:hAnsi="Times New Roman" w:cs="Times New Roman"/>
          <w:lang w:val="en-GB"/>
        </w:rPr>
        <w:t xml:space="preserve">or the negligent </w:t>
      </w:r>
      <w:r w:rsidRPr="007C05E5">
        <w:rPr>
          <w:rFonts w:ascii="Times New Roman" w:hAnsi="Times New Roman" w:cs="Times New Roman"/>
          <w:lang w:val="en-GB"/>
        </w:rPr>
        <w:t xml:space="preserve">of the </w:t>
      </w:r>
      <w:r>
        <w:rPr>
          <w:rFonts w:ascii="Times New Roman" w:hAnsi="Times New Roman" w:cs="Times New Roman"/>
          <w:lang w:val="en-GB"/>
        </w:rPr>
        <w:t>Constituent</w:t>
      </w:r>
      <w:r w:rsidRPr="007C05E5">
        <w:rPr>
          <w:rFonts w:ascii="Times New Roman" w:hAnsi="Times New Roman" w:cs="Times New Roman"/>
          <w:lang w:val="en-GB"/>
        </w:rPr>
        <w:t xml:space="preserve"> power itself, the outcome of which appears very uncertain</w:t>
      </w:r>
      <w:r w:rsidR="00E2418A">
        <w:rPr>
          <w:rStyle w:val="Appelnotedebasdep"/>
          <w:rFonts w:ascii="Times New Roman" w:hAnsi="Times New Roman" w:cs="Times New Roman"/>
          <w:lang w:val="en-GB"/>
        </w:rPr>
        <w:footnoteReference w:id="105"/>
      </w:r>
      <w:r w:rsidRPr="007C05E5">
        <w:rPr>
          <w:rFonts w:ascii="Times New Roman" w:hAnsi="Times New Roman" w:cs="Times New Roman"/>
          <w:lang w:val="en-GB"/>
        </w:rPr>
        <w:t>.</w:t>
      </w:r>
    </w:p>
    <w:p w14:paraId="4606D601" w14:textId="0F4CCC11" w:rsidR="007C05E5" w:rsidRPr="007C05E5" w:rsidRDefault="007C05E5" w:rsidP="007C05E5">
      <w:pPr>
        <w:jc w:val="both"/>
        <w:rPr>
          <w:rFonts w:ascii="Times New Roman" w:hAnsi="Times New Roman" w:cs="Times New Roman"/>
          <w:lang w:val="en-GB"/>
        </w:rPr>
      </w:pPr>
    </w:p>
    <w:p w14:paraId="103D6AA4" w14:textId="1D0D2FCA" w:rsidR="007C05E5" w:rsidRPr="007C05E5" w:rsidRDefault="00112446" w:rsidP="007C05E5">
      <w:pPr>
        <w:jc w:val="both"/>
        <w:rPr>
          <w:rFonts w:ascii="Times New Roman" w:hAnsi="Times New Roman" w:cs="Times New Roman"/>
          <w:lang w:val="en-GB"/>
        </w:rPr>
      </w:pPr>
      <w:r w:rsidRPr="00112446">
        <w:rPr>
          <w:rFonts w:ascii="Times New Roman" w:hAnsi="Times New Roman" w:cs="Times New Roman"/>
          <w:lang w:val="en-GB"/>
        </w:rPr>
        <w:t>More generally, the Court must avoid bowing to the political will of the moment and the choices that flow from it</w:t>
      </w:r>
      <w:r w:rsidR="007C05E5" w:rsidRPr="007C05E5">
        <w:rPr>
          <w:rFonts w:ascii="Times New Roman" w:hAnsi="Times New Roman" w:cs="Times New Roman"/>
          <w:lang w:val="en-GB"/>
        </w:rPr>
        <w:t xml:space="preserve">. It must only bow to the choice of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power itself, which is expressed in accordance with Article 195 of the Constitution. To quote George </w:t>
      </w:r>
      <w:proofErr w:type="spellStart"/>
      <w:r w:rsidR="007C05E5" w:rsidRPr="007C05E5">
        <w:rPr>
          <w:rFonts w:ascii="Times New Roman" w:hAnsi="Times New Roman" w:cs="Times New Roman"/>
          <w:lang w:val="en-GB"/>
        </w:rPr>
        <w:t>Vedel</w:t>
      </w:r>
      <w:proofErr w:type="spellEnd"/>
      <w:r w:rsidR="007C05E5" w:rsidRPr="007C05E5">
        <w:rPr>
          <w:rFonts w:ascii="Times New Roman" w:hAnsi="Times New Roman" w:cs="Times New Roman"/>
          <w:lang w:val="en-GB"/>
        </w:rPr>
        <w:t xml:space="preserve">, mentioned in the introduction, </w:t>
      </w:r>
      <w:r w:rsidR="00733563">
        <w:rPr>
          <w:rFonts w:ascii="Times New Roman" w:hAnsi="Times New Roman" w:cs="Times New Roman"/>
          <w:lang w:val="en-GB"/>
        </w:rPr>
        <w:t>“</w:t>
      </w:r>
      <w:r w:rsidR="007C05E5" w:rsidRPr="007C05E5">
        <w:rPr>
          <w:rFonts w:ascii="Times New Roman" w:hAnsi="Times New Roman" w:cs="Times New Roman"/>
          <w:lang w:val="en-GB"/>
        </w:rPr>
        <w:t xml:space="preserve">if judges do not govern, it is because, at any moment, the sovereign, on condition that he appears in majesty as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can, in a sort of </w:t>
      </w:r>
      <w:r w:rsidR="007C05E5" w:rsidRPr="007C05E5">
        <w:rPr>
          <w:rFonts w:ascii="Times New Roman" w:hAnsi="Times New Roman" w:cs="Times New Roman"/>
          <w:i/>
          <w:iCs/>
          <w:lang w:val="en-GB"/>
        </w:rPr>
        <w:t>lit de justice</w:t>
      </w:r>
      <w:r w:rsidR="007C05E5" w:rsidRPr="007C05E5">
        <w:rPr>
          <w:rFonts w:ascii="Times New Roman" w:hAnsi="Times New Roman" w:cs="Times New Roman"/>
          <w:lang w:val="en-GB"/>
        </w:rPr>
        <w:t>, break their judgments</w:t>
      </w:r>
      <w:r w:rsidR="00733563">
        <w:rPr>
          <w:rFonts w:ascii="Times New Roman" w:hAnsi="Times New Roman" w:cs="Times New Roman"/>
          <w:lang w:val="en-GB"/>
        </w:rPr>
        <w:t>”</w:t>
      </w:r>
      <w:r w:rsidR="007C05E5" w:rsidRPr="007C05E5">
        <w:rPr>
          <w:rStyle w:val="Appelnotedebasdep"/>
          <w:rFonts w:ascii="Times New Roman" w:hAnsi="Times New Roman" w:cs="Times New Roman"/>
        </w:rPr>
        <w:footnoteReference w:id="106"/>
      </w:r>
      <w:r w:rsidR="007C05E5" w:rsidRPr="007C05E5">
        <w:rPr>
          <w:rFonts w:ascii="Times New Roman" w:hAnsi="Times New Roman" w:cs="Times New Roman"/>
          <w:lang w:val="en-GB"/>
        </w:rPr>
        <w:t xml:space="preserve">. In any case, the choices mentioned in the preparatory work for the revision cannot be attributed to this power. Consequently, there can be no “preventive </w:t>
      </w:r>
      <w:r w:rsidR="007C05E5" w:rsidRPr="00733563">
        <w:rPr>
          <w:rFonts w:ascii="Times New Roman" w:hAnsi="Times New Roman" w:cs="Times New Roman"/>
          <w:i/>
          <w:iCs/>
          <w:lang w:val="en-GB"/>
        </w:rPr>
        <w:t>lit de justice</w:t>
      </w:r>
      <w:r w:rsidR="007C05E5" w:rsidRPr="007C05E5">
        <w:rPr>
          <w:rFonts w:ascii="Times New Roman" w:hAnsi="Times New Roman" w:cs="Times New Roman"/>
          <w:lang w:val="en-GB"/>
        </w:rPr>
        <w:t>” in this hypothesis,</w:t>
      </w:r>
      <w:r w:rsidR="007C05E5" w:rsidRPr="007C05E5">
        <w:rPr>
          <w:rFonts w:ascii="Times New Roman" w:hAnsi="Times New Roman" w:cs="Times New Roman"/>
          <w:lang w:val="en-US"/>
        </w:rPr>
        <w:t xml:space="preserve"> </w:t>
      </w:r>
      <w:r w:rsidR="007C05E5" w:rsidRPr="007C05E5">
        <w:rPr>
          <w:rFonts w:ascii="Times New Roman" w:hAnsi="Times New Roman" w:cs="Times New Roman"/>
          <w:lang w:val="en-GB"/>
        </w:rPr>
        <w:t xml:space="preserve">failing for the </w:t>
      </w:r>
      <w:r w:rsidR="007C05E5">
        <w:rPr>
          <w:rFonts w:ascii="Times New Roman" w:hAnsi="Times New Roman" w:cs="Times New Roman"/>
          <w:lang w:val="en-GB"/>
        </w:rPr>
        <w:t>Constituent</w:t>
      </w:r>
      <w:r w:rsidR="007C05E5" w:rsidRPr="007C05E5">
        <w:rPr>
          <w:rFonts w:ascii="Times New Roman" w:hAnsi="Times New Roman" w:cs="Times New Roman"/>
          <w:lang w:val="en-GB"/>
        </w:rPr>
        <w:t xml:space="preserve"> to appear in majesty.</w:t>
      </w:r>
    </w:p>
    <w:sectPr w:rsidR="007C05E5" w:rsidRPr="007C05E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AF5F1" w14:textId="77777777" w:rsidR="00AA08DF" w:rsidRDefault="00AA08DF" w:rsidP="00950962">
      <w:r>
        <w:separator/>
      </w:r>
    </w:p>
  </w:endnote>
  <w:endnote w:type="continuationSeparator" w:id="0">
    <w:p w14:paraId="4D712C86" w14:textId="77777777" w:rsidR="00AA08DF" w:rsidRDefault="00AA08DF" w:rsidP="0095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53496373"/>
      <w:docPartObj>
        <w:docPartGallery w:val="Page Numbers (Bottom of Page)"/>
        <w:docPartUnique/>
      </w:docPartObj>
    </w:sdtPr>
    <w:sdtEndPr>
      <w:rPr>
        <w:rStyle w:val="Numrodepage"/>
      </w:rPr>
    </w:sdtEndPr>
    <w:sdtContent>
      <w:p w14:paraId="660848DE" w14:textId="4A947AAD" w:rsidR="007C05E5" w:rsidRDefault="007C05E5" w:rsidP="00F875A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C139358" w14:textId="77777777" w:rsidR="007C05E5" w:rsidRDefault="007C05E5" w:rsidP="007C05E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Times New Roman" w:hAnsi="Times New Roman" w:cs="Times New Roman"/>
      </w:rPr>
      <w:id w:val="731669012"/>
      <w:docPartObj>
        <w:docPartGallery w:val="Page Numbers (Bottom of Page)"/>
        <w:docPartUnique/>
      </w:docPartObj>
    </w:sdtPr>
    <w:sdtEndPr>
      <w:rPr>
        <w:rStyle w:val="Numrodepage"/>
      </w:rPr>
    </w:sdtEndPr>
    <w:sdtContent>
      <w:p w14:paraId="1A51273F" w14:textId="5122C57E" w:rsidR="007C05E5" w:rsidRPr="00D174D3" w:rsidRDefault="007C05E5" w:rsidP="00F875AA">
        <w:pPr>
          <w:pStyle w:val="Pieddepage"/>
          <w:framePr w:wrap="none" w:vAnchor="text" w:hAnchor="margin" w:xAlign="right" w:y="1"/>
          <w:rPr>
            <w:rStyle w:val="Numrodepage"/>
            <w:rFonts w:ascii="Times New Roman" w:hAnsi="Times New Roman" w:cs="Times New Roman"/>
          </w:rPr>
        </w:pPr>
        <w:r w:rsidRPr="00D174D3">
          <w:rPr>
            <w:rStyle w:val="Numrodepage"/>
            <w:rFonts w:ascii="Times New Roman" w:hAnsi="Times New Roman" w:cs="Times New Roman"/>
          </w:rPr>
          <w:fldChar w:fldCharType="begin"/>
        </w:r>
        <w:r w:rsidRPr="00D174D3">
          <w:rPr>
            <w:rStyle w:val="Numrodepage"/>
            <w:rFonts w:ascii="Times New Roman" w:hAnsi="Times New Roman" w:cs="Times New Roman"/>
          </w:rPr>
          <w:instrText xml:space="preserve"> PAGE </w:instrText>
        </w:r>
        <w:r w:rsidRPr="00D174D3">
          <w:rPr>
            <w:rStyle w:val="Numrodepage"/>
            <w:rFonts w:ascii="Times New Roman" w:hAnsi="Times New Roman" w:cs="Times New Roman"/>
          </w:rPr>
          <w:fldChar w:fldCharType="separate"/>
        </w:r>
        <w:r w:rsidRPr="00D174D3">
          <w:rPr>
            <w:rStyle w:val="Numrodepage"/>
            <w:rFonts w:ascii="Times New Roman" w:hAnsi="Times New Roman" w:cs="Times New Roman"/>
            <w:noProof/>
          </w:rPr>
          <w:t>1</w:t>
        </w:r>
        <w:r w:rsidRPr="00D174D3">
          <w:rPr>
            <w:rStyle w:val="Numrodepage"/>
            <w:rFonts w:ascii="Times New Roman" w:hAnsi="Times New Roman" w:cs="Times New Roman"/>
          </w:rPr>
          <w:fldChar w:fldCharType="end"/>
        </w:r>
      </w:p>
    </w:sdtContent>
  </w:sdt>
  <w:p w14:paraId="4BA52A36" w14:textId="77777777" w:rsidR="007C05E5" w:rsidRDefault="007C05E5" w:rsidP="007C05E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2982" w14:textId="77777777" w:rsidR="00AA08DF" w:rsidRDefault="00AA08DF" w:rsidP="00950962">
      <w:r>
        <w:separator/>
      </w:r>
    </w:p>
  </w:footnote>
  <w:footnote w:type="continuationSeparator" w:id="0">
    <w:p w14:paraId="615FD79C" w14:textId="77777777" w:rsidR="00AA08DF" w:rsidRDefault="00AA08DF" w:rsidP="00950962">
      <w:r>
        <w:continuationSeparator/>
      </w:r>
    </w:p>
  </w:footnote>
  <w:footnote w:id="1">
    <w:p w14:paraId="231D88FA" w14:textId="5D828CF4"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A. </w:t>
      </w:r>
      <w:proofErr w:type="spellStart"/>
      <w:r w:rsidR="001950CC" w:rsidRPr="00270F2A">
        <w:rPr>
          <w:rFonts w:ascii="Times New Roman" w:hAnsi="Times New Roman" w:cs="Times New Roman"/>
          <w:smallCaps/>
        </w:rPr>
        <w:t>Wijffels</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Introduction historique au droit. France, Allemagne, Angleterre</w:t>
      </w:r>
      <w:r w:rsidR="001950CC" w:rsidRPr="00270F2A">
        <w:rPr>
          <w:rFonts w:ascii="Times New Roman" w:hAnsi="Times New Roman" w:cs="Times New Roman"/>
        </w:rPr>
        <w:t>, Paris, P.U.F., 2010, pp. 118-121 ;</w:t>
      </w:r>
      <w:r w:rsidR="001950CC" w:rsidRPr="00270F2A">
        <w:rPr>
          <w:rFonts w:ascii="Times New Roman" w:hAnsi="Times New Roman" w:cs="Times New Roman"/>
          <w:i/>
          <w:iCs/>
        </w:rPr>
        <w:t xml:space="preserve"> </w:t>
      </w:r>
      <w:r w:rsidR="001950CC" w:rsidRPr="00270F2A">
        <w:rPr>
          <w:rFonts w:ascii="Times New Roman" w:hAnsi="Times New Roman" w:cs="Times New Roman"/>
        </w:rPr>
        <w:t xml:space="preserve">J. </w:t>
      </w:r>
      <w:r w:rsidR="001950CC" w:rsidRPr="00270F2A">
        <w:rPr>
          <w:rFonts w:ascii="Times New Roman" w:hAnsi="Times New Roman" w:cs="Times New Roman"/>
          <w:smallCaps/>
        </w:rPr>
        <w:t>Gilissen</w:t>
      </w:r>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Introduction historique au droit. Esquisse d’une Histoire universelle du droit – Les sources du droit depuis le XIIIe siècle – </w:t>
      </w:r>
      <w:proofErr w:type="spellStart"/>
      <w:r w:rsidR="001950CC" w:rsidRPr="00270F2A">
        <w:rPr>
          <w:rFonts w:ascii="Times New Roman" w:hAnsi="Times New Roman" w:cs="Times New Roman"/>
          <w:i/>
          <w:iCs/>
        </w:rPr>
        <w:t>Eléments</w:t>
      </w:r>
      <w:proofErr w:type="spellEnd"/>
      <w:r w:rsidR="001950CC" w:rsidRPr="00270F2A">
        <w:rPr>
          <w:rFonts w:ascii="Times New Roman" w:hAnsi="Times New Roman" w:cs="Times New Roman"/>
          <w:i/>
          <w:iCs/>
        </w:rPr>
        <w:t xml:space="preserve"> d’Histoire du droit privé </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Bruylant</w:t>
      </w:r>
      <w:proofErr w:type="spellEnd"/>
      <w:r w:rsidR="001950CC" w:rsidRPr="00270F2A">
        <w:rPr>
          <w:rFonts w:ascii="Times New Roman" w:hAnsi="Times New Roman" w:cs="Times New Roman"/>
        </w:rPr>
        <w:t xml:space="preserve">, 1979, pp. 290-291. </w:t>
      </w:r>
    </w:p>
  </w:footnote>
  <w:footnote w:id="2">
    <w:p w14:paraId="412F7BD0" w14:textId="737B8C35"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G. </w:t>
      </w:r>
      <w:r w:rsidRPr="00270F2A">
        <w:rPr>
          <w:rFonts w:ascii="Times New Roman" w:hAnsi="Times New Roman" w:cs="Times New Roman"/>
          <w:smallCaps/>
        </w:rPr>
        <w:t>Vedel</w:t>
      </w:r>
      <w:r w:rsidRPr="00270F2A">
        <w:rPr>
          <w:rFonts w:ascii="Times New Roman" w:hAnsi="Times New Roman" w:cs="Times New Roman"/>
        </w:rPr>
        <w:t xml:space="preserve">, « Schengen et Maastricht : à propos de la décision no 91-294 DC du Conseil constitutionnel du 25 juillet 1991 », </w:t>
      </w:r>
      <w:r w:rsidRPr="00270F2A">
        <w:rPr>
          <w:rFonts w:ascii="Times New Roman" w:hAnsi="Times New Roman" w:cs="Times New Roman"/>
          <w:i/>
          <w:iCs/>
        </w:rPr>
        <w:t>Revue française de droit administratif</w:t>
      </w:r>
      <w:r w:rsidRPr="00270F2A">
        <w:rPr>
          <w:rFonts w:ascii="Times New Roman" w:hAnsi="Times New Roman" w:cs="Times New Roman"/>
        </w:rPr>
        <w:t>, 1992, p. 173</w:t>
      </w:r>
      <w:r w:rsidR="007C05E5" w:rsidRPr="00270F2A">
        <w:rPr>
          <w:rFonts w:ascii="Times New Roman" w:hAnsi="Times New Roman" w:cs="Times New Roman"/>
        </w:rPr>
        <w:t xml:space="preserve"> (free translation). </w:t>
      </w:r>
    </w:p>
  </w:footnote>
  <w:footnote w:id="3">
    <w:p w14:paraId="3360BCE8" w14:textId="057288FB" w:rsidR="00950962" w:rsidRPr="0085771D"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The special law of 6 January 1989 on the Constitutional Court (</w:t>
      </w:r>
      <w:proofErr w:type="spellStart"/>
      <w:r w:rsidR="001950CC" w:rsidRPr="00270F2A">
        <w:rPr>
          <w:rFonts w:ascii="Times New Roman" w:hAnsi="Times New Roman" w:cs="Times New Roman"/>
          <w:i/>
          <w:iCs/>
          <w:lang w:val="en-US"/>
        </w:rPr>
        <w:t>Moniteur</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belge</w:t>
      </w:r>
      <w:proofErr w:type="spellEnd"/>
      <w:r w:rsidR="001950CC" w:rsidRPr="00270F2A">
        <w:rPr>
          <w:rFonts w:ascii="Times New Roman" w:hAnsi="Times New Roman" w:cs="Times New Roman"/>
          <w:lang w:val="en-US"/>
        </w:rPr>
        <w:t xml:space="preserve">, 7 January 1989) is the organic legislation of the Court. </w:t>
      </w:r>
      <w:r w:rsidR="001950CC" w:rsidRPr="00270F2A">
        <w:rPr>
          <w:rFonts w:ascii="Times New Roman" w:hAnsi="Times New Roman" w:cs="Times New Roman"/>
          <w:lang w:val="nl-BE"/>
        </w:rPr>
        <w:t xml:space="preserve">See, on this issue, J.R. </w:t>
      </w:r>
      <w:r w:rsidR="001950CC" w:rsidRPr="00270F2A">
        <w:rPr>
          <w:rFonts w:ascii="Times New Roman" w:hAnsi="Times New Roman" w:cs="Times New Roman"/>
          <w:smallCaps/>
          <w:lang w:val="nl-BE"/>
        </w:rPr>
        <w:t>Moerman</w:t>
      </w:r>
      <w:r w:rsidR="001950CC" w:rsidRPr="00270F2A">
        <w:rPr>
          <w:rFonts w:ascii="Times New Roman" w:hAnsi="Times New Roman" w:cs="Times New Roman"/>
          <w:lang w:val="nl-BE"/>
        </w:rPr>
        <w:t xml:space="preserve">, “Een ‘bijzondere” bijzondere wet: de bijzondere wet op het Grondwettelijk Hof”, in: T. Moonen, P. Cannoot and J. Riemslagh (dir.), </w:t>
      </w:r>
      <w:r w:rsidR="001950CC" w:rsidRPr="00270F2A">
        <w:rPr>
          <w:rFonts w:ascii="Times New Roman" w:hAnsi="Times New Roman" w:cs="Times New Roman"/>
          <w:i/>
          <w:iCs/>
          <w:lang w:val="nl-BE"/>
        </w:rPr>
        <w:t>50 jaar bijzondere wetten</w:t>
      </w:r>
      <w:r w:rsidR="001950CC" w:rsidRPr="00270F2A">
        <w:rPr>
          <w:rFonts w:ascii="Times New Roman" w:hAnsi="Times New Roman" w:cs="Times New Roman"/>
          <w:lang w:val="nl-BE"/>
        </w:rPr>
        <w:t>, Antwerpen, Intersentia, 2021, pp. 191-208.</w:t>
      </w:r>
      <w:r w:rsidR="00270F2A" w:rsidRPr="00270F2A">
        <w:rPr>
          <w:rFonts w:ascii="Times New Roman" w:hAnsi="Times New Roman" w:cs="Times New Roman"/>
          <w:lang w:val="nl-BE"/>
        </w:rPr>
        <w:t xml:space="preserve"> </w:t>
      </w:r>
      <w:r w:rsidR="001950CC" w:rsidRPr="00270F2A">
        <w:rPr>
          <w:rFonts w:ascii="Times New Roman" w:hAnsi="Times New Roman" w:cs="Times New Roman"/>
          <w:lang w:val="en-US"/>
        </w:rPr>
        <w:t xml:space="preserve">In Belgium, a “special law” is a legislation adopted according to the reinforced majorities provided for in Article 4, paragraph 3, of the Constitution. According to this constitutional disposition, a special law must be passed by “a majority of the votes cast in each linguistic group in each House, on condition that a majority of the members of each group is present and provided that the total number of votes in </w:t>
      </w:r>
      <w:proofErr w:type="spellStart"/>
      <w:r w:rsidR="001950CC" w:rsidRPr="00270F2A">
        <w:rPr>
          <w:rFonts w:ascii="Times New Roman" w:hAnsi="Times New Roman" w:cs="Times New Roman"/>
          <w:lang w:val="en-US"/>
        </w:rPr>
        <w:t>favour</w:t>
      </w:r>
      <w:proofErr w:type="spellEnd"/>
      <w:r w:rsidR="001950CC" w:rsidRPr="00270F2A">
        <w:rPr>
          <w:rFonts w:ascii="Times New Roman" w:hAnsi="Times New Roman" w:cs="Times New Roman"/>
          <w:lang w:val="en-US"/>
        </w:rPr>
        <w:t xml:space="preserve"> that are cast in the two linguistic groups is equal to at least two thirds of the votes cast”. On special laws, see J. </w:t>
      </w:r>
      <w:proofErr w:type="spellStart"/>
      <w:r w:rsidR="001950CC" w:rsidRPr="00270F2A">
        <w:rPr>
          <w:rFonts w:ascii="Times New Roman" w:hAnsi="Times New Roman" w:cs="Times New Roman"/>
          <w:smallCaps/>
          <w:lang w:val="en-US"/>
        </w:rPr>
        <w:t>Vande</w:t>
      </w:r>
      <w:proofErr w:type="spellEnd"/>
      <w:r w:rsidR="001950CC" w:rsidRPr="00270F2A">
        <w:rPr>
          <w:rFonts w:ascii="Times New Roman" w:hAnsi="Times New Roman" w:cs="Times New Roman"/>
          <w:smallCaps/>
          <w:lang w:val="en-US"/>
        </w:rPr>
        <w:t xml:space="preserve"> </w:t>
      </w:r>
      <w:proofErr w:type="spellStart"/>
      <w:r w:rsidR="001950CC" w:rsidRPr="00270F2A">
        <w:rPr>
          <w:rFonts w:ascii="Times New Roman" w:hAnsi="Times New Roman" w:cs="Times New Roman"/>
          <w:smallCaps/>
          <w:lang w:val="en-US"/>
        </w:rPr>
        <w:t>Lanotte</w:t>
      </w:r>
      <w:proofErr w:type="spellEnd"/>
      <w:r w:rsidR="001950CC" w:rsidRPr="00270F2A">
        <w:rPr>
          <w:rFonts w:ascii="Times New Roman" w:hAnsi="Times New Roman" w:cs="Times New Roman"/>
          <w:lang w:val="en-US"/>
        </w:rPr>
        <w:t xml:space="preserve"> and G. </w:t>
      </w:r>
      <w:proofErr w:type="spellStart"/>
      <w:r w:rsidR="001950CC" w:rsidRPr="00270F2A">
        <w:rPr>
          <w:rFonts w:ascii="Times New Roman" w:hAnsi="Times New Roman" w:cs="Times New Roman"/>
          <w:smallCaps/>
          <w:lang w:val="en-US"/>
        </w:rPr>
        <w:t>Goedertier</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i/>
          <w:iCs/>
          <w:lang w:val="en-US"/>
        </w:rPr>
        <w:t>Overzicht</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Publiekrecht</w:t>
      </w:r>
      <w:proofErr w:type="spellEnd"/>
      <w:r w:rsidR="001950CC" w:rsidRPr="00270F2A">
        <w:rPr>
          <w:rFonts w:ascii="Times New Roman" w:hAnsi="Times New Roman" w:cs="Times New Roman"/>
          <w:lang w:val="en-US"/>
        </w:rPr>
        <w:t>, 5</w:t>
      </w:r>
      <w:r w:rsidR="001950CC" w:rsidRPr="00270F2A">
        <w:rPr>
          <w:rFonts w:ascii="Times New Roman" w:hAnsi="Times New Roman" w:cs="Times New Roman"/>
          <w:vertAlign w:val="superscript"/>
          <w:lang w:val="en-US"/>
        </w:rPr>
        <w:t>th</w:t>
      </w:r>
      <w:r w:rsidR="001950CC" w:rsidRPr="00270F2A">
        <w:rPr>
          <w:rFonts w:ascii="Times New Roman" w:hAnsi="Times New Roman" w:cs="Times New Roman"/>
          <w:lang w:val="en-US"/>
        </w:rPr>
        <w:t xml:space="preserve"> edition, </w:t>
      </w:r>
      <w:proofErr w:type="spellStart"/>
      <w:r w:rsidR="001950CC" w:rsidRPr="00270F2A">
        <w:rPr>
          <w:rFonts w:ascii="Times New Roman" w:hAnsi="Times New Roman" w:cs="Times New Roman"/>
          <w:lang w:val="en-US"/>
        </w:rPr>
        <w:t>Brugge</w:t>
      </w:r>
      <w:proofErr w:type="spellEnd"/>
      <w:r w:rsidR="001950CC" w:rsidRPr="00270F2A">
        <w:rPr>
          <w:rFonts w:ascii="Times New Roman" w:hAnsi="Times New Roman" w:cs="Times New Roman"/>
          <w:lang w:val="en-US"/>
        </w:rPr>
        <w:t xml:space="preserve">, die </w:t>
      </w:r>
      <w:proofErr w:type="spellStart"/>
      <w:r w:rsidR="001950CC" w:rsidRPr="00270F2A">
        <w:rPr>
          <w:rFonts w:ascii="Times New Roman" w:hAnsi="Times New Roman" w:cs="Times New Roman"/>
          <w:lang w:val="en-US"/>
        </w:rPr>
        <w:t>keure</w:t>
      </w:r>
      <w:proofErr w:type="spellEnd"/>
      <w:r w:rsidR="001950CC" w:rsidRPr="00270F2A">
        <w:rPr>
          <w:rFonts w:ascii="Times New Roman" w:hAnsi="Times New Roman" w:cs="Times New Roman"/>
          <w:lang w:val="en-US"/>
        </w:rPr>
        <w:t>, 2007, pp. 129-139.</w:t>
      </w:r>
    </w:p>
  </w:footnote>
  <w:footnote w:id="4">
    <w:p w14:paraId="217ED1C2" w14:textId="62E9157C" w:rsidR="001950CC" w:rsidRPr="0085771D" w:rsidRDefault="001950CC"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85771D">
        <w:rPr>
          <w:rFonts w:ascii="Times New Roman" w:hAnsi="Times New Roman" w:cs="Times New Roman"/>
          <w:lang w:val="en-US"/>
        </w:rPr>
        <w:t xml:space="preserve"> On the competence of the Court, see in particular G. </w:t>
      </w:r>
      <w:proofErr w:type="spellStart"/>
      <w:r w:rsidRPr="0085771D">
        <w:rPr>
          <w:rFonts w:ascii="Times New Roman" w:hAnsi="Times New Roman" w:cs="Times New Roman"/>
          <w:smallCaps/>
          <w:lang w:val="en-US"/>
        </w:rPr>
        <w:t>Rosoux</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i/>
          <w:iCs/>
          <w:lang w:val="en-US"/>
        </w:rPr>
        <w:t>Contentieux</w:t>
      </w:r>
      <w:proofErr w:type="spellEnd"/>
      <w:r w:rsidRPr="0085771D">
        <w:rPr>
          <w:rFonts w:ascii="Times New Roman" w:hAnsi="Times New Roman" w:cs="Times New Roman"/>
          <w:i/>
          <w:iCs/>
          <w:lang w:val="en-US"/>
        </w:rPr>
        <w:t xml:space="preserve"> </w:t>
      </w:r>
      <w:proofErr w:type="spellStart"/>
      <w:r w:rsidRPr="0085771D">
        <w:rPr>
          <w:rFonts w:ascii="Times New Roman" w:hAnsi="Times New Roman" w:cs="Times New Roman"/>
          <w:i/>
          <w:iCs/>
          <w:lang w:val="en-US"/>
        </w:rPr>
        <w:t>constitutionnel</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Bruxelles</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Larcier</w:t>
      </w:r>
      <w:proofErr w:type="spellEnd"/>
      <w:r w:rsidRPr="0085771D">
        <w:rPr>
          <w:rFonts w:ascii="Times New Roman" w:hAnsi="Times New Roman" w:cs="Times New Roman"/>
          <w:lang w:val="en-US"/>
        </w:rPr>
        <w:t xml:space="preserve">, 2021, 833 </w:t>
      </w:r>
      <w:proofErr w:type="gramStart"/>
      <w:r w:rsidRPr="0085771D">
        <w:rPr>
          <w:rFonts w:ascii="Times New Roman" w:hAnsi="Times New Roman" w:cs="Times New Roman"/>
          <w:lang w:val="en-US"/>
        </w:rPr>
        <w:t>p. ;</w:t>
      </w:r>
      <w:proofErr w:type="gramEnd"/>
      <w:r w:rsidRPr="0085771D">
        <w:rPr>
          <w:rFonts w:ascii="Times New Roman" w:hAnsi="Times New Roman" w:cs="Times New Roman"/>
          <w:lang w:val="en-US"/>
        </w:rPr>
        <w:t xml:space="preserve"> M. </w:t>
      </w:r>
      <w:proofErr w:type="spellStart"/>
      <w:r w:rsidRPr="0085771D">
        <w:rPr>
          <w:rFonts w:ascii="Times New Roman" w:hAnsi="Times New Roman" w:cs="Times New Roman"/>
          <w:smallCaps/>
          <w:lang w:val="en-US"/>
        </w:rPr>
        <w:t>Verdussen</w:t>
      </w:r>
      <w:proofErr w:type="spellEnd"/>
      <w:r w:rsidRPr="0085771D">
        <w:rPr>
          <w:rFonts w:ascii="Times New Roman" w:hAnsi="Times New Roman" w:cs="Times New Roman"/>
          <w:lang w:val="en-US"/>
        </w:rPr>
        <w:t xml:space="preserve">, </w:t>
      </w:r>
      <w:r w:rsidRPr="0085771D">
        <w:rPr>
          <w:rFonts w:ascii="Times New Roman" w:hAnsi="Times New Roman" w:cs="Times New Roman"/>
          <w:i/>
          <w:iCs/>
          <w:lang w:val="en-US"/>
        </w:rPr>
        <w:t xml:space="preserve">Justice </w:t>
      </w:r>
      <w:proofErr w:type="spellStart"/>
      <w:r w:rsidRPr="0085771D">
        <w:rPr>
          <w:rFonts w:ascii="Times New Roman" w:hAnsi="Times New Roman" w:cs="Times New Roman"/>
          <w:i/>
          <w:iCs/>
          <w:lang w:val="en-US"/>
        </w:rPr>
        <w:t>constitutionnelle</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Bruxelles</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Larcier</w:t>
      </w:r>
      <w:proofErr w:type="spellEnd"/>
      <w:r w:rsidRPr="0085771D">
        <w:rPr>
          <w:rFonts w:ascii="Times New Roman" w:hAnsi="Times New Roman" w:cs="Times New Roman"/>
          <w:lang w:val="en-US"/>
        </w:rPr>
        <w:t xml:space="preserve">, 2012, 438 p. ; M.-F. </w:t>
      </w:r>
      <w:r w:rsidRPr="0085771D">
        <w:rPr>
          <w:rFonts w:ascii="Times New Roman" w:hAnsi="Times New Roman" w:cs="Times New Roman"/>
          <w:smallCaps/>
          <w:lang w:val="en-US"/>
        </w:rPr>
        <w:t>Rigaux</w:t>
      </w:r>
      <w:r w:rsidRPr="0085771D">
        <w:rPr>
          <w:rFonts w:ascii="Times New Roman" w:hAnsi="Times New Roman" w:cs="Times New Roman"/>
          <w:lang w:val="en-US"/>
        </w:rPr>
        <w:t xml:space="preserve"> and B. </w:t>
      </w:r>
      <w:proofErr w:type="spellStart"/>
      <w:r w:rsidRPr="0085771D">
        <w:rPr>
          <w:rFonts w:ascii="Times New Roman" w:hAnsi="Times New Roman" w:cs="Times New Roman"/>
          <w:smallCaps/>
          <w:lang w:val="en-US"/>
        </w:rPr>
        <w:t>Renauld</w:t>
      </w:r>
      <w:proofErr w:type="spellEnd"/>
      <w:r w:rsidRPr="0085771D">
        <w:rPr>
          <w:rFonts w:ascii="Times New Roman" w:hAnsi="Times New Roman" w:cs="Times New Roman"/>
          <w:lang w:val="en-US"/>
        </w:rPr>
        <w:t xml:space="preserve">, </w:t>
      </w:r>
      <w:r w:rsidRPr="0085771D">
        <w:rPr>
          <w:rFonts w:ascii="Times New Roman" w:hAnsi="Times New Roman" w:cs="Times New Roman"/>
          <w:i/>
          <w:iCs/>
          <w:lang w:val="en-US"/>
        </w:rPr>
        <w:t xml:space="preserve">La </w:t>
      </w:r>
      <w:proofErr w:type="spellStart"/>
      <w:r w:rsidRPr="0085771D">
        <w:rPr>
          <w:rFonts w:ascii="Times New Roman" w:hAnsi="Times New Roman" w:cs="Times New Roman"/>
          <w:i/>
          <w:iCs/>
          <w:lang w:val="en-US"/>
        </w:rPr>
        <w:t>Cour</w:t>
      </w:r>
      <w:proofErr w:type="spellEnd"/>
      <w:r w:rsidRPr="0085771D">
        <w:rPr>
          <w:rFonts w:ascii="Times New Roman" w:hAnsi="Times New Roman" w:cs="Times New Roman"/>
          <w:i/>
          <w:iCs/>
          <w:lang w:val="en-US"/>
        </w:rPr>
        <w:t xml:space="preserve"> </w:t>
      </w:r>
      <w:proofErr w:type="spellStart"/>
      <w:r w:rsidRPr="0085771D">
        <w:rPr>
          <w:rFonts w:ascii="Times New Roman" w:hAnsi="Times New Roman" w:cs="Times New Roman"/>
          <w:i/>
          <w:iCs/>
          <w:lang w:val="en-US"/>
        </w:rPr>
        <w:t>constitutionnelle</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Bruxelles</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Bruylant</w:t>
      </w:r>
      <w:proofErr w:type="spellEnd"/>
      <w:r w:rsidRPr="0085771D">
        <w:rPr>
          <w:rFonts w:ascii="Times New Roman" w:hAnsi="Times New Roman" w:cs="Times New Roman"/>
          <w:lang w:val="en-US"/>
        </w:rPr>
        <w:t xml:space="preserve">, 2009, 330 p. ; P. </w:t>
      </w:r>
      <w:proofErr w:type="spellStart"/>
      <w:r w:rsidRPr="0085771D">
        <w:rPr>
          <w:rFonts w:ascii="Times New Roman" w:hAnsi="Times New Roman" w:cs="Times New Roman"/>
          <w:smallCaps/>
          <w:lang w:val="en-US"/>
        </w:rPr>
        <w:t>Popelier</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i/>
          <w:iCs/>
          <w:lang w:val="en-US"/>
        </w:rPr>
        <w:t>Procederen</w:t>
      </w:r>
      <w:proofErr w:type="spellEnd"/>
      <w:r w:rsidRPr="0085771D">
        <w:rPr>
          <w:rFonts w:ascii="Times New Roman" w:hAnsi="Times New Roman" w:cs="Times New Roman"/>
          <w:i/>
          <w:iCs/>
          <w:lang w:val="en-US"/>
        </w:rPr>
        <w:t xml:space="preserve"> </w:t>
      </w:r>
      <w:proofErr w:type="spellStart"/>
      <w:r w:rsidRPr="0085771D">
        <w:rPr>
          <w:rFonts w:ascii="Times New Roman" w:hAnsi="Times New Roman" w:cs="Times New Roman"/>
          <w:i/>
          <w:iCs/>
          <w:lang w:val="en-US"/>
        </w:rPr>
        <w:t>voor</w:t>
      </w:r>
      <w:proofErr w:type="spellEnd"/>
      <w:r w:rsidRPr="0085771D">
        <w:rPr>
          <w:rFonts w:ascii="Times New Roman" w:hAnsi="Times New Roman" w:cs="Times New Roman"/>
          <w:i/>
          <w:iCs/>
          <w:lang w:val="en-US"/>
        </w:rPr>
        <w:t xml:space="preserve"> het </w:t>
      </w:r>
      <w:proofErr w:type="spellStart"/>
      <w:r w:rsidRPr="0085771D">
        <w:rPr>
          <w:rFonts w:ascii="Times New Roman" w:hAnsi="Times New Roman" w:cs="Times New Roman"/>
          <w:i/>
          <w:iCs/>
          <w:lang w:val="en-US"/>
        </w:rPr>
        <w:t>Grondwettelijk</w:t>
      </w:r>
      <w:proofErr w:type="spellEnd"/>
      <w:r w:rsidRPr="0085771D">
        <w:rPr>
          <w:rFonts w:ascii="Times New Roman" w:hAnsi="Times New Roman" w:cs="Times New Roman"/>
          <w:i/>
          <w:iCs/>
          <w:lang w:val="en-US"/>
        </w:rPr>
        <w:t xml:space="preserve"> Hof</w:t>
      </w:r>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Antwerpen</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Intersentia</w:t>
      </w:r>
      <w:proofErr w:type="spellEnd"/>
      <w:r w:rsidRPr="0085771D">
        <w:rPr>
          <w:rFonts w:ascii="Times New Roman" w:hAnsi="Times New Roman" w:cs="Times New Roman"/>
          <w:lang w:val="en-US"/>
        </w:rPr>
        <w:t xml:space="preserve">, 2008, 426 p. ; J. </w:t>
      </w:r>
      <w:proofErr w:type="spellStart"/>
      <w:r w:rsidRPr="0085771D">
        <w:rPr>
          <w:rFonts w:ascii="Times New Roman" w:hAnsi="Times New Roman" w:cs="Times New Roman"/>
          <w:smallCaps/>
          <w:lang w:val="en-US"/>
        </w:rPr>
        <w:t>Velaers</w:t>
      </w:r>
      <w:proofErr w:type="spellEnd"/>
      <w:r w:rsidRPr="0085771D">
        <w:rPr>
          <w:rFonts w:ascii="Times New Roman" w:hAnsi="Times New Roman" w:cs="Times New Roman"/>
          <w:lang w:val="en-US"/>
        </w:rPr>
        <w:t xml:space="preserve">, </w:t>
      </w:r>
      <w:r w:rsidRPr="0085771D">
        <w:rPr>
          <w:rFonts w:ascii="Times New Roman" w:hAnsi="Times New Roman" w:cs="Times New Roman"/>
          <w:i/>
          <w:iCs/>
          <w:lang w:val="en-US"/>
        </w:rPr>
        <w:t xml:space="preserve">Van </w:t>
      </w:r>
      <w:proofErr w:type="spellStart"/>
      <w:r w:rsidRPr="0085771D">
        <w:rPr>
          <w:rFonts w:ascii="Times New Roman" w:hAnsi="Times New Roman" w:cs="Times New Roman"/>
          <w:i/>
          <w:iCs/>
          <w:lang w:val="en-US"/>
        </w:rPr>
        <w:t>Arbitragehof</w:t>
      </w:r>
      <w:proofErr w:type="spellEnd"/>
      <w:r w:rsidRPr="0085771D">
        <w:rPr>
          <w:rFonts w:ascii="Times New Roman" w:hAnsi="Times New Roman" w:cs="Times New Roman"/>
          <w:i/>
          <w:iCs/>
          <w:lang w:val="en-US"/>
        </w:rPr>
        <w:t xml:space="preserve"> tot </w:t>
      </w:r>
      <w:proofErr w:type="spellStart"/>
      <w:r w:rsidRPr="0085771D">
        <w:rPr>
          <w:rFonts w:ascii="Times New Roman" w:hAnsi="Times New Roman" w:cs="Times New Roman"/>
          <w:i/>
          <w:iCs/>
          <w:lang w:val="en-US"/>
        </w:rPr>
        <w:t>Grondwettelijk</w:t>
      </w:r>
      <w:proofErr w:type="spellEnd"/>
      <w:r w:rsidRPr="0085771D">
        <w:rPr>
          <w:rFonts w:ascii="Times New Roman" w:hAnsi="Times New Roman" w:cs="Times New Roman"/>
          <w:i/>
          <w:iCs/>
          <w:lang w:val="en-US"/>
        </w:rPr>
        <w:t xml:space="preserve"> Hof</w:t>
      </w:r>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Antwerpen</w:t>
      </w:r>
      <w:proofErr w:type="spellEnd"/>
      <w:r w:rsidRPr="0085771D">
        <w:rPr>
          <w:rFonts w:ascii="Times New Roman" w:hAnsi="Times New Roman" w:cs="Times New Roman"/>
          <w:lang w:val="en-US"/>
        </w:rPr>
        <w:t xml:space="preserve">, </w:t>
      </w:r>
      <w:proofErr w:type="spellStart"/>
      <w:r w:rsidRPr="0085771D">
        <w:rPr>
          <w:rFonts w:ascii="Times New Roman" w:hAnsi="Times New Roman" w:cs="Times New Roman"/>
          <w:lang w:val="en-US"/>
        </w:rPr>
        <w:t>Makklu</w:t>
      </w:r>
      <w:proofErr w:type="spellEnd"/>
      <w:r w:rsidRPr="0085771D">
        <w:rPr>
          <w:rFonts w:ascii="Times New Roman" w:hAnsi="Times New Roman" w:cs="Times New Roman"/>
          <w:lang w:val="en-US"/>
        </w:rPr>
        <w:t>, 1990, 578 p.</w:t>
      </w:r>
    </w:p>
  </w:footnote>
  <w:footnote w:id="5">
    <w:p w14:paraId="570E467A" w14:textId="76F2C9BB"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The Court is also entrusted by the special legislator with three other tasks, which fall within the scope of </w:t>
      </w:r>
      <w:r w:rsidR="00270F2A" w:rsidRPr="00270F2A">
        <w:rPr>
          <w:rFonts w:ascii="Times New Roman" w:hAnsi="Times New Roman" w:cs="Times New Roman"/>
          <w:lang w:val="en-US"/>
        </w:rPr>
        <w:t>“</w:t>
      </w:r>
      <w:r w:rsidR="001950CC" w:rsidRPr="00270F2A">
        <w:rPr>
          <w:rFonts w:ascii="Times New Roman" w:hAnsi="Times New Roman" w:cs="Times New Roman"/>
          <w:lang w:val="en-US"/>
        </w:rPr>
        <w:t>peripheral</w:t>
      </w:r>
      <w:r w:rsidR="00270F2A" w:rsidRPr="00270F2A">
        <w:rPr>
          <w:rFonts w:ascii="Times New Roman" w:hAnsi="Times New Roman" w:cs="Times New Roman"/>
          <w:lang w:val="en-US"/>
        </w:rPr>
        <w:t>”</w:t>
      </w:r>
      <w:r w:rsidR="001950CC" w:rsidRPr="00270F2A">
        <w:rPr>
          <w:rFonts w:ascii="Times New Roman" w:hAnsi="Times New Roman" w:cs="Times New Roman"/>
          <w:lang w:val="en-US"/>
        </w:rPr>
        <w:t xml:space="preserve"> litigation, outside the constitutional review of legislative provisions </w:t>
      </w:r>
      <w:proofErr w:type="spellStart"/>
      <w:r w:rsidR="001950CC" w:rsidRPr="00270F2A">
        <w:rPr>
          <w:rFonts w:ascii="Times New Roman" w:hAnsi="Times New Roman" w:cs="Times New Roman"/>
          <w:i/>
          <w:iCs/>
          <w:lang w:val="en-US"/>
        </w:rPr>
        <w:t>sensu</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stricto</w:t>
      </w:r>
      <w:proofErr w:type="spellEnd"/>
      <w:r w:rsidR="001950CC" w:rsidRPr="00270F2A">
        <w:rPr>
          <w:rFonts w:ascii="Times New Roman" w:hAnsi="Times New Roman" w:cs="Times New Roman"/>
          <w:lang w:val="en-US"/>
        </w:rPr>
        <w:t xml:space="preserve"> </w:t>
      </w:r>
      <w:r w:rsidRPr="00270F2A">
        <w:rPr>
          <w:rFonts w:ascii="Times New Roman" w:hAnsi="Times New Roman" w:cs="Times New Roman"/>
          <w:lang w:val="en-US"/>
        </w:rPr>
        <w:t>(</w:t>
      </w:r>
      <w:r w:rsidR="001950CC" w:rsidRPr="00270F2A">
        <w:rPr>
          <w:rFonts w:ascii="Times New Roman" w:hAnsi="Times New Roman" w:cs="Times New Roman"/>
          <w:lang w:val="en-US"/>
        </w:rPr>
        <w:t xml:space="preserve">M. </w:t>
      </w:r>
      <w:proofErr w:type="spellStart"/>
      <w:r w:rsidR="001950CC" w:rsidRPr="00270F2A">
        <w:rPr>
          <w:rFonts w:ascii="Times New Roman" w:hAnsi="Times New Roman" w:cs="Times New Roman"/>
          <w:smallCaps/>
          <w:lang w:val="en-US"/>
        </w:rPr>
        <w:t>Verdussen</w:t>
      </w:r>
      <w:proofErr w:type="spellEnd"/>
      <w:r w:rsidR="001950CC" w:rsidRPr="00270F2A">
        <w:rPr>
          <w:rFonts w:ascii="Times New Roman" w:hAnsi="Times New Roman" w:cs="Times New Roman"/>
          <w:lang w:val="en-US"/>
        </w:rPr>
        <w:t>, “</w:t>
      </w:r>
      <w:proofErr w:type="spellStart"/>
      <w:r w:rsidR="001950CC" w:rsidRPr="00270F2A">
        <w:rPr>
          <w:rFonts w:ascii="Times New Roman" w:hAnsi="Times New Roman" w:cs="Times New Roman"/>
          <w:lang w:val="en-US"/>
        </w:rPr>
        <w:t>Cour</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constitutionnelle</w:t>
      </w:r>
      <w:proofErr w:type="spellEnd"/>
      <w:r w:rsidR="001950CC" w:rsidRPr="00270F2A">
        <w:rPr>
          <w:rFonts w:ascii="Times New Roman" w:hAnsi="Times New Roman" w:cs="Times New Roman"/>
          <w:lang w:val="en-US"/>
        </w:rPr>
        <w:t xml:space="preserve">”, in: M. Uyttendaele and M. </w:t>
      </w:r>
      <w:proofErr w:type="spellStart"/>
      <w:r w:rsidR="001950CC" w:rsidRPr="00270F2A">
        <w:rPr>
          <w:rFonts w:ascii="Times New Roman" w:hAnsi="Times New Roman" w:cs="Times New Roman"/>
          <w:lang w:val="en-US"/>
        </w:rPr>
        <w:t>Verdussen</w:t>
      </w:r>
      <w:proofErr w:type="spellEnd"/>
      <w:r w:rsidR="001950CC" w:rsidRPr="00270F2A">
        <w:rPr>
          <w:rFonts w:ascii="Times New Roman" w:hAnsi="Times New Roman" w:cs="Times New Roman"/>
          <w:lang w:val="en-US"/>
        </w:rPr>
        <w:t xml:space="preserve"> (dir.), </w:t>
      </w:r>
      <w:proofErr w:type="spellStart"/>
      <w:r w:rsidR="001950CC" w:rsidRPr="00270F2A">
        <w:rPr>
          <w:rFonts w:ascii="Times New Roman" w:hAnsi="Times New Roman" w:cs="Times New Roman"/>
          <w:i/>
          <w:iCs/>
          <w:lang w:val="en-US"/>
        </w:rPr>
        <w:t>Dictionnaire</w:t>
      </w:r>
      <w:proofErr w:type="spellEnd"/>
      <w:r w:rsidR="001950CC" w:rsidRPr="00270F2A">
        <w:rPr>
          <w:rFonts w:ascii="Times New Roman" w:hAnsi="Times New Roman" w:cs="Times New Roman"/>
          <w:i/>
          <w:iCs/>
          <w:lang w:val="en-US"/>
        </w:rPr>
        <w:t xml:space="preserve"> de la </w:t>
      </w:r>
      <w:proofErr w:type="spellStart"/>
      <w:r w:rsidR="001950CC" w:rsidRPr="00270F2A">
        <w:rPr>
          <w:rFonts w:ascii="Times New Roman" w:hAnsi="Times New Roman" w:cs="Times New Roman"/>
          <w:i/>
          <w:iCs/>
          <w:lang w:val="en-US"/>
        </w:rPr>
        <w:t>Sixième</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Réforme</w:t>
      </w:r>
      <w:proofErr w:type="spellEnd"/>
      <w:r w:rsidR="001950CC" w:rsidRPr="00270F2A">
        <w:rPr>
          <w:rFonts w:ascii="Times New Roman" w:hAnsi="Times New Roman" w:cs="Times New Roman"/>
          <w:i/>
          <w:iCs/>
          <w:lang w:val="en-US"/>
        </w:rPr>
        <w:t xml:space="preserve"> de </w:t>
      </w:r>
      <w:proofErr w:type="spellStart"/>
      <w:r w:rsidR="001950CC" w:rsidRPr="00270F2A">
        <w:rPr>
          <w:rFonts w:ascii="Times New Roman" w:hAnsi="Times New Roman" w:cs="Times New Roman"/>
          <w:i/>
          <w:iCs/>
          <w:lang w:val="en-US"/>
        </w:rPr>
        <w:t>l’Etat</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Bruxelles</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Larcier</w:t>
      </w:r>
      <w:proofErr w:type="spellEnd"/>
      <w:r w:rsidR="001950CC" w:rsidRPr="00270F2A">
        <w:rPr>
          <w:rFonts w:ascii="Times New Roman" w:hAnsi="Times New Roman" w:cs="Times New Roman"/>
          <w:lang w:val="en-US"/>
        </w:rPr>
        <w:t>, 2015, p. 287</w:t>
      </w:r>
      <w:r w:rsidRPr="00270F2A">
        <w:rPr>
          <w:rFonts w:ascii="Times New Roman" w:hAnsi="Times New Roman" w:cs="Times New Roman"/>
          <w:lang w:val="en-US"/>
        </w:rPr>
        <w:t>).</w:t>
      </w:r>
      <w:r w:rsidR="001950CC" w:rsidRPr="00270F2A">
        <w:rPr>
          <w:rFonts w:ascii="Times New Roman" w:hAnsi="Times New Roman" w:cs="Times New Roman"/>
          <w:lang w:val="en-US"/>
        </w:rPr>
        <w:t xml:space="preserve"> This concerns disciplinary proceedings against mayors (art. 6, §1, VIII, 5°, of the special law on institutional reforms of 8 August 1980 (</w:t>
      </w:r>
      <w:proofErr w:type="spellStart"/>
      <w:r w:rsidR="001950CC" w:rsidRPr="00270F2A">
        <w:rPr>
          <w:rFonts w:ascii="Times New Roman" w:hAnsi="Times New Roman" w:cs="Times New Roman"/>
          <w:i/>
          <w:iCs/>
          <w:lang w:val="en-US"/>
        </w:rPr>
        <w:t>Moniteur</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belge</w:t>
      </w:r>
      <w:proofErr w:type="spellEnd"/>
      <w:r w:rsidR="001950CC" w:rsidRPr="00270F2A">
        <w:rPr>
          <w:rFonts w:ascii="Times New Roman" w:hAnsi="Times New Roman" w:cs="Times New Roman"/>
          <w:lang w:val="en-US"/>
        </w:rPr>
        <w:t>, 15 August 1980)</w:t>
      </w:r>
      <w:r w:rsidR="00270F2A" w:rsidRPr="00270F2A">
        <w:rPr>
          <w:rFonts w:ascii="Times New Roman" w:hAnsi="Times New Roman" w:cs="Times New Roman"/>
          <w:lang w:val="en-US"/>
        </w:rPr>
        <w:t>)</w:t>
      </w:r>
      <w:r w:rsidR="001950CC" w:rsidRPr="00270F2A">
        <w:rPr>
          <w:rFonts w:ascii="Times New Roman" w:hAnsi="Times New Roman" w:cs="Times New Roman"/>
          <w:lang w:val="en-US"/>
        </w:rPr>
        <w:t xml:space="preserve">, the control of regional popular consultations (art. 30 </w:t>
      </w:r>
      <w:proofErr w:type="spellStart"/>
      <w:r w:rsidR="001950CC" w:rsidRPr="00270F2A">
        <w:rPr>
          <w:rFonts w:ascii="Times New Roman" w:hAnsi="Times New Roman" w:cs="Times New Roman"/>
          <w:i/>
          <w:iCs/>
          <w:lang w:val="en-US"/>
        </w:rPr>
        <w:t>ter</w:t>
      </w:r>
      <w:proofErr w:type="spellEnd"/>
      <w:r w:rsidR="001950CC" w:rsidRPr="00270F2A">
        <w:rPr>
          <w:rFonts w:ascii="Times New Roman" w:hAnsi="Times New Roman" w:cs="Times New Roman"/>
          <w:lang w:val="en-US"/>
        </w:rPr>
        <w:t xml:space="preserve"> of the special law of 6 January 1989 on the Constitutional Court), and the control of election expenses (art. 25 bis to 25 </w:t>
      </w:r>
      <w:proofErr w:type="spellStart"/>
      <w:r w:rsidR="001950CC" w:rsidRPr="00270F2A">
        <w:rPr>
          <w:rFonts w:ascii="Times New Roman" w:hAnsi="Times New Roman" w:cs="Times New Roman"/>
          <w:i/>
          <w:iCs/>
          <w:lang w:val="en-US"/>
        </w:rPr>
        <w:t>sexies</w:t>
      </w:r>
      <w:proofErr w:type="spellEnd"/>
      <w:r w:rsidR="001950CC" w:rsidRPr="00270F2A">
        <w:rPr>
          <w:rFonts w:ascii="Times New Roman" w:hAnsi="Times New Roman" w:cs="Times New Roman"/>
          <w:lang w:val="en-US"/>
        </w:rPr>
        <w:t xml:space="preserve"> of the special law of 6 January 1989).</w:t>
      </w:r>
    </w:p>
  </w:footnote>
  <w:footnote w:id="6">
    <w:p w14:paraId="44B18CED" w14:textId="23909289"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Concerning the lack of control over the acts of administrative authorities</w:t>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see G. </w:t>
      </w:r>
      <w:proofErr w:type="spellStart"/>
      <w:r w:rsidR="001950CC" w:rsidRPr="00270F2A">
        <w:rPr>
          <w:rFonts w:ascii="Times New Roman" w:hAnsi="Times New Roman" w:cs="Times New Roman"/>
          <w:smallCaps/>
          <w:lang w:val="en-US"/>
        </w:rPr>
        <w:t>Rosoux</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i/>
          <w:iCs/>
          <w:lang w:val="en-US"/>
        </w:rPr>
        <w:t>Contentieux</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constitutionnel</w:t>
      </w:r>
      <w:proofErr w:type="spellEnd"/>
      <w:r w:rsidR="001950CC"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op. cit.</w:t>
      </w:r>
      <w:r w:rsidR="001950CC" w:rsidRPr="00270F2A">
        <w:rPr>
          <w:rFonts w:ascii="Times New Roman" w:hAnsi="Times New Roman" w:cs="Times New Roman"/>
          <w:lang w:val="en-US"/>
        </w:rPr>
        <w:t>, pp. 135-139 and the judgments cited.</w:t>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The constitutional review of administrative acts is entrusted in Belgium to the courts and tribunals of the judicial order and </w:t>
      </w:r>
      <w:r w:rsidR="00270F2A" w:rsidRPr="00270F2A">
        <w:rPr>
          <w:rFonts w:ascii="Times New Roman" w:hAnsi="Times New Roman" w:cs="Times New Roman"/>
          <w:lang w:val="en-US"/>
        </w:rPr>
        <w:t xml:space="preserve">to </w:t>
      </w:r>
      <w:r w:rsidR="001950CC" w:rsidRPr="00270F2A">
        <w:rPr>
          <w:rFonts w:ascii="Times New Roman" w:hAnsi="Times New Roman" w:cs="Times New Roman"/>
          <w:lang w:val="en-US"/>
        </w:rPr>
        <w:t xml:space="preserve">the Council of State. </w:t>
      </w:r>
      <w:r w:rsidR="001950CC" w:rsidRPr="00270F2A">
        <w:rPr>
          <w:rFonts w:ascii="Times New Roman" w:hAnsi="Times New Roman" w:cs="Times New Roman"/>
        </w:rPr>
        <w:t xml:space="preserve">On </w:t>
      </w:r>
      <w:proofErr w:type="spellStart"/>
      <w:r w:rsidR="001950CC" w:rsidRPr="00270F2A">
        <w:rPr>
          <w:rFonts w:ascii="Times New Roman" w:hAnsi="Times New Roman" w:cs="Times New Roman"/>
        </w:rPr>
        <w:t>this</w:t>
      </w:r>
      <w:proofErr w:type="spellEnd"/>
      <w:r w:rsidR="001950CC" w:rsidRPr="00270F2A">
        <w:rPr>
          <w:rFonts w:ascii="Times New Roman" w:hAnsi="Times New Roman" w:cs="Times New Roman"/>
        </w:rPr>
        <w:t xml:space="preserve"> question,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D. </w:t>
      </w:r>
      <w:proofErr w:type="spellStart"/>
      <w:r w:rsidR="001950CC" w:rsidRPr="00270F2A">
        <w:rPr>
          <w:rFonts w:ascii="Times New Roman" w:hAnsi="Times New Roman" w:cs="Times New Roman"/>
          <w:smallCaps/>
        </w:rPr>
        <w:t>Renders</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Droit administratif</w:t>
      </w:r>
      <w:r w:rsidR="001950CC" w:rsidRPr="00270F2A">
        <w:rPr>
          <w:rFonts w:ascii="Times New Roman" w:hAnsi="Times New Roman" w:cs="Times New Roman"/>
        </w:rPr>
        <w:t xml:space="preserve">, t. III, </w:t>
      </w:r>
      <w:r w:rsidR="001950CC" w:rsidRPr="00270F2A">
        <w:rPr>
          <w:rFonts w:ascii="Times New Roman" w:hAnsi="Times New Roman" w:cs="Times New Roman"/>
          <w:i/>
          <w:iCs/>
        </w:rPr>
        <w:t>Le contrôle de l’administration</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2010, 528 p.</w:t>
      </w:r>
    </w:p>
  </w:footnote>
  <w:footnote w:id="7">
    <w:p w14:paraId="34EB7D84" w14:textId="5122FA04"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Article 195 of the Constitution regulates the procedure for revising the Constitution</w:t>
      </w:r>
      <w:r w:rsidRPr="00270F2A">
        <w:rPr>
          <w:rFonts w:ascii="Times New Roman" w:hAnsi="Times New Roman" w:cs="Times New Roman"/>
          <w:lang w:val="en-US"/>
        </w:rPr>
        <w:t>.</w:t>
      </w:r>
      <w:r w:rsidR="001950CC" w:rsidRPr="00270F2A">
        <w:rPr>
          <w:rFonts w:ascii="Times New Roman" w:hAnsi="Times New Roman" w:cs="Times New Roman"/>
          <w:lang w:val="en-US"/>
        </w:rPr>
        <w:t xml:space="preserve"> It states: “The federal legislative power has the right to declare that there are reasons to revise such constitutional provision as it determines. Following such a declaration, the two Houses are automatically dissolved. Two new Houses are then convened, in accordance with Article 46. These Houses make decisions, in common accord with the King, on the points submitted for revision. In this case, the Houses can only debate provided that at least two thirds of the members who make up each House are present; and no change is adopted unless it is supported by at least two thirds of the votes cast”. There are constitutional provisions that limit the revision. Indeed, Article 196 states that “No constitutional revision can be started or pursued during times of war or when the Houses are prevented from meeting freely on federal territory” and Article 197 states that “During a regency, no changes can be made to the Constitution regarding the constitutional powers of the King and Articles 85 to 88, 91 to 95, 106 and 197 of the Constitution”.  </w:t>
      </w:r>
    </w:p>
  </w:footnote>
  <w:footnote w:id="8">
    <w:p w14:paraId="45B2BFA9" w14:textId="0016DB6F"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C.A., judgment no. </w:t>
      </w:r>
      <w:r w:rsidRPr="00270F2A">
        <w:rPr>
          <w:rFonts w:ascii="Times New Roman" w:hAnsi="Times New Roman" w:cs="Times New Roman"/>
          <w:lang w:val="en-US"/>
        </w:rPr>
        <w:t xml:space="preserve">16/94 </w:t>
      </w:r>
      <w:r w:rsidR="001950CC" w:rsidRPr="00270F2A">
        <w:rPr>
          <w:rFonts w:ascii="Times New Roman" w:hAnsi="Times New Roman" w:cs="Times New Roman"/>
          <w:lang w:val="en-US"/>
        </w:rPr>
        <w:t>of</w:t>
      </w:r>
      <w:r w:rsidRPr="00270F2A">
        <w:rPr>
          <w:rFonts w:ascii="Times New Roman" w:hAnsi="Times New Roman" w:cs="Times New Roman"/>
          <w:lang w:val="en-US"/>
        </w:rPr>
        <w:t xml:space="preserve"> 9 </w:t>
      </w:r>
      <w:r w:rsidR="001950CC" w:rsidRPr="00270F2A">
        <w:rPr>
          <w:rFonts w:ascii="Times New Roman" w:hAnsi="Times New Roman" w:cs="Times New Roman"/>
          <w:lang w:val="en-US"/>
        </w:rPr>
        <w:t xml:space="preserve">February </w:t>
      </w:r>
      <w:r w:rsidRPr="00270F2A">
        <w:rPr>
          <w:rFonts w:ascii="Times New Roman" w:hAnsi="Times New Roman" w:cs="Times New Roman"/>
          <w:lang w:val="en-US"/>
        </w:rPr>
        <w:t xml:space="preserve">1994, B. </w:t>
      </w:r>
      <w:r w:rsidR="001950CC" w:rsidRPr="00270F2A">
        <w:rPr>
          <w:rFonts w:ascii="Times New Roman" w:hAnsi="Times New Roman" w:cs="Times New Roman"/>
          <w:lang w:val="en-US"/>
        </w:rPr>
        <w:t>See also C.A., judgment no.</w:t>
      </w:r>
      <w:r w:rsidRPr="00270F2A">
        <w:rPr>
          <w:rFonts w:ascii="Times New Roman" w:hAnsi="Times New Roman" w:cs="Times New Roman"/>
          <w:lang w:val="en-US"/>
        </w:rPr>
        <w:t xml:space="preserve"> 68/94 </w:t>
      </w:r>
      <w:r w:rsidR="001950CC" w:rsidRPr="00270F2A">
        <w:rPr>
          <w:rFonts w:ascii="Times New Roman" w:hAnsi="Times New Roman" w:cs="Times New Roman"/>
          <w:lang w:val="en-US"/>
        </w:rPr>
        <w:t>of</w:t>
      </w:r>
      <w:r w:rsidRPr="00270F2A">
        <w:rPr>
          <w:rFonts w:ascii="Times New Roman" w:hAnsi="Times New Roman" w:cs="Times New Roman"/>
          <w:lang w:val="en-US"/>
        </w:rPr>
        <w:t xml:space="preserve"> 22 </w:t>
      </w:r>
      <w:r w:rsidR="001950CC" w:rsidRPr="00270F2A">
        <w:rPr>
          <w:rFonts w:ascii="Times New Roman" w:hAnsi="Times New Roman" w:cs="Times New Roman"/>
          <w:lang w:val="en-US"/>
        </w:rPr>
        <w:t>September</w:t>
      </w:r>
      <w:r w:rsidRPr="00270F2A">
        <w:rPr>
          <w:rFonts w:ascii="Times New Roman" w:hAnsi="Times New Roman" w:cs="Times New Roman"/>
          <w:lang w:val="en-US"/>
        </w:rPr>
        <w:t xml:space="preserve"> 1994. </w:t>
      </w:r>
      <w:r w:rsidR="001950CC" w:rsidRPr="00270F2A">
        <w:rPr>
          <w:rFonts w:ascii="Times New Roman" w:hAnsi="Times New Roman" w:cs="Times New Roman"/>
          <w:lang w:val="en-US"/>
        </w:rPr>
        <w:t xml:space="preserve">In our view, the same solution prevails for the few other acts adopted by the </w:t>
      </w:r>
      <w:r w:rsidR="00270F2A" w:rsidRPr="00270F2A">
        <w:rPr>
          <w:rFonts w:ascii="Times New Roman" w:hAnsi="Times New Roman" w:cs="Times New Roman"/>
          <w:lang w:val="en-US"/>
        </w:rPr>
        <w:t>C</w:t>
      </w:r>
      <w:r w:rsidR="001950CC" w:rsidRPr="00270F2A">
        <w:rPr>
          <w:rFonts w:ascii="Times New Roman" w:hAnsi="Times New Roman" w:cs="Times New Roman"/>
          <w:lang w:val="en-US"/>
        </w:rPr>
        <w:t>onstituent power, apart from the Constitution. These acts are the decree of 18 November 1830 on the independence of the Belgian people (</w:t>
      </w:r>
      <w:r w:rsidR="001950CC" w:rsidRPr="00270F2A">
        <w:rPr>
          <w:rFonts w:ascii="Times New Roman" w:hAnsi="Times New Roman" w:cs="Times New Roman"/>
          <w:i/>
          <w:iCs/>
          <w:lang w:val="en-US"/>
        </w:rPr>
        <w:t xml:space="preserve">Bulletin </w:t>
      </w:r>
      <w:proofErr w:type="spellStart"/>
      <w:r w:rsidR="001950CC" w:rsidRPr="00270F2A">
        <w:rPr>
          <w:rFonts w:ascii="Times New Roman" w:hAnsi="Times New Roman" w:cs="Times New Roman"/>
          <w:i/>
          <w:iCs/>
          <w:lang w:val="en-US"/>
        </w:rPr>
        <w:t>officiel</w:t>
      </w:r>
      <w:proofErr w:type="spellEnd"/>
      <w:r w:rsidR="001950CC" w:rsidRPr="00270F2A">
        <w:rPr>
          <w:rFonts w:ascii="Times New Roman" w:hAnsi="Times New Roman" w:cs="Times New Roman"/>
          <w:lang w:val="en-US"/>
        </w:rPr>
        <w:t xml:space="preserve"> no. XLI) and the decree of 24 November 1830 on the exclusion of the Orange-Nassau (</w:t>
      </w:r>
      <w:r w:rsidR="001950CC" w:rsidRPr="00270F2A">
        <w:rPr>
          <w:rFonts w:ascii="Times New Roman" w:hAnsi="Times New Roman" w:cs="Times New Roman"/>
          <w:i/>
          <w:iCs/>
          <w:lang w:val="en-US"/>
        </w:rPr>
        <w:t xml:space="preserve">Bulletin </w:t>
      </w:r>
      <w:proofErr w:type="spellStart"/>
      <w:r w:rsidR="001950CC" w:rsidRPr="00270F2A">
        <w:rPr>
          <w:rFonts w:ascii="Times New Roman" w:hAnsi="Times New Roman" w:cs="Times New Roman"/>
          <w:i/>
          <w:iCs/>
          <w:lang w:val="en-US"/>
        </w:rPr>
        <w:t>officiel</w:t>
      </w:r>
      <w:proofErr w:type="spellEnd"/>
      <w:r w:rsidR="001950CC" w:rsidRPr="00270F2A">
        <w:rPr>
          <w:rFonts w:ascii="Times New Roman" w:hAnsi="Times New Roman" w:cs="Times New Roman"/>
          <w:lang w:val="en-US"/>
        </w:rPr>
        <w:t xml:space="preserve"> no. </w:t>
      </w:r>
      <w:r w:rsidR="001950CC" w:rsidRPr="00270F2A">
        <w:rPr>
          <w:rFonts w:ascii="Times New Roman" w:hAnsi="Times New Roman" w:cs="Times New Roman"/>
        </w:rPr>
        <w:t xml:space="preserve">XLI). </w:t>
      </w:r>
      <w:r w:rsidR="001950CC" w:rsidRPr="00270F2A">
        <w:rPr>
          <w:rFonts w:ascii="Times New Roman" w:hAnsi="Times New Roman" w:cs="Times New Roman"/>
        </w:rPr>
        <w:t xml:space="preserve">On </w:t>
      </w:r>
      <w:proofErr w:type="spellStart"/>
      <w:r w:rsidR="001950CC" w:rsidRPr="00270F2A">
        <w:rPr>
          <w:rFonts w:ascii="Times New Roman" w:hAnsi="Times New Roman" w:cs="Times New Roman"/>
        </w:rPr>
        <w:t>these</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acts</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membres de la famille d’Orange-Nassau sont à perpétuité exclus de tout pouvoir en Belgique », </w:t>
      </w:r>
      <w:r w:rsidR="001950CC" w:rsidRPr="00270F2A">
        <w:rPr>
          <w:rFonts w:ascii="Times New Roman" w:hAnsi="Times New Roman" w:cs="Times New Roman"/>
          <w:i/>
          <w:iCs/>
        </w:rPr>
        <w:t>Annales de Droit de Louvain</w:t>
      </w:r>
      <w:r w:rsidR="001950CC" w:rsidRPr="00270F2A">
        <w:rPr>
          <w:rFonts w:ascii="Times New Roman" w:hAnsi="Times New Roman" w:cs="Times New Roman"/>
        </w:rPr>
        <w:t xml:space="preserve">, 2019, pp. 281-303 ; T. G. </w:t>
      </w:r>
      <w:r w:rsidR="001950CC" w:rsidRPr="00270F2A">
        <w:rPr>
          <w:rFonts w:ascii="Times New Roman" w:hAnsi="Times New Roman" w:cs="Times New Roman"/>
          <w:smallCaps/>
        </w:rPr>
        <w:t>Maes</w:t>
      </w:r>
      <w:r w:rsidR="001950CC" w:rsidRPr="00270F2A">
        <w:rPr>
          <w:rFonts w:ascii="Times New Roman" w:hAnsi="Times New Roman" w:cs="Times New Roman"/>
        </w:rPr>
        <w:t>, “</w:t>
      </w:r>
      <w:proofErr w:type="spellStart"/>
      <w:r w:rsidR="001950CC" w:rsidRPr="00270F2A">
        <w:rPr>
          <w:rFonts w:ascii="Times New Roman" w:hAnsi="Times New Roman" w:cs="Times New Roman"/>
        </w:rPr>
        <w:t>Grondwettelijke</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decreten</w:t>
      </w:r>
      <w:proofErr w:type="spellEnd"/>
      <w:r w:rsidR="001950CC" w:rsidRPr="00270F2A">
        <w:rPr>
          <w:rFonts w:ascii="Times New Roman" w:hAnsi="Times New Roman" w:cs="Times New Roman"/>
        </w:rPr>
        <w:t xml:space="preserve"> van 1830”, in: B. Dalle, D. </w:t>
      </w:r>
      <w:proofErr w:type="spellStart"/>
      <w:r w:rsidR="001950CC" w:rsidRPr="00270F2A">
        <w:rPr>
          <w:rFonts w:ascii="Times New Roman" w:hAnsi="Times New Roman" w:cs="Times New Roman"/>
        </w:rPr>
        <w:t>Keyaerts</w:t>
      </w:r>
      <w:proofErr w:type="spellEnd"/>
      <w:r w:rsidR="001950CC" w:rsidRPr="00270F2A">
        <w:rPr>
          <w:rFonts w:ascii="Times New Roman" w:hAnsi="Times New Roman" w:cs="Times New Roman"/>
        </w:rPr>
        <w:t xml:space="preserve">, W. Pas, J. </w:t>
      </w:r>
      <w:proofErr w:type="spellStart"/>
      <w:r w:rsidR="001950CC" w:rsidRPr="00270F2A">
        <w:rPr>
          <w:rFonts w:ascii="Times New Roman" w:hAnsi="Times New Roman" w:cs="Times New Roman"/>
        </w:rPr>
        <w:t>theunis</w:t>
      </w:r>
      <w:proofErr w:type="spellEnd"/>
      <w:r w:rsidR="001950CC" w:rsidRPr="00270F2A">
        <w:rPr>
          <w:rFonts w:ascii="Times New Roman" w:hAnsi="Times New Roman" w:cs="Times New Roman"/>
        </w:rPr>
        <w:t xml:space="preserve"> and W. </w:t>
      </w:r>
      <w:proofErr w:type="spellStart"/>
      <w:r w:rsidR="001950CC" w:rsidRPr="00270F2A">
        <w:rPr>
          <w:rFonts w:ascii="Times New Roman" w:hAnsi="Times New Roman" w:cs="Times New Roman"/>
        </w:rPr>
        <w:t>Verrijdt</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dir</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i/>
          <w:iCs/>
        </w:rPr>
        <w:t>Duiding</w:t>
      </w:r>
      <w:proofErr w:type="spellEnd"/>
      <w:r w:rsidR="001950CC" w:rsidRPr="00270F2A">
        <w:rPr>
          <w:rFonts w:ascii="Times New Roman" w:hAnsi="Times New Roman" w:cs="Times New Roman"/>
          <w:i/>
          <w:iCs/>
        </w:rPr>
        <w:t xml:space="preserve"> </w:t>
      </w:r>
      <w:proofErr w:type="spellStart"/>
      <w:r w:rsidR="001950CC" w:rsidRPr="00270F2A">
        <w:rPr>
          <w:rFonts w:ascii="Times New Roman" w:hAnsi="Times New Roman" w:cs="Times New Roman"/>
          <w:i/>
          <w:iCs/>
        </w:rPr>
        <w:t>Federale</w:t>
      </w:r>
      <w:proofErr w:type="spellEnd"/>
      <w:r w:rsidR="001950CC" w:rsidRPr="00270F2A">
        <w:rPr>
          <w:rFonts w:ascii="Times New Roman" w:hAnsi="Times New Roman" w:cs="Times New Roman"/>
          <w:i/>
          <w:iCs/>
        </w:rPr>
        <w:t xml:space="preserve"> </w:t>
      </w:r>
      <w:proofErr w:type="spellStart"/>
      <w:r w:rsidR="001950CC" w:rsidRPr="00270F2A">
        <w:rPr>
          <w:rFonts w:ascii="Times New Roman" w:hAnsi="Times New Roman" w:cs="Times New Roman"/>
          <w:i/>
          <w:iCs/>
        </w:rPr>
        <w:t>Staatsstructuur</w:t>
      </w:r>
      <w:proofErr w:type="spellEnd"/>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2018, pp. 277-283.</w:t>
      </w:r>
    </w:p>
  </w:footnote>
  <w:footnote w:id="9">
    <w:p w14:paraId="70051D9E" w14:textId="61C53749"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The same solution was adopted by the French Constitutional </w:t>
      </w:r>
      <w:proofErr w:type="gramStart"/>
      <w:r w:rsidR="001950CC" w:rsidRPr="00270F2A">
        <w:rPr>
          <w:rFonts w:ascii="Times New Roman" w:hAnsi="Times New Roman" w:cs="Times New Roman"/>
          <w:lang w:val="en-US"/>
        </w:rPr>
        <w:t>Council :</w:t>
      </w:r>
      <w:proofErr w:type="gramEnd"/>
      <w:r w:rsidR="001950CC" w:rsidRPr="00270F2A">
        <w:rPr>
          <w:rFonts w:ascii="Times New Roman" w:hAnsi="Times New Roman" w:cs="Times New Roman"/>
          <w:lang w:val="en-US"/>
        </w:rPr>
        <w:t xml:space="preserve"> see D. </w:t>
      </w:r>
      <w:r w:rsidR="001950CC" w:rsidRPr="00270F2A">
        <w:rPr>
          <w:rFonts w:ascii="Times New Roman" w:hAnsi="Times New Roman" w:cs="Times New Roman"/>
          <w:smallCaps/>
          <w:lang w:val="en-US"/>
        </w:rPr>
        <w:t>Rousseau</w:t>
      </w:r>
      <w:r w:rsidR="001950CC" w:rsidRPr="00270F2A">
        <w:rPr>
          <w:rFonts w:ascii="Times New Roman" w:hAnsi="Times New Roman" w:cs="Times New Roman"/>
          <w:lang w:val="en-US"/>
        </w:rPr>
        <w:t xml:space="preserve">, P.-Y. </w:t>
      </w:r>
      <w:proofErr w:type="spellStart"/>
      <w:r w:rsidR="001950CC" w:rsidRPr="00270F2A">
        <w:rPr>
          <w:rFonts w:ascii="Times New Roman" w:hAnsi="Times New Roman" w:cs="Times New Roman"/>
          <w:smallCaps/>
          <w:lang w:val="en-US"/>
        </w:rPr>
        <w:t>Gahdoun</w:t>
      </w:r>
      <w:proofErr w:type="spellEnd"/>
      <w:r w:rsidR="001950CC" w:rsidRPr="00270F2A">
        <w:rPr>
          <w:rFonts w:ascii="Times New Roman" w:hAnsi="Times New Roman" w:cs="Times New Roman"/>
          <w:lang w:val="en-US"/>
        </w:rPr>
        <w:t xml:space="preserve"> and J. </w:t>
      </w:r>
      <w:r w:rsidR="001950CC" w:rsidRPr="00270F2A">
        <w:rPr>
          <w:rFonts w:ascii="Times New Roman" w:hAnsi="Times New Roman" w:cs="Times New Roman"/>
          <w:smallCaps/>
          <w:lang w:val="en-US"/>
        </w:rPr>
        <w:t>Bonnet</w:t>
      </w:r>
      <w:r w:rsidR="001950CC"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 xml:space="preserve">Droit du </w:t>
      </w:r>
      <w:proofErr w:type="spellStart"/>
      <w:r w:rsidR="001950CC" w:rsidRPr="00270F2A">
        <w:rPr>
          <w:rFonts w:ascii="Times New Roman" w:hAnsi="Times New Roman" w:cs="Times New Roman"/>
          <w:i/>
          <w:iCs/>
          <w:lang w:val="en-US"/>
        </w:rPr>
        <w:t>contentieux</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constitutionnel</w:t>
      </w:r>
      <w:proofErr w:type="spellEnd"/>
      <w:r w:rsidR="001950CC" w:rsidRPr="00270F2A">
        <w:rPr>
          <w:rFonts w:ascii="Times New Roman" w:hAnsi="Times New Roman" w:cs="Times New Roman"/>
          <w:lang w:val="en-US"/>
        </w:rPr>
        <w:t>, 12</w:t>
      </w:r>
      <w:r w:rsidR="001950CC" w:rsidRPr="00270F2A">
        <w:rPr>
          <w:rFonts w:ascii="Times New Roman" w:hAnsi="Times New Roman" w:cs="Times New Roman"/>
          <w:vertAlign w:val="superscript"/>
          <w:lang w:val="en-US"/>
        </w:rPr>
        <w:t>th</w:t>
      </w:r>
      <w:r w:rsidR="001950CC" w:rsidRPr="00270F2A">
        <w:rPr>
          <w:rFonts w:ascii="Times New Roman" w:hAnsi="Times New Roman" w:cs="Times New Roman"/>
          <w:lang w:val="en-US"/>
        </w:rPr>
        <w:t xml:space="preserve"> edition, Paris, L.G.D.J., 2020, pp. 182-191.</w:t>
      </w:r>
    </w:p>
  </w:footnote>
  <w:footnote w:id="10">
    <w:p w14:paraId="1ACFFCB7" w14:textId="06265DE9"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See, for example, C.A., judgment no. 3/2001 of 25 January 2001, B.66.</w:t>
      </w:r>
      <w:r w:rsidRPr="00270F2A">
        <w:rPr>
          <w:rFonts w:ascii="Times New Roman" w:hAnsi="Times New Roman" w:cs="Times New Roman"/>
          <w:lang w:val="en-US"/>
        </w:rPr>
        <w:t xml:space="preserve"> </w:t>
      </w:r>
    </w:p>
  </w:footnote>
  <w:footnote w:id="11">
    <w:p w14:paraId="2B0D76C1" w14:textId="7A1729CF"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M.-F. </w:t>
      </w:r>
      <w:proofErr w:type="spellStart"/>
      <w:r w:rsidR="001950CC" w:rsidRPr="00270F2A">
        <w:rPr>
          <w:rFonts w:ascii="Times New Roman" w:hAnsi="Times New Roman" w:cs="Times New Roman"/>
          <w:smallCaps/>
        </w:rPr>
        <w:t>Rigaux</w:t>
      </w:r>
      <w:proofErr w:type="spellEnd"/>
      <w:r w:rsidR="001950CC" w:rsidRPr="00270F2A">
        <w:rPr>
          <w:rFonts w:ascii="Times New Roman" w:hAnsi="Times New Roman" w:cs="Times New Roman"/>
        </w:rPr>
        <w:t xml:space="preserve"> and B. </w:t>
      </w:r>
      <w:r w:rsidR="001950CC" w:rsidRPr="00270F2A">
        <w:rPr>
          <w:rFonts w:ascii="Times New Roman" w:hAnsi="Times New Roman" w:cs="Times New Roman"/>
          <w:smallCaps/>
        </w:rPr>
        <w:t>Renauld</w:t>
      </w:r>
      <w:r w:rsidR="001950CC" w:rsidRPr="00270F2A">
        <w:rPr>
          <w:rFonts w:ascii="Times New Roman" w:hAnsi="Times New Roman" w:cs="Times New Roman"/>
        </w:rPr>
        <w:t xml:space="preserve">, </w:t>
      </w:r>
      <w:r w:rsidR="001950CC" w:rsidRPr="00270F2A">
        <w:rPr>
          <w:rFonts w:ascii="Times New Roman" w:hAnsi="Times New Roman" w:cs="Times New Roman"/>
          <w:i/>
          <w:iCs/>
        </w:rPr>
        <w:t>La Cour constitutionnelle</w:t>
      </w:r>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 61 ; F. </w:t>
      </w:r>
      <w:proofErr w:type="spellStart"/>
      <w:r w:rsidR="001950CC" w:rsidRPr="00270F2A">
        <w:rPr>
          <w:rFonts w:ascii="Times New Roman" w:hAnsi="Times New Roman" w:cs="Times New Roman"/>
          <w:smallCaps/>
        </w:rPr>
        <w:t>Tulkens</w:t>
      </w:r>
      <w:proofErr w:type="spellEnd"/>
      <w:r w:rsidR="001950CC" w:rsidRPr="00270F2A">
        <w:rPr>
          <w:rFonts w:ascii="Times New Roman" w:hAnsi="Times New Roman" w:cs="Times New Roman"/>
        </w:rPr>
        <w:t xml:space="preserve">, “La Cour d’arbitrage et le pouvoir constituant”, in : F. Delpérée, A. </w:t>
      </w:r>
      <w:proofErr w:type="spellStart"/>
      <w:r w:rsidR="001950CC" w:rsidRPr="00270F2A">
        <w:rPr>
          <w:rFonts w:ascii="Times New Roman" w:hAnsi="Times New Roman" w:cs="Times New Roman"/>
        </w:rPr>
        <w:t>Rasson</w:t>
      </w:r>
      <w:proofErr w:type="spellEnd"/>
      <w:r w:rsidR="001950CC" w:rsidRPr="00270F2A">
        <w:rPr>
          <w:rFonts w:ascii="Times New Roman" w:hAnsi="Times New Roman" w:cs="Times New Roman"/>
        </w:rPr>
        <w:t xml:space="preserve">-Roland and M. </w:t>
      </w:r>
      <w:proofErr w:type="spellStart"/>
      <w:r w:rsidR="001950CC" w:rsidRPr="00270F2A">
        <w:rPr>
          <w:rFonts w:ascii="Times New Roman" w:hAnsi="Times New Roman" w:cs="Times New Roman"/>
        </w:rPr>
        <w:t>Verdussen</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dir</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Regards croisés sur la Cour d’arbitrage</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Bruylant</w:t>
      </w:r>
      <w:proofErr w:type="spellEnd"/>
      <w:r w:rsidR="001950CC" w:rsidRPr="00270F2A">
        <w:rPr>
          <w:rFonts w:ascii="Times New Roman" w:hAnsi="Times New Roman" w:cs="Times New Roman"/>
        </w:rPr>
        <w:t xml:space="preserve">, 1995, pp. 31-32. </w:t>
      </w:r>
      <w:r w:rsidR="001950CC" w:rsidRPr="00270F2A">
        <w:rPr>
          <w:rFonts w:ascii="Times New Roman" w:hAnsi="Times New Roman" w:cs="Times New Roman"/>
          <w:lang w:val="en-US"/>
        </w:rPr>
        <w:t xml:space="preserve">The scope of the review thus includes "laws" adopted by the federal authority, "decrees" and "ordinances" adopted by the federated entities and, more anecdotally, wartime "decree-laws" and decrees of the National Congress with legislative value. </w:t>
      </w:r>
      <w:r w:rsidR="001950CC" w:rsidRPr="00270F2A">
        <w:rPr>
          <w:rFonts w:ascii="Times New Roman" w:hAnsi="Times New Roman" w:cs="Times New Roman"/>
        </w:rPr>
        <w:t xml:space="preserve">On the control of </w:t>
      </w:r>
      <w:proofErr w:type="spellStart"/>
      <w:r w:rsidR="001950CC" w:rsidRPr="00270F2A">
        <w:rPr>
          <w:rFonts w:ascii="Times New Roman" w:hAnsi="Times New Roman" w:cs="Times New Roman"/>
        </w:rPr>
        <w:t>decree-laws</w:t>
      </w:r>
      <w:proofErr w:type="spellEnd"/>
      <w:r w:rsidR="001950CC" w:rsidRPr="00270F2A">
        <w:rPr>
          <w:rFonts w:ascii="Times New Roman" w:hAnsi="Times New Roman" w:cs="Times New Roman"/>
        </w:rPr>
        <w:t xml:space="preserve"> and </w:t>
      </w:r>
      <w:proofErr w:type="spellStart"/>
      <w:r w:rsidR="001950CC" w:rsidRPr="00270F2A">
        <w:rPr>
          <w:rFonts w:ascii="Times New Roman" w:hAnsi="Times New Roman" w:cs="Times New Roman"/>
        </w:rPr>
        <w:t>decrees</w:t>
      </w:r>
      <w:proofErr w:type="spellEnd"/>
      <w:r w:rsidR="001950CC" w:rsidRPr="00270F2A">
        <w:rPr>
          <w:rFonts w:ascii="Times New Roman" w:hAnsi="Times New Roman" w:cs="Times New Roman"/>
        </w:rPr>
        <w:t xml:space="preserve"> of the National </w:t>
      </w:r>
      <w:proofErr w:type="spellStart"/>
      <w:r w:rsidR="001950CC" w:rsidRPr="00270F2A">
        <w:rPr>
          <w:rFonts w:ascii="Times New Roman" w:hAnsi="Times New Roman" w:cs="Times New Roman"/>
        </w:rPr>
        <w:t>Congress</w:t>
      </w:r>
      <w:proofErr w:type="spellEnd"/>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C. </w:t>
      </w:r>
      <w:proofErr w:type="spellStart"/>
      <w:r w:rsidR="001950CC" w:rsidRPr="00270F2A">
        <w:rPr>
          <w:rFonts w:ascii="Times New Roman" w:hAnsi="Times New Roman" w:cs="Times New Roman"/>
          <w:smallCaps/>
        </w:rPr>
        <w:t>Behrendt</w:t>
      </w:r>
      <w:proofErr w:type="spellEnd"/>
      <w:r w:rsidR="001950CC" w:rsidRPr="00270F2A">
        <w:rPr>
          <w:rFonts w:ascii="Times New Roman" w:hAnsi="Times New Roman" w:cs="Times New Roman"/>
        </w:rPr>
        <w:t xml:space="preserve">, “Excursion à l’orée de la chasse gardée du juge constitutionnel: la Cour constitutionnelle et le contrôle de constitutionnalité des arrêtés-lois de temps de guerre, des arrêtés-lois de pouvoirs extraordinaires et les décrets du Congrès national”, </w:t>
      </w:r>
      <w:r w:rsidR="001950CC" w:rsidRPr="00270F2A">
        <w:rPr>
          <w:rFonts w:ascii="Times New Roman" w:hAnsi="Times New Roman" w:cs="Times New Roman"/>
          <w:i/>
          <w:iCs/>
        </w:rPr>
        <w:t>Revue de la Faculté de droit de l’Université de Liège</w:t>
      </w:r>
      <w:r w:rsidR="001950CC" w:rsidRPr="00270F2A">
        <w:rPr>
          <w:rFonts w:ascii="Times New Roman" w:hAnsi="Times New Roman" w:cs="Times New Roman"/>
        </w:rPr>
        <w:t>, 2007, pp. 529-550.</w:t>
      </w:r>
    </w:p>
  </w:footnote>
  <w:footnote w:id="12">
    <w:p w14:paraId="1CF4AD12" w14:textId="4761F521"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Revue belge de droit constitutionnel</w:t>
      </w:r>
      <w:r w:rsidR="001950CC" w:rsidRPr="00270F2A">
        <w:rPr>
          <w:rFonts w:ascii="Times New Roman" w:hAnsi="Times New Roman" w:cs="Times New Roman"/>
        </w:rPr>
        <w:t xml:space="preserve">, 2018, </w:t>
      </w:r>
      <w:r w:rsidRPr="00270F2A">
        <w:rPr>
          <w:rFonts w:ascii="Times New Roman" w:hAnsi="Times New Roman" w:cs="Times New Roman"/>
        </w:rPr>
        <w:t>p. 471.</w:t>
      </w:r>
    </w:p>
  </w:footnote>
  <w:footnote w:id="13">
    <w:p w14:paraId="6FD71169" w14:textId="65ABF171" w:rsidR="00950962" w:rsidRPr="00270F2A" w:rsidRDefault="00950962" w:rsidP="00270F2A">
      <w:pPr>
        <w:pStyle w:val="Notedebasdepage"/>
        <w:jc w:val="both"/>
        <w:rPr>
          <w:rFonts w:ascii="Times New Roman" w:hAnsi="Times New Roman" w:cs="Times New Roman"/>
          <w:lang w:val="en-GB"/>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R.A. Posner </w:t>
      </w:r>
      <w:r w:rsidR="001950CC" w:rsidRPr="00270F2A">
        <w:rPr>
          <w:rFonts w:ascii="Times New Roman" w:hAnsi="Times New Roman" w:cs="Times New Roman"/>
          <w:lang w:val="en-US"/>
        </w:rPr>
        <w:t>mainly defines this term, the scope of which seems to him rather uncertain and likely to have several meanings</w:t>
      </w:r>
      <w:r w:rsidR="00270F2A" w:rsidRPr="00270F2A">
        <w:rPr>
          <w:rFonts w:ascii="Times New Roman" w:hAnsi="Times New Roman" w:cs="Times New Roman"/>
          <w:lang w:val="en-US"/>
        </w:rPr>
        <w:t>,</w:t>
      </w:r>
      <w:r w:rsidR="001950CC" w:rsidRPr="00270F2A">
        <w:rPr>
          <w:rFonts w:ascii="Times New Roman" w:hAnsi="Times New Roman" w:cs="Times New Roman"/>
          <w:lang w:val="en-US"/>
        </w:rPr>
        <w:t xml:space="preserve"> as the fact as</w:t>
      </w:r>
      <w:r w:rsidRPr="00270F2A">
        <w:rPr>
          <w:rFonts w:ascii="Times New Roman" w:hAnsi="Times New Roman" w:cs="Times New Roman"/>
          <w:lang w:val="en-US"/>
        </w:rPr>
        <w:t xml:space="preserve"> « judges are highly reluctant to declare legislative or executive action unconstitutional – deference is as its zenith when action is challenged as unconstitutional (call this ‘constitutional restraint’) » (</w:t>
      </w:r>
      <w:r w:rsidR="001950CC" w:rsidRPr="00270F2A">
        <w:rPr>
          <w:rFonts w:ascii="Times New Roman" w:hAnsi="Times New Roman" w:cs="Times New Roman"/>
          <w:lang w:val="en-US"/>
        </w:rPr>
        <w:t xml:space="preserve">R.A. </w:t>
      </w:r>
      <w:r w:rsidR="001950CC" w:rsidRPr="00270F2A">
        <w:rPr>
          <w:rFonts w:ascii="Times New Roman" w:hAnsi="Times New Roman" w:cs="Times New Roman"/>
          <w:smallCaps/>
          <w:lang w:val="en-US"/>
        </w:rPr>
        <w:t>Posner</w:t>
      </w:r>
      <w:r w:rsidR="001950CC" w:rsidRPr="00270F2A">
        <w:rPr>
          <w:rFonts w:ascii="Times New Roman" w:hAnsi="Times New Roman" w:cs="Times New Roman"/>
          <w:lang w:val="en-US"/>
        </w:rPr>
        <w:t xml:space="preserve">, “The Rise and Fall of Judicial Self-Restraint”, </w:t>
      </w:r>
      <w:r w:rsidR="001950CC" w:rsidRPr="00270F2A">
        <w:rPr>
          <w:rFonts w:ascii="Times New Roman" w:hAnsi="Times New Roman" w:cs="Times New Roman"/>
          <w:i/>
          <w:iCs/>
          <w:lang w:val="en-US"/>
        </w:rPr>
        <w:t>California Law Review</w:t>
      </w:r>
      <w:r w:rsidR="001950CC" w:rsidRPr="00270F2A">
        <w:rPr>
          <w:rFonts w:ascii="Times New Roman" w:hAnsi="Times New Roman" w:cs="Times New Roman"/>
          <w:lang w:val="en-US"/>
        </w:rPr>
        <w:t>, 2012,</w:t>
      </w:r>
      <w:r w:rsidRPr="00270F2A">
        <w:rPr>
          <w:rFonts w:ascii="Times New Roman" w:hAnsi="Times New Roman" w:cs="Times New Roman"/>
          <w:lang w:val="en-US"/>
        </w:rPr>
        <w:t xml:space="preserve"> p</w:t>
      </w:r>
      <w:r w:rsidR="001950CC" w:rsidRPr="00270F2A">
        <w:rPr>
          <w:rFonts w:ascii="Times New Roman" w:hAnsi="Times New Roman" w:cs="Times New Roman"/>
          <w:lang w:val="en-US"/>
        </w:rPr>
        <w:t>p</w:t>
      </w:r>
      <w:r w:rsidRPr="00270F2A">
        <w:rPr>
          <w:rFonts w:ascii="Times New Roman" w:hAnsi="Times New Roman" w:cs="Times New Roman"/>
          <w:lang w:val="en-US"/>
        </w:rPr>
        <w:t>.</w:t>
      </w:r>
      <w:r w:rsidR="001950CC" w:rsidRPr="00270F2A">
        <w:rPr>
          <w:rFonts w:ascii="Times New Roman" w:hAnsi="Times New Roman" w:cs="Times New Roman"/>
          <w:lang w:val="en-US"/>
        </w:rPr>
        <w:t xml:space="preserve"> 521-</w:t>
      </w:r>
      <w:r w:rsidRPr="00270F2A">
        <w:rPr>
          <w:rFonts w:ascii="Times New Roman" w:hAnsi="Times New Roman" w:cs="Times New Roman"/>
          <w:lang w:val="en-US"/>
        </w:rPr>
        <w:t xml:space="preserve">522). </w:t>
      </w:r>
      <w:r w:rsidR="001950CC" w:rsidRPr="00270F2A">
        <w:rPr>
          <w:rFonts w:ascii="Times New Roman" w:hAnsi="Times New Roman" w:cs="Times New Roman"/>
          <w:lang w:val="en-US"/>
        </w:rPr>
        <w:t xml:space="preserve">On this topic, see also R.A. </w:t>
      </w:r>
      <w:r w:rsidR="001950CC" w:rsidRPr="00270F2A">
        <w:rPr>
          <w:rFonts w:ascii="Times New Roman" w:hAnsi="Times New Roman" w:cs="Times New Roman"/>
          <w:smallCaps/>
          <w:lang w:val="en-US"/>
        </w:rPr>
        <w:t>Posner</w:t>
      </w:r>
      <w:r w:rsidR="001950CC" w:rsidRPr="00270F2A">
        <w:rPr>
          <w:rFonts w:ascii="Times New Roman" w:hAnsi="Times New Roman" w:cs="Times New Roman"/>
          <w:lang w:val="en-US"/>
        </w:rPr>
        <w:t xml:space="preserve">, </w:t>
      </w:r>
      <w:r w:rsidR="001950CC" w:rsidRPr="00270F2A">
        <w:rPr>
          <w:rFonts w:ascii="Times New Roman" w:hAnsi="Times New Roman" w:cs="Times New Roman"/>
          <w:lang w:val="en-GB"/>
        </w:rPr>
        <w:t xml:space="preserve">“The Meaning of Judicial Self-Restraint”, </w:t>
      </w:r>
      <w:r w:rsidR="001950CC" w:rsidRPr="00270F2A">
        <w:rPr>
          <w:rFonts w:ascii="Times New Roman" w:hAnsi="Times New Roman" w:cs="Times New Roman"/>
          <w:i/>
          <w:iCs/>
          <w:lang w:val="en-GB"/>
        </w:rPr>
        <w:t>Indiana Law Journal</w:t>
      </w:r>
      <w:r w:rsidR="001950CC" w:rsidRPr="00270F2A">
        <w:rPr>
          <w:rFonts w:ascii="Times New Roman" w:hAnsi="Times New Roman" w:cs="Times New Roman"/>
          <w:lang w:val="en-GB"/>
        </w:rPr>
        <w:t xml:space="preserve">, 1983, pp. 1-24. </w:t>
      </w:r>
    </w:p>
  </w:footnote>
  <w:footnote w:id="14">
    <w:p w14:paraId="6ACA6997" w14:textId="6017E949"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P. </w:t>
      </w:r>
      <w:r w:rsidR="001950CC" w:rsidRPr="00270F2A">
        <w:rPr>
          <w:rFonts w:ascii="Times New Roman" w:hAnsi="Times New Roman" w:cs="Times New Roman"/>
          <w:smallCaps/>
        </w:rPr>
        <w:t>Martens</w:t>
      </w:r>
      <w:r w:rsidR="001950CC" w:rsidRPr="00270F2A">
        <w:rPr>
          <w:rFonts w:ascii="Times New Roman" w:hAnsi="Times New Roman" w:cs="Times New Roman"/>
        </w:rPr>
        <w:t xml:space="preserve">, “La Cour constitutionnelle pratique-t-elle l’auto-restriction ?”, in: A. </w:t>
      </w:r>
      <w:proofErr w:type="spellStart"/>
      <w:r w:rsidR="001950CC" w:rsidRPr="00270F2A">
        <w:rPr>
          <w:rFonts w:ascii="Times New Roman" w:hAnsi="Times New Roman" w:cs="Times New Roman"/>
        </w:rPr>
        <w:t>Alen</w:t>
      </w:r>
      <w:proofErr w:type="spellEnd"/>
      <w:r w:rsidR="001950CC" w:rsidRPr="00270F2A">
        <w:rPr>
          <w:rFonts w:ascii="Times New Roman" w:hAnsi="Times New Roman" w:cs="Times New Roman"/>
        </w:rPr>
        <w:t xml:space="preserve">, F. </w:t>
      </w:r>
      <w:proofErr w:type="spellStart"/>
      <w:r w:rsidR="001950CC" w:rsidRPr="00270F2A">
        <w:rPr>
          <w:rFonts w:ascii="Times New Roman" w:hAnsi="Times New Roman" w:cs="Times New Roman"/>
        </w:rPr>
        <w:t>Daoût</w:t>
      </w:r>
      <w:proofErr w:type="spellEnd"/>
      <w:r w:rsidR="001950CC" w:rsidRPr="00270F2A">
        <w:rPr>
          <w:rFonts w:ascii="Times New Roman" w:hAnsi="Times New Roman" w:cs="Times New Roman"/>
        </w:rPr>
        <w:t xml:space="preserve">, P. </w:t>
      </w:r>
      <w:proofErr w:type="spellStart"/>
      <w:r w:rsidR="001950CC" w:rsidRPr="00270F2A">
        <w:rPr>
          <w:rFonts w:ascii="Times New Roman" w:hAnsi="Times New Roman" w:cs="Times New Roman"/>
        </w:rPr>
        <w:t>Nihoul</w:t>
      </w:r>
      <w:proofErr w:type="spellEnd"/>
      <w:r w:rsidR="001950CC" w:rsidRPr="00270F2A">
        <w:rPr>
          <w:rFonts w:ascii="Times New Roman" w:hAnsi="Times New Roman" w:cs="Times New Roman"/>
        </w:rPr>
        <w:t>, E. </w:t>
      </w:r>
      <w:proofErr w:type="spellStart"/>
      <w:r w:rsidR="001950CC" w:rsidRPr="00270F2A">
        <w:rPr>
          <w:rFonts w:ascii="Times New Roman" w:hAnsi="Times New Roman" w:cs="Times New Roman"/>
        </w:rPr>
        <w:t>Peremans</w:t>
      </w:r>
      <w:proofErr w:type="spellEnd"/>
      <w:r w:rsidR="001950CC" w:rsidRPr="00270F2A">
        <w:rPr>
          <w:rFonts w:ascii="Times New Roman" w:hAnsi="Times New Roman" w:cs="Times New Roman"/>
        </w:rPr>
        <w:t xml:space="preserve"> and W. </w:t>
      </w:r>
      <w:proofErr w:type="spellStart"/>
      <w:r w:rsidR="001950CC" w:rsidRPr="00270F2A">
        <w:rPr>
          <w:rFonts w:ascii="Times New Roman" w:hAnsi="Times New Roman" w:cs="Times New Roman"/>
        </w:rPr>
        <w:t>Verrijdt</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Libertés, (l)égalité, humanité. Mélanges offerts à Jean </w:t>
      </w:r>
      <w:proofErr w:type="spellStart"/>
      <w:r w:rsidR="001950CC" w:rsidRPr="00270F2A">
        <w:rPr>
          <w:rFonts w:ascii="Times New Roman" w:hAnsi="Times New Roman" w:cs="Times New Roman"/>
          <w:i/>
          <w:iCs/>
        </w:rPr>
        <w:t>Spreutels</w:t>
      </w:r>
      <w:proofErr w:type="spellEnd"/>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xml:space="preserve">, 2019, pp. 506-516. </w:t>
      </w:r>
    </w:p>
  </w:footnote>
  <w:footnote w:id="15">
    <w:p w14:paraId="05140836" w14:textId="546A4424"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On </w:t>
      </w:r>
      <w:proofErr w:type="spellStart"/>
      <w:r w:rsidR="001950CC" w:rsidRPr="00270F2A">
        <w:rPr>
          <w:rFonts w:ascii="Times New Roman" w:hAnsi="Times New Roman" w:cs="Times New Roman"/>
        </w:rPr>
        <w:t>this</w:t>
      </w:r>
      <w:proofErr w:type="spellEnd"/>
      <w:r w:rsidR="001950CC" w:rsidRPr="00270F2A">
        <w:rPr>
          <w:rFonts w:ascii="Times New Roman" w:hAnsi="Times New Roman" w:cs="Times New Roman"/>
        </w:rPr>
        <w:t xml:space="preserve"> issue,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M. </w:t>
      </w:r>
      <w:r w:rsidR="001950CC" w:rsidRPr="00270F2A">
        <w:rPr>
          <w:rFonts w:ascii="Times New Roman" w:hAnsi="Times New Roman" w:cs="Times New Roman"/>
          <w:smallCaps/>
        </w:rPr>
        <w:t>Uyttendaele</w:t>
      </w:r>
      <w:r w:rsidR="001950CC" w:rsidRPr="00270F2A">
        <w:rPr>
          <w:rFonts w:ascii="Times New Roman" w:hAnsi="Times New Roman" w:cs="Times New Roman"/>
        </w:rPr>
        <w:t xml:space="preserve">, </w:t>
      </w:r>
      <w:r w:rsidR="001950CC" w:rsidRPr="00270F2A">
        <w:rPr>
          <w:rFonts w:ascii="Times New Roman" w:hAnsi="Times New Roman" w:cs="Times New Roman"/>
          <w:i/>
          <w:iCs/>
        </w:rPr>
        <w:t>Trente leçons de droit constitutionnel</w:t>
      </w:r>
      <w:r w:rsidR="001950CC" w:rsidRPr="00270F2A">
        <w:rPr>
          <w:rFonts w:ascii="Times New Roman" w:hAnsi="Times New Roman" w:cs="Times New Roman"/>
        </w:rPr>
        <w:t>, 3</w:t>
      </w:r>
      <w:r w:rsidR="001950CC" w:rsidRPr="00270F2A">
        <w:rPr>
          <w:rFonts w:ascii="Times New Roman" w:hAnsi="Times New Roman" w:cs="Times New Roman"/>
          <w:vertAlign w:val="superscript"/>
        </w:rPr>
        <w:t>rd</w:t>
      </w:r>
      <w:r w:rsidR="001950CC" w:rsidRPr="00270F2A">
        <w:rPr>
          <w:rFonts w:ascii="Times New Roman" w:hAnsi="Times New Roman" w:cs="Times New Roman"/>
        </w:rPr>
        <w:t xml:space="preserve"> édition, </w:t>
      </w:r>
      <w:proofErr w:type="spellStart"/>
      <w:r w:rsidR="001950CC" w:rsidRPr="00270F2A">
        <w:rPr>
          <w:rFonts w:ascii="Times New Roman" w:hAnsi="Times New Roman" w:cs="Times New Roman"/>
        </w:rPr>
        <w:t>Limal</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Anthemis</w:t>
      </w:r>
      <w:proofErr w:type="spellEnd"/>
      <w:r w:rsidR="001950CC" w:rsidRPr="00270F2A">
        <w:rPr>
          <w:rFonts w:ascii="Times New Roman" w:hAnsi="Times New Roman" w:cs="Times New Roman"/>
        </w:rPr>
        <w:t>, 2020, pp. 746-766.</w:t>
      </w:r>
    </w:p>
  </w:footnote>
  <w:footnote w:id="16">
    <w:p w14:paraId="464E7886" w14:textId="28DBB243"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and C. </w:t>
      </w:r>
      <w:proofErr w:type="spellStart"/>
      <w:r w:rsidR="001950CC" w:rsidRPr="00270F2A">
        <w:rPr>
          <w:rFonts w:ascii="Times New Roman" w:hAnsi="Times New Roman" w:cs="Times New Roman"/>
          <w:smallCaps/>
        </w:rPr>
        <w:t>Pietquin</w:t>
      </w:r>
      <w:proofErr w:type="spellEnd"/>
      <w:r w:rsidR="001950CC" w:rsidRPr="00270F2A">
        <w:rPr>
          <w:rFonts w:ascii="Times New Roman" w:hAnsi="Times New Roman" w:cs="Times New Roman"/>
        </w:rPr>
        <w:t>, “L</w:t>
      </w:r>
      <w:r w:rsidR="00006278" w:rsidRPr="00270F2A">
        <w:rPr>
          <w:rFonts w:ascii="Times New Roman" w:hAnsi="Times New Roman" w:cs="Times New Roman"/>
        </w:rPr>
        <w:t>es méthodes d</w:t>
      </w:r>
      <w:r w:rsidR="001950CC" w:rsidRPr="00270F2A">
        <w:rPr>
          <w:rFonts w:ascii="Times New Roman" w:hAnsi="Times New Roman" w:cs="Times New Roman"/>
        </w:rPr>
        <w:t xml:space="preserve">’interprétation et la politique jurisprudentielle de la Cour constitutionnelle”, in : S. Van </w:t>
      </w:r>
      <w:proofErr w:type="spellStart"/>
      <w:r w:rsidR="001950CC" w:rsidRPr="00270F2A">
        <w:rPr>
          <w:rFonts w:ascii="Times New Roman" w:hAnsi="Times New Roman" w:cs="Times New Roman"/>
        </w:rPr>
        <w:t>Drooghenbroeck</w:t>
      </w:r>
      <w:proofErr w:type="spellEnd"/>
      <w:r w:rsidR="001950CC" w:rsidRPr="00270F2A">
        <w:rPr>
          <w:rFonts w:ascii="Times New Roman" w:hAnsi="Times New Roman" w:cs="Times New Roman"/>
        </w:rPr>
        <w:t xml:space="preserve"> and M. El </w:t>
      </w:r>
      <w:proofErr w:type="spellStart"/>
      <w:r w:rsidR="001950CC" w:rsidRPr="00270F2A">
        <w:rPr>
          <w:rFonts w:ascii="Times New Roman" w:hAnsi="Times New Roman" w:cs="Times New Roman"/>
        </w:rPr>
        <w:t>Berhoumi</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dir</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Principes de la répartition des compétences</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xml:space="preserve">, 2022, pp. </w:t>
      </w:r>
      <w:r w:rsidR="00006278" w:rsidRPr="00270F2A">
        <w:rPr>
          <w:rFonts w:ascii="Times New Roman" w:hAnsi="Times New Roman" w:cs="Times New Roman"/>
        </w:rPr>
        <w:t>93</w:t>
      </w:r>
      <w:r w:rsidR="001950CC" w:rsidRPr="00270F2A">
        <w:rPr>
          <w:rFonts w:ascii="Times New Roman" w:hAnsi="Times New Roman" w:cs="Times New Roman"/>
        </w:rPr>
        <w:t>-</w:t>
      </w:r>
      <w:r w:rsidR="00006278" w:rsidRPr="00270F2A">
        <w:rPr>
          <w:rFonts w:ascii="Times New Roman" w:hAnsi="Times New Roman" w:cs="Times New Roman"/>
        </w:rPr>
        <w:t>96</w:t>
      </w:r>
      <w:r w:rsidR="001950CC" w:rsidRPr="00270F2A">
        <w:rPr>
          <w:rFonts w:ascii="Times New Roman" w:hAnsi="Times New Roman" w:cs="Times New Roman"/>
        </w:rPr>
        <w:t>.</w:t>
      </w:r>
    </w:p>
  </w:footnote>
  <w:footnote w:id="17">
    <w:p w14:paraId="60DC73E1" w14:textId="273ABF36"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C.A., judgment no. </w:t>
      </w:r>
      <w:r w:rsidRPr="00270F2A">
        <w:rPr>
          <w:rFonts w:ascii="Times New Roman" w:hAnsi="Times New Roman" w:cs="Times New Roman"/>
          <w:lang w:val="en-US"/>
        </w:rPr>
        <w:t xml:space="preserve">18/90 </w:t>
      </w:r>
      <w:r w:rsidR="001950CC" w:rsidRPr="00270F2A">
        <w:rPr>
          <w:rFonts w:ascii="Times New Roman" w:hAnsi="Times New Roman" w:cs="Times New Roman"/>
          <w:lang w:val="en-US"/>
        </w:rPr>
        <w:t xml:space="preserve">of 23 May 1990, </w:t>
      </w:r>
      <w:r w:rsidRPr="00270F2A">
        <w:rPr>
          <w:rFonts w:ascii="Times New Roman" w:hAnsi="Times New Roman" w:cs="Times New Roman"/>
          <w:lang w:val="en-US"/>
        </w:rPr>
        <w:t>B.9.2, al.2.</w:t>
      </w:r>
    </w:p>
  </w:footnote>
  <w:footnote w:id="18">
    <w:p w14:paraId="1F87D734" w14:textId="71FA1E0C"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C.A., judgment no. </w:t>
      </w:r>
      <w:r w:rsidRPr="00270F2A">
        <w:rPr>
          <w:rFonts w:ascii="Times New Roman" w:hAnsi="Times New Roman" w:cs="Times New Roman"/>
          <w:lang w:val="en-US"/>
        </w:rPr>
        <w:t>75/2003</w:t>
      </w:r>
      <w:r w:rsidR="001950CC" w:rsidRPr="00270F2A">
        <w:rPr>
          <w:rFonts w:ascii="Times New Roman" w:hAnsi="Times New Roman" w:cs="Times New Roman"/>
          <w:lang w:val="en-US"/>
        </w:rPr>
        <w:t xml:space="preserve"> of 6 June 2003, B.9.6. </w:t>
      </w:r>
    </w:p>
  </w:footnote>
  <w:footnote w:id="19">
    <w:p w14:paraId="7F833487" w14:textId="67924A0D"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P. </w:t>
      </w:r>
      <w:r w:rsidRPr="00270F2A">
        <w:rPr>
          <w:rFonts w:ascii="Times New Roman" w:hAnsi="Times New Roman" w:cs="Times New Roman"/>
          <w:smallCaps/>
        </w:rPr>
        <w:t>Martens</w:t>
      </w:r>
      <w:r w:rsidR="001950CC" w:rsidRPr="00270F2A">
        <w:rPr>
          <w:rFonts w:ascii="Times New Roman" w:hAnsi="Times New Roman" w:cs="Times New Roman"/>
        </w:rPr>
        <w:t xml:space="preserve">, </w:t>
      </w:r>
      <w:r w:rsidRPr="00270F2A">
        <w:rPr>
          <w:rFonts w:ascii="Times New Roman" w:hAnsi="Times New Roman" w:cs="Times New Roman"/>
        </w:rPr>
        <w:t xml:space="preserve"> </w:t>
      </w:r>
      <w:r w:rsidR="001950CC" w:rsidRPr="00270F2A">
        <w:rPr>
          <w:rFonts w:ascii="Times New Roman" w:hAnsi="Times New Roman" w:cs="Times New Roman"/>
        </w:rPr>
        <w:t xml:space="preserve">“La Cour constitutionnelle pratique-t-elle l’auto-restriction ?”,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w:t>
      </w:r>
      <w:r w:rsidRPr="00270F2A">
        <w:rPr>
          <w:rFonts w:ascii="Times New Roman" w:hAnsi="Times New Roman" w:cs="Times New Roman"/>
        </w:rPr>
        <w:t>p 511.</w:t>
      </w:r>
    </w:p>
  </w:footnote>
  <w:footnote w:id="20">
    <w:p w14:paraId="1868B7D5" w14:textId="6AFE349A"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001950CC" w:rsidRPr="00270F2A">
        <w:rPr>
          <w:rFonts w:ascii="Times New Roman" w:hAnsi="Times New Roman" w:cs="Times New Roman"/>
        </w:rPr>
        <w:t xml:space="preserve"> </w:t>
      </w:r>
      <w:r w:rsidR="001950CC" w:rsidRPr="00270F2A">
        <w:rPr>
          <w:rFonts w:ascii="Times New Roman" w:hAnsi="Times New Roman" w:cs="Times New Roman"/>
        </w:rPr>
        <w:t xml:space="preserve">For a </w:t>
      </w:r>
      <w:proofErr w:type="spellStart"/>
      <w:r w:rsidR="001950CC" w:rsidRPr="00270F2A">
        <w:rPr>
          <w:rFonts w:ascii="Times New Roman" w:hAnsi="Times New Roman" w:cs="Times New Roman"/>
        </w:rPr>
        <w:t>detailed</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study</w:t>
      </w:r>
      <w:proofErr w:type="spellEnd"/>
      <w:r w:rsidR="001950CC" w:rsidRPr="00270F2A">
        <w:rPr>
          <w:rFonts w:ascii="Times New Roman" w:hAnsi="Times New Roman" w:cs="Times New Roman"/>
        </w:rPr>
        <w:t xml:space="preserve"> of </w:t>
      </w:r>
      <w:proofErr w:type="spellStart"/>
      <w:r w:rsidR="001950CC" w:rsidRPr="00270F2A">
        <w:rPr>
          <w:rFonts w:ascii="Times New Roman" w:hAnsi="Times New Roman" w:cs="Times New Roman"/>
        </w:rPr>
        <w:t>this</w:t>
      </w:r>
      <w:proofErr w:type="spellEnd"/>
      <w:r w:rsidR="001950CC" w:rsidRPr="00270F2A">
        <w:rPr>
          <w:rFonts w:ascii="Times New Roman" w:hAnsi="Times New Roman" w:cs="Times New Roman"/>
        </w:rPr>
        <w:t xml:space="preserve"> topic,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obs. </w:t>
      </w:r>
      <w:proofErr w:type="spellStart"/>
      <w:r w:rsidR="001950CC" w:rsidRPr="00270F2A">
        <w:rPr>
          <w:rFonts w:ascii="Times New Roman" w:hAnsi="Times New Roman" w:cs="Times New Roman"/>
        </w:rPr>
        <w:t>under</w:t>
      </w:r>
      <w:proofErr w:type="spellEnd"/>
      <w:r w:rsidR="001950CC" w:rsidRPr="00270F2A">
        <w:rPr>
          <w:rFonts w:ascii="Times New Roman" w:hAnsi="Times New Roman" w:cs="Times New Roman"/>
        </w:rPr>
        <w:t xml:space="preserve"> C.C., </w:t>
      </w:r>
      <w:proofErr w:type="spellStart"/>
      <w:r w:rsidR="001950CC" w:rsidRPr="00270F2A">
        <w:rPr>
          <w:rFonts w:ascii="Times New Roman" w:hAnsi="Times New Roman" w:cs="Times New Roman"/>
        </w:rPr>
        <w:t>judgment</w:t>
      </w:r>
      <w:proofErr w:type="spellEnd"/>
      <w:r w:rsidR="001950CC" w:rsidRPr="00270F2A">
        <w:rPr>
          <w:rFonts w:ascii="Times New Roman" w:hAnsi="Times New Roman" w:cs="Times New Roman"/>
        </w:rPr>
        <w:t xml:space="preserve"> no. 81/2015 of 28 May 2015, </w:t>
      </w:r>
      <w:r w:rsidR="001950CC" w:rsidRPr="00270F2A">
        <w:rPr>
          <w:rFonts w:ascii="Times New Roman" w:hAnsi="Times New Roman" w:cs="Times New Roman"/>
          <w:i/>
          <w:iCs/>
        </w:rPr>
        <w:t>Revue de la Faculté de Droit de l’Université de Liège</w:t>
      </w:r>
      <w:r w:rsidR="001950CC" w:rsidRPr="00270F2A">
        <w:rPr>
          <w:rFonts w:ascii="Times New Roman" w:hAnsi="Times New Roman" w:cs="Times New Roman"/>
        </w:rPr>
        <w:t>, 2015, pp. 618-637.</w:t>
      </w:r>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also</w:t>
      </w:r>
      <w:proofErr w:type="spellEnd"/>
      <w:r w:rsidR="001950CC" w:rsidRPr="00270F2A">
        <w:rPr>
          <w:rFonts w:ascii="Times New Roman" w:hAnsi="Times New Roman" w:cs="Times New Roman"/>
        </w:rPr>
        <w:t xml:space="preserve"> G. </w:t>
      </w:r>
      <w:proofErr w:type="spellStart"/>
      <w:r w:rsidR="001950CC" w:rsidRPr="00270F2A">
        <w:rPr>
          <w:rFonts w:ascii="Times New Roman" w:hAnsi="Times New Roman" w:cs="Times New Roman"/>
          <w:smallCaps/>
        </w:rPr>
        <w:t>Rosoux</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Contentieux constitutionnel</w:t>
      </w:r>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127-135 ; P. </w:t>
      </w:r>
      <w:r w:rsidR="001950CC" w:rsidRPr="00270F2A">
        <w:rPr>
          <w:rFonts w:ascii="Times New Roman" w:hAnsi="Times New Roman" w:cs="Times New Roman"/>
          <w:smallCaps/>
        </w:rPr>
        <w:t>Martens</w:t>
      </w:r>
      <w:r w:rsidR="001950CC" w:rsidRPr="00270F2A">
        <w:rPr>
          <w:rFonts w:ascii="Times New Roman" w:hAnsi="Times New Roman" w:cs="Times New Roman"/>
        </w:rPr>
        <w:t xml:space="preserve">, “La Cour constitutionnelle pratique-t-elle l’auto-restriction ?”,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508-514 ; 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“La fin du choix du Constituant dans les travaux préparatoires ?”, obs. </w:t>
      </w:r>
      <w:proofErr w:type="spellStart"/>
      <w:r w:rsidR="001950CC" w:rsidRPr="00270F2A">
        <w:rPr>
          <w:rFonts w:ascii="Times New Roman" w:hAnsi="Times New Roman" w:cs="Times New Roman"/>
        </w:rPr>
        <w:t>under</w:t>
      </w:r>
      <w:proofErr w:type="spellEnd"/>
      <w:r w:rsidR="001950CC" w:rsidRPr="00270F2A">
        <w:rPr>
          <w:rFonts w:ascii="Times New Roman" w:hAnsi="Times New Roman" w:cs="Times New Roman"/>
        </w:rPr>
        <w:t xml:space="preserve"> C.C., </w:t>
      </w:r>
      <w:proofErr w:type="spellStart"/>
      <w:r w:rsidR="001950CC" w:rsidRPr="00270F2A">
        <w:rPr>
          <w:rFonts w:ascii="Times New Roman" w:hAnsi="Times New Roman" w:cs="Times New Roman"/>
        </w:rPr>
        <w:t>judgment</w:t>
      </w:r>
      <w:proofErr w:type="spellEnd"/>
      <w:r w:rsidR="001950CC" w:rsidRPr="00270F2A">
        <w:rPr>
          <w:rFonts w:ascii="Times New Roman" w:hAnsi="Times New Roman" w:cs="Times New Roman"/>
        </w:rPr>
        <w:t xml:space="preserve"> no. 70/2019 of 23 May 2019, </w:t>
      </w:r>
      <w:r w:rsidR="001950CC" w:rsidRPr="00270F2A">
        <w:rPr>
          <w:rFonts w:ascii="Times New Roman" w:hAnsi="Times New Roman" w:cs="Times New Roman"/>
          <w:i/>
          <w:iCs/>
        </w:rPr>
        <w:t>Journal des tribunaux</w:t>
      </w:r>
      <w:r w:rsidR="001950CC" w:rsidRPr="00270F2A">
        <w:rPr>
          <w:rFonts w:ascii="Times New Roman" w:hAnsi="Times New Roman" w:cs="Times New Roman"/>
        </w:rPr>
        <w:t>, 2019, pp. 564-566 ;</w:t>
      </w:r>
      <w:r w:rsidR="001950CC" w:rsidRPr="00270F2A">
        <w:rPr>
          <w:rFonts w:ascii="Times New Roman" w:hAnsi="Times New Roman" w:cs="Times New Roman"/>
          <w:lang w:val="fr-FR"/>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459-482. </w:t>
      </w:r>
    </w:p>
  </w:footnote>
  <w:footnote w:id="21">
    <w:p w14:paraId="1698AFAD" w14:textId="713E040F"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F. </w:t>
      </w:r>
      <w:proofErr w:type="spellStart"/>
      <w:r w:rsidR="001950CC" w:rsidRPr="00270F2A">
        <w:rPr>
          <w:rFonts w:ascii="Times New Roman" w:hAnsi="Times New Roman" w:cs="Times New Roman"/>
          <w:lang w:val="en-US"/>
        </w:rPr>
        <w:t>Bouhon</w:t>
      </w:r>
      <w:proofErr w:type="spellEnd"/>
      <w:r w:rsidR="001950CC" w:rsidRPr="00270F2A">
        <w:rPr>
          <w:rFonts w:ascii="Times New Roman" w:hAnsi="Times New Roman" w:cs="Times New Roman"/>
          <w:lang w:val="en-US"/>
        </w:rPr>
        <w:t xml:space="preserve"> distinguishes between norms that take up the substance of choices established by the Constitution, norms that implement an obligation imposed by the Constitution, and norms that create differences in treatment based on distinctions made by the text of the Constitution (F. </w:t>
      </w:r>
      <w:proofErr w:type="spellStart"/>
      <w:r w:rsidR="001950CC" w:rsidRPr="00270F2A">
        <w:rPr>
          <w:rFonts w:ascii="Times New Roman" w:hAnsi="Times New Roman" w:cs="Times New Roman"/>
          <w:smallCaps/>
          <w:lang w:val="en-US"/>
        </w:rPr>
        <w:t>Bouhon</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L’immunisation</w:t>
      </w:r>
      <w:proofErr w:type="spellEnd"/>
      <w:r w:rsidR="001950CC" w:rsidRPr="00270F2A">
        <w:rPr>
          <w:rFonts w:ascii="Times New Roman" w:hAnsi="Times New Roman" w:cs="Times New Roman"/>
          <w:lang w:val="en-US"/>
        </w:rPr>
        <w:t xml:space="preserve"> des </w:t>
      </w:r>
      <w:proofErr w:type="spellStart"/>
      <w:r w:rsidR="001950CC" w:rsidRPr="00270F2A">
        <w:rPr>
          <w:rFonts w:ascii="Times New Roman" w:hAnsi="Times New Roman" w:cs="Times New Roman"/>
          <w:lang w:val="en-US"/>
        </w:rPr>
        <w:t>normes</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législatives</w:t>
      </w:r>
      <w:proofErr w:type="spellEnd"/>
      <w:r w:rsidR="001950CC" w:rsidRPr="00270F2A">
        <w:rPr>
          <w:rFonts w:ascii="Times New Roman" w:hAnsi="Times New Roman" w:cs="Times New Roman"/>
          <w:lang w:val="en-US"/>
        </w:rPr>
        <w:t xml:space="preserve"> par le </w:t>
      </w:r>
      <w:proofErr w:type="spellStart"/>
      <w:r w:rsidR="001950CC" w:rsidRPr="00270F2A">
        <w:rPr>
          <w:rFonts w:ascii="Times New Roman" w:hAnsi="Times New Roman" w:cs="Times New Roman"/>
          <w:lang w:val="en-US"/>
        </w:rPr>
        <w:t>choix</w:t>
      </w:r>
      <w:proofErr w:type="spellEnd"/>
      <w:r w:rsidR="001950CC" w:rsidRPr="00270F2A">
        <w:rPr>
          <w:rFonts w:ascii="Times New Roman" w:hAnsi="Times New Roman" w:cs="Times New Roman"/>
          <w:lang w:val="en-US"/>
        </w:rPr>
        <w:t xml:space="preserve"> du </w:t>
      </w:r>
      <w:proofErr w:type="spellStart"/>
      <w:r w:rsidR="001950CC" w:rsidRPr="00270F2A">
        <w:rPr>
          <w:rFonts w:ascii="Times New Roman" w:hAnsi="Times New Roman" w:cs="Times New Roman"/>
          <w:lang w:val="en-US"/>
        </w:rPr>
        <w:t>Constituant</w:t>
      </w:r>
      <w:proofErr w:type="spellEnd"/>
      <w:r w:rsidR="001950CC"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op. cit.</w:t>
      </w:r>
      <w:r w:rsidR="001950CC" w:rsidRPr="00270F2A">
        <w:rPr>
          <w:rFonts w:ascii="Times New Roman" w:hAnsi="Times New Roman" w:cs="Times New Roman"/>
          <w:lang w:val="en-US"/>
        </w:rPr>
        <w:t xml:space="preserve">, p. 621). </w:t>
      </w:r>
    </w:p>
  </w:footnote>
  <w:footnote w:id="22">
    <w:p w14:paraId="42FF1FAA" w14:textId="52F1DC2D"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For an </w:t>
      </w:r>
      <w:proofErr w:type="spellStart"/>
      <w:r w:rsidRPr="00270F2A">
        <w:rPr>
          <w:rFonts w:ascii="Times New Roman" w:hAnsi="Times New Roman" w:cs="Times New Roman"/>
        </w:rPr>
        <w:t>analysis</w:t>
      </w:r>
      <w:proofErr w:type="spellEnd"/>
      <w:r w:rsidRPr="00270F2A">
        <w:rPr>
          <w:rFonts w:ascii="Times New Roman" w:hAnsi="Times New Roman" w:cs="Times New Roman"/>
        </w:rPr>
        <w:t xml:space="preserve"> of the scope of the </w:t>
      </w:r>
      <w:proofErr w:type="spellStart"/>
      <w:r w:rsidRPr="00270F2A">
        <w:rPr>
          <w:rFonts w:ascii="Times New Roman" w:hAnsi="Times New Roman" w:cs="Times New Roman"/>
        </w:rPr>
        <w:t>different</w:t>
      </w:r>
      <w:proofErr w:type="spellEnd"/>
      <w:r w:rsidRPr="00270F2A">
        <w:rPr>
          <w:rFonts w:ascii="Times New Roman" w:hAnsi="Times New Roman" w:cs="Times New Roman"/>
        </w:rPr>
        <w:t xml:space="preserve"> </w:t>
      </w:r>
      <w:proofErr w:type="spellStart"/>
      <w:r w:rsidRPr="00270F2A">
        <w:rPr>
          <w:rFonts w:ascii="Times New Roman" w:hAnsi="Times New Roman" w:cs="Times New Roman"/>
        </w:rPr>
        <w:t>terms</w:t>
      </w:r>
      <w:proofErr w:type="spellEnd"/>
      <w:r w:rsidRPr="00270F2A">
        <w:rPr>
          <w:rFonts w:ascii="Times New Roman" w:hAnsi="Times New Roman" w:cs="Times New Roman"/>
        </w:rPr>
        <w:t xml:space="preserve">, </w:t>
      </w:r>
      <w:proofErr w:type="spellStart"/>
      <w:r w:rsidRPr="00270F2A">
        <w:rPr>
          <w:rFonts w:ascii="Times New Roman" w:hAnsi="Times New Roman" w:cs="Times New Roman"/>
        </w:rPr>
        <w:t>see</w:t>
      </w:r>
      <w:proofErr w:type="spellEnd"/>
      <w:r w:rsidRPr="00270F2A">
        <w:rPr>
          <w:rFonts w:ascii="Times New Roman" w:hAnsi="Times New Roman" w:cs="Times New Roman"/>
        </w:rPr>
        <w:t xml:space="preserve"> B. </w:t>
      </w:r>
      <w:proofErr w:type="spellStart"/>
      <w:r w:rsidRPr="00270F2A">
        <w:rPr>
          <w:rFonts w:ascii="Times New Roman" w:hAnsi="Times New Roman" w:cs="Times New Roman"/>
          <w:smallCaps/>
        </w:rPr>
        <w:t>Gors</w:t>
      </w:r>
      <w:proofErr w:type="spellEnd"/>
      <w:r w:rsidRPr="00270F2A">
        <w:rPr>
          <w:rFonts w:ascii="Times New Roman" w:hAnsi="Times New Roman" w:cs="Times New Roman"/>
        </w:rPr>
        <w:t xml:space="preserve">, “L’intérêt à agir au sens de l’article 142 de la Constitution”, </w:t>
      </w:r>
      <w:r w:rsidRPr="00270F2A">
        <w:rPr>
          <w:rFonts w:ascii="Times New Roman" w:hAnsi="Times New Roman" w:cs="Times New Roman"/>
          <w:i/>
          <w:iCs/>
        </w:rPr>
        <w:t>Revue belge de droit constitutionnel</w:t>
      </w:r>
      <w:r w:rsidRPr="00270F2A">
        <w:rPr>
          <w:rFonts w:ascii="Times New Roman" w:hAnsi="Times New Roman" w:cs="Times New Roman"/>
        </w:rPr>
        <w:t>, 2006,</w:t>
      </w:r>
      <w:r w:rsidRPr="00270F2A">
        <w:rPr>
          <w:rFonts w:ascii="Times New Roman" w:hAnsi="Times New Roman" w:cs="Times New Roman"/>
          <w:i/>
          <w:iCs/>
        </w:rPr>
        <w:t xml:space="preserve"> </w:t>
      </w:r>
      <w:r w:rsidRPr="00270F2A">
        <w:rPr>
          <w:rFonts w:ascii="Times New Roman" w:hAnsi="Times New Roman" w:cs="Times New Roman"/>
        </w:rPr>
        <w:t>p. 160.</w:t>
      </w:r>
    </w:p>
  </w:footnote>
  <w:footnote w:id="23">
    <w:p w14:paraId="2C565CBD" w14:textId="09725D4C"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See for example C.A., judgment no. 18/90 of 23 May 1990, B.14.2 and C.A., judgment no. 90/84 of 22 December 1994, B.3.5</w:t>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This term is preferred by G. </w:t>
      </w:r>
      <w:proofErr w:type="spellStart"/>
      <w:r w:rsidR="001950CC" w:rsidRPr="00270F2A">
        <w:rPr>
          <w:rFonts w:ascii="Times New Roman" w:hAnsi="Times New Roman" w:cs="Times New Roman"/>
          <w:lang w:val="en-US"/>
        </w:rPr>
        <w:t>Rosoux</w:t>
      </w:r>
      <w:proofErr w:type="spellEnd"/>
      <w:r w:rsidR="001950CC" w:rsidRPr="00270F2A">
        <w:rPr>
          <w:rFonts w:ascii="Times New Roman" w:hAnsi="Times New Roman" w:cs="Times New Roman"/>
          <w:lang w:val="en-US"/>
        </w:rPr>
        <w:t xml:space="preserve">: see G. </w:t>
      </w:r>
      <w:proofErr w:type="spellStart"/>
      <w:r w:rsidR="001950CC" w:rsidRPr="00270F2A">
        <w:rPr>
          <w:rFonts w:ascii="Times New Roman" w:hAnsi="Times New Roman" w:cs="Times New Roman"/>
          <w:smallCaps/>
          <w:lang w:val="en-US"/>
        </w:rPr>
        <w:t>Rosoux</w:t>
      </w:r>
      <w:proofErr w:type="spellEnd"/>
      <w:r w:rsidR="001950CC" w:rsidRPr="00270F2A">
        <w:rPr>
          <w:rFonts w:ascii="Times New Roman" w:hAnsi="Times New Roman" w:cs="Times New Roman"/>
          <w:lang w:val="en-US"/>
        </w:rPr>
        <w:t>, « </w:t>
      </w:r>
      <w:proofErr w:type="spellStart"/>
      <w:r w:rsidR="001950CC" w:rsidRPr="00270F2A">
        <w:rPr>
          <w:rFonts w:ascii="Times New Roman" w:hAnsi="Times New Roman" w:cs="Times New Roman"/>
          <w:lang w:val="en-US"/>
        </w:rPr>
        <w:t>Contentieux</w:t>
      </w:r>
      <w:proofErr w:type="spellEnd"/>
      <w:r w:rsidR="001950CC" w:rsidRPr="00270F2A">
        <w:rPr>
          <w:rFonts w:ascii="Times New Roman" w:hAnsi="Times New Roman" w:cs="Times New Roman"/>
          <w:lang w:val="en-US"/>
        </w:rPr>
        <w:t xml:space="preserve"> </w:t>
      </w:r>
      <w:proofErr w:type="spellStart"/>
      <w:r w:rsidR="001950CC" w:rsidRPr="00270F2A">
        <w:rPr>
          <w:rFonts w:ascii="Times New Roman" w:hAnsi="Times New Roman" w:cs="Times New Roman"/>
          <w:lang w:val="en-US"/>
        </w:rPr>
        <w:t>constitutionnel</w:t>
      </w:r>
      <w:proofErr w:type="spellEnd"/>
      <w:r w:rsidR="001950CC" w:rsidRPr="00270F2A">
        <w:rPr>
          <w:rFonts w:ascii="Times New Roman" w:hAnsi="Times New Roman" w:cs="Times New Roman"/>
          <w:lang w:val="en-US"/>
        </w:rPr>
        <w:t xml:space="preserve"> », </w:t>
      </w:r>
      <w:r w:rsidR="001950CC" w:rsidRPr="00270F2A">
        <w:rPr>
          <w:rFonts w:ascii="Times New Roman" w:hAnsi="Times New Roman" w:cs="Times New Roman"/>
          <w:i/>
          <w:iCs/>
          <w:lang w:val="en-US"/>
        </w:rPr>
        <w:t>op. cit.</w:t>
      </w:r>
      <w:r w:rsidR="001950CC" w:rsidRPr="00270F2A">
        <w:rPr>
          <w:rFonts w:ascii="Times New Roman" w:hAnsi="Times New Roman" w:cs="Times New Roman"/>
          <w:lang w:val="en-US"/>
        </w:rPr>
        <w:t>, p. 127.</w:t>
      </w:r>
    </w:p>
  </w:footnote>
  <w:footnote w:id="24">
    <w:p w14:paraId="3895B18B" w14:textId="4046CDD0"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See for example C.A., judgment no. 34/2000 of 29 March 2000, B.4.2. </w:t>
      </w:r>
    </w:p>
  </w:footnote>
  <w:footnote w:id="25">
    <w:p w14:paraId="210F1B0A" w14:textId="5B5AAFE3"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See for example C.A., judgment no. 62/2002 of 28 March 2002, B.2.5.3. </w:t>
      </w:r>
    </w:p>
  </w:footnote>
  <w:footnote w:id="26">
    <w:p w14:paraId="3C5A5659" w14:textId="3EDF5044"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w:t>
      </w:r>
      <w:r w:rsidRPr="00270F2A">
        <w:rPr>
          <w:rFonts w:ascii="Times New Roman" w:hAnsi="Times New Roman" w:cs="Times New Roman"/>
        </w:rPr>
        <w:t xml:space="preserve">p. 461 </w:t>
      </w:r>
      <w:r w:rsidR="001950CC" w:rsidRPr="00270F2A">
        <w:rPr>
          <w:rFonts w:ascii="Times New Roman" w:hAnsi="Times New Roman" w:cs="Times New Roman"/>
        </w:rPr>
        <w:t xml:space="preserve">and the </w:t>
      </w:r>
      <w:proofErr w:type="spellStart"/>
      <w:r w:rsidR="001950CC" w:rsidRPr="00270F2A">
        <w:rPr>
          <w:rFonts w:ascii="Times New Roman" w:hAnsi="Times New Roman" w:cs="Times New Roman"/>
        </w:rPr>
        <w:t>judgments</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cited</w:t>
      </w:r>
      <w:proofErr w:type="spellEnd"/>
      <w:r w:rsidRPr="00270F2A">
        <w:rPr>
          <w:rFonts w:ascii="Times New Roman" w:hAnsi="Times New Roman" w:cs="Times New Roman"/>
        </w:rPr>
        <w:t>.</w:t>
      </w:r>
    </w:p>
  </w:footnote>
  <w:footnote w:id="27">
    <w:p w14:paraId="7786E415" w14:textId="70BEC8C7"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The Constitutional Court considers itself competent to review special laws, including its own organic law. See M. </w:t>
      </w:r>
      <w:proofErr w:type="spellStart"/>
      <w:r w:rsidR="001950CC" w:rsidRPr="00270F2A">
        <w:rPr>
          <w:rFonts w:ascii="Times New Roman" w:hAnsi="Times New Roman" w:cs="Times New Roman"/>
          <w:smallCaps/>
          <w:lang w:val="en-US"/>
        </w:rPr>
        <w:t>Verdussen</w:t>
      </w:r>
      <w:proofErr w:type="spellEnd"/>
      <w:r w:rsidR="001950CC"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 xml:space="preserve">Justice </w:t>
      </w:r>
      <w:proofErr w:type="spellStart"/>
      <w:r w:rsidR="001950CC" w:rsidRPr="00270F2A">
        <w:rPr>
          <w:rFonts w:ascii="Times New Roman" w:hAnsi="Times New Roman" w:cs="Times New Roman"/>
          <w:i/>
          <w:iCs/>
          <w:lang w:val="en-US"/>
        </w:rPr>
        <w:t>constitutionnelle</w:t>
      </w:r>
      <w:proofErr w:type="spellEnd"/>
      <w:r w:rsidR="001950CC"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op. cit.</w:t>
      </w:r>
      <w:r w:rsidR="001950CC" w:rsidRPr="00270F2A">
        <w:rPr>
          <w:rFonts w:ascii="Times New Roman" w:hAnsi="Times New Roman" w:cs="Times New Roman"/>
          <w:lang w:val="en-US"/>
        </w:rPr>
        <w:t>, pp. 104-106 and the judgments cited.</w:t>
      </w:r>
    </w:p>
  </w:footnote>
  <w:footnote w:id="28">
    <w:p w14:paraId="04900C58" w14:textId="4D315024" w:rsidR="001950CC" w:rsidRPr="00270F2A" w:rsidRDefault="001950CC"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It is the Council of Ministers</w:t>
      </w:r>
      <w:r w:rsidR="00270F2A" w:rsidRPr="00270F2A">
        <w:rPr>
          <w:rFonts w:ascii="Times New Roman" w:hAnsi="Times New Roman" w:cs="Times New Roman"/>
          <w:lang w:val="en-US"/>
        </w:rPr>
        <w:t xml:space="preserve">, </w:t>
      </w:r>
      <w:r w:rsidRPr="00270F2A">
        <w:rPr>
          <w:rFonts w:ascii="Times New Roman" w:hAnsi="Times New Roman" w:cs="Times New Roman"/>
          <w:lang w:val="en-US"/>
        </w:rPr>
        <w:t xml:space="preserve">the Government of a Community or Region and the presidents of the legislative assemblies at the request of two-thirds of their members. </w:t>
      </w:r>
    </w:p>
  </w:footnote>
  <w:footnote w:id="29">
    <w:p w14:paraId="4421AD26" w14:textId="271BF90F"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C.A., judgment no. 201/2004 of 15 December 2004, </w:t>
      </w:r>
      <w:r w:rsidRPr="00270F2A">
        <w:rPr>
          <w:rFonts w:ascii="Times New Roman" w:hAnsi="Times New Roman" w:cs="Times New Roman"/>
          <w:lang w:val="en-US"/>
        </w:rPr>
        <w:t xml:space="preserve">B.8.3. </w:t>
      </w:r>
    </w:p>
  </w:footnote>
  <w:footnote w:id="30">
    <w:p w14:paraId="5E0F6726" w14:textId="3C51A936" w:rsidR="00950962" w:rsidRPr="00270F2A" w:rsidRDefault="00950962" w:rsidP="00270F2A">
      <w:pPr>
        <w:jc w:val="both"/>
        <w:rPr>
          <w:rFonts w:ascii="Times New Roman" w:hAnsi="Times New Roman" w:cs="Times New Roman"/>
          <w:sz w:val="20"/>
          <w:szCs w:val="20"/>
          <w:lang w:val="en-US"/>
        </w:rPr>
      </w:pPr>
      <w:r w:rsidRPr="00270F2A">
        <w:rPr>
          <w:rStyle w:val="Appelnotedebasdep"/>
          <w:rFonts w:ascii="Times New Roman" w:hAnsi="Times New Roman" w:cs="Times New Roman"/>
          <w:sz w:val="20"/>
          <w:szCs w:val="20"/>
        </w:rPr>
        <w:footnoteRef/>
      </w:r>
      <w:r w:rsidRPr="00270F2A">
        <w:rPr>
          <w:rFonts w:ascii="Times New Roman" w:hAnsi="Times New Roman" w:cs="Times New Roman"/>
          <w:sz w:val="20"/>
          <w:szCs w:val="20"/>
          <w:lang w:val="en-US"/>
        </w:rPr>
        <w:t xml:space="preserve"> </w:t>
      </w:r>
      <w:r w:rsidR="001950CC" w:rsidRPr="00270F2A">
        <w:rPr>
          <w:rFonts w:ascii="Times New Roman" w:hAnsi="Times New Roman" w:cs="Times New Roman"/>
          <w:sz w:val="20"/>
          <w:szCs w:val="20"/>
          <w:lang w:val="en-US"/>
        </w:rPr>
        <w:t>Nevertheless, it remains, formally, a legislative provision, so that the law, including insofar as it takes up a choice of the Constituent, may be subject to the preventive control of the Legislation Section of the Council of State, in the cases referred to in the laws on the Council of State, coordinated on 12 January 1973 (</w:t>
      </w:r>
      <w:proofErr w:type="spellStart"/>
      <w:r w:rsidR="001950CC" w:rsidRPr="00270F2A">
        <w:rPr>
          <w:rFonts w:ascii="Times New Roman" w:hAnsi="Times New Roman" w:cs="Times New Roman"/>
          <w:i/>
          <w:iCs/>
          <w:sz w:val="20"/>
          <w:szCs w:val="20"/>
          <w:lang w:val="en-US"/>
        </w:rPr>
        <w:t>Moniteur</w:t>
      </w:r>
      <w:proofErr w:type="spellEnd"/>
      <w:r w:rsidR="001950CC" w:rsidRPr="00270F2A">
        <w:rPr>
          <w:rFonts w:ascii="Times New Roman" w:hAnsi="Times New Roman" w:cs="Times New Roman"/>
          <w:i/>
          <w:iCs/>
          <w:sz w:val="20"/>
          <w:szCs w:val="20"/>
          <w:lang w:val="en-US"/>
        </w:rPr>
        <w:t xml:space="preserve"> </w:t>
      </w:r>
      <w:proofErr w:type="spellStart"/>
      <w:r w:rsidR="001950CC" w:rsidRPr="00270F2A">
        <w:rPr>
          <w:rFonts w:ascii="Times New Roman" w:hAnsi="Times New Roman" w:cs="Times New Roman"/>
          <w:i/>
          <w:iCs/>
          <w:sz w:val="20"/>
          <w:szCs w:val="20"/>
          <w:lang w:val="en-US"/>
        </w:rPr>
        <w:t>belge</w:t>
      </w:r>
      <w:proofErr w:type="spellEnd"/>
      <w:r w:rsidR="001950CC" w:rsidRPr="00270F2A">
        <w:rPr>
          <w:rFonts w:ascii="Times New Roman" w:hAnsi="Times New Roman" w:cs="Times New Roman"/>
          <w:sz w:val="20"/>
          <w:szCs w:val="20"/>
          <w:lang w:val="en-US"/>
        </w:rPr>
        <w:t xml:space="preserve">, 21 March 1973). </w:t>
      </w:r>
    </w:p>
  </w:footnote>
  <w:footnote w:id="31">
    <w:p w14:paraId="73DE7BC0" w14:textId="675C305F"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proofErr w:type="spellStart"/>
      <w:r w:rsidR="001950CC" w:rsidRPr="00270F2A">
        <w:rPr>
          <w:rFonts w:ascii="Times New Roman" w:hAnsi="Times New Roman" w:cs="Times New Roman"/>
          <w:i/>
          <w:iCs/>
          <w:lang w:val="en-US"/>
        </w:rPr>
        <w:t>Moniteur</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belge</w:t>
      </w:r>
      <w:proofErr w:type="spellEnd"/>
      <w:r w:rsidR="001950CC" w:rsidRPr="00270F2A">
        <w:rPr>
          <w:rFonts w:ascii="Times New Roman" w:hAnsi="Times New Roman" w:cs="Times New Roman"/>
          <w:lang w:val="en-US"/>
        </w:rPr>
        <w:t xml:space="preserve">, 8 April 1847.  </w:t>
      </w:r>
    </w:p>
  </w:footnote>
  <w:footnote w:id="32">
    <w:p w14:paraId="06DC5446" w14:textId="13076BD5"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157/2021 of 28 October 2021, </w:t>
      </w:r>
      <w:r w:rsidRPr="00270F2A">
        <w:rPr>
          <w:rFonts w:ascii="Times New Roman" w:hAnsi="Times New Roman" w:cs="Times New Roman"/>
          <w:lang w:val="en-US"/>
        </w:rPr>
        <w:t>B.10.1, al. 1</w:t>
      </w:r>
      <w:r w:rsidR="001950CC" w:rsidRPr="00270F2A">
        <w:rPr>
          <w:rFonts w:ascii="Times New Roman" w:hAnsi="Times New Roman" w:cs="Times New Roman"/>
          <w:lang w:val="en-US"/>
        </w:rPr>
        <w:t xml:space="preserve">. </w:t>
      </w:r>
    </w:p>
  </w:footnote>
  <w:footnote w:id="33">
    <w:p w14:paraId="5C2F2A3B" w14:textId="5AAF4DF4"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157/2021 of 28 October 2021, </w:t>
      </w:r>
      <w:r w:rsidRPr="00270F2A">
        <w:rPr>
          <w:rFonts w:ascii="Times New Roman" w:hAnsi="Times New Roman" w:cs="Times New Roman"/>
          <w:lang w:val="en-US"/>
        </w:rPr>
        <w:t>B.10.2.</w:t>
      </w:r>
    </w:p>
  </w:footnote>
  <w:footnote w:id="34">
    <w:p w14:paraId="58391D6A" w14:textId="71F1A88C"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P. </w:t>
      </w:r>
      <w:r w:rsidR="001950CC" w:rsidRPr="00270F2A">
        <w:rPr>
          <w:rFonts w:ascii="Times New Roman" w:hAnsi="Times New Roman" w:cs="Times New Roman"/>
          <w:smallCaps/>
        </w:rPr>
        <w:t>Martens</w:t>
      </w:r>
      <w:r w:rsidR="001950CC" w:rsidRPr="00270F2A">
        <w:rPr>
          <w:rFonts w:ascii="Times New Roman" w:hAnsi="Times New Roman" w:cs="Times New Roman"/>
        </w:rPr>
        <w:t xml:space="preserve">,  “La Cour constitutionnelle pratique-t-elle l’auto-restriction ?”,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513-514 ; M.-F. </w:t>
      </w:r>
      <w:proofErr w:type="spellStart"/>
      <w:r w:rsidR="001950CC" w:rsidRPr="00270F2A">
        <w:rPr>
          <w:rFonts w:ascii="Times New Roman" w:hAnsi="Times New Roman" w:cs="Times New Roman"/>
          <w:smallCaps/>
        </w:rPr>
        <w:t>Rigaux</w:t>
      </w:r>
      <w:proofErr w:type="spellEnd"/>
      <w:r w:rsidR="001950CC" w:rsidRPr="00270F2A">
        <w:rPr>
          <w:rFonts w:ascii="Times New Roman" w:hAnsi="Times New Roman" w:cs="Times New Roman"/>
        </w:rPr>
        <w:t xml:space="preserve"> and B. </w:t>
      </w:r>
      <w:r w:rsidR="001950CC" w:rsidRPr="00270F2A">
        <w:rPr>
          <w:rFonts w:ascii="Times New Roman" w:hAnsi="Times New Roman" w:cs="Times New Roman"/>
          <w:smallCaps/>
        </w:rPr>
        <w:t>Renauld</w:t>
      </w:r>
      <w:r w:rsidR="001950CC" w:rsidRPr="00270F2A">
        <w:rPr>
          <w:rFonts w:ascii="Times New Roman" w:hAnsi="Times New Roman" w:cs="Times New Roman"/>
        </w:rPr>
        <w:t xml:space="preserve">, </w:t>
      </w:r>
      <w:r w:rsidR="001950CC" w:rsidRPr="00270F2A">
        <w:rPr>
          <w:rFonts w:ascii="Times New Roman" w:hAnsi="Times New Roman" w:cs="Times New Roman"/>
          <w:i/>
          <w:iCs/>
        </w:rPr>
        <w:t>La Cour constitutionnelle</w:t>
      </w:r>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w:t>
      </w:r>
      <w:r w:rsidRPr="00270F2A">
        <w:rPr>
          <w:rFonts w:ascii="Times New Roman" w:hAnsi="Times New Roman" w:cs="Times New Roman"/>
        </w:rPr>
        <w:t>p. 63</w:t>
      </w:r>
      <w:r w:rsidR="001950CC" w:rsidRPr="00270F2A">
        <w:rPr>
          <w:rFonts w:ascii="Times New Roman" w:hAnsi="Times New Roman" w:cs="Times New Roman"/>
        </w:rPr>
        <w:t xml:space="preserve">. </w:t>
      </w:r>
      <w:r w:rsidR="001950CC" w:rsidRPr="00270F2A">
        <w:rPr>
          <w:rFonts w:ascii="Times New Roman" w:hAnsi="Times New Roman" w:cs="Times New Roman"/>
          <w:lang w:val="en-US"/>
        </w:rPr>
        <w:t>See C.A., judgment no.</w:t>
      </w:r>
      <w:r w:rsidRPr="00270F2A">
        <w:rPr>
          <w:rFonts w:ascii="Times New Roman" w:hAnsi="Times New Roman" w:cs="Times New Roman"/>
          <w:lang w:val="en-US"/>
        </w:rPr>
        <w:t xml:space="preserve"> 3/2001 </w:t>
      </w:r>
      <w:r w:rsidR="001950CC" w:rsidRPr="00270F2A">
        <w:rPr>
          <w:rFonts w:ascii="Times New Roman" w:hAnsi="Times New Roman" w:cs="Times New Roman"/>
          <w:lang w:val="en-US"/>
        </w:rPr>
        <w:t xml:space="preserve">of 25 January 2001, </w:t>
      </w:r>
      <w:r w:rsidRPr="00270F2A">
        <w:rPr>
          <w:rFonts w:ascii="Times New Roman" w:hAnsi="Times New Roman" w:cs="Times New Roman"/>
          <w:lang w:val="en-US"/>
        </w:rPr>
        <w:t xml:space="preserve">B.31 </w:t>
      </w:r>
      <w:r w:rsidR="001950CC" w:rsidRPr="00270F2A">
        <w:rPr>
          <w:rFonts w:ascii="Times New Roman" w:hAnsi="Times New Roman" w:cs="Times New Roman"/>
          <w:lang w:val="en-US"/>
        </w:rPr>
        <w:t>and C.A., judgment n°</w:t>
      </w:r>
      <w:r w:rsidRPr="00270F2A">
        <w:rPr>
          <w:rFonts w:ascii="Times New Roman" w:hAnsi="Times New Roman" w:cs="Times New Roman"/>
          <w:lang w:val="en-US"/>
        </w:rPr>
        <w:t xml:space="preserve"> 31/96 </w:t>
      </w:r>
      <w:r w:rsidR="001950CC" w:rsidRPr="00270F2A">
        <w:rPr>
          <w:rFonts w:ascii="Times New Roman" w:hAnsi="Times New Roman" w:cs="Times New Roman"/>
          <w:lang w:val="en-US"/>
        </w:rPr>
        <w:t xml:space="preserve">of 15 May 1996, </w:t>
      </w:r>
      <w:r w:rsidRPr="00270F2A">
        <w:rPr>
          <w:rFonts w:ascii="Times New Roman" w:hAnsi="Times New Roman" w:cs="Times New Roman"/>
          <w:lang w:val="en-US"/>
        </w:rPr>
        <w:t xml:space="preserve">B.1.2. </w:t>
      </w:r>
    </w:p>
  </w:footnote>
  <w:footnote w:id="35">
    <w:p w14:paraId="4444AA56" w14:textId="4ED788DB"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Law of 29 May 1959 amending certain provisions of the education legislation, </w:t>
      </w:r>
      <w:proofErr w:type="spellStart"/>
      <w:r w:rsidR="001950CC" w:rsidRPr="00270F2A">
        <w:rPr>
          <w:rFonts w:ascii="Times New Roman" w:hAnsi="Times New Roman" w:cs="Times New Roman"/>
          <w:i/>
          <w:iCs/>
          <w:lang w:val="en-US"/>
        </w:rPr>
        <w:t>Moniteur</w:t>
      </w:r>
      <w:proofErr w:type="spellEnd"/>
      <w:r w:rsidR="001950CC" w:rsidRPr="00270F2A">
        <w:rPr>
          <w:rFonts w:ascii="Times New Roman" w:hAnsi="Times New Roman" w:cs="Times New Roman"/>
          <w:i/>
          <w:iCs/>
          <w:lang w:val="en-US"/>
        </w:rPr>
        <w:t xml:space="preserve"> </w:t>
      </w:r>
      <w:proofErr w:type="spellStart"/>
      <w:r w:rsidR="001950CC" w:rsidRPr="00270F2A">
        <w:rPr>
          <w:rFonts w:ascii="Times New Roman" w:hAnsi="Times New Roman" w:cs="Times New Roman"/>
          <w:i/>
          <w:iCs/>
          <w:lang w:val="en-US"/>
        </w:rPr>
        <w:t>belge</w:t>
      </w:r>
      <w:proofErr w:type="spellEnd"/>
      <w:r w:rsidR="001950CC" w:rsidRPr="00270F2A">
        <w:rPr>
          <w:rFonts w:ascii="Times New Roman" w:hAnsi="Times New Roman" w:cs="Times New Roman"/>
          <w:lang w:val="en-US"/>
        </w:rPr>
        <w:t xml:space="preserve">, 19 June 1959. </w:t>
      </w:r>
    </w:p>
  </w:footnote>
  <w:footnote w:id="36">
    <w:p w14:paraId="291B72C2" w14:textId="12E3101C"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This principle is considered a general principle of law, with constitutional value according to some.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J. </w:t>
      </w:r>
      <w:proofErr w:type="spellStart"/>
      <w:r w:rsidR="001950CC" w:rsidRPr="00270F2A">
        <w:rPr>
          <w:rFonts w:ascii="Times New Roman" w:hAnsi="Times New Roman" w:cs="Times New Roman"/>
          <w:smallCaps/>
        </w:rPr>
        <w:t>V</w:t>
      </w:r>
      <w:r w:rsidRPr="00270F2A">
        <w:rPr>
          <w:rFonts w:ascii="Times New Roman" w:hAnsi="Times New Roman" w:cs="Times New Roman"/>
          <w:smallCaps/>
        </w:rPr>
        <w:t>elaers</w:t>
      </w:r>
      <w:proofErr w:type="spellEnd"/>
      <w:r w:rsidR="001950CC" w:rsidRPr="00270F2A">
        <w:rPr>
          <w:rFonts w:ascii="Times New Roman" w:hAnsi="Times New Roman" w:cs="Times New Roman"/>
        </w:rPr>
        <w:t xml:space="preserve">, “Les principes généraux du droit à ‘valeur constitutionnelle’ : des incontournables de notre ordre constitutionnel”, in: I. Hachez, Y. </w:t>
      </w:r>
      <w:proofErr w:type="spellStart"/>
      <w:r w:rsidR="001950CC" w:rsidRPr="00270F2A">
        <w:rPr>
          <w:rFonts w:ascii="Times New Roman" w:hAnsi="Times New Roman" w:cs="Times New Roman"/>
        </w:rPr>
        <w:t>Cartuyvels</w:t>
      </w:r>
      <w:proofErr w:type="spellEnd"/>
      <w:r w:rsidR="001950CC" w:rsidRPr="00270F2A">
        <w:rPr>
          <w:rFonts w:ascii="Times New Roman" w:hAnsi="Times New Roman" w:cs="Times New Roman"/>
        </w:rPr>
        <w:t xml:space="preserve">, H. Dumont, P. Gérard, F. Ost and M. van de </w:t>
      </w:r>
      <w:proofErr w:type="spellStart"/>
      <w:r w:rsidR="001950CC" w:rsidRPr="00270F2A">
        <w:rPr>
          <w:rFonts w:ascii="Times New Roman" w:hAnsi="Times New Roman" w:cs="Times New Roman"/>
        </w:rPr>
        <w:t>Kherchove</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Les sources du droit revisitées</w:t>
      </w:r>
      <w:r w:rsidR="001950CC" w:rsidRPr="00270F2A">
        <w:rPr>
          <w:rFonts w:ascii="Times New Roman" w:hAnsi="Times New Roman" w:cs="Times New Roman"/>
        </w:rPr>
        <w:t xml:space="preserve">, v. 1, </w:t>
      </w:r>
      <w:r w:rsidR="001950CC" w:rsidRPr="00270F2A">
        <w:rPr>
          <w:rFonts w:ascii="Times New Roman" w:hAnsi="Times New Roman" w:cs="Times New Roman"/>
          <w:i/>
          <w:iCs/>
        </w:rPr>
        <w:t>Normes internationales et constitutionnelles</w:t>
      </w:r>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Limal</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Anthemis</w:t>
      </w:r>
      <w:proofErr w:type="spellEnd"/>
      <w:r w:rsidR="001950CC" w:rsidRPr="00270F2A">
        <w:rPr>
          <w:rFonts w:ascii="Times New Roman" w:hAnsi="Times New Roman" w:cs="Times New Roman"/>
        </w:rPr>
        <w:t xml:space="preserve">, 2012, pp. 554-555. </w:t>
      </w:r>
    </w:p>
  </w:footnote>
  <w:footnote w:id="37">
    <w:p w14:paraId="28B8A14F" w14:textId="382FB41C"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45/2017 of 27 April 2017, B.6.2-B.8.4. </w:t>
      </w:r>
    </w:p>
  </w:footnote>
  <w:footnote w:id="38">
    <w:p w14:paraId="345B4192" w14:textId="6F43A16E"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45/2017 of 27 April 2017, B.9.1. </w:t>
      </w:r>
    </w:p>
  </w:footnote>
  <w:footnote w:id="39">
    <w:p w14:paraId="08BF6365" w14:textId="172D7248"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Y. </w:t>
      </w:r>
      <w:r w:rsidR="001950CC" w:rsidRPr="00270F2A">
        <w:rPr>
          <w:rFonts w:ascii="Times New Roman" w:hAnsi="Times New Roman" w:cs="Times New Roman"/>
          <w:smallCaps/>
        </w:rPr>
        <w:t>Lejeune</w:t>
      </w:r>
      <w:r w:rsidR="001950CC" w:rsidRPr="00270F2A">
        <w:rPr>
          <w:rFonts w:ascii="Times New Roman" w:hAnsi="Times New Roman" w:cs="Times New Roman"/>
        </w:rPr>
        <w:t xml:space="preserve">, </w:t>
      </w:r>
      <w:r w:rsidR="001950CC" w:rsidRPr="00270F2A">
        <w:rPr>
          <w:rFonts w:ascii="Times New Roman" w:hAnsi="Times New Roman" w:cs="Times New Roman"/>
          <w:i/>
          <w:iCs/>
        </w:rPr>
        <w:t>Droit constitutionnel belge. Fondements et institutions</w:t>
      </w:r>
      <w:r w:rsidR="001950CC" w:rsidRPr="00270F2A">
        <w:rPr>
          <w:rFonts w:ascii="Times New Roman" w:hAnsi="Times New Roman" w:cs="Times New Roman"/>
        </w:rPr>
        <w:t>, 3</w:t>
      </w:r>
      <w:r w:rsidR="001950CC" w:rsidRPr="00270F2A">
        <w:rPr>
          <w:rFonts w:ascii="Times New Roman" w:hAnsi="Times New Roman" w:cs="Times New Roman"/>
          <w:vertAlign w:val="superscript"/>
        </w:rPr>
        <w:t>rd</w:t>
      </w:r>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edition</w:t>
      </w:r>
      <w:proofErr w:type="spellEnd"/>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xml:space="preserve">, 2017, pp. 106-110. </w:t>
      </w:r>
    </w:p>
  </w:footnote>
  <w:footnote w:id="40">
    <w:p w14:paraId="6ACF8FC3" w14:textId="43C6A25E"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126/2016 of 6 October 2016, B.7.2 (free translation). It should be noted that in general, the Court attaches great importance to preparatory work in its interpretation of legislative norms.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T. </w:t>
      </w:r>
      <w:proofErr w:type="spellStart"/>
      <w:r w:rsidR="001950CC" w:rsidRPr="00270F2A">
        <w:rPr>
          <w:rFonts w:ascii="Times New Roman" w:hAnsi="Times New Roman" w:cs="Times New Roman"/>
          <w:smallCaps/>
        </w:rPr>
        <w:t>Giet</w:t>
      </w:r>
      <w:proofErr w:type="spellEnd"/>
      <w:r w:rsidR="001950CC" w:rsidRPr="00270F2A">
        <w:rPr>
          <w:rFonts w:ascii="Times New Roman" w:hAnsi="Times New Roman" w:cs="Times New Roman"/>
        </w:rPr>
        <w:t xml:space="preserve"> and G. </w:t>
      </w:r>
      <w:proofErr w:type="spellStart"/>
      <w:r w:rsidR="001950CC" w:rsidRPr="00270F2A">
        <w:rPr>
          <w:rFonts w:ascii="Times New Roman" w:hAnsi="Times New Roman" w:cs="Times New Roman"/>
          <w:smallCaps/>
        </w:rPr>
        <w:t>Rosoux</w:t>
      </w:r>
      <w:proofErr w:type="spellEnd"/>
      <w:r w:rsidR="001950CC" w:rsidRPr="00270F2A">
        <w:rPr>
          <w:rFonts w:ascii="Times New Roman" w:hAnsi="Times New Roman" w:cs="Times New Roman"/>
        </w:rPr>
        <w:t xml:space="preserve">, “Du </w:t>
      </w:r>
      <w:proofErr w:type="spellStart"/>
      <w:r w:rsidR="001950CC" w:rsidRPr="00270F2A">
        <w:rPr>
          <w:rFonts w:ascii="Times New Roman" w:hAnsi="Times New Roman" w:cs="Times New Roman"/>
        </w:rPr>
        <w:t>role</w:t>
      </w:r>
      <w:proofErr w:type="spellEnd"/>
      <w:r w:rsidR="001950CC" w:rsidRPr="00270F2A">
        <w:rPr>
          <w:rFonts w:ascii="Times New Roman" w:hAnsi="Times New Roman" w:cs="Times New Roman"/>
        </w:rPr>
        <w:t xml:space="preserve"> intrinsèquement politique du juge constitutionnel belge. Brèves réflexions sur un lieu commun”, in: G. Grandjean and J. </w:t>
      </w:r>
      <w:proofErr w:type="spellStart"/>
      <w:r w:rsidR="001950CC" w:rsidRPr="00270F2A">
        <w:rPr>
          <w:rFonts w:ascii="Times New Roman" w:hAnsi="Times New Roman" w:cs="Times New Roman"/>
        </w:rPr>
        <w:t>Wildemeersch</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dir</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Les juges : décideurs politiques ? Essai sur le pouvoir politique des juges dans l’exercice de leur fonction</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Bruylant</w:t>
      </w:r>
      <w:proofErr w:type="spellEnd"/>
      <w:r w:rsidR="001950CC" w:rsidRPr="00270F2A">
        <w:rPr>
          <w:rFonts w:ascii="Times New Roman" w:hAnsi="Times New Roman" w:cs="Times New Roman"/>
        </w:rPr>
        <w:t>, 2016, p. 307</w:t>
      </w:r>
    </w:p>
  </w:footnote>
  <w:footnote w:id="41">
    <w:p w14:paraId="5412F760" w14:textId="022A045A"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Preparatory works</w:t>
      </w:r>
      <w:r w:rsidR="001950CC" w:rsidRPr="00270F2A">
        <w:rPr>
          <w:rFonts w:ascii="Times New Roman" w:hAnsi="Times New Roman" w:cs="Times New Roman"/>
          <w:lang w:val="en-US"/>
        </w:rPr>
        <w:t>, Senate, 2013-2014, n° 5-1744/5, pp. 29-30.</w:t>
      </w:r>
    </w:p>
  </w:footnote>
  <w:footnote w:id="42">
    <w:p w14:paraId="43787691" w14:textId="138031D4"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C.C., judgment no. 151/2015 of 19 November 2015: “Although this choice must in principle be made in the text of the Constitution, the preparatory work in the present case may suffice to make this choice clear, since it is undeniably clear from the above-mentioned developments, without these statements being contradicted, that the constituent not only knew about the bill containing the contested provision - introduced at the same time as the proposal to revise Articles 67 and 68 of the Constitution - but also adopted the requirement of a double electoral threshold of 5 per cent as the translation of the constitutional requirement to obtain a seat in each of the three parliaments concerned, in view of Article 68, paragraph 1, subparagraph 4, of the Constitution, as the translation of the constitutional requirement of obtaining a seat in each of the three parliaments concerned, provided for in Article 68, 1st paragraph 4, of the Constitution” (B.11.2, free translation) ; “The Court is not competent to rule on a difference in treatment or on the limitation of a fundamental right that results from a choice that the Constituent himself has made. Since the measure contained in the contested Article 210decies, 2 of the Electoral Code is based on a choice that the Constitution itself has made, it is not for the Court to review this measure” (B.12, free translation).</w:t>
      </w:r>
    </w:p>
  </w:footnote>
  <w:footnote w:id="43">
    <w:p w14:paraId="36E95D4A" w14:textId="0C6A1F6C"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 624.</w:t>
      </w:r>
    </w:p>
  </w:footnote>
  <w:footnote w:id="44">
    <w:p w14:paraId="6100FE81" w14:textId="5102CE17"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270F2A" w:rsidRPr="00270F2A">
        <w:rPr>
          <w:rFonts w:ascii="Times New Roman" w:hAnsi="Times New Roman" w:cs="Times New Roman"/>
          <w:lang w:val="en-US"/>
        </w:rPr>
        <w:t>“The</w:t>
      </w:r>
      <w:r w:rsidR="001950CC" w:rsidRPr="00270F2A">
        <w:rPr>
          <w:rFonts w:ascii="Times New Roman" w:hAnsi="Times New Roman" w:cs="Times New Roman"/>
          <w:lang w:val="en-US"/>
        </w:rPr>
        <w:t xml:space="preserve"> revision of Articles 47 and 48 of the Constitution on 7 July 1988 was primarily intended to allow the electors of Comines-</w:t>
      </w:r>
      <w:proofErr w:type="spellStart"/>
      <w:r w:rsidR="001950CC" w:rsidRPr="00270F2A">
        <w:rPr>
          <w:rFonts w:ascii="Times New Roman" w:hAnsi="Times New Roman" w:cs="Times New Roman"/>
          <w:lang w:val="en-US"/>
        </w:rPr>
        <w:t>Warneton</w:t>
      </w:r>
      <w:proofErr w:type="spellEnd"/>
      <w:r w:rsidR="001950CC" w:rsidRPr="00270F2A">
        <w:rPr>
          <w:rFonts w:ascii="Times New Roman" w:hAnsi="Times New Roman" w:cs="Times New Roman"/>
          <w:lang w:val="en-US"/>
        </w:rPr>
        <w:t xml:space="preserve"> and </w:t>
      </w:r>
      <w:proofErr w:type="spellStart"/>
      <w:r w:rsidR="001950CC" w:rsidRPr="00270F2A">
        <w:rPr>
          <w:rFonts w:ascii="Times New Roman" w:hAnsi="Times New Roman" w:cs="Times New Roman"/>
          <w:lang w:val="en-US"/>
        </w:rPr>
        <w:t>Fourons</w:t>
      </w:r>
      <w:proofErr w:type="spellEnd"/>
      <w:r w:rsidR="001950CC" w:rsidRPr="00270F2A">
        <w:rPr>
          <w:rFonts w:ascii="Times New Roman" w:hAnsi="Times New Roman" w:cs="Times New Roman"/>
          <w:lang w:val="en-US"/>
        </w:rPr>
        <w:t xml:space="preserve"> to vote in the legislative elections in the district of Ypres and Verviers respectively. This was the purpose of deleting the words "for each province" in the first sentence of Article 48 of the Constitution. Since the Constituent Assembly therefore considered that neither the principle of equality nor the principle of the secrecy of the vote were an obstacle to the adoption of the contested provisions, it appears that the scope of the application is to ask the Court to rule on an option that the Constituent Assembly has enshrined, which does not fall within the jurisdiction of the Court” (C.A., judgment n° 18/90 of 23 May 1990, B.14.2, free translation). </w:t>
      </w:r>
    </w:p>
  </w:footnote>
  <w:footnote w:id="45">
    <w:p w14:paraId="1840F141" w14:textId="33BEE68A"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C.A., </w:t>
      </w:r>
      <w:proofErr w:type="spellStart"/>
      <w:r w:rsidR="001950CC" w:rsidRPr="00270F2A">
        <w:rPr>
          <w:rFonts w:ascii="Times New Roman" w:hAnsi="Times New Roman" w:cs="Times New Roman"/>
        </w:rPr>
        <w:t>judgment</w:t>
      </w:r>
      <w:proofErr w:type="spellEnd"/>
      <w:r w:rsidR="001950CC" w:rsidRPr="00270F2A">
        <w:rPr>
          <w:rFonts w:ascii="Times New Roman" w:hAnsi="Times New Roman" w:cs="Times New Roman"/>
        </w:rPr>
        <w:t xml:space="preserve"> no. 3/2001 of 25 </w:t>
      </w:r>
      <w:proofErr w:type="spellStart"/>
      <w:r w:rsidR="001950CC" w:rsidRPr="00270F2A">
        <w:rPr>
          <w:rFonts w:ascii="Times New Roman" w:hAnsi="Times New Roman" w:cs="Times New Roman"/>
        </w:rPr>
        <w:t>January</w:t>
      </w:r>
      <w:proofErr w:type="spellEnd"/>
      <w:r w:rsidR="001950CC" w:rsidRPr="00270F2A">
        <w:rPr>
          <w:rFonts w:ascii="Times New Roman" w:hAnsi="Times New Roman" w:cs="Times New Roman"/>
        </w:rPr>
        <w:t xml:space="preserve"> 2001, B.12 ; 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624-625. </w:t>
      </w:r>
    </w:p>
  </w:footnote>
  <w:footnote w:id="46">
    <w:p w14:paraId="15EA2FAF" w14:textId="358F4759"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M. </w:t>
      </w:r>
      <w:r w:rsidRPr="00270F2A">
        <w:rPr>
          <w:rFonts w:ascii="Times New Roman" w:hAnsi="Times New Roman" w:cs="Times New Roman"/>
          <w:smallCaps/>
        </w:rPr>
        <w:t>Uyttendaele</w:t>
      </w:r>
      <w:r w:rsidRPr="00270F2A">
        <w:rPr>
          <w:rFonts w:ascii="Times New Roman" w:hAnsi="Times New Roman" w:cs="Times New Roman"/>
        </w:rPr>
        <w:t xml:space="preserve">, </w:t>
      </w:r>
      <w:r w:rsidRPr="00270F2A">
        <w:rPr>
          <w:rFonts w:ascii="Times New Roman" w:hAnsi="Times New Roman" w:cs="Times New Roman"/>
          <w:i/>
          <w:iCs/>
        </w:rPr>
        <w:t>Trente leçons de droit constitutionnel</w:t>
      </w:r>
      <w:r w:rsidRPr="00270F2A">
        <w:rPr>
          <w:rFonts w:ascii="Times New Roman" w:hAnsi="Times New Roman" w:cs="Times New Roman"/>
        </w:rPr>
        <w:t>, pp. 759-761.</w:t>
      </w:r>
    </w:p>
  </w:footnote>
  <w:footnote w:id="47">
    <w:p w14:paraId="3A6FB228" w14:textId="72EE7766"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466-470 and the </w:t>
      </w:r>
      <w:proofErr w:type="spellStart"/>
      <w:r w:rsidR="001950CC" w:rsidRPr="00270F2A">
        <w:rPr>
          <w:rFonts w:ascii="Times New Roman" w:hAnsi="Times New Roman" w:cs="Times New Roman"/>
        </w:rPr>
        <w:t>judgments</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cited</w:t>
      </w:r>
      <w:proofErr w:type="spellEnd"/>
      <w:r w:rsidR="001950CC" w:rsidRPr="00270F2A">
        <w:rPr>
          <w:rFonts w:ascii="Times New Roman" w:hAnsi="Times New Roman" w:cs="Times New Roman"/>
        </w:rPr>
        <w:t xml:space="preserve"> ; 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626-630 and the </w:t>
      </w:r>
      <w:proofErr w:type="spellStart"/>
      <w:r w:rsidR="001950CC" w:rsidRPr="00270F2A">
        <w:rPr>
          <w:rFonts w:ascii="Times New Roman" w:hAnsi="Times New Roman" w:cs="Times New Roman"/>
        </w:rPr>
        <w:t>judgments</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cited</w:t>
      </w:r>
      <w:proofErr w:type="spellEnd"/>
      <w:r w:rsidR="001950CC" w:rsidRPr="00270F2A">
        <w:rPr>
          <w:rFonts w:ascii="Times New Roman" w:hAnsi="Times New Roman" w:cs="Times New Roman"/>
        </w:rPr>
        <w:t xml:space="preserve">. </w:t>
      </w:r>
    </w:p>
  </w:footnote>
  <w:footnote w:id="48">
    <w:p w14:paraId="31097F89" w14:textId="023DD1A0"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ibidem</w:t>
      </w:r>
      <w:r w:rsidR="001950CC" w:rsidRPr="00270F2A">
        <w:rPr>
          <w:rFonts w:ascii="Times New Roman" w:hAnsi="Times New Roman" w:cs="Times New Roman"/>
        </w:rPr>
        <w:t>, p. 627.</w:t>
      </w:r>
    </w:p>
  </w:footnote>
  <w:footnote w:id="49">
    <w:p w14:paraId="7349551D" w14:textId="3642B0E1"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B. </w:t>
      </w:r>
      <w:proofErr w:type="spellStart"/>
      <w:r w:rsidR="001950CC" w:rsidRPr="00270F2A">
        <w:rPr>
          <w:rFonts w:ascii="Times New Roman" w:hAnsi="Times New Roman" w:cs="Times New Roman"/>
          <w:smallCaps/>
        </w:rPr>
        <w:t>Blero</w:t>
      </w:r>
      <w:proofErr w:type="spellEnd"/>
      <w:r w:rsidR="001950CC" w:rsidRPr="00270F2A">
        <w:rPr>
          <w:rFonts w:ascii="Times New Roman" w:hAnsi="Times New Roman" w:cs="Times New Roman"/>
        </w:rPr>
        <w:t xml:space="preserve">, “La réforme de l’arrondissement judiciaire de Bruxelles”, </w:t>
      </w:r>
      <w:r w:rsidR="001950CC" w:rsidRPr="00270F2A">
        <w:rPr>
          <w:rFonts w:ascii="Times New Roman" w:hAnsi="Times New Roman" w:cs="Times New Roman"/>
          <w:i/>
          <w:iCs/>
        </w:rPr>
        <w:t>Courrier hebdomadaire du CRISP</w:t>
      </w:r>
      <w:r w:rsidR="001950CC" w:rsidRPr="00270F2A">
        <w:rPr>
          <w:rFonts w:ascii="Times New Roman" w:hAnsi="Times New Roman" w:cs="Times New Roman"/>
        </w:rPr>
        <w:t xml:space="preserve">, 2015, no 2282-2283, p. 11. </w:t>
      </w:r>
      <w:r w:rsidR="001950CC" w:rsidRPr="00270F2A">
        <w:rPr>
          <w:rFonts w:ascii="Times New Roman" w:hAnsi="Times New Roman" w:cs="Times New Roman"/>
          <w:lang w:val="en-US"/>
        </w:rPr>
        <w:t xml:space="preserve">See for example C.C., judgment n° 96/2014 of 30 June 2014, B.65.2. </w:t>
      </w:r>
    </w:p>
  </w:footnote>
  <w:footnote w:id="50">
    <w:p w14:paraId="6F9AB4C5" w14:textId="37854E02"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w:t>
      </w:r>
      <w:r w:rsidRPr="00270F2A">
        <w:rPr>
          <w:rFonts w:ascii="Times New Roman" w:hAnsi="Times New Roman" w:cs="Times New Roman"/>
          <w:lang w:val="en-US"/>
        </w:rPr>
        <w:t>72/2014</w:t>
      </w:r>
      <w:r w:rsidR="001950CC" w:rsidRPr="00270F2A">
        <w:rPr>
          <w:rFonts w:ascii="Times New Roman" w:hAnsi="Times New Roman" w:cs="Times New Roman"/>
          <w:lang w:val="en-US"/>
        </w:rPr>
        <w:t xml:space="preserve"> of 8 May 2014,</w:t>
      </w:r>
      <w:r w:rsidRPr="00270F2A">
        <w:rPr>
          <w:rFonts w:ascii="Times New Roman" w:hAnsi="Times New Roman" w:cs="Times New Roman"/>
          <w:lang w:val="en-US"/>
        </w:rPr>
        <w:t xml:space="preserve"> B.13.4.</w:t>
      </w:r>
    </w:p>
  </w:footnote>
  <w:footnote w:id="51">
    <w:p w14:paraId="02E0E639" w14:textId="2ECE9280"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infra</w:t>
      </w:r>
      <w:r w:rsidR="001950CC" w:rsidRPr="00270F2A">
        <w:rPr>
          <w:rFonts w:ascii="Times New Roman" w:hAnsi="Times New Roman" w:cs="Times New Roman"/>
        </w:rPr>
        <w:t xml:space="preserve">, no. 17. </w:t>
      </w:r>
    </w:p>
  </w:footnote>
  <w:footnote w:id="52">
    <w:p w14:paraId="14ADFAC7" w14:textId="691FA2CC"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N. B. </w:t>
      </w:r>
      <w:r w:rsidRPr="00270F2A">
        <w:rPr>
          <w:rFonts w:ascii="Times New Roman" w:hAnsi="Times New Roman" w:cs="Times New Roman"/>
          <w:smallCaps/>
        </w:rPr>
        <w:t>Bernard</w:t>
      </w:r>
      <w:r w:rsidRPr="00270F2A">
        <w:rPr>
          <w:rFonts w:ascii="Times New Roman" w:hAnsi="Times New Roman" w:cs="Times New Roman"/>
        </w:rPr>
        <w:t xml:space="preserve">, “Les choix </w:t>
      </w:r>
      <w:proofErr w:type="spellStart"/>
      <w:r w:rsidRPr="00270F2A">
        <w:rPr>
          <w:rFonts w:ascii="Times New Roman" w:hAnsi="Times New Roman" w:cs="Times New Roman"/>
        </w:rPr>
        <w:t>légistiques</w:t>
      </w:r>
      <w:proofErr w:type="spellEnd"/>
      <w:r w:rsidRPr="00270F2A">
        <w:rPr>
          <w:rFonts w:ascii="Times New Roman" w:hAnsi="Times New Roman" w:cs="Times New Roman"/>
        </w:rPr>
        <w:t xml:space="preserve"> du Constituant comme limites formelles au contrôle de la Cour constitutionnelle”,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pp. 470, 474-475.</w:t>
      </w:r>
    </w:p>
  </w:footnote>
  <w:footnote w:id="53">
    <w:p w14:paraId="307F9379" w14:textId="271C12DC"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G. </w:t>
      </w:r>
      <w:proofErr w:type="spellStart"/>
      <w:r w:rsidRPr="00270F2A">
        <w:rPr>
          <w:rFonts w:ascii="Times New Roman" w:hAnsi="Times New Roman" w:cs="Times New Roman"/>
          <w:smallCaps/>
        </w:rPr>
        <w:t>Rosoux</w:t>
      </w:r>
      <w:proofErr w:type="spellEnd"/>
      <w:r w:rsidRPr="00270F2A">
        <w:rPr>
          <w:rFonts w:ascii="Times New Roman" w:hAnsi="Times New Roman" w:cs="Times New Roman"/>
        </w:rPr>
        <w:t xml:space="preserve">, </w:t>
      </w:r>
      <w:r w:rsidRPr="00270F2A">
        <w:rPr>
          <w:rFonts w:ascii="Times New Roman" w:hAnsi="Times New Roman" w:cs="Times New Roman"/>
          <w:i/>
          <w:iCs/>
        </w:rPr>
        <w:t>Contentieux constitutionnel</w:t>
      </w:r>
      <w:r w:rsidRPr="00270F2A">
        <w:rPr>
          <w:rFonts w:ascii="Times New Roman" w:hAnsi="Times New Roman" w:cs="Times New Roman"/>
        </w:rPr>
        <w:t xml:space="preserv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p. 134 ;</w:t>
      </w:r>
      <w:r w:rsidRPr="00270F2A">
        <w:rPr>
          <w:rFonts w:ascii="Times New Roman" w:hAnsi="Times New Roman" w:cs="Times New Roman"/>
          <w:i/>
          <w:iCs/>
        </w:rPr>
        <w:t xml:space="preserve"> </w:t>
      </w:r>
      <w:r w:rsidRPr="00270F2A">
        <w:rPr>
          <w:rFonts w:ascii="Times New Roman" w:hAnsi="Times New Roman" w:cs="Times New Roman"/>
        </w:rPr>
        <w:t xml:space="preserve">N. B. </w:t>
      </w:r>
      <w:r w:rsidRPr="00270F2A">
        <w:rPr>
          <w:rFonts w:ascii="Times New Roman" w:hAnsi="Times New Roman" w:cs="Times New Roman"/>
          <w:smallCaps/>
        </w:rPr>
        <w:t>Bernard</w:t>
      </w:r>
      <w:r w:rsidRPr="00270F2A">
        <w:rPr>
          <w:rFonts w:ascii="Times New Roman" w:hAnsi="Times New Roman" w:cs="Times New Roman"/>
        </w:rPr>
        <w:t xml:space="preserve">, “La fin du choix du Constituant dans les travaux préparatoires ?”,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pp. 565-566.</w:t>
      </w:r>
    </w:p>
  </w:footnote>
  <w:footnote w:id="54">
    <w:p w14:paraId="667C142A" w14:textId="31EEC8BC" w:rsidR="00950962" w:rsidRPr="00270F2A" w:rsidRDefault="00950962"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C.C., judgment no. 70/2019 of 23 May 2019, </w:t>
      </w:r>
      <w:r w:rsidRPr="00270F2A">
        <w:rPr>
          <w:rFonts w:ascii="Times New Roman" w:hAnsi="Times New Roman" w:cs="Times New Roman"/>
          <w:lang w:val="en-US"/>
        </w:rPr>
        <w:t xml:space="preserve">B.3.3. </w:t>
      </w:r>
      <w:r w:rsidR="001950CC" w:rsidRPr="00270F2A">
        <w:rPr>
          <w:rFonts w:ascii="Times New Roman" w:hAnsi="Times New Roman" w:cs="Times New Roman"/>
          <w:lang w:val="en-US"/>
        </w:rPr>
        <w:t>See also C.C., judgment n°</w:t>
      </w:r>
      <w:r w:rsidRPr="00270F2A">
        <w:rPr>
          <w:rFonts w:ascii="Times New Roman" w:hAnsi="Times New Roman" w:cs="Times New Roman"/>
          <w:lang w:val="en-US"/>
        </w:rPr>
        <w:t xml:space="preserve"> 68/2020</w:t>
      </w:r>
      <w:r w:rsidR="001950CC" w:rsidRPr="00270F2A">
        <w:rPr>
          <w:rFonts w:ascii="Times New Roman" w:hAnsi="Times New Roman" w:cs="Times New Roman"/>
          <w:lang w:val="en-US"/>
        </w:rPr>
        <w:t xml:space="preserve"> of 14 May 2020, B.2.5.</w:t>
      </w:r>
      <w:r w:rsidR="00270F2A">
        <w:rPr>
          <w:rFonts w:ascii="Times New Roman" w:hAnsi="Times New Roman" w:cs="Times New Roman"/>
          <w:lang w:val="en-US"/>
        </w:rPr>
        <w:t xml:space="preserve"> This statement is new and is not echoed in the case law on the Sixth State Reform.</w:t>
      </w:r>
    </w:p>
  </w:footnote>
  <w:footnote w:id="55">
    <w:p w14:paraId="336A6775" w14:textId="44F1BA71"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Preparatory works</w:t>
      </w:r>
      <w:r w:rsidR="001950CC" w:rsidRPr="00270F2A">
        <w:rPr>
          <w:rFonts w:ascii="Times New Roman" w:hAnsi="Times New Roman" w:cs="Times New Roman"/>
          <w:lang w:val="en-US"/>
        </w:rPr>
        <w:t xml:space="preserve">, Senate, 2012-2013, n° 5-2242/1, pp. 1-2. </w:t>
      </w:r>
    </w:p>
  </w:footnote>
  <w:footnote w:id="56">
    <w:p w14:paraId="51A114F4" w14:textId="56E6F377"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i/>
          <w:iCs/>
          <w:lang w:val="en-US"/>
        </w:rPr>
        <w:t>Preparatory works</w:t>
      </w:r>
      <w:r w:rsidR="001950CC" w:rsidRPr="00270F2A">
        <w:rPr>
          <w:rFonts w:ascii="Times New Roman" w:hAnsi="Times New Roman" w:cs="Times New Roman"/>
          <w:lang w:val="en-US"/>
        </w:rPr>
        <w:t xml:space="preserve">, Senate, 2012-2013, n° 5-2242/1, p. 2. </w:t>
      </w:r>
    </w:p>
  </w:footnote>
  <w:footnote w:id="57">
    <w:p w14:paraId="4B653B08" w14:textId="4C42C66A" w:rsidR="00950962" w:rsidRPr="00270F2A" w:rsidRDefault="00950962"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“La fin du choix du Constituant dans les travaux préparatoires ?”,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pp. 565-566.</w:t>
      </w:r>
    </w:p>
  </w:footnote>
  <w:footnote w:id="58">
    <w:p w14:paraId="3462F6F5" w14:textId="2A64C266"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Pr="00270F2A">
        <w:rPr>
          <w:rFonts w:ascii="Times New Roman" w:hAnsi="Times New Roman" w:cs="Times New Roman"/>
        </w:rPr>
        <w:t>Voy</w:t>
      </w:r>
      <w:proofErr w:type="spellEnd"/>
      <w:r w:rsidRPr="00270F2A">
        <w:rPr>
          <w:rFonts w:ascii="Times New Roman" w:hAnsi="Times New Roman" w:cs="Times New Roman"/>
        </w:rPr>
        <w:t xml:space="preserve"> </w:t>
      </w:r>
      <w:r w:rsidRPr="00270F2A">
        <w:rPr>
          <w:rFonts w:ascii="Times New Roman" w:hAnsi="Times New Roman" w:cs="Times New Roman"/>
          <w:i/>
          <w:iCs/>
        </w:rPr>
        <w:t>supra</w:t>
      </w:r>
      <w:r w:rsidR="001950CC" w:rsidRPr="00270F2A">
        <w:rPr>
          <w:rFonts w:ascii="Times New Roman" w:hAnsi="Times New Roman" w:cs="Times New Roman"/>
        </w:rPr>
        <w:t xml:space="preserve">, no. 11. </w:t>
      </w:r>
    </w:p>
  </w:footnote>
  <w:footnote w:id="59">
    <w:p w14:paraId="0B274A5D" w14:textId="643D86C4"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P. </w:t>
      </w:r>
      <w:r w:rsidR="001950CC" w:rsidRPr="00270F2A">
        <w:rPr>
          <w:rFonts w:ascii="Times New Roman" w:hAnsi="Times New Roman" w:cs="Times New Roman"/>
          <w:smallCaps/>
        </w:rPr>
        <w:t xml:space="preserve">De </w:t>
      </w:r>
      <w:proofErr w:type="spellStart"/>
      <w:r w:rsidR="001950CC" w:rsidRPr="00270F2A">
        <w:rPr>
          <w:rFonts w:ascii="Times New Roman" w:hAnsi="Times New Roman" w:cs="Times New Roman"/>
          <w:smallCaps/>
        </w:rPr>
        <w:t>Visscher</w:t>
      </w:r>
      <w:proofErr w:type="spellEnd"/>
      <w:r w:rsidR="001950CC" w:rsidRPr="00270F2A">
        <w:rPr>
          <w:rFonts w:ascii="Times New Roman" w:hAnsi="Times New Roman" w:cs="Times New Roman"/>
        </w:rPr>
        <w:t xml:space="preserve">, “Avant-propos”, in </w:t>
      </w:r>
      <w:r w:rsidR="001950CC" w:rsidRPr="00270F2A">
        <w:rPr>
          <w:rFonts w:ascii="Times New Roman" w:hAnsi="Times New Roman" w:cs="Times New Roman"/>
          <w:i/>
          <w:iCs/>
        </w:rPr>
        <w:t>La Constitution belge révisée</w:t>
      </w:r>
      <w:r w:rsidR="001950CC" w:rsidRPr="00270F2A">
        <w:rPr>
          <w:rFonts w:ascii="Times New Roman" w:hAnsi="Times New Roman" w:cs="Times New Roman"/>
        </w:rPr>
        <w:t xml:space="preserve">, </w:t>
      </w:r>
      <w:r w:rsidR="001950CC" w:rsidRPr="00270F2A">
        <w:rPr>
          <w:rFonts w:ascii="Times New Roman" w:hAnsi="Times New Roman" w:cs="Times New Roman"/>
          <w:i/>
          <w:iCs/>
        </w:rPr>
        <w:t>Annales de Droit de Louvain</w:t>
      </w:r>
      <w:r w:rsidR="001950CC" w:rsidRPr="00270F2A">
        <w:rPr>
          <w:rFonts w:ascii="Times New Roman" w:hAnsi="Times New Roman" w:cs="Times New Roman"/>
        </w:rPr>
        <w:t>, 1972, p. 88.</w:t>
      </w:r>
    </w:p>
  </w:footnote>
  <w:footnote w:id="60">
    <w:p w14:paraId="4AA4075F" w14:textId="3FE92340"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471-472 and the </w:t>
      </w:r>
      <w:proofErr w:type="spellStart"/>
      <w:r w:rsidR="001950CC" w:rsidRPr="00270F2A">
        <w:rPr>
          <w:rFonts w:ascii="Times New Roman" w:hAnsi="Times New Roman" w:cs="Times New Roman"/>
        </w:rPr>
        <w:t>studies</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quoted</w:t>
      </w:r>
      <w:proofErr w:type="spellEnd"/>
      <w:r w:rsidR="001950CC" w:rsidRPr="00270F2A">
        <w:rPr>
          <w:rFonts w:ascii="Times New Roman" w:hAnsi="Times New Roman" w:cs="Times New Roman"/>
        </w:rPr>
        <w:t>.</w:t>
      </w:r>
    </w:p>
  </w:footnote>
  <w:footnote w:id="61">
    <w:p w14:paraId="4E43576D" w14:textId="4C9A6330"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See for example C.C., judgment n° 34/2015 of 12 March 2015, B.4.2; C.C., judgment no. 6/2013 of 14 February 2013, B.26; C.C., judgment n° 121/2008 of 1</w:t>
      </w:r>
      <w:r w:rsidR="001950CC" w:rsidRPr="00270F2A">
        <w:rPr>
          <w:rFonts w:ascii="Times New Roman" w:hAnsi="Times New Roman" w:cs="Times New Roman"/>
          <w:vertAlign w:val="superscript"/>
          <w:lang w:val="en-US"/>
        </w:rPr>
        <w:t>st</w:t>
      </w:r>
      <w:r w:rsidR="001950CC" w:rsidRPr="00270F2A">
        <w:rPr>
          <w:rFonts w:ascii="Times New Roman" w:hAnsi="Times New Roman" w:cs="Times New Roman"/>
          <w:lang w:val="en-US"/>
        </w:rPr>
        <w:t xml:space="preserve"> September 2008, </w:t>
      </w:r>
      <w:r w:rsidR="00270F2A" w:rsidRPr="00270F2A">
        <w:rPr>
          <w:rFonts w:ascii="Times New Roman" w:hAnsi="Times New Roman" w:cs="Times New Roman"/>
          <w:lang w:val="en-US"/>
        </w:rPr>
        <w:t>B.26.3; C.C.</w:t>
      </w:r>
      <w:r w:rsidR="001950CC" w:rsidRPr="00270F2A">
        <w:rPr>
          <w:rFonts w:ascii="Times New Roman" w:hAnsi="Times New Roman" w:cs="Times New Roman"/>
          <w:lang w:val="en-US"/>
        </w:rPr>
        <w:t>, judgment n° 50/2008 of 13 March 2008, B.29; C.A., judgment no. 145/2006 of 28 September 2006, B.16.1-B.16.3; C.A., judgment no. 52/2000 of 3 May 2000, B.7.7; C.A., judgment no. 90/97 of 14 October 1997, B.9.</w:t>
      </w:r>
    </w:p>
  </w:footnote>
  <w:footnote w:id="62">
    <w:p w14:paraId="507A7FDF" w14:textId="23C2CDC0"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See</w:t>
      </w:r>
      <w:r w:rsidRPr="00270F2A">
        <w:rPr>
          <w:rFonts w:ascii="Times New Roman" w:hAnsi="Times New Roman" w:cs="Times New Roman"/>
          <w:lang w:val="en-US"/>
        </w:rPr>
        <w:t xml:space="preserve"> </w:t>
      </w:r>
      <w:r w:rsidRPr="00270F2A">
        <w:rPr>
          <w:rFonts w:ascii="Times New Roman" w:hAnsi="Times New Roman" w:cs="Times New Roman"/>
          <w:i/>
          <w:iCs/>
          <w:lang w:val="en-US"/>
        </w:rPr>
        <w:t>supra</w:t>
      </w:r>
      <w:r w:rsidR="001950CC" w:rsidRPr="00270F2A">
        <w:rPr>
          <w:rFonts w:ascii="Times New Roman" w:hAnsi="Times New Roman" w:cs="Times New Roman"/>
          <w:lang w:val="en-US"/>
        </w:rPr>
        <w:t>, no. 11.</w:t>
      </w:r>
    </w:p>
  </w:footnote>
  <w:footnote w:id="63">
    <w:p w14:paraId="35901082" w14:textId="49C80309" w:rsidR="00D174D3" w:rsidRPr="00270F2A" w:rsidRDefault="00D174D3"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In the case of </w:t>
      </w:r>
      <w:r w:rsidR="001950CC" w:rsidRPr="00270F2A">
        <w:rPr>
          <w:rFonts w:ascii="Times New Roman" w:hAnsi="Times New Roman" w:cs="Times New Roman"/>
          <w:lang w:val="en-GB"/>
        </w:rPr>
        <w:t>bill submitted by parliamentarians (</w:t>
      </w:r>
      <w:r w:rsidR="00270F2A" w:rsidRPr="00270F2A">
        <w:rPr>
          <w:rFonts w:ascii="Times New Roman" w:hAnsi="Times New Roman" w:cs="Times New Roman"/>
          <w:i/>
          <w:iCs/>
          <w:lang w:val="en-GB"/>
        </w:rPr>
        <w:t>private member’s bill</w:t>
      </w:r>
      <w:r w:rsidR="001950CC" w:rsidRPr="00270F2A">
        <w:rPr>
          <w:rFonts w:ascii="Times New Roman" w:hAnsi="Times New Roman" w:cs="Times New Roman"/>
          <w:lang w:val="en-GB"/>
        </w:rPr>
        <w:t xml:space="preserve">). </w:t>
      </w:r>
    </w:p>
  </w:footnote>
  <w:footnote w:id="64">
    <w:p w14:paraId="35F48853" w14:textId="36F001A9" w:rsidR="00D174D3" w:rsidRPr="00270F2A" w:rsidRDefault="00D174D3"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In the case of </w:t>
      </w:r>
      <w:r w:rsidR="001950CC" w:rsidRPr="00270F2A">
        <w:rPr>
          <w:rFonts w:ascii="Times New Roman" w:hAnsi="Times New Roman" w:cs="Times New Roman"/>
          <w:lang w:val="en-US"/>
        </w:rPr>
        <w:t>bill submitted by members of the Government (</w:t>
      </w:r>
      <w:r w:rsidR="00270F2A">
        <w:rPr>
          <w:rFonts w:ascii="Times New Roman" w:hAnsi="Times New Roman" w:cs="Times New Roman"/>
          <w:i/>
          <w:iCs/>
          <w:lang w:val="en-US"/>
        </w:rPr>
        <w:t>Government bill</w:t>
      </w:r>
      <w:r w:rsidR="001950CC" w:rsidRPr="00270F2A">
        <w:rPr>
          <w:rFonts w:ascii="Times New Roman" w:hAnsi="Times New Roman" w:cs="Times New Roman"/>
          <w:lang w:val="en-US"/>
        </w:rPr>
        <w:t xml:space="preserve">). </w:t>
      </w:r>
    </w:p>
  </w:footnote>
  <w:footnote w:id="65">
    <w:p w14:paraId="2889AD2A" w14:textId="112F2227"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proofErr w:type="gramStart"/>
      <w:r w:rsidR="00270F2A" w:rsidRPr="00270F2A">
        <w:rPr>
          <w:rFonts w:ascii="Times New Roman" w:hAnsi="Times New Roman" w:cs="Times New Roman"/>
          <w:lang w:val="en-US"/>
        </w:rPr>
        <w:t>Actually,</w:t>
      </w:r>
      <w:r w:rsidR="001950CC" w:rsidRPr="00270F2A">
        <w:rPr>
          <w:rFonts w:ascii="Times New Roman" w:hAnsi="Times New Roman" w:cs="Times New Roman"/>
          <w:lang w:val="en-US"/>
        </w:rPr>
        <w:t xml:space="preserve"> the</w:t>
      </w:r>
      <w:proofErr w:type="gramEnd"/>
      <w:r w:rsidR="001950CC" w:rsidRPr="00270F2A">
        <w:rPr>
          <w:rFonts w:ascii="Times New Roman" w:hAnsi="Times New Roman" w:cs="Times New Roman"/>
          <w:lang w:val="en-US"/>
        </w:rPr>
        <w:t xml:space="preserve"> Legislation Section of the Council of State has controlled these laws as legislative dispositions. </w:t>
      </w:r>
      <w:proofErr w:type="spellStart"/>
      <w:r w:rsidR="001950CC" w:rsidRPr="00270F2A">
        <w:rPr>
          <w:rFonts w:ascii="Times New Roman" w:hAnsi="Times New Roman" w:cs="Times New Roman"/>
        </w:rPr>
        <w:t>See</w:t>
      </w:r>
      <w:proofErr w:type="spellEnd"/>
      <w:r w:rsidR="001950CC" w:rsidRPr="00270F2A">
        <w:rPr>
          <w:rFonts w:ascii="Times New Roman" w:hAnsi="Times New Roman" w:cs="Times New Roman"/>
        </w:rPr>
        <w:t xml:space="preserve"> 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xml:space="preserve">, pp. 466-469 and the </w:t>
      </w:r>
      <w:proofErr w:type="spellStart"/>
      <w:r w:rsidR="001950CC" w:rsidRPr="00270F2A">
        <w:rPr>
          <w:rFonts w:ascii="Times New Roman" w:hAnsi="Times New Roman" w:cs="Times New Roman"/>
        </w:rPr>
        <w:t>advices</w:t>
      </w:r>
      <w:proofErr w:type="spellEnd"/>
      <w:r w:rsidR="001950CC" w:rsidRPr="00270F2A">
        <w:rPr>
          <w:rFonts w:ascii="Times New Roman" w:hAnsi="Times New Roman" w:cs="Times New Roman"/>
        </w:rPr>
        <w:t xml:space="preserve"> of the </w:t>
      </w:r>
      <w:proofErr w:type="spellStart"/>
      <w:r w:rsidR="001950CC" w:rsidRPr="00270F2A">
        <w:rPr>
          <w:rFonts w:ascii="Times New Roman" w:hAnsi="Times New Roman" w:cs="Times New Roman"/>
        </w:rPr>
        <w:t>Legislation</w:t>
      </w:r>
      <w:proofErr w:type="spellEnd"/>
      <w:r w:rsidR="001950CC" w:rsidRPr="00270F2A">
        <w:rPr>
          <w:rFonts w:ascii="Times New Roman" w:hAnsi="Times New Roman" w:cs="Times New Roman"/>
        </w:rPr>
        <w:t xml:space="preserve"> Section </w:t>
      </w:r>
      <w:proofErr w:type="spellStart"/>
      <w:r w:rsidR="001950CC" w:rsidRPr="00270F2A">
        <w:rPr>
          <w:rFonts w:ascii="Times New Roman" w:hAnsi="Times New Roman" w:cs="Times New Roman"/>
        </w:rPr>
        <w:t>cited</w:t>
      </w:r>
      <w:proofErr w:type="spellEnd"/>
      <w:r w:rsidR="001950CC" w:rsidRPr="00270F2A">
        <w:rPr>
          <w:rFonts w:ascii="Times New Roman" w:hAnsi="Times New Roman" w:cs="Times New Roman"/>
        </w:rPr>
        <w:t xml:space="preserve">. </w:t>
      </w:r>
    </w:p>
  </w:footnote>
  <w:footnote w:id="66">
    <w:p w14:paraId="0209F3AD" w14:textId="0BE5ED74"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European Commission for democracy trough law (Venice Commission), opinion on the revision of the Constitution of Belgium, 15-16 June 2012, §18: “The current version of Article 195 figures, together with the procedure of article V of the United States Constitution of 17 September 1787 and Article 137 of the Dutch Constitution, among the most rigid amendment rules in the contemporary legal world”. </w:t>
      </w:r>
    </w:p>
  </w:footnote>
  <w:footnote w:id="67">
    <w:p w14:paraId="2752DF9B" w14:textId="2FAE8CB9" w:rsidR="007C05E5" w:rsidRPr="00270F2A" w:rsidRDefault="007C05E5" w:rsidP="00270F2A">
      <w:pPr>
        <w:pStyle w:val="Notedebasdepage"/>
        <w:jc w:val="both"/>
        <w:rPr>
          <w:rFonts w:ascii="Times New Roman" w:hAnsi="Times New Roman" w:cs="Times New Roman"/>
          <w:lang w:val="fr-FR"/>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lang w:val="fr-FR"/>
        </w:rPr>
        <w:t xml:space="preserve">F. </w:t>
      </w:r>
      <w:r w:rsidR="001950CC" w:rsidRPr="00270F2A">
        <w:rPr>
          <w:rFonts w:ascii="Times New Roman" w:hAnsi="Times New Roman" w:cs="Times New Roman"/>
          <w:smallCaps/>
          <w:lang w:val="fr-FR"/>
        </w:rPr>
        <w:t>Delpérée</w:t>
      </w:r>
      <w:r w:rsidR="001950CC" w:rsidRPr="00270F2A">
        <w:rPr>
          <w:rFonts w:ascii="Times New Roman" w:hAnsi="Times New Roman" w:cs="Times New Roman"/>
          <w:lang w:val="fr-FR"/>
        </w:rPr>
        <w:t xml:space="preserve">, « Le processus de modification de la Constitution belge », </w:t>
      </w:r>
      <w:r w:rsidR="001950CC" w:rsidRPr="00270F2A">
        <w:rPr>
          <w:rFonts w:ascii="Times New Roman" w:hAnsi="Times New Roman" w:cs="Times New Roman"/>
          <w:i/>
          <w:lang w:val="fr-FR"/>
        </w:rPr>
        <w:t>Revue parlementaire canadienne</w:t>
      </w:r>
      <w:r w:rsidR="001950CC" w:rsidRPr="00270F2A">
        <w:rPr>
          <w:rFonts w:ascii="Times New Roman" w:hAnsi="Times New Roman" w:cs="Times New Roman"/>
          <w:lang w:val="fr-FR"/>
        </w:rPr>
        <w:t xml:space="preserve">, 1991/3, pp. 20 and 22 ; J.-J. </w:t>
      </w:r>
      <w:proofErr w:type="spellStart"/>
      <w:r w:rsidR="001950CC" w:rsidRPr="00270F2A">
        <w:rPr>
          <w:rFonts w:ascii="Times New Roman" w:hAnsi="Times New Roman" w:cs="Times New Roman"/>
          <w:smallCaps/>
          <w:lang w:val="fr-FR"/>
        </w:rPr>
        <w:t>Thonissen</w:t>
      </w:r>
      <w:proofErr w:type="spellEnd"/>
      <w:r w:rsidR="001950CC" w:rsidRPr="00270F2A">
        <w:rPr>
          <w:rFonts w:ascii="Times New Roman" w:hAnsi="Times New Roman" w:cs="Times New Roman"/>
          <w:lang w:val="fr-FR"/>
        </w:rPr>
        <w:t xml:space="preserve">, </w:t>
      </w:r>
      <w:r w:rsidR="001950CC" w:rsidRPr="00270F2A">
        <w:rPr>
          <w:rFonts w:ascii="Times New Roman" w:hAnsi="Times New Roman" w:cs="Times New Roman"/>
          <w:i/>
          <w:lang w:val="fr-FR"/>
        </w:rPr>
        <w:t>La Constitution belge annotée, offrant, sous chaque article, l’état de la doctrine, de la jurisprudence et de la législation</w:t>
      </w:r>
      <w:r w:rsidR="001950CC" w:rsidRPr="00270F2A">
        <w:rPr>
          <w:rFonts w:ascii="Times New Roman" w:hAnsi="Times New Roman" w:cs="Times New Roman"/>
          <w:lang w:val="fr-FR"/>
        </w:rPr>
        <w:t xml:space="preserve">, Hasselt, </w:t>
      </w:r>
      <w:proofErr w:type="spellStart"/>
      <w:r w:rsidR="001950CC" w:rsidRPr="00270F2A">
        <w:rPr>
          <w:rFonts w:ascii="Times New Roman" w:hAnsi="Times New Roman" w:cs="Times New Roman"/>
          <w:lang w:val="fr-FR"/>
        </w:rPr>
        <w:t>Milis</w:t>
      </w:r>
      <w:proofErr w:type="spellEnd"/>
      <w:r w:rsidR="001950CC" w:rsidRPr="00270F2A">
        <w:rPr>
          <w:rFonts w:ascii="Times New Roman" w:hAnsi="Times New Roman" w:cs="Times New Roman"/>
          <w:lang w:val="fr-FR"/>
        </w:rPr>
        <w:t>, 1844, p. 339.</w:t>
      </w:r>
    </w:p>
  </w:footnote>
  <w:footnote w:id="68">
    <w:p w14:paraId="296B77B8" w14:textId="6B4E0636"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H. </w:t>
      </w:r>
      <w:r w:rsidR="001950CC" w:rsidRPr="00270F2A">
        <w:rPr>
          <w:rFonts w:ascii="Times New Roman" w:hAnsi="Times New Roman" w:cs="Times New Roman"/>
          <w:smallCaps/>
        </w:rPr>
        <w:t>Van Impe</w:t>
      </w:r>
      <w:r w:rsidR="001950CC" w:rsidRPr="00270F2A">
        <w:rPr>
          <w:rFonts w:ascii="Times New Roman" w:hAnsi="Times New Roman" w:cs="Times New Roman"/>
        </w:rPr>
        <w:t xml:space="preserve">, </w:t>
      </w:r>
      <w:r w:rsidR="001950CC" w:rsidRPr="00270F2A">
        <w:rPr>
          <w:rFonts w:ascii="Times New Roman" w:hAnsi="Times New Roman" w:cs="Times New Roman"/>
          <w:i/>
        </w:rPr>
        <w:t>Le régime parlementaire en Belgique</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Bruylant</w:t>
      </w:r>
      <w:proofErr w:type="spellEnd"/>
      <w:r w:rsidR="001950CC" w:rsidRPr="00270F2A">
        <w:rPr>
          <w:rFonts w:ascii="Times New Roman" w:hAnsi="Times New Roman" w:cs="Times New Roman"/>
        </w:rPr>
        <w:t>, 1968, pp. 16 and 17 ; O</w:t>
      </w:r>
      <w:r w:rsidR="001950CC" w:rsidRPr="00270F2A">
        <w:rPr>
          <w:rFonts w:ascii="Times New Roman" w:hAnsi="Times New Roman" w:cs="Times New Roman"/>
          <w:lang w:val="fr-FR"/>
        </w:rPr>
        <w:t xml:space="preserve">. </w:t>
      </w:r>
      <w:proofErr w:type="spellStart"/>
      <w:r w:rsidR="001950CC" w:rsidRPr="00270F2A">
        <w:rPr>
          <w:rFonts w:ascii="Times New Roman" w:hAnsi="Times New Roman" w:cs="Times New Roman"/>
          <w:smallCaps/>
          <w:lang w:val="fr-FR"/>
        </w:rPr>
        <w:t>Orban</w:t>
      </w:r>
      <w:proofErr w:type="spellEnd"/>
      <w:r w:rsidR="001950CC" w:rsidRPr="00270F2A">
        <w:rPr>
          <w:rFonts w:ascii="Times New Roman" w:hAnsi="Times New Roman" w:cs="Times New Roman"/>
          <w:lang w:val="fr-FR"/>
        </w:rPr>
        <w:t xml:space="preserve">, </w:t>
      </w:r>
      <w:r w:rsidR="001950CC" w:rsidRPr="00270F2A">
        <w:rPr>
          <w:rFonts w:ascii="Times New Roman" w:hAnsi="Times New Roman" w:cs="Times New Roman"/>
          <w:i/>
          <w:lang w:val="fr-FR"/>
        </w:rPr>
        <w:t>Le droit constitutionnel de la Belgique. t.</w:t>
      </w:r>
      <w:r w:rsidR="001950CC" w:rsidRPr="00270F2A">
        <w:rPr>
          <w:rFonts w:ascii="Times New Roman" w:hAnsi="Times New Roman" w:cs="Times New Roman"/>
          <w:lang w:val="fr-FR"/>
        </w:rPr>
        <w:t xml:space="preserve"> </w:t>
      </w:r>
      <w:r w:rsidR="001950CC" w:rsidRPr="00270F2A">
        <w:rPr>
          <w:rFonts w:ascii="Times New Roman" w:hAnsi="Times New Roman" w:cs="Times New Roman"/>
          <w:i/>
          <w:lang w:val="fr-FR"/>
        </w:rPr>
        <w:t>II. Les pouvoirs de l’Etat</w:t>
      </w:r>
      <w:r w:rsidR="001950CC" w:rsidRPr="00270F2A">
        <w:rPr>
          <w:rFonts w:ascii="Times New Roman" w:hAnsi="Times New Roman" w:cs="Times New Roman"/>
          <w:lang w:val="fr-FR"/>
        </w:rPr>
        <w:t xml:space="preserve">, Liège, </w:t>
      </w:r>
      <w:proofErr w:type="spellStart"/>
      <w:r w:rsidR="001950CC" w:rsidRPr="00270F2A">
        <w:rPr>
          <w:rFonts w:ascii="Times New Roman" w:hAnsi="Times New Roman" w:cs="Times New Roman"/>
          <w:lang w:val="fr-FR"/>
        </w:rPr>
        <w:t>Dessain</w:t>
      </w:r>
      <w:proofErr w:type="spellEnd"/>
      <w:r w:rsidR="001950CC" w:rsidRPr="00270F2A">
        <w:rPr>
          <w:rFonts w:ascii="Times New Roman" w:hAnsi="Times New Roman" w:cs="Times New Roman"/>
          <w:lang w:val="fr-FR"/>
        </w:rPr>
        <w:t xml:space="preserve">, 1906, p. 696. </w:t>
      </w:r>
    </w:p>
  </w:footnote>
  <w:footnote w:id="69">
    <w:p w14:paraId="53254D69" w14:textId="6BF8047D"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 477.</w:t>
      </w:r>
    </w:p>
  </w:footnote>
  <w:footnote w:id="70">
    <w:p w14:paraId="661E359B" w14:textId="68AB54B1"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Y. </w:t>
      </w:r>
      <w:r w:rsidR="001950CC" w:rsidRPr="00270F2A">
        <w:rPr>
          <w:rFonts w:ascii="Times New Roman" w:hAnsi="Times New Roman" w:cs="Times New Roman"/>
          <w:smallCaps/>
        </w:rPr>
        <w:t>Lejeune</w:t>
      </w:r>
      <w:r w:rsidR="001950CC" w:rsidRPr="00270F2A">
        <w:rPr>
          <w:rFonts w:ascii="Times New Roman" w:hAnsi="Times New Roman" w:cs="Times New Roman"/>
        </w:rPr>
        <w:t xml:space="preserve">, </w:t>
      </w:r>
      <w:r w:rsidR="001950CC" w:rsidRPr="00270F2A">
        <w:rPr>
          <w:rFonts w:ascii="Times New Roman" w:hAnsi="Times New Roman" w:cs="Times New Roman"/>
          <w:i/>
          <w:iCs/>
        </w:rPr>
        <w:t>Droit constitutionnel belge. Fondements et institutions</w:t>
      </w:r>
      <w:r w:rsidR="001950CC" w:rsidRPr="00270F2A">
        <w:rPr>
          <w:rFonts w:ascii="Times New Roman" w:hAnsi="Times New Roman" w:cs="Times New Roman"/>
        </w:rPr>
        <w:t xml:space="preserv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 86</w:t>
      </w:r>
    </w:p>
  </w:footnote>
  <w:footnote w:id="71">
    <w:p w14:paraId="584C00FC" w14:textId="166925A8"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pp. 632-633.</w:t>
      </w:r>
    </w:p>
  </w:footnote>
  <w:footnote w:id="72">
    <w:p w14:paraId="667DD3C2" w14:textId="2DBB8E6D"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See for example C.C., judgment n° 58/2014 of 3 April 2014, B.10.2.</w:t>
      </w:r>
    </w:p>
  </w:footnote>
  <w:footnote w:id="73">
    <w:p w14:paraId="50DEB6B0" w14:textId="30B361A1" w:rsidR="007C05E5" w:rsidRPr="0085771D"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 xml:space="preserve">Because the constitutional text only provides for such a possibility regarding legislative provisions. </w:t>
      </w:r>
      <w:proofErr w:type="spellStart"/>
      <w:r w:rsidR="00270F2A" w:rsidRPr="0085771D">
        <w:rPr>
          <w:rFonts w:ascii="Times New Roman" w:hAnsi="Times New Roman" w:cs="Times New Roman"/>
        </w:rPr>
        <w:t>See</w:t>
      </w:r>
      <w:proofErr w:type="spellEnd"/>
      <w:r w:rsidR="00270F2A" w:rsidRPr="0085771D">
        <w:rPr>
          <w:rFonts w:ascii="Times New Roman" w:hAnsi="Times New Roman" w:cs="Times New Roman"/>
        </w:rPr>
        <w:t xml:space="preserve"> Articles 84 and 133 of the Constitution.</w:t>
      </w:r>
    </w:p>
  </w:footnote>
  <w:footnote w:id="74">
    <w:p w14:paraId="45AC3006" w14:textId="1909211D"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Y. </w:t>
      </w:r>
      <w:r w:rsidRPr="00270F2A">
        <w:rPr>
          <w:rFonts w:ascii="Times New Roman" w:hAnsi="Times New Roman" w:cs="Times New Roman"/>
          <w:smallCaps/>
        </w:rPr>
        <w:t>Lejeune</w:t>
      </w:r>
      <w:r w:rsidRPr="00270F2A">
        <w:rPr>
          <w:rFonts w:ascii="Times New Roman" w:hAnsi="Times New Roman" w:cs="Times New Roman"/>
        </w:rPr>
        <w:t xml:space="preserve">, </w:t>
      </w:r>
      <w:r w:rsidRPr="00270F2A">
        <w:rPr>
          <w:rFonts w:ascii="Times New Roman" w:hAnsi="Times New Roman" w:cs="Times New Roman"/>
          <w:i/>
          <w:iCs/>
        </w:rPr>
        <w:t>Droit constitutionnel belge. Fondements et institutions</w:t>
      </w:r>
      <w:r w:rsidRPr="00270F2A">
        <w:rPr>
          <w:rFonts w:ascii="Times New Roman" w:hAnsi="Times New Roman" w:cs="Times New Roman"/>
        </w:rPr>
        <w:t xml:space="preserv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xml:space="preserve">, p. 190 ; </w:t>
      </w:r>
      <w:r w:rsidRPr="00270F2A">
        <w:rPr>
          <w:rFonts w:ascii="Times New Roman" w:hAnsi="Times New Roman" w:cs="Times New Roman"/>
          <w:lang w:val="fr-FR"/>
        </w:rPr>
        <w:t xml:space="preserve">F. </w:t>
      </w:r>
      <w:proofErr w:type="spellStart"/>
      <w:proofErr w:type="gramStart"/>
      <w:r w:rsidRPr="00270F2A">
        <w:rPr>
          <w:rFonts w:ascii="Times New Roman" w:hAnsi="Times New Roman" w:cs="Times New Roman"/>
          <w:smallCaps/>
          <w:lang w:val="fr-FR"/>
        </w:rPr>
        <w:t>Delperee</w:t>
      </w:r>
      <w:proofErr w:type="spellEnd"/>
      <w:r w:rsidRPr="00270F2A">
        <w:rPr>
          <w:rFonts w:ascii="Times New Roman" w:hAnsi="Times New Roman" w:cs="Times New Roman"/>
          <w:lang w:val="fr-FR"/>
        </w:rPr>
        <w:t>,  </w:t>
      </w:r>
      <w:r w:rsidRPr="00270F2A">
        <w:rPr>
          <w:rFonts w:ascii="Times New Roman" w:hAnsi="Times New Roman" w:cs="Times New Roman"/>
        </w:rPr>
        <w:t>“</w:t>
      </w:r>
      <w:proofErr w:type="gramEnd"/>
      <w:r w:rsidRPr="00270F2A">
        <w:rPr>
          <w:rFonts w:ascii="Times New Roman" w:hAnsi="Times New Roman" w:cs="Times New Roman"/>
          <w:lang w:val="fr-FR"/>
        </w:rPr>
        <w:t>La Constitution et son interprétation</w:t>
      </w:r>
      <w:r w:rsidRPr="00270F2A">
        <w:rPr>
          <w:rFonts w:ascii="Times New Roman" w:hAnsi="Times New Roman" w:cs="Times New Roman"/>
        </w:rPr>
        <w:t>”</w:t>
      </w:r>
      <w:r w:rsidRPr="00270F2A">
        <w:rPr>
          <w:rFonts w:ascii="Times New Roman" w:hAnsi="Times New Roman" w:cs="Times New Roman"/>
          <w:lang w:val="fr-FR"/>
        </w:rPr>
        <w:t xml:space="preserve">, in : M. van de </w:t>
      </w:r>
      <w:proofErr w:type="spellStart"/>
      <w:r w:rsidRPr="00270F2A">
        <w:rPr>
          <w:rFonts w:ascii="Times New Roman" w:hAnsi="Times New Roman" w:cs="Times New Roman"/>
          <w:lang w:val="fr-FR"/>
        </w:rPr>
        <w:t>Kerchove</w:t>
      </w:r>
      <w:proofErr w:type="spellEnd"/>
      <w:r w:rsidRPr="00270F2A">
        <w:rPr>
          <w:rFonts w:ascii="Times New Roman" w:hAnsi="Times New Roman" w:cs="Times New Roman"/>
          <w:lang w:val="fr-FR"/>
        </w:rPr>
        <w:t xml:space="preserve"> (</w:t>
      </w:r>
      <w:proofErr w:type="spellStart"/>
      <w:r w:rsidRPr="00270F2A">
        <w:rPr>
          <w:rFonts w:ascii="Times New Roman" w:hAnsi="Times New Roman" w:cs="Times New Roman"/>
          <w:lang w:val="fr-FR"/>
        </w:rPr>
        <w:t>dir</w:t>
      </w:r>
      <w:proofErr w:type="spellEnd"/>
      <w:r w:rsidRPr="00270F2A">
        <w:rPr>
          <w:rFonts w:ascii="Times New Roman" w:hAnsi="Times New Roman" w:cs="Times New Roman"/>
          <w:lang w:val="fr-FR"/>
        </w:rPr>
        <w:t xml:space="preserve">.), </w:t>
      </w:r>
      <w:r w:rsidRPr="00270F2A">
        <w:rPr>
          <w:rFonts w:ascii="Times New Roman" w:hAnsi="Times New Roman" w:cs="Times New Roman"/>
          <w:i/>
          <w:lang w:val="fr-FR"/>
        </w:rPr>
        <w:t>L’interprétation en droit. Approche pluridisciplinaire</w:t>
      </w:r>
      <w:r w:rsidRPr="00270F2A">
        <w:rPr>
          <w:rFonts w:ascii="Times New Roman" w:hAnsi="Times New Roman" w:cs="Times New Roman"/>
          <w:lang w:val="fr-FR"/>
        </w:rPr>
        <w:t xml:space="preserve">, Bruxelles, Publications des Facultés universitaires Saint-Louis, 1978, pp. 191 et 192. </w:t>
      </w:r>
      <w:r w:rsidRPr="00270F2A">
        <w:rPr>
          <w:rFonts w:ascii="Times New Roman" w:hAnsi="Times New Roman" w:cs="Times New Roman"/>
        </w:rPr>
        <w:t xml:space="preserve"> </w:t>
      </w:r>
    </w:p>
  </w:footnote>
  <w:footnote w:id="75">
    <w:p w14:paraId="7F1BE4A2" w14:textId="45AD95A8"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 pouvoir d’interprétation authentique des législateurs”, in : L. </w:t>
      </w:r>
      <w:proofErr w:type="spellStart"/>
      <w:r w:rsidR="001950CC" w:rsidRPr="00270F2A">
        <w:rPr>
          <w:rFonts w:ascii="Times New Roman" w:hAnsi="Times New Roman" w:cs="Times New Roman"/>
        </w:rPr>
        <w:t>Detroux</w:t>
      </w:r>
      <w:proofErr w:type="spellEnd"/>
      <w:r w:rsidR="001950CC" w:rsidRPr="00270F2A">
        <w:rPr>
          <w:rFonts w:ascii="Times New Roman" w:hAnsi="Times New Roman" w:cs="Times New Roman"/>
        </w:rPr>
        <w:t xml:space="preserve">, M. El </w:t>
      </w:r>
      <w:proofErr w:type="spellStart"/>
      <w:r w:rsidR="001950CC" w:rsidRPr="00270F2A">
        <w:rPr>
          <w:rFonts w:ascii="Times New Roman" w:hAnsi="Times New Roman" w:cs="Times New Roman"/>
        </w:rPr>
        <w:t>Behroumi</w:t>
      </w:r>
      <w:proofErr w:type="spellEnd"/>
      <w:r w:rsidR="001950CC" w:rsidRPr="00270F2A">
        <w:rPr>
          <w:rFonts w:ascii="Times New Roman" w:hAnsi="Times New Roman" w:cs="Times New Roman"/>
        </w:rPr>
        <w:t xml:space="preserve"> et B. </w:t>
      </w:r>
      <w:proofErr w:type="spellStart"/>
      <w:r w:rsidR="001950CC" w:rsidRPr="00270F2A">
        <w:rPr>
          <w:rFonts w:ascii="Times New Roman" w:hAnsi="Times New Roman" w:cs="Times New Roman"/>
        </w:rPr>
        <w:t>Lombaert</w:t>
      </w:r>
      <w:proofErr w:type="spellEnd"/>
      <w:r w:rsidR="001950CC" w:rsidRPr="00270F2A">
        <w:rPr>
          <w:rFonts w:ascii="Times New Roman" w:hAnsi="Times New Roman" w:cs="Times New Roman"/>
        </w:rPr>
        <w:t xml:space="preserve"> (</w:t>
      </w:r>
      <w:proofErr w:type="spellStart"/>
      <w:r w:rsidR="001950CC" w:rsidRPr="00270F2A">
        <w:rPr>
          <w:rFonts w:ascii="Times New Roman" w:hAnsi="Times New Roman" w:cs="Times New Roman"/>
        </w:rPr>
        <w:t>dir</w:t>
      </w:r>
      <w:proofErr w:type="spellEnd"/>
      <w:r w:rsidR="001950CC" w:rsidRPr="00270F2A">
        <w:rPr>
          <w:rFonts w:ascii="Times New Roman" w:hAnsi="Times New Roman" w:cs="Times New Roman"/>
        </w:rPr>
        <w:t xml:space="preserve">.), </w:t>
      </w:r>
      <w:r w:rsidR="001950CC" w:rsidRPr="00270F2A">
        <w:rPr>
          <w:rFonts w:ascii="Times New Roman" w:hAnsi="Times New Roman" w:cs="Times New Roman"/>
          <w:i/>
          <w:iCs/>
        </w:rPr>
        <w:t>La légalité. Un principe de la démocratie belge en péril ?</w:t>
      </w:r>
      <w:r w:rsidR="001950CC" w:rsidRPr="00270F2A">
        <w:rPr>
          <w:rFonts w:ascii="Times New Roman" w:hAnsi="Times New Roman" w:cs="Times New Roman"/>
        </w:rPr>
        <w:t xml:space="preserve">, Bruxelles, </w:t>
      </w:r>
      <w:proofErr w:type="spellStart"/>
      <w:r w:rsidR="001950CC" w:rsidRPr="00270F2A">
        <w:rPr>
          <w:rFonts w:ascii="Times New Roman" w:hAnsi="Times New Roman" w:cs="Times New Roman"/>
        </w:rPr>
        <w:t>Larcier</w:t>
      </w:r>
      <w:proofErr w:type="spellEnd"/>
      <w:r w:rsidR="001950CC" w:rsidRPr="00270F2A">
        <w:rPr>
          <w:rFonts w:ascii="Times New Roman" w:hAnsi="Times New Roman" w:cs="Times New Roman"/>
        </w:rPr>
        <w:t>, 2019, pp. 509-510.</w:t>
      </w:r>
    </w:p>
  </w:footnote>
  <w:footnote w:id="76">
    <w:p w14:paraId="10AAFC1E" w14:textId="77777777"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H. </w:t>
      </w:r>
      <w:r w:rsidRPr="00270F2A">
        <w:rPr>
          <w:rFonts w:ascii="Times New Roman" w:hAnsi="Times New Roman" w:cs="Times New Roman"/>
          <w:smallCaps/>
        </w:rPr>
        <w:t>Dumont</w:t>
      </w:r>
      <w:r w:rsidRPr="00270F2A">
        <w:rPr>
          <w:rFonts w:ascii="Times New Roman" w:hAnsi="Times New Roman" w:cs="Times New Roman"/>
        </w:rPr>
        <w:t xml:space="preserve"> and M. </w:t>
      </w:r>
      <w:r w:rsidRPr="00270F2A">
        <w:rPr>
          <w:rFonts w:ascii="Times New Roman" w:hAnsi="Times New Roman" w:cs="Times New Roman"/>
          <w:smallCaps/>
        </w:rPr>
        <w:t>El</w:t>
      </w:r>
      <w:r w:rsidRPr="00270F2A">
        <w:rPr>
          <w:rFonts w:ascii="Times New Roman" w:hAnsi="Times New Roman" w:cs="Times New Roman"/>
        </w:rPr>
        <w:t xml:space="preserve"> </w:t>
      </w:r>
      <w:proofErr w:type="spellStart"/>
      <w:r w:rsidRPr="00270F2A">
        <w:rPr>
          <w:rFonts w:ascii="Times New Roman" w:hAnsi="Times New Roman" w:cs="Times New Roman"/>
          <w:smallCaps/>
        </w:rPr>
        <w:t>Behroumi</w:t>
      </w:r>
      <w:proofErr w:type="spellEnd"/>
      <w:r w:rsidRPr="00270F2A">
        <w:rPr>
          <w:rFonts w:ascii="Times New Roman" w:hAnsi="Times New Roman" w:cs="Times New Roman"/>
        </w:rPr>
        <w:t xml:space="preserve">, </w:t>
      </w:r>
      <w:r w:rsidRPr="00270F2A">
        <w:rPr>
          <w:rFonts w:ascii="Times New Roman" w:hAnsi="Times New Roman" w:cs="Times New Roman"/>
          <w:i/>
          <w:iCs/>
        </w:rPr>
        <w:t>Droit constitutionnel. Approche critique et interdisciplinaire</w:t>
      </w:r>
      <w:r w:rsidRPr="00270F2A">
        <w:rPr>
          <w:rFonts w:ascii="Times New Roman" w:hAnsi="Times New Roman" w:cs="Times New Roman"/>
        </w:rPr>
        <w:t xml:space="preserve">, t. 1, </w:t>
      </w:r>
      <w:r w:rsidRPr="00270F2A">
        <w:rPr>
          <w:rFonts w:ascii="Times New Roman" w:hAnsi="Times New Roman" w:cs="Times New Roman"/>
          <w:i/>
          <w:iCs/>
        </w:rPr>
        <w:t>L’Etat</w:t>
      </w:r>
      <w:r w:rsidRPr="00270F2A">
        <w:rPr>
          <w:rFonts w:ascii="Times New Roman" w:hAnsi="Times New Roman" w:cs="Times New Roman"/>
        </w:rPr>
        <w:t xml:space="preserve">, Bruxelles, </w:t>
      </w:r>
      <w:proofErr w:type="spellStart"/>
      <w:r w:rsidRPr="00270F2A">
        <w:rPr>
          <w:rFonts w:ascii="Times New Roman" w:hAnsi="Times New Roman" w:cs="Times New Roman"/>
        </w:rPr>
        <w:t>Larcier</w:t>
      </w:r>
      <w:proofErr w:type="spellEnd"/>
      <w:r w:rsidRPr="00270F2A">
        <w:rPr>
          <w:rFonts w:ascii="Times New Roman" w:hAnsi="Times New Roman" w:cs="Times New Roman"/>
        </w:rPr>
        <w:t>, 2021, pp. 187-190.</w:t>
      </w:r>
    </w:p>
  </w:footnote>
  <w:footnote w:id="77">
    <w:p w14:paraId="53CD3DA6" w14:textId="255CD134"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G. </w:t>
      </w:r>
      <w:proofErr w:type="spellStart"/>
      <w:r w:rsidRPr="00270F2A">
        <w:rPr>
          <w:rFonts w:ascii="Times New Roman" w:hAnsi="Times New Roman" w:cs="Times New Roman"/>
          <w:smallCaps/>
        </w:rPr>
        <w:t>Rosoux</w:t>
      </w:r>
      <w:proofErr w:type="spellEnd"/>
      <w:r w:rsidRPr="00270F2A">
        <w:rPr>
          <w:rFonts w:ascii="Times New Roman" w:hAnsi="Times New Roman" w:cs="Times New Roman"/>
        </w:rPr>
        <w:t xml:space="preserve">, </w:t>
      </w:r>
      <w:r w:rsidRPr="00270F2A">
        <w:rPr>
          <w:rFonts w:ascii="Times New Roman" w:hAnsi="Times New Roman" w:cs="Times New Roman"/>
          <w:i/>
          <w:iCs/>
        </w:rPr>
        <w:t>Contentieux constitutionnel</w:t>
      </w:r>
      <w:r w:rsidRPr="00270F2A">
        <w:rPr>
          <w:rFonts w:ascii="Times New Roman" w:hAnsi="Times New Roman" w:cs="Times New Roman"/>
        </w:rPr>
        <w:t xml:space="preserv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xml:space="preserve">, p. 131 ; F. </w:t>
      </w:r>
      <w:proofErr w:type="spellStart"/>
      <w:r w:rsidRPr="00270F2A">
        <w:rPr>
          <w:rFonts w:ascii="Times New Roman" w:hAnsi="Times New Roman" w:cs="Times New Roman"/>
          <w:smallCaps/>
        </w:rPr>
        <w:t>Bouhon</w:t>
      </w:r>
      <w:proofErr w:type="spellEnd"/>
      <w:r w:rsidRPr="00270F2A">
        <w:rPr>
          <w:rFonts w:ascii="Times New Roman" w:hAnsi="Times New Roman" w:cs="Times New Roman"/>
        </w:rPr>
        <w:t xml:space="preserve">, “Nomination des bourgmestres et contentieux linguistique en périphérie bruxelloise après la sixième réforme de l’Etat : l’aval de la Cour constitutionnelle et la contribution active du Conseil d’Etat”, </w:t>
      </w:r>
      <w:r w:rsidRPr="00270F2A">
        <w:rPr>
          <w:rFonts w:ascii="Times New Roman" w:hAnsi="Times New Roman" w:cs="Times New Roman"/>
          <w:i/>
          <w:iCs/>
        </w:rPr>
        <w:t>Administration publique</w:t>
      </w:r>
      <w:r w:rsidRPr="00270F2A">
        <w:rPr>
          <w:rFonts w:ascii="Times New Roman" w:hAnsi="Times New Roman" w:cs="Times New Roman"/>
        </w:rPr>
        <w:t>, 2015, p. 9.</w:t>
      </w:r>
    </w:p>
  </w:footnote>
  <w:footnote w:id="78">
    <w:p w14:paraId="1983357A" w14:textId="5689340B"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F. </w:t>
      </w:r>
      <w:proofErr w:type="spellStart"/>
      <w:r w:rsidR="001950CC" w:rsidRPr="00270F2A">
        <w:rPr>
          <w:rFonts w:ascii="Times New Roman" w:hAnsi="Times New Roman" w:cs="Times New Roman"/>
          <w:smallCaps/>
        </w:rPr>
        <w:t>Bouhon</w:t>
      </w:r>
      <w:proofErr w:type="spellEnd"/>
      <w:r w:rsidR="001950CC" w:rsidRPr="00270F2A">
        <w:rPr>
          <w:rFonts w:ascii="Times New Roman" w:hAnsi="Times New Roman" w:cs="Times New Roman"/>
        </w:rPr>
        <w:t xml:space="preserve">, L’immunisation des normes législatives par le choix du Constituant”,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 626.</w:t>
      </w:r>
    </w:p>
  </w:footnote>
  <w:footnote w:id="79">
    <w:p w14:paraId="3292551A" w14:textId="7E0BAD46"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950CC" w:rsidRPr="00270F2A">
        <w:rPr>
          <w:rFonts w:ascii="Times New Roman" w:hAnsi="Times New Roman" w:cs="Times New Roman"/>
        </w:rPr>
        <w:t xml:space="preserve">N. B. </w:t>
      </w:r>
      <w:r w:rsidR="001950CC" w:rsidRPr="00270F2A">
        <w:rPr>
          <w:rFonts w:ascii="Times New Roman" w:hAnsi="Times New Roman" w:cs="Times New Roman"/>
          <w:smallCaps/>
        </w:rPr>
        <w:t>Bernard</w:t>
      </w:r>
      <w:r w:rsidR="001950CC" w:rsidRPr="00270F2A">
        <w:rPr>
          <w:rFonts w:ascii="Times New Roman" w:hAnsi="Times New Roman" w:cs="Times New Roman"/>
        </w:rPr>
        <w:t xml:space="preserve">, “Les choix </w:t>
      </w:r>
      <w:proofErr w:type="spellStart"/>
      <w:r w:rsidR="001950CC" w:rsidRPr="00270F2A">
        <w:rPr>
          <w:rFonts w:ascii="Times New Roman" w:hAnsi="Times New Roman" w:cs="Times New Roman"/>
        </w:rPr>
        <w:t>légistiques</w:t>
      </w:r>
      <w:proofErr w:type="spellEnd"/>
      <w:r w:rsidR="001950CC" w:rsidRPr="00270F2A">
        <w:rPr>
          <w:rFonts w:ascii="Times New Roman" w:hAnsi="Times New Roman" w:cs="Times New Roman"/>
        </w:rPr>
        <w:t xml:space="preserve"> du Constituant comme limites formelles au contrôle de la Cour constitutionnelle”, </w:t>
      </w:r>
      <w:r w:rsidR="001950CC" w:rsidRPr="00270F2A">
        <w:rPr>
          <w:rFonts w:ascii="Times New Roman" w:hAnsi="Times New Roman" w:cs="Times New Roman"/>
          <w:i/>
          <w:iCs/>
        </w:rPr>
        <w:t xml:space="preserve">op. </w:t>
      </w:r>
      <w:proofErr w:type="spellStart"/>
      <w:r w:rsidR="001950CC" w:rsidRPr="00270F2A">
        <w:rPr>
          <w:rFonts w:ascii="Times New Roman" w:hAnsi="Times New Roman" w:cs="Times New Roman"/>
          <w:i/>
          <w:iCs/>
        </w:rPr>
        <w:t>cit</w:t>
      </w:r>
      <w:proofErr w:type="spellEnd"/>
      <w:r w:rsidR="001950CC" w:rsidRPr="00270F2A">
        <w:rPr>
          <w:rFonts w:ascii="Times New Roman" w:hAnsi="Times New Roman" w:cs="Times New Roman"/>
          <w:i/>
          <w:iCs/>
        </w:rPr>
        <w:t>.</w:t>
      </w:r>
      <w:r w:rsidR="001950CC" w:rsidRPr="00270F2A">
        <w:rPr>
          <w:rFonts w:ascii="Times New Roman" w:hAnsi="Times New Roman" w:cs="Times New Roman"/>
        </w:rPr>
        <w:t>, p. 475.</w:t>
      </w:r>
    </w:p>
  </w:footnote>
  <w:footnote w:id="80">
    <w:p w14:paraId="27BE045D" w14:textId="77777777" w:rsidR="001950CC" w:rsidRPr="00270F2A" w:rsidRDefault="001950CC"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Pr="00270F2A">
        <w:rPr>
          <w:rFonts w:ascii="Times New Roman" w:hAnsi="Times New Roman" w:cs="Times New Roman"/>
        </w:rPr>
        <w:t>See</w:t>
      </w:r>
      <w:proofErr w:type="spellEnd"/>
      <w:r w:rsidRPr="00270F2A">
        <w:rPr>
          <w:rFonts w:ascii="Times New Roman" w:hAnsi="Times New Roman" w:cs="Times New Roman"/>
        </w:rPr>
        <w:t xml:space="preserve"> H. </w:t>
      </w:r>
      <w:r w:rsidRPr="00270F2A">
        <w:rPr>
          <w:rFonts w:ascii="Times New Roman" w:hAnsi="Times New Roman" w:cs="Times New Roman"/>
          <w:smallCaps/>
        </w:rPr>
        <w:t>Dumont</w:t>
      </w:r>
      <w:r w:rsidRPr="00270F2A">
        <w:rPr>
          <w:rFonts w:ascii="Times New Roman" w:hAnsi="Times New Roman" w:cs="Times New Roman"/>
        </w:rPr>
        <w:t xml:space="preserve"> and M. </w:t>
      </w:r>
      <w:r w:rsidRPr="00270F2A">
        <w:rPr>
          <w:rFonts w:ascii="Times New Roman" w:hAnsi="Times New Roman" w:cs="Times New Roman"/>
          <w:smallCaps/>
        </w:rPr>
        <w:t>El</w:t>
      </w:r>
      <w:r w:rsidRPr="00270F2A">
        <w:rPr>
          <w:rFonts w:ascii="Times New Roman" w:hAnsi="Times New Roman" w:cs="Times New Roman"/>
        </w:rPr>
        <w:t xml:space="preserve"> </w:t>
      </w:r>
      <w:proofErr w:type="spellStart"/>
      <w:r w:rsidRPr="00270F2A">
        <w:rPr>
          <w:rFonts w:ascii="Times New Roman" w:hAnsi="Times New Roman" w:cs="Times New Roman"/>
          <w:smallCaps/>
        </w:rPr>
        <w:t>Behroumi</w:t>
      </w:r>
      <w:proofErr w:type="spellEnd"/>
      <w:r w:rsidRPr="00270F2A">
        <w:rPr>
          <w:rFonts w:ascii="Times New Roman" w:hAnsi="Times New Roman" w:cs="Times New Roman"/>
        </w:rPr>
        <w:t xml:space="preserve">, </w:t>
      </w:r>
      <w:r w:rsidRPr="00270F2A">
        <w:rPr>
          <w:rFonts w:ascii="Times New Roman" w:hAnsi="Times New Roman" w:cs="Times New Roman"/>
          <w:i/>
          <w:iCs/>
        </w:rPr>
        <w:t>Droit constitutionnel. Approche critique et interdisciplinaire</w:t>
      </w:r>
      <w:r w:rsidRPr="00270F2A">
        <w:rPr>
          <w:rFonts w:ascii="Times New Roman" w:hAnsi="Times New Roman" w:cs="Times New Roman"/>
        </w:rPr>
        <w:t xml:space="preserv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pp. 317-334.</w:t>
      </w:r>
    </w:p>
  </w:footnote>
  <w:footnote w:id="81">
    <w:p w14:paraId="7023F80C" w14:textId="3D7F3186"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US"/>
        </w:rPr>
        <w:t>E.C.H.R. (</w:t>
      </w:r>
      <w:proofErr w:type="spellStart"/>
      <w:r w:rsidR="001950CC" w:rsidRPr="00270F2A">
        <w:rPr>
          <w:rFonts w:ascii="Times New Roman" w:hAnsi="Times New Roman" w:cs="Times New Roman"/>
          <w:lang w:val="en-US"/>
        </w:rPr>
        <w:t>plen</w:t>
      </w:r>
      <w:proofErr w:type="spellEnd"/>
      <w:r w:rsidR="001950CC" w:rsidRPr="00270F2A">
        <w:rPr>
          <w:rFonts w:ascii="Times New Roman" w:hAnsi="Times New Roman" w:cs="Times New Roman"/>
          <w:lang w:val="en-US"/>
        </w:rPr>
        <w:t xml:space="preserve">.), 21 </w:t>
      </w:r>
      <w:proofErr w:type="spellStart"/>
      <w:r w:rsidR="001950CC" w:rsidRPr="00270F2A">
        <w:rPr>
          <w:rFonts w:ascii="Times New Roman" w:hAnsi="Times New Roman" w:cs="Times New Roman"/>
          <w:lang w:val="en-US"/>
        </w:rPr>
        <w:t>Feburary</w:t>
      </w:r>
      <w:proofErr w:type="spellEnd"/>
      <w:r w:rsidR="001950CC" w:rsidRPr="00270F2A">
        <w:rPr>
          <w:rFonts w:ascii="Times New Roman" w:hAnsi="Times New Roman" w:cs="Times New Roman"/>
          <w:lang w:val="en-US"/>
        </w:rPr>
        <w:t xml:space="preserve"> 1975, </w:t>
      </w:r>
      <w:r w:rsidR="001950CC" w:rsidRPr="00270F2A">
        <w:rPr>
          <w:rFonts w:ascii="Times New Roman" w:hAnsi="Times New Roman" w:cs="Times New Roman"/>
          <w:i/>
          <w:iCs/>
          <w:lang w:val="en-US"/>
        </w:rPr>
        <w:t>Golder v. The United Kingdom</w:t>
      </w:r>
      <w:r w:rsidR="001950CC" w:rsidRPr="00270F2A">
        <w:rPr>
          <w:rFonts w:ascii="Times New Roman" w:hAnsi="Times New Roman" w:cs="Times New Roman"/>
          <w:lang w:val="en-US"/>
        </w:rPr>
        <w:t xml:space="preserve">, §§28-36.  </w:t>
      </w:r>
    </w:p>
  </w:footnote>
  <w:footnote w:id="82">
    <w:p w14:paraId="1D6F7F79" w14:textId="7D50C091" w:rsidR="001950CC" w:rsidRPr="0085771D" w:rsidRDefault="001950CC"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85771D">
        <w:rPr>
          <w:rFonts w:ascii="Times New Roman" w:hAnsi="Times New Roman" w:cs="Times New Roman"/>
          <w:lang w:val="en-US"/>
        </w:rPr>
        <w:t xml:space="preserve"> E.C.H.R. (</w:t>
      </w:r>
      <w:proofErr w:type="spellStart"/>
      <w:r w:rsidRPr="0085771D">
        <w:rPr>
          <w:rFonts w:ascii="Times New Roman" w:hAnsi="Times New Roman" w:cs="Times New Roman"/>
          <w:lang w:val="en-US"/>
        </w:rPr>
        <w:t>plen</w:t>
      </w:r>
      <w:proofErr w:type="spellEnd"/>
      <w:r w:rsidRPr="0085771D">
        <w:rPr>
          <w:rFonts w:ascii="Times New Roman" w:hAnsi="Times New Roman" w:cs="Times New Roman"/>
          <w:lang w:val="en-US"/>
        </w:rPr>
        <w:t xml:space="preserve">), 23 June 1993, </w:t>
      </w:r>
      <w:r w:rsidRPr="0085771D">
        <w:rPr>
          <w:rFonts w:ascii="Times New Roman" w:hAnsi="Times New Roman" w:cs="Times New Roman"/>
          <w:i/>
          <w:iCs/>
          <w:lang w:val="en-US"/>
        </w:rPr>
        <w:t>Ruiz-</w:t>
      </w:r>
      <w:proofErr w:type="spellStart"/>
      <w:r w:rsidRPr="0085771D">
        <w:rPr>
          <w:rFonts w:ascii="Times New Roman" w:hAnsi="Times New Roman" w:cs="Times New Roman"/>
          <w:i/>
          <w:iCs/>
          <w:lang w:val="en-US"/>
        </w:rPr>
        <w:t>Mateos</w:t>
      </w:r>
      <w:proofErr w:type="spellEnd"/>
      <w:r w:rsidRPr="0085771D">
        <w:rPr>
          <w:rFonts w:ascii="Times New Roman" w:hAnsi="Times New Roman" w:cs="Times New Roman"/>
          <w:i/>
          <w:iCs/>
          <w:lang w:val="en-US"/>
        </w:rPr>
        <w:t xml:space="preserve"> v. Spain</w:t>
      </w:r>
      <w:r w:rsidRPr="0085771D">
        <w:rPr>
          <w:rFonts w:ascii="Times New Roman" w:hAnsi="Times New Roman" w:cs="Times New Roman"/>
          <w:lang w:val="en-US"/>
        </w:rPr>
        <w:t>, §59.</w:t>
      </w:r>
    </w:p>
  </w:footnote>
  <w:footnote w:id="83">
    <w:p w14:paraId="0BB66BFD" w14:textId="3073B68C"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950CC" w:rsidRPr="00270F2A">
        <w:rPr>
          <w:rFonts w:ascii="Times New Roman" w:hAnsi="Times New Roman" w:cs="Times New Roman"/>
          <w:lang w:val="en-GB"/>
        </w:rPr>
        <w:t xml:space="preserve">See for example E.C.H.R, 7 May 2021, </w:t>
      </w:r>
      <w:r w:rsidR="001950CC" w:rsidRPr="00270F2A">
        <w:rPr>
          <w:rFonts w:ascii="Times New Roman" w:hAnsi="Times New Roman" w:cs="Times New Roman"/>
          <w:i/>
          <w:iCs/>
          <w:lang w:val="en-GB"/>
        </w:rPr>
        <w:t xml:space="preserve">Xero </w:t>
      </w:r>
      <w:proofErr w:type="spellStart"/>
      <w:r w:rsidR="001950CC" w:rsidRPr="00270F2A">
        <w:rPr>
          <w:rFonts w:ascii="Times New Roman" w:hAnsi="Times New Roman" w:cs="Times New Roman"/>
          <w:i/>
          <w:iCs/>
          <w:lang w:val="en-GB"/>
        </w:rPr>
        <w:t>Flor</w:t>
      </w:r>
      <w:proofErr w:type="spellEnd"/>
      <w:r w:rsidR="001950CC" w:rsidRPr="00270F2A">
        <w:rPr>
          <w:rFonts w:ascii="Times New Roman" w:hAnsi="Times New Roman" w:cs="Times New Roman"/>
          <w:i/>
          <w:iCs/>
          <w:lang w:val="en-GB"/>
        </w:rPr>
        <w:t xml:space="preserve"> w </w:t>
      </w:r>
      <w:proofErr w:type="spellStart"/>
      <w:r w:rsidR="001950CC" w:rsidRPr="00270F2A">
        <w:rPr>
          <w:rFonts w:ascii="Times New Roman" w:hAnsi="Times New Roman" w:cs="Times New Roman"/>
          <w:i/>
          <w:iCs/>
          <w:lang w:val="en-GB"/>
        </w:rPr>
        <w:t>Polsce</w:t>
      </w:r>
      <w:proofErr w:type="spellEnd"/>
      <w:r w:rsidR="001950CC" w:rsidRPr="00270F2A">
        <w:rPr>
          <w:rFonts w:ascii="Times New Roman" w:hAnsi="Times New Roman" w:cs="Times New Roman"/>
          <w:i/>
          <w:iCs/>
          <w:lang w:val="en-GB"/>
        </w:rPr>
        <w:t xml:space="preserve"> sp. Z </w:t>
      </w:r>
      <w:proofErr w:type="spellStart"/>
      <w:r w:rsidR="001950CC" w:rsidRPr="00270F2A">
        <w:rPr>
          <w:rFonts w:ascii="Times New Roman" w:hAnsi="Times New Roman" w:cs="Times New Roman"/>
          <w:i/>
          <w:iCs/>
          <w:lang w:val="en-GB"/>
        </w:rPr>
        <w:t>o.o</w:t>
      </w:r>
      <w:proofErr w:type="spellEnd"/>
      <w:r w:rsidR="001950CC" w:rsidRPr="00270F2A">
        <w:rPr>
          <w:rFonts w:ascii="Times New Roman" w:hAnsi="Times New Roman" w:cs="Times New Roman"/>
          <w:i/>
          <w:iCs/>
          <w:lang w:val="en-GB"/>
        </w:rPr>
        <w:t>. v. Poland</w:t>
      </w:r>
      <w:r w:rsidR="001950CC" w:rsidRPr="00270F2A">
        <w:rPr>
          <w:rFonts w:ascii="Times New Roman" w:hAnsi="Times New Roman" w:cs="Times New Roman"/>
          <w:lang w:val="en-GB"/>
        </w:rPr>
        <w:t xml:space="preserve">, §§203-210 and E.C.H.R. (grand chamber), 16 September 1996, </w:t>
      </w:r>
      <w:proofErr w:type="spellStart"/>
      <w:r w:rsidR="001950CC" w:rsidRPr="00270F2A">
        <w:rPr>
          <w:rFonts w:ascii="Times New Roman" w:hAnsi="Times New Roman" w:cs="Times New Roman"/>
          <w:i/>
          <w:iCs/>
          <w:lang w:val="en-GB"/>
        </w:rPr>
        <w:t>Süssmann</w:t>
      </w:r>
      <w:proofErr w:type="spellEnd"/>
      <w:r w:rsidR="001950CC" w:rsidRPr="00270F2A">
        <w:rPr>
          <w:rFonts w:ascii="Times New Roman" w:hAnsi="Times New Roman" w:cs="Times New Roman"/>
          <w:i/>
          <w:iCs/>
          <w:lang w:val="en-GB"/>
        </w:rPr>
        <w:t xml:space="preserve"> v. Germany</w:t>
      </w:r>
      <w:r w:rsidR="001950CC" w:rsidRPr="00270F2A">
        <w:rPr>
          <w:rFonts w:ascii="Times New Roman" w:hAnsi="Times New Roman" w:cs="Times New Roman"/>
          <w:lang w:val="en-GB"/>
        </w:rPr>
        <w:t xml:space="preserve">, §41 (for disputes concerning civil rights and obligations); E.C.H.R., 31 August 2022, </w:t>
      </w:r>
      <w:proofErr w:type="spellStart"/>
      <w:r w:rsidR="001950CC" w:rsidRPr="00270F2A">
        <w:rPr>
          <w:rFonts w:ascii="Times New Roman" w:hAnsi="Times New Roman" w:cs="Times New Roman"/>
          <w:i/>
          <w:iCs/>
          <w:lang w:val="en-US"/>
        </w:rPr>
        <w:t>Üçdağ</w:t>
      </w:r>
      <w:proofErr w:type="spellEnd"/>
      <w:r w:rsidR="001950CC" w:rsidRPr="00270F2A">
        <w:rPr>
          <w:rFonts w:ascii="Times New Roman" w:hAnsi="Times New Roman" w:cs="Times New Roman"/>
          <w:i/>
          <w:iCs/>
          <w:lang w:val="en-US"/>
        </w:rPr>
        <w:t xml:space="preserve"> v. Turkey</w:t>
      </w:r>
      <w:r w:rsidR="001950CC" w:rsidRPr="00270F2A">
        <w:rPr>
          <w:rFonts w:ascii="Times New Roman" w:hAnsi="Times New Roman" w:cs="Times New Roman"/>
          <w:lang w:val="en-US"/>
        </w:rPr>
        <w:t xml:space="preserve">, §29 and </w:t>
      </w:r>
      <w:r w:rsidR="001950CC" w:rsidRPr="00270F2A">
        <w:rPr>
          <w:rFonts w:ascii="Times New Roman" w:hAnsi="Times New Roman" w:cs="Times New Roman"/>
          <w:lang w:val="en-GB"/>
        </w:rPr>
        <w:t xml:space="preserve">E.C.H.R., 25 February 2000, </w:t>
      </w:r>
      <w:r w:rsidR="001950CC" w:rsidRPr="00270F2A">
        <w:rPr>
          <w:rFonts w:ascii="Times New Roman" w:hAnsi="Times New Roman" w:cs="Times New Roman"/>
          <w:i/>
          <w:iCs/>
          <w:lang w:val="en-GB"/>
        </w:rPr>
        <w:t>Gast and Popp v. Germany</w:t>
      </w:r>
      <w:r w:rsidR="001950CC" w:rsidRPr="00270F2A">
        <w:rPr>
          <w:rFonts w:ascii="Times New Roman" w:hAnsi="Times New Roman" w:cs="Times New Roman"/>
          <w:lang w:val="en-GB"/>
        </w:rPr>
        <w:t>, §§65-66 (for the merits of a criminal charge). It should be noted, however, that “</w:t>
      </w:r>
      <w:r w:rsidR="001950CC" w:rsidRPr="00270F2A">
        <w:rPr>
          <w:rFonts w:ascii="Times New Roman" w:hAnsi="Times New Roman" w:cs="Times New Roman"/>
          <w:lang w:val="en-US"/>
        </w:rPr>
        <w:t xml:space="preserve">Article 6 of the Convention does not guarantee a right of access to a court with power to invalidate or override a law enacted by the legislature” (E.C.H.R., 24 September 2002, </w:t>
      </w:r>
      <w:proofErr w:type="spellStart"/>
      <w:r w:rsidR="001950CC" w:rsidRPr="00270F2A">
        <w:rPr>
          <w:rFonts w:ascii="Times New Roman" w:hAnsi="Times New Roman" w:cs="Times New Roman"/>
          <w:i/>
          <w:iCs/>
          <w:lang w:val="en-US"/>
        </w:rPr>
        <w:t>Posti</w:t>
      </w:r>
      <w:proofErr w:type="spellEnd"/>
      <w:r w:rsidR="001950CC" w:rsidRPr="00270F2A">
        <w:rPr>
          <w:rFonts w:ascii="Times New Roman" w:hAnsi="Times New Roman" w:cs="Times New Roman"/>
          <w:i/>
          <w:iCs/>
          <w:lang w:val="en-US"/>
        </w:rPr>
        <w:t xml:space="preserve"> and </w:t>
      </w:r>
      <w:proofErr w:type="spellStart"/>
      <w:r w:rsidR="001950CC" w:rsidRPr="00270F2A">
        <w:rPr>
          <w:rFonts w:ascii="Times New Roman" w:hAnsi="Times New Roman" w:cs="Times New Roman"/>
          <w:i/>
          <w:iCs/>
          <w:lang w:val="en-US"/>
        </w:rPr>
        <w:t>Rahko</w:t>
      </w:r>
      <w:proofErr w:type="spellEnd"/>
      <w:r w:rsidR="001950CC" w:rsidRPr="00270F2A">
        <w:rPr>
          <w:rFonts w:ascii="Times New Roman" w:hAnsi="Times New Roman" w:cs="Times New Roman"/>
          <w:i/>
          <w:iCs/>
          <w:lang w:val="en-US"/>
        </w:rPr>
        <w:t xml:space="preserve"> v. Finland</w:t>
      </w:r>
      <w:r w:rsidR="001950CC" w:rsidRPr="00270F2A">
        <w:rPr>
          <w:rFonts w:ascii="Times New Roman" w:hAnsi="Times New Roman" w:cs="Times New Roman"/>
          <w:lang w:val="en-US"/>
        </w:rPr>
        <w:t xml:space="preserve">, §52). The guarantees of this article apply to constitutional courts, provided that a constitutional review is </w:t>
      </w:r>
      <w:proofErr w:type="gramStart"/>
      <w:r w:rsidR="001950CC" w:rsidRPr="00270F2A">
        <w:rPr>
          <w:rFonts w:ascii="Times New Roman" w:hAnsi="Times New Roman" w:cs="Times New Roman"/>
          <w:lang w:val="en-US"/>
        </w:rPr>
        <w:t>actually provided</w:t>
      </w:r>
      <w:proofErr w:type="gramEnd"/>
      <w:r w:rsidR="001950CC" w:rsidRPr="00270F2A">
        <w:rPr>
          <w:rFonts w:ascii="Times New Roman" w:hAnsi="Times New Roman" w:cs="Times New Roman"/>
          <w:lang w:val="en-US"/>
        </w:rPr>
        <w:t xml:space="preserve"> for in domestic law.</w:t>
      </w:r>
    </w:p>
  </w:footnote>
  <w:footnote w:id="84">
    <w:p w14:paraId="33283EFB" w14:textId="19A8C951" w:rsidR="007C05E5" w:rsidRPr="00270F2A" w:rsidRDefault="007C05E5" w:rsidP="00270F2A">
      <w:pPr>
        <w:pStyle w:val="Notedebasdepage"/>
        <w:jc w:val="both"/>
        <w:rPr>
          <w:rFonts w:ascii="Times New Roman" w:hAnsi="Times New Roman" w:cs="Times New Roman"/>
          <w:lang w:val="en-GB"/>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9330E6" w:rsidRPr="00270F2A">
        <w:rPr>
          <w:rFonts w:ascii="Times New Roman" w:hAnsi="Times New Roman" w:cs="Times New Roman"/>
          <w:lang w:val="en-GB"/>
        </w:rPr>
        <w:t xml:space="preserve">E.C.H.R, 7 May 2021, </w:t>
      </w:r>
      <w:r w:rsidR="009330E6" w:rsidRPr="00270F2A">
        <w:rPr>
          <w:rFonts w:ascii="Times New Roman" w:hAnsi="Times New Roman" w:cs="Times New Roman"/>
          <w:i/>
          <w:iCs/>
          <w:lang w:val="en-GB"/>
        </w:rPr>
        <w:t xml:space="preserve">Xero </w:t>
      </w:r>
      <w:proofErr w:type="spellStart"/>
      <w:r w:rsidR="009330E6" w:rsidRPr="00270F2A">
        <w:rPr>
          <w:rFonts w:ascii="Times New Roman" w:hAnsi="Times New Roman" w:cs="Times New Roman"/>
          <w:i/>
          <w:iCs/>
          <w:lang w:val="en-GB"/>
        </w:rPr>
        <w:t>Flor</w:t>
      </w:r>
      <w:proofErr w:type="spellEnd"/>
      <w:r w:rsidR="009330E6" w:rsidRPr="00270F2A">
        <w:rPr>
          <w:rFonts w:ascii="Times New Roman" w:hAnsi="Times New Roman" w:cs="Times New Roman"/>
          <w:i/>
          <w:iCs/>
          <w:lang w:val="en-GB"/>
        </w:rPr>
        <w:t xml:space="preserve"> w </w:t>
      </w:r>
      <w:proofErr w:type="spellStart"/>
      <w:r w:rsidR="009330E6" w:rsidRPr="00270F2A">
        <w:rPr>
          <w:rFonts w:ascii="Times New Roman" w:hAnsi="Times New Roman" w:cs="Times New Roman"/>
          <w:i/>
          <w:iCs/>
          <w:lang w:val="en-GB"/>
        </w:rPr>
        <w:t>Polsce</w:t>
      </w:r>
      <w:proofErr w:type="spellEnd"/>
      <w:r w:rsidR="009330E6" w:rsidRPr="00270F2A">
        <w:rPr>
          <w:rFonts w:ascii="Times New Roman" w:hAnsi="Times New Roman" w:cs="Times New Roman"/>
          <w:i/>
          <w:iCs/>
          <w:lang w:val="en-GB"/>
        </w:rPr>
        <w:t xml:space="preserve"> sp. </w:t>
      </w:r>
      <w:r w:rsidR="009330E6" w:rsidRPr="00270F2A">
        <w:rPr>
          <w:rFonts w:ascii="Times New Roman" w:hAnsi="Times New Roman" w:cs="Times New Roman"/>
          <w:i/>
          <w:iCs/>
          <w:lang w:val="en-US"/>
        </w:rPr>
        <w:t xml:space="preserve">Z </w:t>
      </w:r>
      <w:proofErr w:type="spellStart"/>
      <w:r w:rsidR="009330E6" w:rsidRPr="00270F2A">
        <w:rPr>
          <w:rFonts w:ascii="Times New Roman" w:hAnsi="Times New Roman" w:cs="Times New Roman"/>
          <w:i/>
          <w:iCs/>
          <w:lang w:val="en-US"/>
        </w:rPr>
        <w:t>o.o</w:t>
      </w:r>
      <w:proofErr w:type="spellEnd"/>
      <w:r w:rsidR="009330E6" w:rsidRPr="00270F2A">
        <w:rPr>
          <w:rFonts w:ascii="Times New Roman" w:hAnsi="Times New Roman" w:cs="Times New Roman"/>
          <w:i/>
          <w:iCs/>
          <w:lang w:val="en-US"/>
        </w:rPr>
        <w:t>. v. Poland</w:t>
      </w:r>
      <w:r w:rsidR="009330E6" w:rsidRPr="00270F2A">
        <w:rPr>
          <w:rFonts w:ascii="Times New Roman" w:hAnsi="Times New Roman" w:cs="Times New Roman"/>
          <w:lang w:val="en-US"/>
        </w:rPr>
        <w:t xml:space="preserve">, §§188-191; E.C.H.R., 8 January 2004, </w:t>
      </w:r>
      <w:proofErr w:type="spellStart"/>
      <w:r w:rsidR="009330E6" w:rsidRPr="00270F2A">
        <w:rPr>
          <w:rFonts w:ascii="Times New Roman" w:hAnsi="Times New Roman" w:cs="Times New Roman"/>
          <w:i/>
          <w:iCs/>
          <w:lang w:val="en-GB"/>
        </w:rPr>
        <w:t>Voggenreiter</w:t>
      </w:r>
      <w:proofErr w:type="spellEnd"/>
      <w:r w:rsidR="009330E6" w:rsidRPr="00270F2A">
        <w:rPr>
          <w:rFonts w:ascii="Times New Roman" w:hAnsi="Times New Roman" w:cs="Times New Roman"/>
          <w:i/>
          <w:iCs/>
          <w:lang w:val="en-GB"/>
        </w:rPr>
        <w:t xml:space="preserve"> c. </w:t>
      </w:r>
      <w:proofErr w:type="spellStart"/>
      <w:r w:rsidR="009330E6" w:rsidRPr="00270F2A">
        <w:rPr>
          <w:rFonts w:ascii="Times New Roman" w:hAnsi="Times New Roman" w:cs="Times New Roman"/>
          <w:i/>
          <w:iCs/>
          <w:lang w:val="en-GB"/>
        </w:rPr>
        <w:t>Allemagne</w:t>
      </w:r>
      <w:proofErr w:type="spellEnd"/>
      <w:r w:rsidR="009330E6" w:rsidRPr="00270F2A">
        <w:rPr>
          <w:rFonts w:ascii="Times New Roman" w:hAnsi="Times New Roman" w:cs="Times New Roman"/>
          <w:lang w:val="en-GB"/>
        </w:rPr>
        <w:t xml:space="preserve">, </w:t>
      </w:r>
      <w:r w:rsidR="009330E6" w:rsidRPr="00270F2A">
        <w:rPr>
          <w:rFonts w:ascii="Times New Roman" w:hAnsi="Times New Roman" w:cs="Times New Roman"/>
          <w:lang w:val="en-US"/>
        </w:rPr>
        <w:t xml:space="preserve">§§31-33 and 36. </w:t>
      </w:r>
    </w:p>
  </w:footnote>
  <w:footnote w:id="85">
    <w:p w14:paraId="7BCD1693" w14:textId="7F17D5CC" w:rsidR="007C05E5" w:rsidRPr="0085771D"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85771D">
        <w:rPr>
          <w:rFonts w:ascii="Times New Roman" w:hAnsi="Times New Roman" w:cs="Times New Roman"/>
        </w:rPr>
        <w:t xml:space="preserve"> </w:t>
      </w:r>
      <w:r w:rsidR="009330E6" w:rsidRPr="0085771D">
        <w:rPr>
          <w:rFonts w:ascii="Times New Roman" w:hAnsi="Times New Roman" w:cs="Times New Roman"/>
        </w:rPr>
        <w:t xml:space="preserve">M. </w:t>
      </w:r>
      <w:proofErr w:type="spellStart"/>
      <w:r w:rsidR="009330E6" w:rsidRPr="0085771D">
        <w:rPr>
          <w:rFonts w:ascii="Times New Roman" w:hAnsi="Times New Roman" w:cs="Times New Roman"/>
          <w:smallCaps/>
        </w:rPr>
        <w:t>Verdussen</w:t>
      </w:r>
      <w:proofErr w:type="spellEnd"/>
      <w:r w:rsidR="009330E6" w:rsidRPr="0085771D">
        <w:rPr>
          <w:rFonts w:ascii="Times New Roman" w:hAnsi="Times New Roman" w:cs="Times New Roman"/>
        </w:rPr>
        <w:t xml:space="preserve">, </w:t>
      </w:r>
      <w:r w:rsidR="009330E6" w:rsidRPr="0085771D">
        <w:rPr>
          <w:rFonts w:ascii="Times New Roman" w:hAnsi="Times New Roman" w:cs="Times New Roman"/>
          <w:i/>
          <w:iCs/>
        </w:rPr>
        <w:t>Justice constitutionnelle</w:t>
      </w:r>
      <w:r w:rsidR="009330E6" w:rsidRPr="0085771D">
        <w:rPr>
          <w:rFonts w:ascii="Times New Roman" w:hAnsi="Times New Roman" w:cs="Times New Roman"/>
        </w:rPr>
        <w:t xml:space="preserve">, </w:t>
      </w:r>
      <w:r w:rsidR="009330E6" w:rsidRPr="0085771D">
        <w:rPr>
          <w:rFonts w:ascii="Times New Roman" w:hAnsi="Times New Roman" w:cs="Times New Roman"/>
          <w:i/>
          <w:iCs/>
        </w:rPr>
        <w:t xml:space="preserve">op. </w:t>
      </w:r>
      <w:proofErr w:type="spellStart"/>
      <w:r w:rsidR="009330E6" w:rsidRPr="0085771D">
        <w:rPr>
          <w:rFonts w:ascii="Times New Roman" w:hAnsi="Times New Roman" w:cs="Times New Roman"/>
          <w:i/>
          <w:iCs/>
        </w:rPr>
        <w:t>cit</w:t>
      </w:r>
      <w:proofErr w:type="spellEnd"/>
      <w:r w:rsidR="009330E6" w:rsidRPr="0085771D">
        <w:rPr>
          <w:rFonts w:ascii="Times New Roman" w:hAnsi="Times New Roman" w:cs="Times New Roman"/>
          <w:i/>
          <w:iCs/>
        </w:rPr>
        <w:t>.</w:t>
      </w:r>
      <w:r w:rsidR="009330E6" w:rsidRPr="0085771D">
        <w:rPr>
          <w:rFonts w:ascii="Times New Roman" w:hAnsi="Times New Roman" w:cs="Times New Roman"/>
        </w:rPr>
        <w:t xml:space="preserve">, </w:t>
      </w:r>
      <w:r w:rsidRPr="0085771D">
        <w:rPr>
          <w:rFonts w:ascii="Times New Roman" w:hAnsi="Times New Roman" w:cs="Times New Roman"/>
        </w:rPr>
        <w:t xml:space="preserve">pp 297 </w:t>
      </w:r>
      <w:r w:rsidR="009330E6" w:rsidRPr="0085771D">
        <w:rPr>
          <w:rFonts w:ascii="Times New Roman" w:hAnsi="Times New Roman" w:cs="Times New Roman"/>
        </w:rPr>
        <w:t>and</w:t>
      </w:r>
      <w:r w:rsidRPr="0085771D">
        <w:rPr>
          <w:rFonts w:ascii="Times New Roman" w:hAnsi="Times New Roman" w:cs="Times New Roman"/>
        </w:rPr>
        <w:t xml:space="preserve"> 298. </w:t>
      </w:r>
    </w:p>
  </w:footnote>
  <w:footnote w:id="86">
    <w:p w14:paraId="15E30A71" w14:textId="39C9188E"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3243E" w:rsidRPr="00270F2A">
        <w:rPr>
          <w:rFonts w:ascii="Times New Roman" w:hAnsi="Times New Roman" w:cs="Times New Roman"/>
          <w:lang w:val="en-US"/>
        </w:rPr>
        <w:t xml:space="preserve">C.A., judgment no. 35/94 of 10 May 1994; C.A., judgment no. 36/94 of 10 May 1994.  </w:t>
      </w:r>
    </w:p>
  </w:footnote>
  <w:footnote w:id="87">
    <w:p w14:paraId="5A12958B" w14:textId="72BFD29B"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3243E" w:rsidRPr="00270F2A">
        <w:rPr>
          <w:rFonts w:ascii="Times New Roman" w:hAnsi="Times New Roman" w:cs="Times New Roman"/>
          <w:lang w:val="en-US"/>
        </w:rPr>
        <w:t xml:space="preserve">C.A., judgment no. 52/97 of 14 July 1997; C.A., judgment no. 55/97 of 17 September 1997. </w:t>
      </w:r>
    </w:p>
  </w:footnote>
  <w:footnote w:id="88">
    <w:p w14:paraId="3105F4BA" w14:textId="1DCA204F"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3243E" w:rsidRPr="00270F2A">
        <w:rPr>
          <w:rFonts w:ascii="Times New Roman" w:hAnsi="Times New Roman" w:cs="Times New Roman"/>
          <w:lang w:val="en-US"/>
        </w:rPr>
        <w:t>C.C., judgment no. 157/2009 of 13 October 2009, B.5.1; C.C., judgment no. 155/2011 of 13 October 2011, B.6.</w:t>
      </w:r>
    </w:p>
  </w:footnote>
  <w:footnote w:id="89">
    <w:p w14:paraId="47D8891F" w14:textId="71424683"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9330E6" w:rsidRPr="00270F2A">
        <w:rPr>
          <w:rFonts w:ascii="Times New Roman" w:hAnsi="Times New Roman" w:cs="Times New Roman"/>
          <w:lang w:val="en-US"/>
        </w:rPr>
        <w:t xml:space="preserve">E.C.H.R., 4 December 1995, </w:t>
      </w:r>
      <w:proofErr w:type="spellStart"/>
      <w:r w:rsidR="009330E6" w:rsidRPr="00270F2A">
        <w:rPr>
          <w:rFonts w:ascii="Times New Roman" w:hAnsi="Times New Roman" w:cs="Times New Roman"/>
          <w:i/>
          <w:iCs/>
          <w:lang w:val="en-US"/>
        </w:rPr>
        <w:t>Bellet</w:t>
      </w:r>
      <w:proofErr w:type="spellEnd"/>
      <w:r w:rsidR="009330E6" w:rsidRPr="00270F2A">
        <w:rPr>
          <w:rFonts w:ascii="Times New Roman" w:hAnsi="Times New Roman" w:cs="Times New Roman"/>
          <w:i/>
          <w:iCs/>
          <w:lang w:val="en-US"/>
        </w:rPr>
        <w:t xml:space="preserve"> v. France</w:t>
      </w:r>
      <w:r w:rsidR="009330E6" w:rsidRPr="00270F2A">
        <w:rPr>
          <w:rFonts w:ascii="Times New Roman" w:hAnsi="Times New Roman" w:cs="Times New Roman"/>
          <w:lang w:val="en-US"/>
        </w:rPr>
        <w:t>, §36.</w:t>
      </w:r>
    </w:p>
  </w:footnote>
  <w:footnote w:id="90">
    <w:p w14:paraId="642663AF" w14:textId="55FEF36A"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9330E6" w:rsidRPr="00270F2A">
        <w:rPr>
          <w:rFonts w:ascii="Times New Roman" w:hAnsi="Times New Roman" w:cs="Times New Roman"/>
          <w:lang w:val="en-US"/>
        </w:rPr>
        <w:t xml:space="preserve">E.C.H.R. (grand chamber), 21 June 2016, </w:t>
      </w:r>
      <w:r w:rsidR="009330E6" w:rsidRPr="00270F2A">
        <w:rPr>
          <w:rFonts w:ascii="Times New Roman" w:hAnsi="Times New Roman" w:cs="Times New Roman"/>
          <w:i/>
          <w:iCs/>
          <w:lang w:val="en-US"/>
        </w:rPr>
        <w:t>Al-</w:t>
      </w:r>
      <w:proofErr w:type="spellStart"/>
      <w:r w:rsidR="009330E6" w:rsidRPr="00270F2A">
        <w:rPr>
          <w:rFonts w:ascii="Times New Roman" w:hAnsi="Times New Roman" w:cs="Times New Roman"/>
          <w:i/>
          <w:iCs/>
          <w:lang w:val="en-US"/>
        </w:rPr>
        <w:t>Dulimi</w:t>
      </w:r>
      <w:proofErr w:type="spellEnd"/>
      <w:r w:rsidR="009330E6" w:rsidRPr="00270F2A">
        <w:rPr>
          <w:rFonts w:ascii="Times New Roman" w:hAnsi="Times New Roman" w:cs="Times New Roman"/>
          <w:i/>
          <w:iCs/>
          <w:lang w:val="en-US"/>
        </w:rPr>
        <w:t xml:space="preserve"> and Montana Management Inc. v. Switzerland</w:t>
      </w:r>
      <w:r w:rsidR="009330E6" w:rsidRPr="00270F2A">
        <w:rPr>
          <w:rFonts w:ascii="Times New Roman" w:hAnsi="Times New Roman" w:cs="Times New Roman"/>
          <w:lang w:val="en-US"/>
        </w:rPr>
        <w:t xml:space="preserve">, §131. </w:t>
      </w:r>
    </w:p>
  </w:footnote>
  <w:footnote w:id="91">
    <w:p w14:paraId="0F972FAE" w14:textId="0464552D"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9330E6" w:rsidRPr="00270F2A">
        <w:rPr>
          <w:rFonts w:ascii="Times New Roman" w:hAnsi="Times New Roman" w:cs="Times New Roman"/>
          <w:lang w:val="en-US"/>
        </w:rPr>
        <w:t xml:space="preserve">See, for example, Articles 68 and 151 of the Constitution. </w:t>
      </w:r>
    </w:p>
  </w:footnote>
  <w:footnote w:id="92">
    <w:p w14:paraId="39B90B9D" w14:textId="0122E731"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9330E6" w:rsidRPr="00270F2A">
        <w:rPr>
          <w:rFonts w:ascii="Times New Roman" w:hAnsi="Times New Roman" w:cs="Times New Roman"/>
        </w:rPr>
        <w:t xml:space="preserve">N. B. </w:t>
      </w:r>
      <w:r w:rsidR="009330E6" w:rsidRPr="00270F2A">
        <w:rPr>
          <w:rFonts w:ascii="Times New Roman" w:hAnsi="Times New Roman" w:cs="Times New Roman"/>
          <w:smallCaps/>
        </w:rPr>
        <w:t>Bernard</w:t>
      </w:r>
      <w:r w:rsidR="009330E6" w:rsidRPr="00270F2A">
        <w:rPr>
          <w:rFonts w:ascii="Times New Roman" w:hAnsi="Times New Roman" w:cs="Times New Roman"/>
        </w:rPr>
        <w:t xml:space="preserve">, “Les choix </w:t>
      </w:r>
      <w:proofErr w:type="spellStart"/>
      <w:r w:rsidR="009330E6" w:rsidRPr="00270F2A">
        <w:rPr>
          <w:rFonts w:ascii="Times New Roman" w:hAnsi="Times New Roman" w:cs="Times New Roman"/>
        </w:rPr>
        <w:t>légistiques</w:t>
      </w:r>
      <w:proofErr w:type="spellEnd"/>
      <w:r w:rsidR="009330E6" w:rsidRPr="00270F2A">
        <w:rPr>
          <w:rFonts w:ascii="Times New Roman" w:hAnsi="Times New Roman" w:cs="Times New Roman"/>
        </w:rPr>
        <w:t xml:space="preserve"> du Constituant comme limites formelles au contrôle de la Cour constitutionnelle”, </w:t>
      </w:r>
      <w:r w:rsidR="009330E6" w:rsidRPr="00270F2A">
        <w:rPr>
          <w:rFonts w:ascii="Times New Roman" w:hAnsi="Times New Roman" w:cs="Times New Roman"/>
          <w:i/>
          <w:iCs/>
        </w:rPr>
        <w:t xml:space="preserve">op. </w:t>
      </w:r>
      <w:proofErr w:type="spellStart"/>
      <w:r w:rsidR="009330E6" w:rsidRPr="00270F2A">
        <w:rPr>
          <w:rFonts w:ascii="Times New Roman" w:hAnsi="Times New Roman" w:cs="Times New Roman"/>
          <w:i/>
          <w:iCs/>
        </w:rPr>
        <w:t>cit</w:t>
      </w:r>
      <w:proofErr w:type="spellEnd"/>
      <w:r w:rsidR="009330E6" w:rsidRPr="00270F2A">
        <w:rPr>
          <w:rFonts w:ascii="Times New Roman" w:hAnsi="Times New Roman" w:cs="Times New Roman"/>
          <w:i/>
          <w:iCs/>
        </w:rPr>
        <w:t>.</w:t>
      </w:r>
      <w:r w:rsidR="009330E6" w:rsidRPr="00270F2A">
        <w:rPr>
          <w:rFonts w:ascii="Times New Roman" w:hAnsi="Times New Roman" w:cs="Times New Roman"/>
        </w:rPr>
        <w:t xml:space="preserve">, </w:t>
      </w:r>
      <w:r w:rsidRPr="00270F2A">
        <w:rPr>
          <w:rFonts w:ascii="Times New Roman" w:hAnsi="Times New Roman" w:cs="Times New Roman"/>
        </w:rPr>
        <w:t>p</w:t>
      </w:r>
      <w:r w:rsidR="009330E6" w:rsidRPr="00270F2A">
        <w:rPr>
          <w:rFonts w:ascii="Times New Roman" w:hAnsi="Times New Roman" w:cs="Times New Roman"/>
        </w:rPr>
        <w:t>p</w:t>
      </w:r>
      <w:r w:rsidRPr="00270F2A">
        <w:rPr>
          <w:rFonts w:ascii="Times New Roman" w:hAnsi="Times New Roman" w:cs="Times New Roman"/>
        </w:rPr>
        <w:t xml:space="preserve">. 481 </w:t>
      </w:r>
      <w:r w:rsidR="009330E6" w:rsidRPr="00270F2A">
        <w:rPr>
          <w:rFonts w:ascii="Times New Roman" w:hAnsi="Times New Roman" w:cs="Times New Roman"/>
        </w:rPr>
        <w:t>and</w:t>
      </w:r>
      <w:r w:rsidRPr="00270F2A">
        <w:rPr>
          <w:rFonts w:ascii="Times New Roman" w:hAnsi="Times New Roman" w:cs="Times New Roman"/>
        </w:rPr>
        <w:t xml:space="preserve"> 482. </w:t>
      </w:r>
    </w:p>
  </w:footnote>
  <w:footnote w:id="93">
    <w:p w14:paraId="4708C224" w14:textId="1C0C917E"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F. </w:t>
      </w:r>
      <w:r w:rsidR="0013243E" w:rsidRPr="00270F2A">
        <w:rPr>
          <w:rFonts w:ascii="Times New Roman" w:hAnsi="Times New Roman" w:cs="Times New Roman"/>
          <w:smallCaps/>
        </w:rPr>
        <w:t>Delpérée</w:t>
      </w:r>
      <w:r w:rsidR="0013243E" w:rsidRPr="00270F2A">
        <w:rPr>
          <w:rFonts w:ascii="Times New Roman" w:hAnsi="Times New Roman" w:cs="Times New Roman"/>
        </w:rPr>
        <w:t xml:space="preserve"> and M. </w:t>
      </w:r>
      <w:proofErr w:type="spellStart"/>
      <w:r w:rsidR="0013243E" w:rsidRPr="00270F2A">
        <w:rPr>
          <w:rFonts w:ascii="Times New Roman" w:hAnsi="Times New Roman" w:cs="Times New Roman"/>
          <w:smallCaps/>
        </w:rPr>
        <w:t>Verdussen</w:t>
      </w:r>
      <w:proofErr w:type="spellEnd"/>
      <w:r w:rsidR="0013243E" w:rsidRPr="00270F2A">
        <w:rPr>
          <w:rFonts w:ascii="Times New Roman" w:hAnsi="Times New Roman" w:cs="Times New Roman"/>
        </w:rPr>
        <w:t xml:space="preserve">, “L’égalité, mesure du fédéralisme”, </w:t>
      </w:r>
      <w:r w:rsidR="0013243E" w:rsidRPr="00270F2A">
        <w:rPr>
          <w:rFonts w:ascii="Times New Roman" w:hAnsi="Times New Roman" w:cs="Times New Roman"/>
          <w:i/>
          <w:iCs/>
        </w:rPr>
        <w:t>Revue belge de droit constitutionnel</w:t>
      </w:r>
      <w:r w:rsidRPr="00270F2A">
        <w:rPr>
          <w:rFonts w:ascii="Times New Roman" w:hAnsi="Times New Roman" w:cs="Times New Roman"/>
        </w:rPr>
        <w:t>,</w:t>
      </w:r>
      <w:r w:rsidR="0013243E" w:rsidRPr="00270F2A">
        <w:rPr>
          <w:rFonts w:ascii="Times New Roman" w:hAnsi="Times New Roman" w:cs="Times New Roman"/>
        </w:rPr>
        <w:t xml:space="preserve"> 2004</w:t>
      </w:r>
      <w:r w:rsidRPr="00270F2A">
        <w:rPr>
          <w:rFonts w:ascii="Times New Roman" w:hAnsi="Times New Roman" w:cs="Times New Roman"/>
        </w:rPr>
        <w:t xml:space="preserve"> p. 289.</w:t>
      </w:r>
    </w:p>
  </w:footnote>
  <w:footnote w:id="94">
    <w:p w14:paraId="5BD709C6" w14:textId="03AB1E06" w:rsidR="007C05E5" w:rsidRPr="00270F2A" w:rsidRDefault="007C05E5" w:rsidP="00270F2A">
      <w:pPr>
        <w:pStyle w:val="Notedebasdepage"/>
        <w:jc w:val="both"/>
        <w:rPr>
          <w:rFonts w:ascii="Times New Roman" w:hAnsi="Times New Roman" w:cs="Times New Roman"/>
          <w:u w:val="single"/>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On </w:t>
      </w:r>
      <w:proofErr w:type="spellStart"/>
      <w:r w:rsidR="0013243E" w:rsidRPr="00270F2A">
        <w:rPr>
          <w:rFonts w:ascii="Times New Roman" w:hAnsi="Times New Roman" w:cs="Times New Roman"/>
        </w:rPr>
        <w:t>this</w:t>
      </w:r>
      <w:proofErr w:type="spellEnd"/>
      <w:r w:rsidR="0013243E" w:rsidRPr="00270F2A">
        <w:rPr>
          <w:rFonts w:ascii="Times New Roman" w:hAnsi="Times New Roman" w:cs="Times New Roman"/>
        </w:rPr>
        <w:t xml:space="preserve"> principe and </w:t>
      </w:r>
      <w:proofErr w:type="spellStart"/>
      <w:r w:rsidR="0013243E" w:rsidRPr="00270F2A">
        <w:rPr>
          <w:rFonts w:ascii="Times New Roman" w:hAnsi="Times New Roman" w:cs="Times New Roman"/>
        </w:rPr>
        <w:t>its</w:t>
      </w:r>
      <w:proofErr w:type="spellEnd"/>
      <w:r w:rsidR="0013243E" w:rsidRPr="00270F2A">
        <w:rPr>
          <w:rFonts w:ascii="Times New Roman" w:hAnsi="Times New Roman" w:cs="Times New Roman"/>
        </w:rPr>
        <w:t xml:space="preserve"> </w:t>
      </w:r>
      <w:proofErr w:type="spellStart"/>
      <w:r w:rsidR="0013243E" w:rsidRPr="00270F2A">
        <w:rPr>
          <w:rFonts w:ascii="Times New Roman" w:hAnsi="Times New Roman" w:cs="Times New Roman"/>
        </w:rPr>
        <w:t>temperament</w:t>
      </w:r>
      <w:r w:rsidR="00270F2A">
        <w:rPr>
          <w:rFonts w:ascii="Times New Roman" w:hAnsi="Times New Roman" w:cs="Times New Roman"/>
        </w:rPr>
        <w:t>s</w:t>
      </w:r>
      <w:proofErr w:type="spellEnd"/>
      <w:r w:rsidR="0013243E" w:rsidRPr="00270F2A">
        <w:rPr>
          <w:rFonts w:ascii="Times New Roman" w:hAnsi="Times New Roman" w:cs="Times New Roman"/>
        </w:rPr>
        <w:t xml:space="preserve">, </w:t>
      </w:r>
      <w:proofErr w:type="spellStart"/>
      <w:r w:rsidR="0013243E" w:rsidRPr="00270F2A">
        <w:rPr>
          <w:rFonts w:ascii="Times New Roman" w:hAnsi="Times New Roman" w:cs="Times New Roman"/>
        </w:rPr>
        <w:t>see</w:t>
      </w:r>
      <w:proofErr w:type="spellEnd"/>
      <w:r w:rsidR="0013243E" w:rsidRPr="00270F2A">
        <w:rPr>
          <w:rFonts w:ascii="Times New Roman" w:hAnsi="Times New Roman" w:cs="Times New Roman"/>
        </w:rPr>
        <w:t xml:space="preserve"> T. </w:t>
      </w:r>
      <w:proofErr w:type="spellStart"/>
      <w:r w:rsidR="0013243E" w:rsidRPr="00270F2A">
        <w:rPr>
          <w:rFonts w:ascii="Times New Roman" w:hAnsi="Times New Roman" w:cs="Times New Roman"/>
          <w:smallCaps/>
        </w:rPr>
        <w:t>Moonen</w:t>
      </w:r>
      <w:proofErr w:type="spellEnd"/>
      <w:r w:rsidR="0013243E" w:rsidRPr="00270F2A">
        <w:rPr>
          <w:rFonts w:ascii="Times New Roman" w:hAnsi="Times New Roman" w:cs="Times New Roman"/>
        </w:rPr>
        <w:t xml:space="preserve">, J. </w:t>
      </w:r>
      <w:proofErr w:type="spellStart"/>
      <w:r w:rsidR="0013243E" w:rsidRPr="00270F2A">
        <w:rPr>
          <w:rFonts w:ascii="Times New Roman" w:hAnsi="Times New Roman" w:cs="Times New Roman"/>
          <w:smallCaps/>
        </w:rPr>
        <w:t>Riemslagh</w:t>
      </w:r>
      <w:proofErr w:type="spellEnd"/>
      <w:r w:rsidR="0013243E" w:rsidRPr="00270F2A">
        <w:rPr>
          <w:rFonts w:ascii="Times New Roman" w:hAnsi="Times New Roman" w:cs="Times New Roman"/>
        </w:rPr>
        <w:t xml:space="preserve"> and S. Van </w:t>
      </w:r>
      <w:proofErr w:type="spellStart"/>
      <w:r w:rsidR="0013243E" w:rsidRPr="00270F2A">
        <w:rPr>
          <w:rFonts w:ascii="Times New Roman" w:hAnsi="Times New Roman" w:cs="Times New Roman"/>
          <w:smallCaps/>
        </w:rPr>
        <w:t>Drooghenbroeck</w:t>
      </w:r>
      <w:proofErr w:type="spellEnd"/>
      <w:r w:rsidR="0013243E" w:rsidRPr="00270F2A">
        <w:rPr>
          <w:rFonts w:ascii="Times New Roman" w:hAnsi="Times New Roman" w:cs="Times New Roman"/>
        </w:rPr>
        <w:t xml:space="preserve">, “L’égalité et la non-discrimination”, in : M. El </w:t>
      </w:r>
      <w:proofErr w:type="spellStart"/>
      <w:r w:rsidR="0013243E" w:rsidRPr="00270F2A">
        <w:rPr>
          <w:rFonts w:ascii="Times New Roman" w:hAnsi="Times New Roman" w:cs="Times New Roman"/>
        </w:rPr>
        <w:t>Berhoumi</w:t>
      </w:r>
      <w:proofErr w:type="spellEnd"/>
      <w:r w:rsidR="0013243E" w:rsidRPr="00270F2A">
        <w:rPr>
          <w:rFonts w:ascii="Times New Roman" w:hAnsi="Times New Roman" w:cs="Times New Roman"/>
        </w:rPr>
        <w:t xml:space="preserve"> and S. Van </w:t>
      </w:r>
      <w:proofErr w:type="spellStart"/>
      <w:r w:rsidR="0013243E" w:rsidRPr="00270F2A">
        <w:rPr>
          <w:rFonts w:ascii="Times New Roman" w:hAnsi="Times New Roman" w:cs="Times New Roman"/>
        </w:rPr>
        <w:t>Drooghenbroeck</w:t>
      </w:r>
      <w:proofErr w:type="spellEnd"/>
      <w:r w:rsidR="0013243E" w:rsidRPr="00270F2A">
        <w:rPr>
          <w:rFonts w:ascii="Times New Roman" w:hAnsi="Times New Roman" w:cs="Times New Roman"/>
        </w:rPr>
        <w:t xml:space="preserve"> (</w:t>
      </w:r>
      <w:proofErr w:type="spellStart"/>
      <w:r w:rsidR="0013243E" w:rsidRPr="00270F2A">
        <w:rPr>
          <w:rFonts w:ascii="Times New Roman" w:hAnsi="Times New Roman" w:cs="Times New Roman"/>
        </w:rPr>
        <w:t>dir</w:t>
      </w:r>
      <w:proofErr w:type="spellEnd"/>
      <w:r w:rsidR="0013243E" w:rsidRPr="00270F2A">
        <w:rPr>
          <w:rFonts w:ascii="Times New Roman" w:hAnsi="Times New Roman" w:cs="Times New Roman"/>
        </w:rPr>
        <w:t xml:space="preserve">.), </w:t>
      </w:r>
      <w:r w:rsidR="0013243E" w:rsidRPr="00270F2A">
        <w:rPr>
          <w:rFonts w:ascii="Times New Roman" w:hAnsi="Times New Roman" w:cs="Times New Roman"/>
          <w:i/>
          <w:iCs/>
        </w:rPr>
        <w:t xml:space="preserve">Principes de la </w:t>
      </w:r>
      <w:proofErr w:type="spellStart"/>
      <w:r w:rsidR="0013243E" w:rsidRPr="00270F2A">
        <w:rPr>
          <w:rFonts w:ascii="Times New Roman" w:hAnsi="Times New Roman" w:cs="Times New Roman"/>
          <w:i/>
          <w:iCs/>
        </w:rPr>
        <w:t>repartition</w:t>
      </w:r>
      <w:proofErr w:type="spellEnd"/>
      <w:r w:rsidR="0013243E" w:rsidRPr="00270F2A">
        <w:rPr>
          <w:rFonts w:ascii="Times New Roman" w:hAnsi="Times New Roman" w:cs="Times New Roman"/>
          <w:i/>
          <w:iCs/>
        </w:rPr>
        <w:t xml:space="preserve"> des compétences</w:t>
      </w:r>
      <w:r w:rsidR="0013243E" w:rsidRPr="00270F2A">
        <w:rPr>
          <w:rFonts w:ascii="Times New Roman" w:hAnsi="Times New Roman" w:cs="Times New Roman"/>
        </w:rPr>
        <w:t xml:space="preserve">, Bruxelles, </w:t>
      </w:r>
      <w:proofErr w:type="spellStart"/>
      <w:r w:rsidR="0013243E" w:rsidRPr="00270F2A">
        <w:rPr>
          <w:rFonts w:ascii="Times New Roman" w:hAnsi="Times New Roman" w:cs="Times New Roman"/>
        </w:rPr>
        <w:t>Larcier</w:t>
      </w:r>
      <w:proofErr w:type="spellEnd"/>
      <w:r w:rsidR="0013243E" w:rsidRPr="00270F2A">
        <w:rPr>
          <w:rFonts w:ascii="Times New Roman" w:hAnsi="Times New Roman" w:cs="Times New Roman"/>
        </w:rPr>
        <w:t>, 2022, pp. 363-</w:t>
      </w:r>
      <w:r w:rsidR="00006278" w:rsidRPr="00270F2A">
        <w:rPr>
          <w:rFonts w:ascii="Times New Roman" w:hAnsi="Times New Roman" w:cs="Times New Roman"/>
        </w:rPr>
        <w:t>382</w:t>
      </w:r>
      <w:r w:rsidR="0013243E" w:rsidRPr="00270F2A">
        <w:rPr>
          <w:rFonts w:ascii="Times New Roman" w:hAnsi="Times New Roman" w:cs="Times New Roman"/>
        </w:rPr>
        <w:t>.</w:t>
      </w:r>
    </w:p>
  </w:footnote>
  <w:footnote w:id="95">
    <w:p w14:paraId="3ED79B98" w14:textId="5FD0E76F"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P.-O. </w:t>
      </w:r>
      <w:r w:rsidR="0013243E" w:rsidRPr="00270F2A">
        <w:rPr>
          <w:rFonts w:ascii="Times New Roman" w:hAnsi="Times New Roman" w:cs="Times New Roman"/>
          <w:smallCaps/>
        </w:rPr>
        <w:t xml:space="preserve">de </w:t>
      </w:r>
      <w:proofErr w:type="spellStart"/>
      <w:r w:rsidR="0013243E" w:rsidRPr="00270F2A">
        <w:rPr>
          <w:rFonts w:ascii="Times New Roman" w:hAnsi="Times New Roman" w:cs="Times New Roman"/>
          <w:smallCaps/>
        </w:rPr>
        <w:t>Broux</w:t>
      </w:r>
      <w:proofErr w:type="spellEnd"/>
      <w:r w:rsidR="0013243E" w:rsidRPr="00270F2A">
        <w:rPr>
          <w:rFonts w:ascii="Times New Roman" w:hAnsi="Times New Roman" w:cs="Times New Roman"/>
        </w:rPr>
        <w:t xml:space="preserve"> and C. </w:t>
      </w:r>
      <w:proofErr w:type="spellStart"/>
      <w:r w:rsidR="0013243E" w:rsidRPr="00270F2A">
        <w:rPr>
          <w:rFonts w:ascii="Times New Roman" w:hAnsi="Times New Roman" w:cs="Times New Roman"/>
          <w:smallCaps/>
        </w:rPr>
        <w:t>Pietquin</w:t>
      </w:r>
      <w:proofErr w:type="spellEnd"/>
      <w:r w:rsidR="0013243E" w:rsidRPr="00270F2A">
        <w:rPr>
          <w:rFonts w:ascii="Times New Roman" w:hAnsi="Times New Roman" w:cs="Times New Roman"/>
        </w:rPr>
        <w:t xml:space="preserve">, “L’autonomie”, in : M. El </w:t>
      </w:r>
      <w:proofErr w:type="spellStart"/>
      <w:r w:rsidR="0013243E" w:rsidRPr="00270F2A">
        <w:rPr>
          <w:rFonts w:ascii="Times New Roman" w:hAnsi="Times New Roman" w:cs="Times New Roman"/>
        </w:rPr>
        <w:t>Berhoumi</w:t>
      </w:r>
      <w:proofErr w:type="spellEnd"/>
      <w:r w:rsidR="0013243E" w:rsidRPr="00270F2A">
        <w:rPr>
          <w:rFonts w:ascii="Times New Roman" w:hAnsi="Times New Roman" w:cs="Times New Roman"/>
        </w:rPr>
        <w:t xml:space="preserve"> and S. Van </w:t>
      </w:r>
      <w:proofErr w:type="spellStart"/>
      <w:r w:rsidR="0013243E" w:rsidRPr="00270F2A">
        <w:rPr>
          <w:rFonts w:ascii="Times New Roman" w:hAnsi="Times New Roman" w:cs="Times New Roman"/>
        </w:rPr>
        <w:t>Drooghenbroeck</w:t>
      </w:r>
      <w:proofErr w:type="spellEnd"/>
      <w:r w:rsidR="0013243E" w:rsidRPr="00270F2A">
        <w:rPr>
          <w:rFonts w:ascii="Times New Roman" w:hAnsi="Times New Roman" w:cs="Times New Roman"/>
        </w:rPr>
        <w:t xml:space="preserve">, </w:t>
      </w:r>
      <w:r w:rsidR="0013243E" w:rsidRPr="00270F2A">
        <w:rPr>
          <w:rFonts w:ascii="Times New Roman" w:hAnsi="Times New Roman" w:cs="Times New Roman"/>
          <w:i/>
          <w:iCs/>
        </w:rPr>
        <w:t>Principes de la répartition des compétences</w:t>
      </w:r>
      <w:r w:rsidR="0013243E" w:rsidRPr="00270F2A">
        <w:rPr>
          <w:rFonts w:ascii="Times New Roman" w:hAnsi="Times New Roman" w:cs="Times New Roman"/>
        </w:rPr>
        <w:t xml:space="preserve">, Bruxelles, </w:t>
      </w:r>
      <w:proofErr w:type="spellStart"/>
      <w:r w:rsidR="0013243E" w:rsidRPr="00270F2A">
        <w:rPr>
          <w:rFonts w:ascii="Times New Roman" w:hAnsi="Times New Roman" w:cs="Times New Roman"/>
        </w:rPr>
        <w:t>Larcier</w:t>
      </w:r>
      <w:proofErr w:type="spellEnd"/>
      <w:r w:rsidR="0013243E" w:rsidRPr="00270F2A">
        <w:rPr>
          <w:rFonts w:ascii="Times New Roman" w:hAnsi="Times New Roman" w:cs="Times New Roman"/>
        </w:rPr>
        <w:t xml:space="preserve">, 2022, </w:t>
      </w:r>
      <w:proofErr w:type="spellStart"/>
      <w:r w:rsidRPr="00270F2A">
        <w:rPr>
          <w:rFonts w:ascii="Times New Roman" w:hAnsi="Times New Roman" w:cs="Times New Roman"/>
        </w:rPr>
        <w:t>n</w:t>
      </w:r>
      <w:r w:rsidR="00006278" w:rsidRPr="00270F2A">
        <w:rPr>
          <w:rFonts w:ascii="Times New Roman" w:hAnsi="Times New Roman" w:cs="Times New Roman"/>
        </w:rPr>
        <w:t>p</w:t>
      </w:r>
      <w:proofErr w:type="spellEnd"/>
      <w:r w:rsidR="00006278" w:rsidRPr="00270F2A">
        <w:rPr>
          <w:rFonts w:ascii="Times New Roman" w:hAnsi="Times New Roman" w:cs="Times New Roman"/>
        </w:rPr>
        <w:t>. 265.</w:t>
      </w:r>
    </w:p>
  </w:footnote>
  <w:footnote w:id="96">
    <w:p w14:paraId="409C9C03" w14:textId="2842F8C4" w:rsidR="007C05E5" w:rsidRPr="00270F2A" w:rsidRDefault="007C05E5" w:rsidP="00270F2A">
      <w:pPr>
        <w:pStyle w:val="Notedebasdepage"/>
        <w:jc w:val="both"/>
        <w:rPr>
          <w:rFonts w:ascii="Times New Roman" w:hAnsi="Times New Roman" w:cs="Times New Roman"/>
          <w:lang w:val="en-GB"/>
        </w:rPr>
      </w:pPr>
      <w:r w:rsidRPr="00270F2A">
        <w:rPr>
          <w:rStyle w:val="Appelnotedebasdep"/>
          <w:rFonts w:ascii="Times New Roman" w:hAnsi="Times New Roman" w:cs="Times New Roman"/>
        </w:rPr>
        <w:footnoteRef/>
      </w:r>
      <w:r w:rsidR="00E2418A" w:rsidRPr="00270F2A">
        <w:rPr>
          <w:rFonts w:ascii="Times New Roman" w:hAnsi="Times New Roman" w:cs="Times New Roman"/>
          <w:lang w:val="en-US"/>
        </w:rPr>
        <w:t xml:space="preserve"> This is particularly the case for the Brussels ordinances, whose status is partly like that of regulatory acts. See special law of the 12 January 1989 on the Brussels Institutions, Articles 9 and 45. </w:t>
      </w:r>
    </w:p>
  </w:footnote>
  <w:footnote w:id="97">
    <w:p w14:paraId="5915E758" w14:textId="1512E7FC"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H. </w:t>
      </w:r>
      <w:r w:rsidR="0013243E" w:rsidRPr="00270F2A">
        <w:rPr>
          <w:rFonts w:ascii="Times New Roman" w:hAnsi="Times New Roman" w:cs="Times New Roman"/>
          <w:smallCaps/>
        </w:rPr>
        <w:t>Kelsen</w:t>
      </w:r>
      <w:r w:rsidR="0013243E" w:rsidRPr="00270F2A">
        <w:rPr>
          <w:rFonts w:ascii="Times New Roman" w:hAnsi="Times New Roman" w:cs="Times New Roman"/>
        </w:rPr>
        <w:t xml:space="preserve">, “La garantie juridictionnelle de la Constitution (La Justice constitutionnelle)”, </w:t>
      </w:r>
      <w:r w:rsidR="0013243E" w:rsidRPr="00270F2A">
        <w:rPr>
          <w:rFonts w:ascii="Times New Roman" w:hAnsi="Times New Roman" w:cs="Times New Roman"/>
          <w:i/>
          <w:iCs/>
        </w:rPr>
        <w:t>Revue du droit public</w:t>
      </w:r>
      <w:r w:rsidR="0013243E" w:rsidRPr="00270F2A">
        <w:rPr>
          <w:rFonts w:ascii="Times New Roman" w:hAnsi="Times New Roman" w:cs="Times New Roman"/>
        </w:rPr>
        <w:t xml:space="preserve">, 1928, pp. 256-257. </w:t>
      </w:r>
    </w:p>
  </w:footnote>
  <w:footnote w:id="98">
    <w:p w14:paraId="55FED613" w14:textId="2E43B40F"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H. </w:t>
      </w:r>
      <w:r w:rsidR="0013243E" w:rsidRPr="00270F2A">
        <w:rPr>
          <w:rFonts w:ascii="Times New Roman" w:hAnsi="Times New Roman" w:cs="Times New Roman"/>
          <w:smallCaps/>
        </w:rPr>
        <w:t>Kelsen</w:t>
      </w:r>
      <w:r w:rsidR="0013243E" w:rsidRPr="00270F2A">
        <w:rPr>
          <w:rFonts w:ascii="Times New Roman" w:hAnsi="Times New Roman" w:cs="Times New Roman"/>
        </w:rPr>
        <w:t xml:space="preserve">, </w:t>
      </w:r>
      <w:r w:rsidR="0013243E" w:rsidRPr="00270F2A">
        <w:rPr>
          <w:rFonts w:ascii="Times New Roman" w:hAnsi="Times New Roman" w:cs="Times New Roman"/>
          <w:i/>
          <w:iCs/>
        </w:rPr>
        <w:t>ibidem</w:t>
      </w:r>
      <w:r w:rsidR="0013243E" w:rsidRPr="00270F2A">
        <w:rPr>
          <w:rFonts w:ascii="Times New Roman" w:hAnsi="Times New Roman" w:cs="Times New Roman"/>
        </w:rPr>
        <w:t>, p</w:t>
      </w:r>
      <w:r w:rsidRPr="00270F2A">
        <w:rPr>
          <w:rFonts w:ascii="Times New Roman" w:hAnsi="Times New Roman" w:cs="Times New Roman"/>
        </w:rPr>
        <w:t xml:space="preserve">. 253. </w:t>
      </w:r>
    </w:p>
  </w:footnote>
  <w:footnote w:id="99">
    <w:p w14:paraId="386A5DE6" w14:textId="33108924"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E2418A" w:rsidRPr="00270F2A">
        <w:rPr>
          <w:rFonts w:ascii="Times New Roman" w:hAnsi="Times New Roman" w:cs="Times New Roman"/>
        </w:rPr>
        <w:t xml:space="preserve">G. </w:t>
      </w:r>
      <w:proofErr w:type="spellStart"/>
      <w:r w:rsidR="00E2418A" w:rsidRPr="00270F2A">
        <w:rPr>
          <w:rFonts w:ascii="Times New Roman" w:hAnsi="Times New Roman" w:cs="Times New Roman"/>
          <w:smallCaps/>
        </w:rPr>
        <w:t>Rosoux</w:t>
      </w:r>
      <w:proofErr w:type="spellEnd"/>
      <w:r w:rsidR="00E2418A" w:rsidRPr="00270F2A">
        <w:rPr>
          <w:rFonts w:ascii="Times New Roman" w:hAnsi="Times New Roman" w:cs="Times New Roman"/>
        </w:rPr>
        <w:t xml:space="preserve">, “Les principes de la répartition des compétences dans la jurisprudence de la Cour constitutionnelle”, </w:t>
      </w:r>
      <w:r w:rsidR="00E2418A" w:rsidRPr="00270F2A">
        <w:rPr>
          <w:rFonts w:ascii="Times New Roman" w:hAnsi="Times New Roman" w:cs="Times New Roman"/>
          <w:i/>
          <w:iCs/>
        </w:rPr>
        <w:t>Administration publique</w:t>
      </w:r>
      <w:r w:rsidR="00E2418A" w:rsidRPr="00270F2A">
        <w:rPr>
          <w:rFonts w:ascii="Times New Roman" w:hAnsi="Times New Roman" w:cs="Times New Roman"/>
        </w:rPr>
        <w:t xml:space="preserve">, 2018, p. 318 ; P. </w:t>
      </w:r>
      <w:r w:rsidR="00E2418A" w:rsidRPr="00270F2A">
        <w:rPr>
          <w:rFonts w:ascii="Times New Roman" w:hAnsi="Times New Roman" w:cs="Times New Roman"/>
          <w:smallCaps/>
        </w:rPr>
        <w:t>Martens</w:t>
      </w:r>
      <w:r w:rsidR="00E2418A" w:rsidRPr="00270F2A">
        <w:rPr>
          <w:rFonts w:ascii="Times New Roman" w:hAnsi="Times New Roman" w:cs="Times New Roman"/>
        </w:rPr>
        <w:t xml:space="preserve">, “Le rôle de la Cour d’arbitrage dans l’édification du fédéralisme”, </w:t>
      </w:r>
      <w:r w:rsidR="00E2418A" w:rsidRPr="00270F2A">
        <w:rPr>
          <w:rFonts w:ascii="Times New Roman" w:hAnsi="Times New Roman" w:cs="Times New Roman"/>
          <w:i/>
          <w:iCs/>
        </w:rPr>
        <w:t>Revue belge de droit constitutionnel</w:t>
      </w:r>
      <w:r w:rsidR="00E2418A" w:rsidRPr="00270F2A">
        <w:rPr>
          <w:rFonts w:ascii="Times New Roman" w:hAnsi="Times New Roman" w:cs="Times New Roman"/>
        </w:rPr>
        <w:t>, 2003, p. 4.</w:t>
      </w:r>
    </w:p>
  </w:footnote>
  <w:footnote w:id="100">
    <w:p w14:paraId="3DF47756" w14:textId="6431DD12" w:rsidR="007C05E5" w:rsidRPr="00270F2A" w:rsidRDefault="007C05E5" w:rsidP="00270F2A">
      <w:pPr>
        <w:pStyle w:val="Notedebasdepage"/>
        <w:jc w:val="both"/>
        <w:rPr>
          <w:rFonts w:ascii="Times New Roman" w:hAnsi="Times New Roman" w:cs="Times New Roman"/>
          <w:lang w:val="en-US"/>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H. </w:t>
      </w:r>
      <w:r w:rsidR="0013243E" w:rsidRPr="00270F2A">
        <w:rPr>
          <w:rFonts w:ascii="Times New Roman" w:hAnsi="Times New Roman" w:cs="Times New Roman"/>
          <w:smallCaps/>
        </w:rPr>
        <w:t>Dumont</w:t>
      </w:r>
      <w:r w:rsidR="0013243E" w:rsidRPr="00270F2A">
        <w:rPr>
          <w:rFonts w:ascii="Times New Roman" w:hAnsi="Times New Roman" w:cs="Times New Roman"/>
        </w:rPr>
        <w:t xml:space="preserve"> and M. </w:t>
      </w:r>
      <w:r w:rsidR="0013243E" w:rsidRPr="00270F2A">
        <w:rPr>
          <w:rFonts w:ascii="Times New Roman" w:hAnsi="Times New Roman" w:cs="Times New Roman"/>
          <w:smallCaps/>
        </w:rPr>
        <w:t>El</w:t>
      </w:r>
      <w:r w:rsidR="0013243E" w:rsidRPr="00270F2A">
        <w:rPr>
          <w:rFonts w:ascii="Times New Roman" w:hAnsi="Times New Roman" w:cs="Times New Roman"/>
        </w:rPr>
        <w:t xml:space="preserve"> </w:t>
      </w:r>
      <w:proofErr w:type="spellStart"/>
      <w:r w:rsidR="0013243E" w:rsidRPr="00270F2A">
        <w:rPr>
          <w:rFonts w:ascii="Times New Roman" w:hAnsi="Times New Roman" w:cs="Times New Roman"/>
          <w:smallCaps/>
        </w:rPr>
        <w:t>Behroumi</w:t>
      </w:r>
      <w:proofErr w:type="spellEnd"/>
      <w:r w:rsidR="0013243E" w:rsidRPr="00270F2A">
        <w:rPr>
          <w:rFonts w:ascii="Times New Roman" w:hAnsi="Times New Roman" w:cs="Times New Roman"/>
        </w:rPr>
        <w:t xml:space="preserve">, </w:t>
      </w:r>
      <w:r w:rsidR="0013243E" w:rsidRPr="00270F2A">
        <w:rPr>
          <w:rFonts w:ascii="Times New Roman" w:hAnsi="Times New Roman" w:cs="Times New Roman"/>
          <w:i/>
          <w:iCs/>
        </w:rPr>
        <w:t>Droit constitutionnel. Approche critique et interdisciplinaire</w:t>
      </w:r>
      <w:r w:rsidR="0013243E" w:rsidRPr="00270F2A">
        <w:rPr>
          <w:rFonts w:ascii="Times New Roman" w:hAnsi="Times New Roman" w:cs="Times New Roman"/>
        </w:rPr>
        <w:t xml:space="preserve">, </w:t>
      </w:r>
      <w:r w:rsidR="0013243E" w:rsidRPr="00270F2A">
        <w:rPr>
          <w:rFonts w:ascii="Times New Roman" w:hAnsi="Times New Roman" w:cs="Times New Roman"/>
          <w:i/>
          <w:iCs/>
        </w:rPr>
        <w:t xml:space="preserve">op. </w:t>
      </w:r>
      <w:proofErr w:type="spellStart"/>
      <w:r w:rsidR="0013243E" w:rsidRPr="00270F2A">
        <w:rPr>
          <w:rFonts w:ascii="Times New Roman" w:hAnsi="Times New Roman" w:cs="Times New Roman"/>
          <w:i/>
          <w:iCs/>
        </w:rPr>
        <w:t>cit</w:t>
      </w:r>
      <w:proofErr w:type="spellEnd"/>
      <w:r w:rsidR="0013243E" w:rsidRPr="00270F2A">
        <w:rPr>
          <w:rFonts w:ascii="Times New Roman" w:hAnsi="Times New Roman" w:cs="Times New Roman"/>
          <w:i/>
          <w:iCs/>
        </w:rPr>
        <w:t>.</w:t>
      </w:r>
      <w:r w:rsidR="0013243E" w:rsidRPr="00270F2A">
        <w:rPr>
          <w:rFonts w:ascii="Times New Roman" w:hAnsi="Times New Roman" w:cs="Times New Roman"/>
        </w:rPr>
        <w:t xml:space="preserve">, pp. </w:t>
      </w:r>
      <w:r w:rsidRPr="00270F2A">
        <w:rPr>
          <w:rFonts w:ascii="Times New Roman" w:hAnsi="Times New Roman" w:cs="Times New Roman"/>
        </w:rPr>
        <w:t>355-356.</w:t>
      </w:r>
      <w:r w:rsidR="00733563" w:rsidRPr="00270F2A">
        <w:rPr>
          <w:rFonts w:ascii="Times New Roman" w:hAnsi="Times New Roman" w:cs="Times New Roman"/>
        </w:rPr>
        <w:t xml:space="preserve"> </w:t>
      </w:r>
      <w:r w:rsidR="0013243E" w:rsidRPr="00270F2A">
        <w:rPr>
          <w:rFonts w:ascii="Times New Roman" w:hAnsi="Times New Roman" w:cs="Times New Roman"/>
          <w:lang w:val="en-US"/>
        </w:rPr>
        <w:t xml:space="preserve">Except for the co-opted senators, the Senate is composed of members of the parliaments of the federated entities (Article 67 of the Constitution), who nevertheless represent the entire Belgian nation (Article 42 of the Constitution).  </w:t>
      </w:r>
    </w:p>
  </w:footnote>
  <w:footnote w:id="101">
    <w:p w14:paraId="3E03BC77" w14:textId="35C8AF73"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lang w:val="en-US"/>
        </w:rPr>
        <w:t xml:space="preserve"> </w:t>
      </w:r>
      <w:r w:rsidR="0013243E" w:rsidRPr="00270F2A">
        <w:rPr>
          <w:rFonts w:ascii="Times New Roman" w:hAnsi="Times New Roman" w:cs="Times New Roman"/>
          <w:lang w:val="en-US"/>
        </w:rPr>
        <w:t xml:space="preserve">A link can be made here with the principle of non-interference in international law which condemns the intervention of a state in the internal affairs of others. </w:t>
      </w:r>
      <w:r w:rsidR="0013243E" w:rsidRPr="00270F2A">
        <w:rPr>
          <w:rFonts w:ascii="Times New Roman" w:hAnsi="Times New Roman" w:cs="Times New Roman"/>
        </w:rPr>
        <w:t xml:space="preserve">On </w:t>
      </w:r>
      <w:proofErr w:type="spellStart"/>
      <w:r w:rsidR="0013243E" w:rsidRPr="00270F2A">
        <w:rPr>
          <w:rFonts w:ascii="Times New Roman" w:hAnsi="Times New Roman" w:cs="Times New Roman"/>
        </w:rPr>
        <w:t>this</w:t>
      </w:r>
      <w:proofErr w:type="spellEnd"/>
      <w:r w:rsidR="0013243E" w:rsidRPr="00270F2A">
        <w:rPr>
          <w:rFonts w:ascii="Times New Roman" w:hAnsi="Times New Roman" w:cs="Times New Roman"/>
        </w:rPr>
        <w:t xml:space="preserve"> issue, </w:t>
      </w:r>
      <w:proofErr w:type="spellStart"/>
      <w:r w:rsidR="0013243E" w:rsidRPr="00270F2A">
        <w:rPr>
          <w:rFonts w:ascii="Times New Roman" w:hAnsi="Times New Roman" w:cs="Times New Roman"/>
        </w:rPr>
        <w:t>see</w:t>
      </w:r>
      <w:proofErr w:type="spellEnd"/>
      <w:r w:rsidR="0013243E" w:rsidRPr="00270F2A">
        <w:rPr>
          <w:rFonts w:ascii="Times New Roman" w:hAnsi="Times New Roman" w:cs="Times New Roman"/>
        </w:rPr>
        <w:t xml:space="preserve"> J. </w:t>
      </w:r>
      <w:proofErr w:type="spellStart"/>
      <w:r w:rsidR="0013243E" w:rsidRPr="00270F2A">
        <w:rPr>
          <w:rFonts w:ascii="Times New Roman" w:hAnsi="Times New Roman" w:cs="Times New Roman"/>
          <w:smallCaps/>
        </w:rPr>
        <w:t>Verhoeven</w:t>
      </w:r>
      <w:proofErr w:type="spellEnd"/>
      <w:r w:rsidR="0013243E" w:rsidRPr="00270F2A">
        <w:rPr>
          <w:rFonts w:ascii="Times New Roman" w:hAnsi="Times New Roman" w:cs="Times New Roman"/>
        </w:rPr>
        <w:t xml:space="preserve">, </w:t>
      </w:r>
      <w:r w:rsidR="0013243E" w:rsidRPr="00270F2A">
        <w:rPr>
          <w:rFonts w:ascii="Times New Roman" w:hAnsi="Times New Roman" w:cs="Times New Roman"/>
          <w:i/>
          <w:iCs/>
        </w:rPr>
        <w:t>Droit international public</w:t>
      </w:r>
      <w:r w:rsidR="0013243E" w:rsidRPr="00270F2A">
        <w:rPr>
          <w:rFonts w:ascii="Times New Roman" w:hAnsi="Times New Roman" w:cs="Times New Roman"/>
        </w:rPr>
        <w:t xml:space="preserve">, Bruxelles, </w:t>
      </w:r>
      <w:proofErr w:type="spellStart"/>
      <w:r w:rsidR="0013243E" w:rsidRPr="00270F2A">
        <w:rPr>
          <w:rFonts w:ascii="Times New Roman" w:hAnsi="Times New Roman" w:cs="Times New Roman"/>
        </w:rPr>
        <w:t>Larcier</w:t>
      </w:r>
      <w:proofErr w:type="spellEnd"/>
      <w:r w:rsidR="0013243E" w:rsidRPr="00270F2A">
        <w:rPr>
          <w:rFonts w:ascii="Times New Roman" w:hAnsi="Times New Roman" w:cs="Times New Roman"/>
        </w:rPr>
        <w:t xml:space="preserve">, 2000, pp. 144-150. </w:t>
      </w:r>
    </w:p>
  </w:footnote>
  <w:footnote w:id="102">
    <w:p w14:paraId="11DB4FBF" w14:textId="6D61CC14"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13243E" w:rsidRPr="00270F2A">
        <w:rPr>
          <w:rFonts w:ascii="Times New Roman" w:hAnsi="Times New Roman" w:cs="Times New Roman"/>
        </w:rPr>
        <w:t xml:space="preserve">F. </w:t>
      </w:r>
      <w:r w:rsidR="0013243E" w:rsidRPr="00270F2A">
        <w:rPr>
          <w:rFonts w:ascii="Times New Roman" w:hAnsi="Times New Roman" w:cs="Times New Roman"/>
          <w:smallCaps/>
        </w:rPr>
        <w:t>Delpérée</w:t>
      </w:r>
      <w:r w:rsidR="0013243E" w:rsidRPr="00270F2A">
        <w:rPr>
          <w:rFonts w:ascii="Times New Roman" w:hAnsi="Times New Roman" w:cs="Times New Roman"/>
        </w:rPr>
        <w:t xml:space="preserve"> and M. </w:t>
      </w:r>
      <w:proofErr w:type="spellStart"/>
      <w:r w:rsidR="0013243E" w:rsidRPr="00270F2A">
        <w:rPr>
          <w:rFonts w:ascii="Times New Roman" w:hAnsi="Times New Roman" w:cs="Times New Roman"/>
          <w:smallCaps/>
        </w:rPr>
        <w:t>Verdussen</w:t>
      </w:r>
      <w:proofErr w:type="spellEnd"/>
      <w:r w:rsidR="0013243E" w:rsidRPr="00270F2A">
        <w:rPr>
          <w:rFonts w:ascii="Times New Roman" w:hAnsi="Times New Roman" w:cs="Times New Roman"/>
        </w:rPr>
        <w:t xml:space="preserve">, “L’égalité, mesure du fédéralisme”, </w:t>
      </w:r>
      <w:r w:rsidR="0013243E" w:rsidRPr="00270F2A">
        <w:rPr>
          <w:rFonts w:ascii="Times New Roman" w:hAnsi="Times New Roman" w:cs="Times New Roman"/>
          <w:i/>
          <w:iCs/>
        </w:rPr>
        <w:t xml:space="preserve">op. </w:t>
      </w:r>
      <w:proofErr w:type="spellStart"/>
      <w:r w:rsidR="0013243E" w:rsidRPr="00270F2A">
        <w:rPr>
          <w:rFonts w:ascii="Times New Roman" w:hAnsi="Times New Roman" w:cs="Times New Roman"/>
          <w:i/>
          <w:iCs/>
        </w:rPr>
        <w:t>cit</w:t>
      </w:r>
      <w:proofErr w:type="spellEnd"/>
      <w:r w:rsidR="0013243E" w:rsidRPr="00270F2A">
        <w:rPr>
          <w:rFonts w:ascii="Times New Roman" w:hAnsi="Times New Roman" w:cs="Times New Roman"/>
          <w:i/>
          <w:iCs/>
        </w:rPr>
        <w:t>.</w:t>
      </w:r>
      <w:r w:rsidR="0013243E" w:rsidRPr="00270F2A">
        <w:rPr>
          <w:rFonts w:ascii="Times New Roman" w:hAnsi="Times New Roman" w:cs="Times New Roman"/>
        </w:rPr>
        <w:t>, p</w:t>
      </w:r>
      <w:r w:rsidRPr="00270F2A">
        <w:rPr>
          <w:rFonts w:ascii="Times New Roman" w:hAnsi="Times New Roman" w:cs="Times New Roman"/>
        </w:rPr>
        <w:t>. 290</w:t>
      </w:r>
      <w:r w:rsidR="0013243E" w:rsidRPr="00270F2A">
        <w:rPr>
          <w:rFonts w:ascii="Times New Roman" w:hAnsi="Times New Roman" w:cs="Times New Roman"/>
        </w:rPr>
        <w:t>.</w:t>
      </w:r>
    </w:p>
  </w:footnote>
  <w:footnote w:id="103">
    <w:p w14:paraId="1F211BC9" w14:textId="0298755F" w:rsidR="00733563" w:rsidRPr="00270F2A" w:rsidRDefault="00733563"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00E2418A" w:rsidRPr="00270F2A">
        <w:rPr>
          <w:rFonts w:ascii="Times New Roman" w:hAnsi="Times New Roman" w:cs="Times New Roman"/>
        </w:rPr>
        <w:t xml:space="preserve">N. B. </w:t>
      </w:r>
      <w:r w:rsidR="00E2418A" w:rsidRPr="00270F2A">
        <w:rPr>
          <w:rFonts w:ascii="Times New Roman" w:hAnsi="Times New Roman" w:cs="Times New Roman"/>
          <w:smallCaps/>
        </w:rPr>
        <w:t>Bernard</w:t>
      </w:r>
      <w:r w:rsidR="00E2418A" w:rsidRPr="00270F2A">
        <w:rPr>
          <w:rFonts w:ascii="Times New Roman" w:hAnsi="Times New Roman" w:cs="Times New Roman"/>
        </w:rPr>
        <w:t xml:space="preserve">, “Les choix </w:t>
      </w:r>
      <w:proofErr w:type="spellStart"/>
      <w:r w:rsidR="00E2418A" w:rsidRPr="00270F2A">
        <w:rPr>
          <w:rFonts w:ascii="Times New Roman" w:hAnsi="Times New Roman" w:cs="Times New Roman"/>
        </w:rPr>
        <w:t>légistiques</w:t>
      </w:r>
      <w:proofErr w:type="spellEnd"/>
      <w:r w:rsidR="00E2418A" w:rsidRPr="00270F2A">
        <w:rPr>
          <w:rFonts w:ascii="Times New Roman" w:hAnsi="Times New Roman" w:cs="Times New Roman"/>
        </w:rPr>
        <w:t xml:space="preserve"> du Constituant comme limites formelles au contrôle de la Cour constitutionnelle”, </w:t>
      </w:r>
      <w:r w:rsidR="00E2418A" w:rsidRPr="00270F2A">
        <w:rPr>
          <w:rFonts w:ascii="Times New Roman" w:hAnsi="Times New Roman" w:cs="Times New Roman"/>
          <w:i/>
          <w:iCs/>
        </w:rPr>
        <w:t xml:space="preserve">op. </w:t>
      </w:r>
      <w:proofErr w:type="spellStart"/>
      <w:r w:rsidR="00E2418A" w:rsidRPr="00270F2A">
        <w:rPr>
          <w:rFonts w:ascii="Times New Roman" w:hAnsi="Times New Roman" w:cs="Times New Roman"/>
          <w:i/>
          <w:iCs/>
        </w:rPr>
        <w:t>cit</w:t>
      </w:r>
      <w:proofErr w:type="spellEnd"/>
      <w:r w:rsidR="00E2418A" w:rsidRPr="00270F2A">
        <w:rPr>
          <w:rFonts w:ascii="Times New Roman" w:hAnsi="Times New Roman" w:cs="Times New Roman"/>
          <w:i/>
          <w:iCs/>
        </w:rPr>
        <w:t>.</w:t>
      </w:r>
      <w:r w:rsidR="00E2418A" w:rsidRPr="00270F2A">
        <w:rPr>
          <w:rFonts w:ascii="Times New Roman" w:hAnsi="Times New Roman" w:cs="Times New Roman"/>
        </w:rPr>
        <w:t>, pp. 481 and 482.</w:t>
      </w:r>
    </w:p>
  </w:footnote>
  <w:footnote w:id="104">
    <w:p w14:paraId="715BC893" w14:textId="7EB4A3F4" w:rsidR="00E2418A" w:rsidRPr="00270F2A" w:rsidRDefault="00E2418A"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M. </w:t>
      </w:r>
      <w:proofErr w:type="spellStart"/>
      <w:r w:rsidRPr="00270F2A">
        <w:rPr>
          <w:rFonts w:ascii="Times New Roman" w:hAnsi="Times New Roman" w:cs="Times New Roman"/>
          <w:smallCaps/>
        </w:rPr>
        <w:t>Verdussen</w:t>
      </w:r>
      <w:proofErr w:type="spellEnd"/>
      <w:r w:rsidRPr="00270F2A">
        <w:rPr>
          <w:rFonts w:ascii="Times New Roman" w:hAnsi="Times New Roman" w:cs="Times New Roman"/>
        </w:rPr>
        <w:t xml:space="preserve">, </w:t>
      </w:r>
      <w:r w:rsidRPr="00270F2A">
        <w:rPr>
          <w:rFonts w:ascii="Times New Roman" w:hAnsi="Times New Roman" w:cs="Times New Roman"/>
          <w:i/>
          <w:iCs/>
        </w:rPr>
        <w:t>Les douze juges. La légitimité de la Cour constitutionnelle</w:t>
      </w:r>
      <w:r w:rsidRPr="00270F2A">
        <w:rPr>
          <w:rFonts w:ascii="Times New Roman" w:hAnsi="Times New Roman" w:cs="Times New Roman"/>
        </w:rPr>
        <w:t>, Bruxelles, Labor, 2004, pp. 51-53.</w:t>
      </w:r>
    </w:p>
  </w:footnote>
  <w:footnote w:id="105">
    <w:p w14:paraId="2383375F" w14:textId="28F1F79A" w:rsidR="00E2418A" w:rsidRPr="00270F2A" w:rsidRDefault="00E2418A"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r w:rsidRPr="00270F2A">
        <w:rPr>
          <w:rFonts w:ascii="Times New Roman" w:hAnsi="Times New Roman" w:cs="Times New Roman"/>
        </w:rPr>
        <w:t xml:space="preserve">N. B. </w:t>
      </w:r>
      <w:r w:rsidRPr="00270F2A">
        <w:rPr>
          <w:rFonts w:ascii="Times New Roman" w:hAnsi="Times New Roman" w:cs="Times New Roman"/>
          <w:smallCaps/>
        </w:rPr>
        <w:t>Bernard</w:t>
      </w:r>
      <w:r w:rsidRPr="00270F2A">
        <w:rPr>
          <w:rFonts w:ascii="Times New Roman" w:hAnsi="Times New Roman" w:cs="Times New Roman"/>
        </w:rPr>
        <w:t xml:space="preserve">, “Les choix </w:t>
      </w:r>
      <w:proofErr w:type="spellStart"/>
      <w:r w:rsidRPr="00270F2A">
        <w:rPr>
          <w:rFonts w:ascii="Times New Roman" w:hAnsi="Times New Roman" w:cs="Times New Roman"/>
        </w:rPr>
        <w:t>légistiques</w:t>
      </w:r>
      <w:proofErr w:type="spellEnd"/>
      <w:r w:rsidRPr="00270F2A">
        <w:rPr>
          <w:rFonts w:ascii="Times New Roman" w:hAnsi="Times New Roman" w:cs="Times New Roman"/>
        </w:rPr>
        <w:t xml:space="preserve"> du Constituant comme limites formelles au contrôle de la Cour constitutionnelle”, </w:t>
      </w:r>
      <w:r w:rsidRPr="00270F2A">
        <w:rPr>
          <w:rFonts w:ascii="Times New Roman" w:hAnsi="Times New Roman" w:cs="Times New Roman"/>
          <w:i/>
          <w:iCs/>
        </w:rPr>
        <w:t xml:space="preserve">op. </w:t>
      </w:r>
      <w:proofErr w:type="spellStart"/>
      <w:r w:rsidRPr="00270F2A">
        <w:rPr>
          <w:rFonts w:ascii="Times New Roman" w:hAnsi="Times New Roman" w:cs="Times New Roman"/>
          <w:i/>
          <w:iCs/>
        </w:rPr>
        <w:t>cit</w:t>
      </w:r>
      <w:proofErr w:type="spellEnd"/>
      <w:r w:rsidRPr="00270F2A">
        <w:rPr>
          <w:rFonts w:ascii="Times New Roman" w:hAnsi="Times New Roman" w:cs="Times New Roman"/>
          <w:i/>
          <w:iCs/>
        </w:rPr>
        <w:t>.</w:t>
      </w:r>
      <w:r w:rsidRPr="00270F2A">
        <w:rPr>
          <w:rFonts w:ascii="Times New Roman" w:hAnsi="Times New Roman" w:cs="Times New Roman"/>
        </w:rPr>
        <w:t xml:space="preserve">, p. 482. </w:t>
      </w:r>
    </w:p>
  </w:footnote>
  <w:footnote w:id="106">
    <w:p w14:paraId="31B0D91D" w14:textId="48A37763" w:rsidR="007C05E5" w:rsidRPr="00270F2A" w:rsidRDefault="007C05E5" w:rsidP="00270F2A">
      <w:pPr>
        <w:pStyle w:val="Notedebasdepage"/>
        <w:jc w:val="both"/>
        <w:rPr>
          <w:rFonts w:ascii="Times New Roman" w:hAnsi="Times New Roman" w:cs="Times New Roman"/>
        </w:rPr>
      </w:pPr>
      <w:r w:rsidRPr="00270F2A">
        <w:rPr>
          <w:rStyle w:val="Appelnotedebasdep"/>
          <w:rFonts w:ascii="Times New Roman" w:hAnsi="Times New Roman" w:cs="Times New Roman"/>
        </w:rPr>
        <w:footnoteRef/>
      </w:r>
      <w:r w:rsidRPr="00270F2A">
        <w:rPr>
          <w:rFonts w:ascii="Times New Roman" w:hAnsi="Times New Roman" w:cs="Times New Roman"/>
        </w:rPr>
        <w:t xml:space="preserve"> </w:t>
      </w:r>
      <w:proofErr w:type="spellStart"/>
      <w:r w:rsidRPr="00270F2A">
        <w:rPr>
          <w:rFonts w:ascii="Times New Roman" w:hAnsi="Times New Roman" w:cs="Times New Roman"/>
        </w:rPr>
        <w:t>Voy</w:t>
      </w:r>
      <w:proofErr w:type="spellEnd"/>
      <w:r w:rsidRPr="00270F2A">
        <w:rPr>
          <w:rFonts w:ascii="Times New Roman" w:hAnsi="Times New Roman" w:cs="Times New Roman"/>
        </w:rPr>
        <w:t xml:space="preserve">. G. </w:t>
      </w:r>
      <w:r w:rsidRPr="00270F2A">
        <w:rPr>
          <w:rFonts w:ascii="Times New Roman" w:hAnsi="Times New Roman" w:cs="Times New Roman"/>
          <w:smallCaps/>
        </w:rPr>
        <w:t>Vedel</w:t>
      </w:r>
      <w:r w:rsidRPr="00270F2A">
        <w:rPr>
          <w:rFonts w:ascii="Times New Roman" w:hAnsi="Times New Roman" w:cs="Times New Roman"/>
        </w:rPr>
        <w:t xml:space="preserve">, « Schengen et Maastricht : à propos de la décision no 91-294 DC du Conseil constitutionnel du 25 juillet 1991 », </w:t>
      </w:r>
      <w:r w:rsidR="009330E6" w:rsidRPr="00270F2A">
        <w:rPr>
          <w:rFonts w:ascii="Times New Roman" w:hAnsi="Times New Roman" w:cs="Times New Roman"/>
          <w:i/>
          <w:iCs/>
        </w:rPr>
        <w:t xml:space="preserve">op. </w:t>
      </w:r>
      <w:proofErr w:type="spellStart"/>
      <w:r w:rsidR="009330E6" w:rsidRPr="00270F2A">
        <w:rPr>
          <w:rFonts w:ascii="Times New Roman" w:hAnsi="Times New Roman" w:cs="Times New Roman"/>
          <w:i/>
          <w:iCs/>
        </w:rPr>
        <w:t>cit</w:t>
      </w:r>
      <w:proofErr w:type="spellEnd"/>
      <w:r w:rsidR="009330E6" w:rsidRPr="00270F2A">
        <w:rPr>
          <w:rFonts w:ascii="Times New Roman" w:hAnsi="Times New Roman" w:cs="Times New Roman"/>
          <w:i/>
          <w:iCs/>
        </w:rPr>
        <w:t>.,</w:t>
      </w:r>
      <w:r w:rsidRPr="00270F2A">
        <w:rPr>
          <w:rFonts w:ascii="Times New Roman" w:hAnsi="Times New Roman" w:cs="Times New Roman"/>
        </w:rPr>
        <w:t xml:space="preserve"> p. 173.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C10CA"/>
    <w:multiLevelType w:val="hybridMultilevel"/>
    <w:tmpl w:val="5FA6EEB4"/>
    <w:lvl w:ilvl="0" w:tplc="A054248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62"/>
    <w:rsid w:val="00006278"/>
    <w:rsid w:val="00112446"/>
    <w:rsid w:val="0013243E"/>
    <w:rsid w:val="001950CC"/>
    <w:rsid w:val="001A7A02"/>
    <w:rsid w:val="00270F2A"/>
    <w:rsid w:val="002A52F4"/>
    <w:rsid w:val="00355FC0"/>
    <w:rsid w:val="00377B13"/>
    <w:rsid w:val="00414B20"/>
    <w:rsid w:val="004A43EC"/>
    <w:rsid w:val="00555D6F"/>
    <w:rsid w:val="006D762C"/>
    <w:rsid w:val="00733563"/>
    <w:rsid w:val="007C05E5"/>
    <w:rsid w:val="0085771D"/>
    <w:rsid w:val="00901B86"/>
    <w:rsid w:val="009330E6"/>
    <w:rsid w:val="00950962"/>
    <w:rsid w:val="00962810"/>
    <w:rsid w:val="00963E00"/>
    <w:rsid w:val="009D2517"/>
    <w:rsid w:val="00AA08DF"/>
    <w:rsid w:val="00AC3EB6"/>
    <w:rsid w:val="00D174D3"/>
    <w:rsid w:val="00D90CC8"/>
    <w:rsid w:val="00E2418A"/>
    <w:rsid w:val="00E67947"/>
    <w:rsid w:val="00F105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0A2F2E7"/>
  <w15:chartTrackingRefBased/>
  <w15:docId w15:val="{794FBF86-3350-774A-AA1F-F8251E59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50962"/>
    <w:rPr>
      <w:sz w:val="20"/>
      <w:szCs w:val="20"/>
    </w:rPr>
  </w:style>
  <w:style w:type="character" w:customStyle="1" w:styleId="NotedebasdepageCar">
    <w:name w:val="Note de bas de page Car"/>
    <w:basedOn w:val="Policepardfaut"/>
    <w:link w:val="Notedebasdepage"/>
    <w:uiPriority w:val="99"/>
    <w:semiHidden/>
    <w:rsid w:val="00950962"/>
    <w:rPr>
      <w:sz w:val="20"/>
      <w:szCs w:val="20"/>
    </w:rPr>
  </w:style>
  <w:style w:type="character" w:styleId="Appelnotedebasdep">
    <w:name w:val="footnote reference"/>
    <w:basedOn w:val="Policepardfaut"/>
    <w:uiPriority w:val="99"/>
    <w:semiHidden/>
    <w:unhideWhenUsed/>
    <w:rsid w:val="00950962"/>
    <w:rPr>
      <w:vertAlign w:val="superscript"/>
    </w:rPr>
  </w:style>
  <w:style w:type="paragraph" w:styleId="Paragraphedeliste">
    <w:name w:val="List Paragraph"/>
    <w:basedOn w:val="Normal"/>
    <w:uiPriority w:val="34"/>
    <w:qFormat/>
    <w:rsid w:val="00950962"/>
    <w:pPr>
      <w:ind w:left="720"/>
      <w:contextualSpacing/>
    </w:pPr>
  </w:style>
  <w:style w:type="paragraph" w:styleId="Pieddepage">
    <w:name w:val="footer"/>
    <w:basedOn w:val="Normal"/>
    <w:link w:val="PieddepageCar"/>
    <w:uiPriority w:val="99"/>
    <w:unhideWhenUsed/>
    <w:rsid w:val="007C05E5"/>
    <w:pPr>
      <w:tabs>
        <w:tab w:val="center" w:pos="4536"/>
        <w:tab w:val="right" w:pos="9072"/>
      </w:tabs>
    </w:pPr>
  </w:style>
  <w:style w:type="character" w:customStyle="1" w:styleId="PieddepageCar">
    <w:name w:val="Pied de page Car"/>
    <w:basedOn w:val="Policepardfaut"/>
    <w:link w:val="Pieddepage"/>
    <w:uiPriority w:val="99"/>
    <w:rsid w:val="007C05E5"/>
  </w:style>
  <w:style w:type="character" w:styleId="Numrodepage">
    <w:name w:val="page number"/>
    <w:basedOn w:val="Policepardfaut"/>
    <w:uiPriority w:val="99"/>
    <w:semiHidden/>
    <w:unhideWhenUsed/>
    <w:rsid w:val="007C05E5"/>
  </w:style>
  <w:style w:type="paragraph" w:styleId="En-tte">
    <w:name w:val="header"/>
    <w:basedOn w:val="Normal"/>
    <w:link w:val="En-tteCar"/>
    <w:uiPriority w:val="99"/>
    <w:unhideWhenUsed/>
    <w:rsid w:val="00D174D3"/>
    <w:pPr>
      <w:tabs>
        <w:tab w:val="center" w:pos="4536"/>
        <w:tab w:val="right" w:pos="9072"/>
      </w:tabs>
    </w:pPr>
  </w:style>
  <w:style w:type="character" w:customStyle="1" w:styleId="En-tteCar">
    <w:name w:val="En-tête Car"/>
    <w:basedOn w:val="Policepardfaut"/>
    <w:link w:val="En-tte"/>
    <w:uiPriority w:val="99"/>
    <w:rsid w:val="00D1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4429">
      <w:bodyDiv w:val="1"/>
      <w:marLeft w:val="0"/>
      <w:marRight w:val="0"/>
      <w:marTop w:val="0"/>
      <w:marBottom w:val="0"/>
      <w:divBdr>
        <w:top w:val="none" w:sz="0" w:space="0" w:color="auto"/>
        <w:left w:val="none" w:sz="0" w:space="0" w:color="auto"/>
        <w:bottom w:val="none" w:sz="0" w:space="0" w:color="auto"/>
        <w:right w:val="none" w:sz="0" w:space="0" w:color="auto"/>
      </w:divBdr>
    </w:div>
    <w:div w:id="134414595">
      <w:bodyDiv w:val="1"/>
      <w:marLeft w:val="0"/>
      <w:marRight w:val="0"/>
      <w:marTop w:val="0"/>
      <w:marBottom w:val="0"/>
      <w:divBdr>
        <w:top w:val="none" w:sz="0" w:space="0" w:color="auto"/>
        <w:left w:val="none" w:sz="0" w:space="0" w:color="auto"/>
        <w:bottom w:val="none" w:sz="0" w:space="0" w:color="auto"/>
        <w:right w:val="none" w:sz="0" w:space="0" w:color="auto"/>
      </w:divBdr>
    </w:div>
    <w:div w:id="41428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30341">
          <w:marLeft w:val="0"/>
          <w:marRight w:val="0"/>
          <w:marTop w:val="0"/>
          <w:marBottom w:val="0"/>
          <w:divBdr>
            <w:top w:val="none" w:sz="0" w:space="0" w:color="auto"/>
            <w:left w:val="none" w:sz="0" w:space="0" w:color="auto"/>
            <w:bottom w:val="none" w:sz="0" w:space="0" w:color="auto"/>
            <w:right w:val="none" w:sz="0" w:space="0" w:color="auto"/>
          </w:divBdr>
          <w:divsChild>
            <w:div w:id="1169756548">
              <w:marLeft w:val="0"/>
              <w:marRight w:val="0"/>
              <w:marTop w:val="0"/>
              <w:marBottom w:val="0"/>
              <w:divBdr>
                <w:top w:val="none" w:sz="0" w:space="0" w:color="auto"/>
                <w:left w:val="none" w:sz="0" w:space="0" w:color="auto"/>
                <w:bottom w:val="none" w:sz="0" w:space="0" w:color="auto"/>
                <w:right w:val="none" w:sz="0" w:space="0" w:color="auto"/>
              </w:divBdr>
              <w:divsChild>
                <w:div w:id="16418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77352">
      <w:bodyDiv w:val="1"/>
      <w:marLeft w:val="0"/>
      <w:marRight w:val="0"/>
      <w:marTop w:val="0"/>
      <w:marBottom w:val="0"/>
      <w:divBdr>
        <w:top w:val="none" w:sz="0" w:space="0" w:color="auto"/>
        <w:left w:val="none" w:sz="0" w:space="0" w:color="auto"/>
        <w:bottom w:val="none" w:sz="0" w:space="0" w:color="auto"/>
        <w:right w:val="none" w:sz="0" w:space="0" w:color="auto"/>
      </w:divBdr>
    </w:div>
    <w:div w:id="544606221">
      <w:bodyDiv w:val="1"/>
      <w:marLeft w:val="0"/>
      <w:marRight w:val="0"/>
      <w:marTop w:val="0"/>
      <w:marBottom w:val="0"/>
      <w:divBdr>
        <w:top w:val="none" w:sz="0" w:space="0" w:color="auto"/>
        <w:left w:val="none" w:sz="0" w:space="0" w:color="auto"/>
        <w:bottom w:val="none" w:sz="0" w:space="0" w:color="auto"/>
        <w:right w:val="none" w:sz="0" w:space="0" w:color="auto"/>
      </w:divBdr>
    </w:div>
    <w:div w:id="692267251">
      <w:bodyDiv w:val="1"/>
      <w:marLeft w:val="0"/>
      <w:marRight w:val="0"/>
      <w:marTop w:val="0"/>
      <w:marBottom w:val="0"/>
      <w:divBdr>
        <w:top w:val="none" w:sz="0" w:space="0" w:color="auto"/>
        <w:left w:val="none" w:sz="0" w:space="0" w:color="auto"/>
        <w:bottom w:val="none" w:sz="0" w:space="0" w:color="auto"/>
        <w:right w:val="none" w:sz="0" w:space="0" w:color="auto"/>
      </w:divBdr>
      <w:divsChild>
        <w:div w:id="1229457606">
          <w:marLeft w:val="0"/>
          <w:marRight w:val="0"/>
          <w:marTop w:val="0"/>
          <w:marBottom w:val="0"/>
          <w:divBdr>
            <w:top w:val="none" w:sz="0" w:space="0" w:color="auto"/>
            <w:left w:val="none" w:sz="0" w:space="0" w:color="auto"/>
            <w:bottom w:val="none" w:sz="0" w:space="0" w:color="auto"/>
            <w:right w:val="none" w:sz="0" w:space="0" w:color="auto"/>
          </w:divBdr>
          <w:divsChild>
            <w:div w:id="936444516">
              <w:marLeft w:val="0"/>
              <w:marRight w:val="0"/>
              <w:marTop w:val="0"/>
              <w:marBottom w:val="0"/>
              <w:divBdr>
                <w:top w:val="none" w:sz="0" w:space="0" w:color="auto"/>
                <w:left w:val="none" w:sz="0" w:space="0" w:color="auto"/>
                <w:bottom w:val="none" w:sz="0" w:space="0" w:color="auto"/>
                <w:right w:val="none" w:sz="0" w:space="0" w:color="auto"/>
              </w:divBdr>
              <w:divsChild>
                <w:div w:id="1629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68671">
      <w:bodyDiv w:val="1"/>
      <w:marLeft w:val="0"/>
      <w:marRight w:val="0"/>
      <w:marTop w:val="0"/>
      <w:marBottom w:val="0"/>
      <w:divBdr>
        <w:top w:val="none" w:sz="0" w:space="0" w:color="auto"/>
        <w:left w:val="none" w:sz="0" w:space="0" w:color="auto"/>
        <w:bottom w:val="none" w:sz="0" w:space="0" w:color="auto"/>
        <w:right w:val="none" w:sz="0" w:space="0" w:color="auto"/>
      </w:divBdr>
    </w:div>
    <w:div w:id="959073438">
      <w:bodyDiv w:val="1"/>
      <w:marLeft w:val="0"/>
      <w:marRight w:val="0"/>
      <w:marTop w:val="0"/>
      <w:marBottom w:val="0"/>
      <w:divBdr>
        <w:top w:val="none" w:sz="0" w:space="0" w:color="auto"/>
        <w:left w:val="none" w:sz="0" w:space="0" w:color="auto"/>
        <w:bottom w:val="none" w:sz="0" w:space="0" w:color="auto"/>
        <w:right w:val="none" w:sz="0" w:space="0" w:color="auto"/>
      </w:divBdr>
    </w:div>
    <w:div w:id="973869197">
      <w:bodyDiv w:val="1"/>
      <w:marLeft w:val="0"/>
      <w:marRight w:val="0"/>
      <w:marTop w:val="0"/>
      <w:marBottom w:val="0"/>
      <w:divBdr>
        <w:top w:val="none" w:sz="0" w:space="0" w:color="auto"/>
        <w:left w:val="none" w:sz="0" w:space="0" w:color="auto"/>
        <w:bottom w:val="none" w:sz="0" w:space="0" w:color="auto"/>
        <w:right w:val="none" w:sz="0" w:space="0" w:color="auto"/>
      </w:divBdr>
    </w:div>
    <w:div w:id="1411584474">
      <w:bodyDiv w:val="1"/>
      <w:marLeft w:val="0"/>
      <w:marRight w:val="0"/>
      <w:marTop w:val="0"/>
      <w:marBottom w:val="0"/>
      <w:divBdr>
        <w:top w:val="none" w:sz="0" w:space="0" w:color="auto"/>
        <w:left w:val="none" w:sz="0" w:space="0" w:color="auto"/>
        <w:bottom w:val="none" w:sz="0" w:space="0" w:color="auto"/>
        <w:right w:val="none" w:sz="0" w:space="0" w:color="auto"/>
      </w:divBdr>
    </w:div>
    <w:div w:id="1766459087">
      <w:bodyDiv w:val="1"/>
      <w:marLeft w:val="0"/>
      <w:marRight w:val="0"/>
      <w:marTop w:val="0"/>
      <w:marBottom w:val="0"/>
      <w:divBdr>
        <w:top w:val="none" w:sz="0" w:space="0" w:color="auto"/>
        <w:left w:val="none" w:sz="0" w:space="0" w:color="auto"/>
        <w:bottom w:val="none" w:sz="0" w:space="0" w:color="auto"/>
        <w:right w:val="none" w:sz="0" w:space="0" w:color="auto"/>
      </w:divBdr>
    </w:div>
    <w:div w:id="1918781846">
      <w:bodyDiv w:val="1"/>
      <w:marLeft w:val="0"/>
      <w:marRight w:val="0"/>
      <w:marTop w:val="0"/>
      <w:marBottom w:val="0"/>
      <w:divBdr>
        <w:top w:val="none" w:sz="0" w:space="0" w:color="auto"/>
        <w:left w:val="none" w:sz="0" w:space="0" w:color="auto"/>
        <w:bottom w:val="none" w:sz="0" w:space="0" w:color="auto"/>
        <w:right w:val="none" w:sz="0" w:space="0" w:color="auto"/>
      </w:divBdr>
    </w:div>
    <w:div w:id="213558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46443-B870-F347-BCB7-132DE773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17</Pages>
  <Words>7417</Words>
  <Characters>40799</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Bernard</dc:creator>
  <cp:keywords/>
  <dc:description/>
  <cp:lastModifiedBy>Nicolas Bernard</cp:lastModifiedBy>
  <cp:revision>19</cp:revision>
  <dcterms:created xsi:type="dcterms:W3CDTF">2022-03-04T10:29:00Z</dcterms:created>
  <dcterms:modified xsi:type="dcterms:W3CDTF">2022-03-25T08:05:00Z</dcterms:modified>
</cp:coreProperties>
</file>