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434A" w:rsidRPr="00A12151" w:rsidRDefault="00F0434A" w:rsidP="00F0434A">
      <w:pPr>
        <w:spacing w:line="264" w:lineRule="auto"/>
        <w:rPr>
          <w:rFonts w:asciiTheme="minorHAnsi" w:hAnsiTheme="minorHAnsi" w:cstheme="minorHAnsi"/>
          <w:b/>
          <w:sz w:val="32"/>
          <w:szCs w:val="28"/>
          <w:lang w:val="en-US"/>
        </w:rPr>
      </w:pPr>
      <w:r w:rsidRPr="00A12151">
        <w:rPr>
          <w:rFonts w:asciiTheme="minorHAnsi" w:hAnsiTheme="minorHAnsi" w:cstheme="minorHAnsi"/>
          <w:b/>
          <w:sz w:val="32"/>
          <w:szCs w:val="28"/>
          <w:lang w:val="en-US"/>
        </w:rPr>
        <w:t>Ictal EEG source imaging and connectivity to localize the seizure onset zone in extratemporal lobe epilepsy</w:t>
      </w:r>
    </w:p>
    <w:p w:rsidR="00F0434A" w:rsidRPr="00A12151" w:rsidRDefault="00F0434A" w:rsidP="00F0434A">
      <w:pPr>
        <w:rPr>
          <w:rFonts w:asciiTheme="minorHAnsi" w:hAnsiTheme="minorHAnsi" w:cstheme="minorHAnsi"/>
          <w:lang w:val="en-US"/>
        </w:rPr>
      </w:pPr>
    </w:p>
    <w:p w:rsidR="00F0434A" w:rsidRPr="00A12151" w:rsidRDefault="00F0434A" w:rsidP="00F0434A">
      <w:pPr>
        <w:jc w:val="both"/>
        <w:rPr>
          <w:rFonts w:asciiTheme="minorHAnsi" w:hAnsiTheme="minorHAnsi" w:cstheme="minorHAnsi"/>
          <w:vertAlign w:val="superscript"/>
          <w:lang w:val="en-US"/>
        </w:rPr>
      </w:pPr>
      <w:r w:rsidRPr="00A12151">
        <w:rPr>
          <w:rFonts w:asciiTheme="minorHAnsi" w:hAnsiTheme="minorHAnsi" w:cstheme="minorHAnsi"/>
          <w:lang w:val="en-US"/>
        </w:rPr>
        <w:t>Simone Vespa</w:t>
      </w:r>
      <w:r w:rsidRPr="00A12151">
        <w:rPr>
          <w:rFonts w:asciiTheme="minorHAnsi" w:hAnsiTheme="minorHAnsi" w:cstheme="minorHAnsi"/>
          <w:vertAlign w:val="superscript"/>
          <w:lang w:val="en-US"/>
        </w:rPr>
        <w:t>1</w:t>
      </w:r>
      <w:r>
        <w:rPr>
          <w:rFonts w:asciiTheme="minorHAnsi" w:hAnsiTheme="minorHAnsi" w:cstheme="minorHAnsi"/>
          <w:lang w:val="en-US"/>
        </w:rPr>
        <w:t>*</w:t>
      </w:r>
      <w:r w:rsidRPr="00A12151">
        <w:rPr>
          <w:rFonts w:asciiTheme="minorHAnsi" w:hAnsiTheme="minorHAnsi" w:cstheme="minorHAnsi"/>
          <w:lang w:val="en-US"/>
        </w:rPr>
        <w:t>, Amir G. Baroumand</w:t>
      </w:r>
      <w:r w:rsidRPr="00A12151">
        <w:rPr>
          <w:rFonts w:asciiTheme="minorHAnsi" w:hAnsiTheme="minorHAnsi" w:cstheme="minorHAnsi"/>
          <w:vertAlign w:val="superscript"/>
          <w:lang w:val="en-US"/>
        </w:rPr>
        <w:t>2,3</w:t>
      </w:r>
      <w:r w:rsidRPr="00A12151">
        <w:rPr>
          <w:rFonts w:asciiTheme="minorHAnsi" w:hAnsiTheme="minorHAnsi" w:cstheme="minorHAnsi"/>
          <w:lang w:val="en-US"/>
        </w:rPr>
        <w:t>, Susana Ferrao Santos</w:t>
      </w:r>
      <w:r w:rsidRPr="00A12151">
        <w:rPr>
          <w:rFonts w:asciiTheme="minorHAnsi" w:hAnsiTheme="minorHAnsi" w:cstheme="minorHAnsi"/>
          <w:vertAlign w:val="superscript"/>
          <w:lang w:val="en-US"/>
        </w:rPr>
        <w:t>1,4,5</w:t>
      </w:r>
      <w:r w:rsidRPr="00A12151">
        <w:rPr>
          <w:rFonts w:asciiTheme="minorHAnsi" w:hAnsiTheme="minorHAnsi" w:cstheme="minorHAnsi"/>
          <w:lang w:val="en-US"/>
        </w:rPr>
        <w:t>, Pascal Vrielynck</w:t>
      </w:r>
      <w:r w:rsidRPr="00A12151">
        <w:rPr>
          <w:rFonts w:asciiTheme="minorHAnsi" w:hAnsiTheme="minorHAnsi" w:cstheme="minorHAnsi"/>
          <w:vertAlign w:val="superscript"/>
          <w:lang w:val="en-US"/>
        </w:rPr>
        <w:t>5</w:t>
      </w:r>
      <w:r w:rsidRPr="00A12151">
        <w:rPr>
          <w:rFonts w:asciiTheme="minorHAnsi" w:hAnsiTheme="minorHAnsi" w:cstheme="minorHAnsi"/>
          <w:lang w:val="en-US"/>
        </w:rPr>
        <w:t>, Marianne de Tourtchaninoff</w:t>
      </w:r>
      <w:r w:rsidRPr="00A12151">
        <w:rPr>
          <w:rFonts w:asciiTheme="minorHAnsi" w:hAnsiTheme="minorHAnsi" w:cstheme="minorHAnsi"/>
          <w:vertAlign w:val="superscript"/>
          <w:lang w:val="en-US"/>
        </w:rPr>
        <w:t>4</w:t>
      </w:r>
      <w:r w:rsidRPr="00A12151">
        <w:rPr>
          <w:rFonts w:asciiTheme="minorHAnsi" w:hAnsiTheme="minorHAnsi" w:cstheme="minorHAnsi"/>
          <w:lang w:val="en-US"/>
        </w:rPr>
        <w:t>, Odile Feys</w:t>
      </w:r>
      <w:r w:rsidRPr="00A12151">
        <w:rPr>
          <w:rFonts w:asciiTheme="minorHAnsi" w:hAnsiTheme="minorHAnsi" w:cstheme="minorHAnsi"/>
          <w:vertAlign w:val="superscript"/>
          <w:lang w:val="en-US"/>
        </w:rPr>
        <w:t>4</w:t>
      </w:r>
      <w:r w:rsidRPr="00A12151">
        <w:rPr>
          <w:rFonts w:asciiTheme="minorHAnsi" w:hAnsiTheme="minorHAnsi" w:cstheme="minorHAnsi"/>
          <w:lang w:val="en-US"/>
        </w:rPr>
        <w:t>, Gregor Strobbe</w:t>
      </w:r>
      <w:r w:rsidRPr="00A12151">
        <w:rPr>
          <w:rFonts w:asciiTheme="minorHAnsi" w:hAnsiTheme="minorHAnsi" w:cstheme="minorHAnsi"/>
          <w:vertAlign w:val="superscript"/>
          <w:lang w:val="en-US"/>
        </w:rPr>
        <w:t>3</w:t>
      </w:r>
      <w:r w:rsidRPr="00A12151">
        <w:rPr>
          <w:rFonts w:asciiTheme="minorHAnsi" w:hAnsiTheme="minorHAnsi" w:cstheme="minorHAnsi"/>
          <w:lang w:val="en-US"/>
        </w:rPr>
        <w:t>, Christian Raftopoulos</w:t>
      </w:r>
      <w:r w:rsidRPr="00A12151">
        <w:rPr>
          <w:rFonts w:asciiTheme="minorHAnsi" w:hAnsiTheme="minorHAnsi" w:cstheme="minorHAnsi"/>
          <w:vertAlign w:val="superscript"/>
          <w:lang w:val="en-US"/>
        </w:rPr>
        <w:t>6</w:t>
      </w:r>
      <w:r w:rsidRPr="00A12151">
        <w:rPr>
          <w:rFonts w:asciiTheme="minorHAnsi" w:hAnsiTheme="minorHAnsi" w:cstheme="minorHAnsi"/>
          <w:lang w:val="en-US"/>
        </w:rPr>
        <w:t>, Pieter van Mierlo</w:t>
      </w:r>
      <w:r w:rsidRPr="00A12151">
        <w:rPr>
          <w:rFonts w:asciiTheme="minorHAnsi" w:hAnsiTheme="minorHAnsi" w:cstheme="minorHAnsi"/>
          <w:vertAlign w:val="superscript"/>
          <w:lang w:val="en-US"/>
        </w:rPr>
        <w:t>2,3</w:t>
      </w:r>
      <w:r w:rsidRPr="00A12151">
        <w:rPr>
          <w:rFonts w:asciiTheme="minorHAnsi" w:hAnsiTheme="minorHAnsi" w:cstheme="minorHAnsi"/>
          <w:lang w:val="en-US"/>
        </w:rPr>
        <w:t>, Riëm El Tahry</w:t>
      </w:r>
      <w:r w:rsidRPr="00A12151">
        <w:rPr>
          <w:rFonts w:asciiTheme="minorHAnsi" w:hAnsiTheme="minorHAnsi" w:cstheme="minorHAnsi"/>
          <w:vertAlign w:val="superscript"/>
          <w:lang w:val="en-US"/>
        </w:rPr>
        <w:t>1,4</w:t>
      </w:r>
    </w:p>
    <w:p w:rsidR="00F0434A" w:rsidRPr="00A12151" w:rsidRDefault="00F0434A" w:rsidP="00F0434A">
      <w:pPr>
        <w:jc w:val="both"/>
        <w:rPr>
          <w:rFonts w:asciiTheme="minorHAnsi" w:hAnsiTheme="minorHAnsi" w:cstheme="minorHAnsi"/>
          <w:sz w:val="22"/>
          <w:szCs w:val="22"/>
          <w:lang w:val="en-US"/>
        </w:rPr>
      </w:pPr>
    </w:p>
    <w:p w:rsidR="00F0434A" w:rsidRPr="00A12151" w:rsidRDefault="00F0434A" w:rsidP="00F0434A">
      <w:pPr>
        <w:jc w:val="both"/>
        <w:rPr>
          <w:rFonts w:asciiTheme="minorHAnsi" w:hAnsiTheme="minorHAnsi" w:cstheme="minorHAnsi"/>
          <w:sz w:val="22"/>
          <w:szCs w:val="22"/>
          <w:lang w:val="fr-BE"/>
        </w:rPr>
      </w:pPr>
      <w:r w:rsidRPr="00A12151">
        <w:rPr>
          <w:rFonts w:asciiTheme="minorHAnsi" w:hAnsiTheme="minorHAnsi" w:cstheme="minorHAnsi"/>
          <w:sz w:val="22"/>
          <w:szCs w:val="22"/>
          <w:vertAlign w:val="superscript"/>
          <w:lang w:val="fr-BE"/>
        </w:rPr>
        <w:t xml:space="preserve">1 </w:t>
      </w:r>
      <w:r w:rsidRPr="00A12151">
        <w:rPr>
          <w:rFonts w:asciiTheme="minorHAnsi" w:hAnsiTheme="minorHAnsi" w:cstheme="minorHAnsi"/>
          <w:sz w:val="22"/>
          <w:szCs w:val="22"/>
          <w:lang w:val="fr-BE"/>
        </w:rPr>
        <w:t>Institute of Neuroscience (IoNS), Université Catholique de Louvain, Brussels, Belgium</w:t>
      </w:r>
    </w:p>
    <w:p w:rsidR="00F0434A" w:rsidRPr="00A12151" w:rsidRDefault="00F0434A" w:rsidP="00F0434A">
      <w:pPr>
        <w:jc w:val="both"/>
        <w:rPr>
          <w:rFonts w:asciiTheme="minorHAnsi" w:hAnsiTheme="minorHAnsi" w:cstheme="minorHAnsi"/>
          <w:sz w:val="22"/>
          <w:szCs w:val="22"/>
          <w:lang w:val="en-US"/>
        </w:rPr>
      </w:pPr>
      <w:r w:rsidRPr="00A12151">
        <w:rPr>
          <w:rFonts w:asciiTheme="minorHAnsi" w:hAnsiTheme="minorHAnsi" w:cstheme="minorHAnsi"/>
          <w:sz w:val="22"/>
          <w:szCs w:val="22"/>
          <w:vertAlign w:val="superscript"/>
          <w:lang w:val="en-US"/>
        </w:rPr>
        <w:t xml:space="preserve">2 </w:t>
      </w:r>
      <w:r w:rsidRPr="00A12151">
        <w:rPr>
          <w:rFonts w:asciiTheme="minorHAnsi" w:hAnsiTheme="minorHAnsi" w:cstheme="minorHAnsi"/>
          <w:sz w:val="22"/>
          <w:szCs w:val="22"/>
          <w:lang w:val="en-US"/>
        </w:rPr>
        <w:t>Medical Image and Signal Processing Group (MEDISIP), Ghent University, Ghent, Belgium</w:t>
      </w:r>
    </w:p>
    <w:p w:rsidR="00F0434A" w:rsidRPr="00A12151" w:rsidRDefault="00F0434A" w:rsidP="00F0434A">
      <w:pPr>
        <w:jc w:val="both"/>
        <w:rPr>
          <w:rFonts w:asciiTheme="minorHAnsi" w:hAnsiTheme="minorHAnsi" w:cstheme="minorHAnsi"/>
          <w:sz w:val="22"/>
          <w:szCs w:val="22"/>
          <w:lang w:val="en-US"/>
        </w:rPr>
      </w:pPr>
      <w:r w:rsidRPr="00A12151">
        <w:rPr>
          <w:rFonts w:asciiTheme="minorHAnsi" w:hAnsiTheme="minorHAnsi" w:cstheme="minorHAnsi"/>
          <w:sz w:val="22"/>
          <w:szCs w:val="22"/>
          <w:vertAlign w:val="superscript"/>
          <w:lang w:val="en-US"/>
        </w:rPr>
        <w:t xml:space="preserve">3 </w:t>
      </w:r>
      <w:r w:rsidRPr="00A12151">
        <w:rPr>
          <w:rFonts w:asciiTheme="minorHAnsi" w:hAnsiTheme="minorHAnsi" w:cstheme="minorHAnsi"/>
          <w:sz w:val="22"/>
          <w:szCs w:val="22"/>
          <w:lang w:val="en-US"/>
        </w:rPr>
        <w:t>Epilog NV, Ghent, Belgium</w:t>
      </w:r>
    </w:p>
    <w:p w:rsidR="00F0434A" w:rsidRPr="00A12151" w:rsidRDefault="00F0434A" w:rsidP="00F0434A">
      <w:pPr>
        <w:jc w:val="both"/>
        <w:rPr>
          <w:rFonts w:asciiTheme="minorHAnsi" w:hAnsiTheme="minorHAnsi" w:cstheme="minorHAnsi"/>
          <w:sz w:val="22"/>
          <w:szCs w:val="22"/>
          <w:lang w:val="en-US"/>
        </w:rPr>
      </w:pPr>
      <w:r w:rsidRPr="00A12151">
        <w:rPr>
          <w:rFonts w:asciiTheme="minorHAnsi" w:hAnsiTheme="minorHAnsi" w:cstheme="minorHAnsi"/>
          <w:sz w:val="22"/>
          <w:szCs w:val="22"/>
          <w:vertAlign w:val="superscript"/>
          <w:lang w:val="en-US"/>
        </w:rPr>
        <w:t xml:space="preserve">4 </w:t>
      </w:r>
      <w:r>
        <w:rPr>
          <w:rFonts w:asciiTheme="minorHAnsi" w:hAnsiTheme="minorHAnsi" w:cstheme="minorHAnsi"/>
          <w:sz w:val="22"/>
          <w:szCs w:val="22"/>
          <w:lang w:val="en-US"/>
        </w:rPr>
        <w:t>Centre for Refractory Epilepsy, Department of Neurology</w:t>
      </w:r>
      <w:r w:rsidRPr="00A12151">
        <w:rPr>
          <w:rFonts w:asciiTheme="minorHAnsi" w:hAnsiTheme="minorHAnsi" w:cstheme="minorHAnsi"/>
          <w:sz w:val="22"/>
          <w:szCs w:val="22"/>
          <w:lang w:val="en-US"/>
        </w:rPr>
        <w:t>, Cliniques Universitaires Saint-Luc, Brussels, Belgium</w:t>
      </w:r>
    </w:p>
    <w:p w:rsidR="00F0434A" w:rsidRPr="00A12151" w:rsidRDefault="00F0434A" w:rsidP="00F0434A">
      <w:pPr>
        <w:rPr>
          <w:rFonts w:asciiTheme="minorHAnsi" w:hAnsiTheme="minorHAnsi" w:cstheme="minorHAnsi"/>
          <w:sz w:val="22"/>
          <w:szCs w:val="22"/>
          <w:lang w:val="en-US"/>
        </w:rPr>
      </w:pPr>
      <w:r w:rsidRPr="00A12151">
        <w:rPr>
          <w:rFonts w:asciiTheme="minorHAnsi" w:hAnsiTheme="minorHAnsi" w:cstheme="minorHAnsi"/>
          <w:sz w:val="22"/>
          <w:szCs w:val="22"/>
          <w:vertAlign w:val="superscript"/>
          <w:lang w:val="en-US"/>
        </w:rPr>
        <w:t xml:space="preserve">5 </w:t>
      </w:r>
      <w:r w:rsidRPr="00A12151">
        <w:rPr>
          <w:rFonts w:asciiTheme="minorHAnsi" w:hAnsiTheme="minorHAnsi" w:cstheme="minorHAnsi"/>
          <w:sz w:val="22"/>
          <w:szCs w:val="22"/>
          <w:lang w:val="en-US"/>
        </w:rPr>
        <w:t>Epileptology and Clinical Neurophysiology, Centre Neurologique William Lennox, Ottignies, Belgium</w:t>
      </w:r>
    </w:p>
    <w:p w:rsidR="00F0434A" w:rsidRPr="00A12151" w:rsidRDefault="00F0434A" w:rsidP="00F0434A">
      <w:pPr>
        <w:jc w:val="both"/>
        <w:rPr>
          <w:rFonts w:asciiTheme="minorHAnsi" w:hAnsiTheme="minorHAnsi" w:cstheme="minorHAnsi"/>
          <w:b/>
          <w:sz w:val="22"/>
          <w:szCs w:val="22"/>
          <w:lang w:val="en-US"/>
        </w:rPr>
      </w:pPr>
      <w:r w:rsidRPr="00A12151">
        <w:rPr>
          <w:rFonts w:asciiTheme="minorHAnsi" w:hAnsiTheme="minorHAnsi" w:cstheme="minorHAnsi"/>
          <w:sz w:val="22"/>
          <w:szCs w:val="22"/>
          <w:vertAlign w:val="superscript"/>
          <w:lang w:val="en-US"/>
        </w:rPr>
        <w:t xml:space="preserve">6 </w:t>
      </w:r>
      <w:r w:rsidRPr="00A12151">
        <w:rPr>
          <w:rFonts w:asciiTheme="minorHAnsi" w:hAnsiTheme="minorHAnsi" w:cstheme="minorHAnsi"/>
          <w:sz w:val="22"/>
          <w:szCs w:val="22"/>
          <w:lang w:val="en-US"/>
        </w:rPr>
        <w:t>Department of Neurosurgery, Cliniques Universitaires Saint-Luc, Brussels, Belgium</w:t>
      </w:r>
    </w:p>
    <w:p w:rsidR="00F0434A" w:rsidRPr="00A12151" w:rsidRDefault="00F0434A" w:rsidP="00F0434A">
      <w:pPr>
        <w:spacing w:after="160" w:line="259" w:lineRule="auto"/>
        <w:rPr>
          <w:rFonts w:asciiTheme="minorHAnsi" w:hAnsiTheme="minorHAnsi" w:cstheme="minorHAnsi"/>
          <w:b/>
          <w:lang w:val="en-US"/>
        </w:rPr>
      </w:pPr>
    </w:p>
    <w:p w:rsidR="00F0434A" w:rsidRPr="00A12151" w:rsidRDefault="00F0434A" w:rsidP="00F0434A">
      <w:pPr>
        <w:spacing w:after="160" w:line="259" w:lineRule="auto"/>
        <w:rPr>
          <w:rFonts w:asciiTheme="minorHAnsi" w:hAnsiTheme="minorHAnsi" w:cstheme="minorHAnsi"/>
          <w:b/>
          <w:lang w:val="en-US"/>
        </w:rPr>
      </w:pPr>
    </w:p>
    <w:p w:rsidR="00F0434A" w:rsidRPr="00A12151" w:rsidRDefault="00F0434A" w:rsidP="00F0434A">
      <w:pPr>
        <w:rPr>
          <w:rFonts w:asciiTheme="minorHAnsi" w:hAnsiTheme="minorHAnsi" w:cstheme="minorHAnsi"/>
          <w:lang w:val="en-US"/>
        </w:rPr>
      </w:pPr>
      <w:r>
        <w:rPr>
          <w:rFonts w:asciiTheme="minorHAnsi" w:hAnsiTheme="minorHAnsi" w:cstheme="minorHAnsi"/>
          <w:b/>
          <w:lang w:val="en-US"/>
        </w:rPr>
        <w:t>*</w:t>
      </w:r>
      <w:r w:rsidRPr="00A12151">
        <w:rPr>
          <w:rFonts w:asciiTheme="minorHAnsi" w:hAnsiTheme="minorHAnsi" w:cstheme="minorHAnsi"/>
          <w:b/>
          <w:lang w:val="en-US"/>
        </w:rPr>
        <w:t>Corresponding author</w:t>
      </w:r>
      <w:r w:rsidRPr="00A12151">
        <w:rPr>
          <w:rFonts w:asciiTheme="minorHAnsi" w:hAnsiTheme="minorHAnsi" w:cstheme="minorHAnsi"/>
          <w:lang w:val="en-US"/>
        </w:rPr>
        <w:t>: Simone Vespa</w:t>
      </w:r>
    </w:p>
    <w:p w:rsidR="00F0434A" w:rsidRPr="00A12151" w:rsidRDefault="00F0434A" w:rsidP="00F0434A">
      <w:pPr>
        <w:rPr>
          <w:rFonts w:asciiTheme="minorHAnsi" w:hAnsiTheme="minorHAnsi" w:cstheme="minorHAnsi"/>
          <w:lang w:val="en-US"/>
        </w:rPr>
      </w:pPr>
      <w:r w:rsidRPr="00A12151">
        <w:rPr>
          <w:rFonts w:asciiTheme="minorHAnsi" w:hAnsiTheme="minorHAnsi" w:cstheme="minorHAnsi"/>
          <w:lang w:val="en-US"/>
        </w:rPr>
        <w:t>Address: Avenue Mounier 53 – B1.53.02, 1200 Bruxelles, Belgium</w:t>
      </w:r>
    </w:p>
    <w:p w:rsidR="00F0434A" w:rsidRPr="00A12151" w:rsidRDefault="00F0434A" w:rsidP="00F0434A">
      <w:pPr>
        <w:rPr>
          <w:rFonts w:asciiTheme="minorHAnsi" w:hAnsiTheme="minorHAnsi" w:cstheme="minorHAnsi"/>
          <w:lang w:val="en-US"/>
        </w:rPr>
      </w:pPr>
      <w:r w:rsidRPr="00A12151">
        <w:rPr>
          <w:rFonts w:asciiTheme="minorHAnsi" w:hAnsiTheme="minorHAnsi" w:cstheme="minorHAnsi"/>
          <w:lang w:val="en-US"/>
        </w:rPr>
        <w:t xml:space="preserve">E-mail: </w:t>
      </w:r>
      <w:hyperlink r:id="rId5" w:history="1">
        <w:r w:rsidRPr="00A12151">
          <w:rPr>
            <w:rFonts w:asciiTheme="minorHAnsi" w:hAnsiTheme="minorHAnsi"/>
            <w:lang w:val="en-US"/>
          </w:rPr>
          <w:t>simone.vespa@uclouvain.be</w:t>
        </w:r>
      </w:hyperlink>
    </w:p>
    <w:p w:rsidR="00F0434A" w:rsidRPr="00A12151" w:rsidRDefault="00F0434A" w:rsidP="00F0434A">
      <w:pPr>
        <w:rPr>
          <w:rFonts w:asciiTheme="minorHAnsi" w:hAnsiTheme="minorHAnsi" w:cstheme="minorHAnsi"/>
          <w:lang w:val="en-US"/>
        </w:rPr>
      </w:pPr>
      <w:r w:rsidRPr="00A12151">
        <w:rPr>
          <w:rFonts w:asciiTheme="minorHAnsi" w:hAnsiTheme="minorHAnsi" w:cstheme="minorHAnsi"/>
          <w:lang w:val="en-US"/>
        </w:rPr>
        <w:t>Telephone number: +32490390337</w:t>
      </w:r>
    </w:p>
    <w:p w:rsidR="00F0434A" w:rsidRPr="00A12151" w:rsidRDefault="00F0434A" w:rsidP="00F0434A">
      <w:pPr>
        <w:spacing w:after="160" w:line="259" w:lineRule="auto"/>
        <w:rPr>
          <w:rFonts w:asciiTheme="minorHAnsi" w:hAnsiTheme="minorHAnsi" w:cstheme="minorHAnsi"/>
          <w:lang w:val="en-US"/>
        </w:rPr>
      </w:pPr>
    </w:p>
    <w:p w:rsidR="00F0434A" w:rsidRPr="00A12151" w:rsidRDefault="00F0434A" w:rsidP="00F0434A">
      <w:pPr>
        <w:spacing w:after="160" w:line="259" w:lineRule="auto"/>
        <w:rPr>
          <w:rFonts w:asciiTheme="minorHAnsi" w:hAnsiTheme="minorHAnsi" w:cstheme="minorHAnsi"/>
          <w:lang w:val="en-US"/>
        </w:rPr>
      </w:pPr>
    </w:p>
    <w:p w:rsidR="00F0434A" w:rsidRPr="00A12151" w:rsidRDefault="00F0434A" w:rsidP="00F0434A">
      <w:pPr>
        <w:rPr>
          <w:rFonts w:asciiTheme="minorHAnsi" w:hAnsiTheme="minorHAnsi" w:cstheme="minorHAnsi"/>
          <w:lang w:val="en-US"/>
        </w:rPr>
      </w:pPr>
      <w:r w:rsidRPr="00A12151">
        <w:rPr>
          <w:rFonts w:asciiTheme="minorHAnsi" w:hAnsiTheme="minorHAnsi" w:cstheme="minorHAnsi"/>
          <w:b/>
          <w:lang w:val="en-US"/>
        </w:rPr>
        <w:t>Key Words</w:t>
      </w:r>
      <w:r w:rsidRPr="00A12151">
        <w:rPr>
          <w:rFonts w:asciiTheme="minorHAnsi" w:hAnsiTheme="minorHAnsi" w:cstheme="minorHAnsi"/>
          <w:lang w:val="en-US"/>
        </w:rPr>
        <w:t> : electrical source imaging, functional connectivity, presurgical evaluation, Granger causality, automated ESI</w:t>
      </w:r>
    </w:p>
    <w:p w:rsidR="00F0434A" w:rsidRDefault="00F0434A" w:rsidP="00F0434A">
      <w:pPr>
        <w:spacing w:after="160" w:line="259" w:lineRule="auto"/>
        <w:rPr>
          <w:rFonts w:asciiTheme="minorHAnsi" w:hAnsiTheme="minorHAnsi" w:cstheme="minorHAnsi"/>
          <w:lang w:val="en-US"/>
        </w:rPr>
      </w:pPr>
    </w:p>
    <w:p w:rsidR="00F0434A" w:rsidRPr="00A12151" w:rsidRDefault="00F0434A" w:rsidP="00F0434A">
      <w:pPr>
        <w:spacing w:after="160" w:line="259" w:lineRule="auto"/>
        <w:rPr>
          <w:rFonts w:asciiTheme="minorHAnsi" w:hAnsiTheme="minorHAnsi" w:cstheme="minorHAnsi"/>
          <w:lang w:val="en-US"/>
        </w:rPr>
      </w:pPr>
    </w:p>
    <w:p w:rsidR="00F0434A" w:rsidRPr="00A12151" w:rsidRDefault="00F0434A" w:rsidP="00F0434A">
      <w:pPr>
        <w:rPr>
          <w:rFonts w:asciiTheme="minorHAnsi" w:hAnsiTheme="minorHAnsi" w:cstheme="minorHAnsi"/>
          <w:lang w:val="en-US"/>
        </w:rPr>
      </w:pPr>
      <w:r w:rsidRPr="00A12151">
        <w:rPr>
          <w:rFonts w:asciiTheme="minorHAnsi" w:hAnsiTheme="minorHAnsi" w:cstheme="minorHAnsi"/>
          <w:lang w:val="en-US"/>
        </w:rPr>
        <w:t>Number of words:</w:t>
      </w:r>
      <w:r>
        <w:rPr>
          <w:rFonts w:asciiTheme="minorHAnsi" w:hAnsiTheme="minorHAnsi" w:cstheme="minorHAnsi"/>
          <w:lang w:val="en-US"/>
        </w:rPr>
        <w:t xml:space="preserve"> 250 </w:t>
      </w:r>
      <w:r w:rsidRPr="00A12151">
        <w:rPr>
          <w:rFonts w:asciiTheme="minorHAnsi" w:hAnsiTheme="minorHAnsi" w:cstheme="minorHAnsi"/>
          <w:lang w:val="en-US"/>
        </w:rPr>
        <w:t>(</w:t>
      </w:r>
      <w:r>
        <w:rPr>
          <w:rFonts w:asciiTheme="minorHAnsi" w:hAnsiTheme="minorHAnsi" w:cstheme="minorHAnsi"/>
          <w:lang w:val="en-US"/>
        </w:rPr>
        <w:t>abstract</w:t>
      </w:r>
      <w:r w:rsidRPr="00A12151">
        <w:rPr>
          <w:rFonts w:asciiTheme="minorHAnsi" w:hAnsiTheme="minorHAnsi" w:cstheme="minorHAnsi"/>
          <w:lang w:val="en-US"/>
        </w:rPr>
        <w:t xml:space="preserve">), </w:t>
      </w:r>
      <w:r>
        <w:rPr>
          <w:rFonts w:asciiTheme="minorHAnsi" w:hAnsiTheme="minorHAnsi" w:cstheme="minorHAnsi"/>
          <w:lang w:val="en-US"/>
        </w:rPr>
        <w:t xml:space="preserve">5303 </w:t>
      </w:r>
      <w:r w:rsidRPr="00A12151">
        <w:rPr>
          <w:rFonts w:asciiTheme="minorHAnsi" w:hAnsiTheme="minorHAnsi" w:cstheme="minorHAnsi"/>
          <w:lang w:val="en-US"/>
        </w:rPr>
        <w:t>(main body)</w:t>
      </w:r>
    </w:p>
    <w:p w:rsidR="00F0434A" w:rsidRPr="00A12151" w:rsidRDefault="00F0434A" w:rsidP="00F0434A">
      <w:pPr>
        <w:rPr>
          <w:rFonts w:asciiTheme="minorHAnsi" w:hAnsiTheme="minorHAnsi" w:cstheme="minorHAnsi"/>
          <w:lang w:val="en-US"/>
        </w:rPr>
      </w:pPr>
      <w:r>
        <w:rPr>
          <w:rFonts w:asciiTheme="minorHAnsi" w:hAnsiTheme="minorHAnsi" w:cstheme="minorHAnsi"/>
          <w:lang w:val="en-US"/>
        </w:rPr>
        <w:t>Number of tables: 2 (main), 3</w:t>
      </w:r>
      <w:r w:rsidRPr="00A12151">
        <w:rPr>
          <w:rFonts w:asciiTheme="minorHAnsi" w:hAnsiTheme="minorHAnsi" w:cstheme="minorHAnsi"/>
          <w:lang w:val="en-US"/>
        </w:rPr>
        <w:t xml:space="preserve"> (supplementary)</w:t>
      </w:r>
    </w:p>
    <w:p w:rsidR="00F0434A" w:rsidRPr="00A12151" w:rsidRDefault="00F0434A" w:rsidP="00F0434A">
      <w:pPr>
        <w:rPr>
          <w:rFonts w:asciiTheme="minorHAnsi" w:hAnsiTheme="minorHAnsi" w:cstheme="minorHAnsi"/>
          <w:lang w:val="en-US"/>
        </w:rPr>
      </w:pPr>
      <w:r>
        <w:rPr>
          <w:rFonts w:asciiTheme="minorHAnsi" w:hAnsiTheme="minorHAnsi" w:cstheme="minorHAnsi"/>
          <w:lang w:val="en-US"/>
        </w:rPr>
        <w:t>Number of figures: 5 (</w:t>
      </w:r>
      <w:r w:rsidRPr="00A12151">
        <w:rPr>
          <w:rFonts w:asciiTheme="minorHAnsi" w:hAnsiTheme="minorHAnsi" w:cstheme="minorHAnsi"/>
          <w:lang w:val="en-US"/>
        </w:rPr>
        <w:t xml:space="preserve">color) </w:t>
      </w:r>
    </w:p>
    <w:p w:rsidR="00F0434A" w:rsidRDefault="00F0434A" w:rsidP="00F0434A">
      <w:pPr>
        <w:spacing w:after="160" w:line="259" w:lineRule="auto"/>
        <w:rPr>
          <w:rFonts w:asciiTheme="minorHAnsi" w:hAnsiTheme="minorHAnsi" w:cstheme="minorHAnsi"/>
          <w:lang w:val="en-US"/>
        </w:rPr>
      </w:pPr>
    </w:p>
    <w:p w:rsidR="00F0434A" w:rsidRDefault="00F0434A" w:rsidP="00F0434A">
      <w:pPr>
        <w:spacing w:after="160" w:line="259" w:lineRule="auto"/>
        <w:rPr>
          <w:rFonts w:asciiTheme="minorHAnsi" w:hAnsiTheme="minorHAnsi" w:cstheme="minorHAnsi"/>
          <w:lang w:val="en-US"/>
        </w:rPr>
      </w:pPr>
    </w:p>
    <w:p w:rsidR="00F0434A" w:rsidRDefault="00F0434A" w:rsidP="00F0434A">
      <w:pPr>
        <w:spacing w:after="160" w:line="259" w:lineRule="auto"/>
        <w:rPr>
          <w:rFonts w:asciiTheme="minorHAnsi" w:hAnsiTheme="minorHAnsi" w:cstheme="minorHAnsi"/>
          <w:b/>
          <w:lang w:val="en-US"/>
        </w:rPr>
      </w:pPr>
      <w:r>
        <w:rPr>
          <w:rFonts w:asciiTheme="minorHAnsi" w:hAnsiTheme="minorHAnsi" w:cstheme="minorHAnsi"/>
          <w:b/>
          <w:lang w:val="en-US"/>
        </w:rPr>
        <w:t>HIGHLIGHTS</w:t>
      </w:r>
    </w:p>
    <w:p w:rsidR="00F0434A" w:rsidRDefault="00F0434A" w:rsidP="00F0434A">
      <w:pPr>
        <w:pStyle w:val="Paragraphedeliste"/>
        <w:numPr>
          <w:ilvl w:val="0"/>
          <w:numId w:val="30"/>
        </w:numPr>
        <w:spacing w:line="360" w:lineRule="auto"/>
        <w:rPr>
          <w:rFonts w:asciiTheme="minorHAnsi" w:hAnsiTheme="minorHAnsi" w:cstheme="minorHAnsi"/>
          <w:b/>
          <w:lang w:val="en-US"/>
        </w:rPr>
      </w:pPr>
      <w:r>
        <w:rPr>
          <w:rFonts w:asciiTheme="minorHAnsi" w:hAnsiTheme="minorHAnsi" w:cstheme="minorHAnsi"/>
          <w:lang w:val="en-US"/>
        </w:rPr>
        <w:t>An automated algorithm was implemented for ictal ESI and subsequent connectivity from low-density EEG</w:t>
      </w:r>
    </w:p>
    <w:p w:rsidR="00F0434A" w:rsidRPr="00CC4656" w:rsidRDefault="00F0434A" w:rsidP="00F0434A">
      <w:pPr>
        <w:pStyle w:val="Paragraphedeliste"/>
        <w:numPr>
          <w:ilvl w:val="0"/>
          <w:numId w:val="30"/>
        </w:numPr>
        <w:spacing w:line="360" w:lineRule="auto"/>
        <w:rPr>
          <w:rFonts w:asciiTheme="minorHAnsi" w:hAnsiTheme="minorHAnsi" w:cstheme="minorHAnsi"/>
          <w:b/>
          <w:lang w:val="en-US"/>
        </w:rPr>
      </w:pPr>
      <w:r>
        <w:rPr>
          <w:rFonts w:asciiTheme="minorHAnsi" w:hAnsiTheme="minorHAnsi" w:cstheme="minorHAnsi"/>
          <w:color w:val="222222"/>
          <w:lang w:val="en-US"/>
        </w:rPr>
        <w:t xml:space="preserve">Connectivity analysis may improve the localization of the </w:t>
      </w:r>
      <w:r w:rsidRPr="007D1A81">
        <w:rPr>
          <w:rFonts w:asciiTheme="minorHAnsi" w:hAnsiTheme="minorHAnsi" w:cstheme="minorHAnsi"/>
          <w:color w:val="222222"/>
          <w:lang w:val="en-US"/>
        </w:rPr>
        <w:t xml:space="preserve">seizure onset zone </w:t>
      </w:r>
      <w:r>
        <w:rPr>
          <w:rFonts w:asciiTheme="minorHAnsi" w:hAnsiTheme="minorHAnsi" w:cstheme="minorHAnsi"/>
          <w:color w:val="222222"/>
          <w:lang w:val="en-US"/>
        </w:rPr>
        <w:t>in extratemporal lobe epilepsy</w:t>
      </w:r>
    </w:p>
    <w:p w:rsidR="00F0434A" w:rsidRPr="00F0434A" w:rsidRDefault="00F0434A" w:rsidP="00DD4FB0">
      <w:pPr>
        <w:pStyle w:val="Paragraphedeliste"/>
        <w:numPr>
          <w:ilvl w:val="0"/>
          <w:numId w:val="30"/>
        </w:numPr>
        <w:spacing w:after="160" w:line="259" w:lineRule="auto"/>
        <w:rPr>
          <w:rFonts w:asciiTheme="minorHAnsi" w:hAnsiTheme="minorHAnsi" w:cstheme="minorHAnsi"/>
          <w:b/>
          <w:lang w:val="en-US"/>
        </w:rPr>
      </w:pPr>
      <w:r w:rsidRPr="00F0434A">
        <w:rPr>
          <w:rFonts w:asciiTheme="minorHAnsi" w:hAnsiTheme="minorHAnsi" w:cstheme="minorHAnsi"/>
          <w:lang w:val="en-US"/>
        </w:rPr>
        <w:t>Good localization was obtained also from diffuse hemisph</w:t>
      </w:r>
      <w:r w:rsidRPr="00F0434A">
        <w:rPr>
          <w:rFonts w:asciiTheme="minorHAnsi" w:hAnsiTheme="minorHAnsi" w:cstheme="minorHAnsi"/>
          <w:lang w:val="en-US"/>
        </w:rPr>
        <w:t>eric or bilateral ictal patterns</w:t>
      </w:r>
      <w:r w:rsidRPr="00F0434A">
        <w:rPr>
          <w:rFonts w:asciiTheme="minorHAnsi" w:hAnsiTheme="minorHAnsi" w:cstheme="minorHAnsi"/>
          <w:b/>
          <w:lang w:val="en-US"/>
        </w:rPr>
        <w:br w:type="page"/>
      </w:r>
    </w:p>
    <w:p w:rsidR="00975855" w:rsidRPr="00F0434A" w:rsidRDefault="00975855" w:rsidP="00975855">
      <w:pPr>
        <w:spacing w:after="160" w:line="259" w:lineRule="auto"/>
        <w:rPr>
          <w:rFonts w:asciiTheme="minorHAnsi" w:hAnsiTheme="minorHAnsi" w:cstheme="minorHAnsi"/>
          <w:b/>
          <w:color w:val="auto"/>
          <w:lang w:val="en-US"/>
        </w:rPr>
      </w:pPr>
      <w:r w:rsidRPr="00F0434A">
        <w:rPr>
          <w:rFonts w:asciiTheme="minorHAnsi" w:hAnsiTheme="minorHAnsi" w:cstheme="minorHAnsi"/>
          <w:b/>
          <w:color w:val="auto"/>
          <w:lang w:val="en-US"/>
        </w:rPr>
        <w:lastRenderedPageBreak/>
        <w:t>ABSTRACT</w:t>
      </w:r>
    </w:p>
    <w:p w:rsidR="00975855" w:rsidRPr="00F0434A" w:rsidRDefault="00975855" w:rsidP="00975855">
      <w:pPr>
        <w:spacing w:after="160" w:line="259" w:lineRule="auto"/>
        <w:rPr>
          <w:rFonts w:asciiTheme="minorHAnsi" w:hAnsiTheme="minorHAnsi" w:cstheme="minorHAnsi"/>
          <w:b/>
          <w:color w:val="auto"/>
          <w:lang w:val="en-US"/>
        </w:rPr>
      </w:pPr>
      <w:bookmarkStart w:id="0" w:name="_GoBack"/>
      <w:bookmarkEnd w:id="0"/>
    </w:p>
    <w:p w:rsidR="00975855" w:rsidRPr="00F0434A" w:rsidRDefault="00906AE8" w:rsidP="00975855">
      <w:pPr>
        <w:spacing w:line="360" w:lineRule="auto"/>
        <w:rPr>
          <w:rFonts w:asciiTheme="minorHAnsi" w:hAnsiTheme="minorHAnsi" w:cstheme="minorHAnsi"/>
          <w:b/>
          <w:color w:val="auto"/>
          <w:lang w:val="en-US"/>
        </w:rPr>
      </w:pPr>
      <w:r w:rsidRPr="00F0434A">
        <w:rPr>
          <w:rFonts w:asciiTheme="minorHAnsi" w:hAnsiTheme="minorHAnsi" w:cstheme="minorHAnsi"/>
          <w:b/>
          <w:color w:val="auto"/>
          <w:lang w:val="en-US"/>
        </w:rPr>
        <w:t>Purpose</w:t>
      </w:r>
    </w:p>
    <w:p w:rsidR="00975855" w:rsidRPr="00F0434A" w:rsidRDefault="0078158D" w:rsidP="00975855">
      <w:pPr>
        <w:spacing w:line="360" w:lineRule="auto"/>
        <w:jc w:val="both"/>
        <w:rPr>
          <w:rFonts w:asciiTheme="minorHAnsi" w:hAnsiTheme="minorHAnsi" w:cstheme="minorHAnsi"/>
          <w:color w:val="auto"/>
          <w:lang w:val="en-US"/>
        </w:rPr>
      </w:pPr>
      <w:r w:rsidRPr="00F0434A">
        <w:rPr>
          <w:rFonts w:asciiTheme="minorHAnsi" w:hAnsiTheme="minorHAnsi" w:cstheme="minorHAnsi"/>
          <w:color w:val="auto"/>
          <w:lang w:val="en-US"/>
        </w:rPr>
        <w:t>To</w:t>
      </w:r>
      <w:r w:rsidR="00975855" w:rsidRPr="00F0434A">
        <w:rPr>
          <w:rFonts w:asciiTheme="minorHAnsi" w:hAnsiTheme="minorHAnsi" w:cstheme="minorHAnsi"/>
          <w:color w:val="auto"/>
          <w:lang w:val="en-US"/>
        </w:rPr>
        <w:t xml:space="preserve"> evaluate the yield of Functional Connectivity (FC) in addition to </w:t>
      </w:r>
      <w:r w:rsidR="00691EFB" w:rsidRPr="00F0434A">
        <w:rPr>
          <w:rFonts w:asciiTheme="minorHAnsi" w:hAnsiTheme="minorHAnsi" w:cstheme="minorHAnsi"/>
          <w:color w:val="auto"/>
          <w:lang w:val="en-US"/>
        </w:rPr>
        <w:t xml:space="preserve">low-density </w:t>
      </w:r>
      <w:r w:rsidR="00975855" w:rsidRPr="00F0434A">
        <w:rPr>
          <w:rFonts w:asciiTheme="minorHAnsi" w:hAnsiTheme="minorHAnsi" w:cstheme="minorHAnsi"/>
          <w:color w:val="auto"/>
          <w:lang w:val="en-US"/>
        </w:rPr>
        <w:t>ictal</w:t>
      </w:r>
      <w:r w:rsidR="00691EFB" w:rsidRPr="00F0434A">
        <w:rPr>
          <w:rFonts w:asciiTheme="minorHAnsi" w:hAnsiTheme="minorHAnsi" w:cstheme="minorHAnsi"/>
          <w:color w:val="auto"/>
          <w:lang w:val="en-US"/>
        </w:rPr>
        <w:t xml:space="preserve"> </w:t>
      </w:r>
      <w:r w:rsidR="00975855" w:rsidRPr="00F0434A">
        <w:rPr>
          <w:rFonts w:asciiTheme="minorHAnsi" w:hAnsiTheme="minorHAnsi" w:cstheme="minorHAnsi"/>
          <w:color w:val="auto"/>
          <w:lang w:val="en-US"/>
        </w:rPr>
        <w:t>E</w:t>
      </w:r>
      <w:r w:rsidRPr="00F0434A">
        <w:rPr>
          <w:rFonts w:asciiTheme="minorHAnsi" w:hAnsiTheme="minorHAnsi" w:cstheme="minorHAnsi"/>
          <w:color w:val="auto"/>
          <w:lang w:val="en-US"/>
        </w:rPr>
        <w:t>lectrical Source Imaging (ESI)</w:t>
      </w:r>
      <w:r w:rsidR="00975855" w:rsidRPr="00F0434A">
        <w:rPr>
          <w:rFonts w:asciiTheme="minorHAnsi" w:hAnsiTheme="minorHAnsi" w:cstheme="minorHAnsi"/>
          <w:color w:val="auto"/>
          <w:lang w:val="en-US"/>
        </w:rPr>
        <w:t xml:space="preserve"> in extratemporal lobe epilepsy (ETLE), using an automated algorithm for analysis.</w:t>
      </w:r>
    </w:p>
    <w:p w:rsidR="00975855" w:rsidRPr="00F0434A" w:rsidRDefault="00906AE8" w:rsidP="00975855">
      <w:pPr>
        <w:spacing w:before="120" w:line="360" w:lineRule="auto"/>
        <w:jc w:val="both"/>
        <w:rPr>
          <w:rFonts w:asciiTheme="minorHAnsi" w:hAnsiTheme="minorHAnsi" w:cstheme="minorHAnsi"/>
          <w:b/>
          <w:color w:val="auto"/>
          <w:lang w:val="en-US"/>
        </w:rPr>
      </w:pPr>
      <w:r w:rsidRPr="00F0434A">
        <w:rPr>
          <w:rFonts w:asciiTheme="minorHAnsi" w:hAnsiTheme="minorHAnsi" w:cstheme="minorHAnsi"/>
          <w:b/>
          <w:color w:val="auto"/>
          <w:lang w:val="en-US"/>
        </w:rPr>
        <w:t>Method</w:t>
      </w:r>
    </w:p>
    <w:p w:rsidR="00975855" w:rsidRPr="00F0434A" w:rsidRDefault="0078158D" w:rsidP="00975855">
      <w:pPr>
        <w:spacing w:line="360" w:lineRule="auto"/>
        <w:jc w:val="both"/>
        <w:rPr>
          <w:rFonts w:asciiTheme="minorHAnsi" w:hAnsiTheme="minorHAnsi" w:cstheme="minorHAnsi"/>
          <w:color w:val="auto"/>
          <w:lang w:val="en-US"/>
        </w:rPr>
      </w:pPr>
      <w:r w:rsidRPr="00F0434A">
        <w:rPr>
          <w:rFonts w:asciiTheme="minorHAnsi" w:hAnsiTheme="minorHAnsi" w:cstheme="minorHAnsi"/>
          <w:color w:val="auto"/>
          <w:lang w:val="en-US"/>
        </w:rPr>
        <w:t xml:space="preserve">Long-term </w:t>
      </w:r>
      <w:r w:rsidR="00365BFE" w:rsidRPr="00F0434A">
        <w:rPr>
          <w:rFonts w:asciiTheme="minorHAnsi" w:hAnsiTheme="minorHAnsi" w:cstheme="minorHAnsi"/>
          <w:color w:val="auto"/>
          <w:lang w:val="en-US"/>
        </w:rPr>
        <w:t xml:space="preserve">EEG </w:t>
      </w:r>
      <w:r w:rsidRPr="00F0434A">
        <w:rPr>
          <w:rFonts w:asciiTheme="minorHAnsi" w:hAnsiTheme="minorHAnsi" w:cstheme="minorHAnsi"/>
          <w:color w:val="auto"/>
          <w:lang w:val="en-US"/>
        </w:rPr>
        <w:t xml:space="preserve">monitoring </w:t>
      </w:r>
      <w:r w:rsidR="00975855" w:rsidRPr="00F0434A">
        <w:rPr>
          <w:rFonts w:asciiTheme="minorHAnsi" w:hAnsiTheme="minorHAnsi" w:cstheme="minorHAnsi"/>
          <w:color w:val="auto"/>
          <w:lang w:val="en-US"/>
        </w:rPr>
        <w:t xml:space="preserve">of </w:t>
      </w:r>
      <w:r w:rsidR="00691EFB" w:rsidRPr="00F0434A">
        <w:rPr>
          <w:rFonts w:asciiTheme="minorHAnsi" w:hAnsiTheme="minorHAnsi" w:cstheme="minorHAnsi"/>
          <w:color w:val="auto"/>
          <w:lang w:val="en-US"/>
        </w:rPr>
        <w:t xml:space="preserve">consecutive </w:t>
      </w:r>
      <w:r w:rsidR="00975855" w:rsidRPr="00F0434A">
        <w:rPr>
          <w:rFonts w:asciiTheme="minorHAnsi" w:hAnsiTheme="minorHAnsi" w:cstheme="minorHAnsi"/>
          <w:color w:val="auto"/>
          <w:lang w:val="en-US"/>
        </w:rPr>
        <w:t>ETLE patients</w:t>
      </w:r>
      <w:r w:rsidRPr="00F0434A">
        <w:rPr>
          <w:rFonts w:asciiTheme="minorHAnsi" w:hAnsiTheme="minorHAnsi" w:cstheme="minorHAnsi"/>
          <w:color w:val="auto"/>
          <w:lang w:val="en-US"/>
        </w:rPr>
        <w:t xml:space="preserve"> who underwent surgery w</w:t>
      </w:r>
      <w:r w:rsidR="00144689" w:rsidRPr="00F0434A">
        <w:rPr>
          <w:rFonts w:asciiTheme="minorHAnsi" w:hAnsiTheme="minorHAnsi" w:cstheme="minorHAnsi"/>
          <w:color w:val="auto"/>
          <w:lang w:val="en-US"/>
        </w:rPr>
        <w:t>as</w:t>
      </w:r>
      <w:r w:rsidRPr="00F0434A">
        <w:rPr>
          <w:rFonts w:asciiTheme="minorHAnsi" w:hAnsiTheme="minorHAnsi" w:cstheme="minorHAnsi"/>
          <w:color w:val="auto"/>
          <w:lang w:val="en-US"/>
        </w:rPr>
        <w:t xml:space="preserve"> reviewed by epileptologists, </w:t>
      </w:r>
      <w:r w:rsidR="00144689" w:rsidRPr="00F0434A">
        <w:rPr>
          <w:rFonts w:asciiTheme="minorHAnsi" w:hAnsiTheme="minorHAnsi" w:cstheme="minorHAnsi"/>
          <w:color w:val="auto"/>
          <w:lang w:val="en-US"/>
        </w:rPr>
        <w:t>and seizure onsets characterized by</w:t>
      </w:r>
      <w:r w:rsidR="00975855" w:rsidRPr="00F0434A">
        <w:rPr>
          <w:rFonts w:asciiTheme="minorHAnsi" w:hAnsiTheme="minorHAnsi" w:cstheme="minorHAnsi"/>
          <w:color w:val="auto"/>
          <w:lang w:val="en-US"/>
        </w:rPr>
        <w:t xml:space="preserve"> rhythmical activity</w:t>
      </w:r>
      <w:r w:rsidR="00144689" w:rsidRPr="00F0434A">
        <w:rPr>
          <w:rFonts w:asciiTheme="minorHAnsi" w:hAnsiTheme="minorHAnsi" w:cstheme="minorHAnsi"/>
          <w:color w:val="auto"/>
          <w:lang w:val="en-US"/>
        </w:rPr>
        <w:t xml:space="preserve"> were identified</w:t>
      </w:r>
      <w:r w:rsidR="00975855" w:rsidRPr="00F0434A">
        <w:rPr>
          <w:rFonts w:asciiTheme="minorHAnsi" w:hAnsiTheme="minorHAnsi" w:cstheme="minorHAnsi"/>
          <w:color w:val="auto"/>
          <w:lang w:val="en-US"/>
        </w:rPr>
        <w:t xml:space="preserve">. A spectrogram-based algorithm was developed to select objectively the parameters of ESI analysis. Two methods for SOZ localization were compared: i) ESI power, based on LORETA exclusively; ii) ESI+FC, including a Granger causality-based connectivity analysis. </w:t>
      </w:r>
      <w:r w:rsidR="00691EFB" w:rsidRPr="00F0434A">
        <w:rPr>
          <w:rFonts w:asciiTheme="minorHAnsi" w:hAnsiTheme="minorHAnsi" w:cstheme="minorHAnsi"/>
          <w:color w:val="auto"/>
          <w:lang w:val="en-US"/>
        </w:rPr>
        <w:t xml:space="preserve">Results were </w:t>
      </w:r>
      <w:r w:rsidR="00144689" w:rsidRPr="00F0434A">
        <w:rPr>
          <w:rFonts w:asciiTheme="minorHAnsi" w:hAnsiTheme="minorHAnsi" w:cstheme="minorHAnsi"/>
          <w:color w:val="auto"/>
          <w:lang w:val="en-US"/>
        </w:rPr>
        <w:t>determined</w:t>
      </w:r>
      <w:r w:rsidR="00691EFB" w:rsidRPr="00F0434A">
        <w:rPr>
          <w:rFonts w:asciiTheme="minorHAnsi" w:hAnsiTheme="minorHAnsi" w:cstheme="minorHAnsi"/>
          <w:color w:val="auto"/>
          <w:lang w:val="en-US"/>
        </w:rPr>
        <w:t xml:space="preserve"> at a sublobar level. </w:t>
      </w:r>
      <w:r w:rsidR="00144689" w:rsidRPr="00F0434A">
        <w:rPr>
          <w:rFonts w:asciiTheme="minorHAnsi" w:hAnsiTheme="minorHAnsi" w:cstheme="minorHAnsi"/>
          <w:color w:val="auto"/>
          <w:lang w:val="en-US"/>
        </w:rPr>
        <w:t xml:space="preserve">The resection zone, </w:t>
      </w:r>
      <w:r w:rsidR="00365BFE" w:rsidRPr="00F0434A">
        <w:rPr>
          <w:rFonts w:asciiTheme="minorHAnsi" w:hAnsiTheme="minorHAnsi" w:cstheme="minorHAnsi"/>
          <w:color w:val="auto"/>
          <w:lang w:val="en-US"/>
        </w:rPr>
        <w:t>in relation to</w:t>
      </w:r>
      <w:r w:rsidR="00144689" w:rsidRPr="00F0434A">
        <w:rPr>
          <w:rFonts w:asciiTheme="minorHAnsi" w:hAnsiTheme="minorHAnsi" w:cstheme="minorHAnsi"/>
          <w:color w:val="auto"/>
          <w:lang w:val="en-US"/>
        </w:rPr>
        <w:t xml:space="preserve"> 1-year follow-up surgical outcome, was </w:t>
      </w:r>
      <w:r w:rsidR="00691EFB" w:rsidRPr="00F0434A">
        <w:rPr>
          <w:rFonts w:asciiTheme="minorHAnsi" w:hAnsiTheme="minorHAnsi" w:cstheme="minorHAnsi"/>
          <w:color w:val="auto"/>
          <w:lang w:val="en-US"/>
        </w:rPr>
        <w:t>c</w:t>
      </w:r>
      <w:r w:rsidR="00144689" w:rsidRPr="00F0434A">
        <w:rPr>
          <w:rFonts w:asciiTheme="minorHAnsi" w:hAnsiTheme="minorHAnsi" w:cstheme="minorHAnsi"/>
          <w:color w:val="auto"/>
          <w:lang w:val="en-US"/>
        </w:rPr>
        <w:t>onsidered as reference standard for diagnostic accuracy analyses.</w:t>
      </w:r>
      <w:r w:rsidR="00691EFB" w:rsidRPr="00F0434A">
        <w:rPr>
          <w:rFonts w:asciiTheme="minorHAnsi" w:hAnsiTheme="minorHAnsi" w:cstheme="minorHAnsi"/>
          <w:color w:val="auto"/>
          <w:lang w:val="en-US"/>
        </w:rPr>
        <w:t xml:space="preserve"> </w:t>
      </w:r>
    </w:p>
    <w:p w:rsidR="00975855" w:rsidRPr="00F0434A" w:rsidRDefault="00975855" w:rsidP="00975855">
      <w:pPr>
        <w:spacing w:before="120" w:line="360" w:lineRule="auto"/>
        <w:rPr>
          <w:rFonts w:asciiTheme="minorHAnsi" w:hAnsiTheme="minorHAnsi" w:cstheme="minorHAnsi"/>
          <w:b/>
          <w:color w:val="auto"/>
          <w:lang w:val="en-US"/>
        </w:rPr>
      </w:pPr>
      <w:r w:rsidRPr="00F0434A">
        <w:rPr>
          <w:rFonts w:asciiTheme="minorHAnsi" w:hAnsiTheme="minorHAnsi" w:cstheme="minorHAnsi"/>
          <w:b/>
          <w:color w:val="auto"/>
          <w:lang w:val="en-US"/>
        </w:rPr>
        <w:t>Results</w:t>
      </w:r>
    </w:p>
    <w:p w:rsidR="00975855" w:rsidRPr="00F0434A" w:rsidRDefault="00975855" w:rsidP="00975855">
      <w:pPr>
        <w:spacing w:line="360" w:lineRule="auto"/>
        <w:jc w:val="both"/>
        <w:rPr>
          <w:rFonts w:asciiTheme="minorHAnsi" w:hAnsiTheme="minorHAnsi" w:cstheme="minorHAnsi"/>
          <w:color w:val="auto"/>
          <w:lang w:val="en-US"/>
        </w:rPr>
      </w:pPr>
      <w:r w:rsidRPr="00F0434A">
        <w:rPr>
          <w:rFonts w:asciiTheme="minorHAnsi" w:hAnsiTheme="minorHAnsi" w:cstheme="minorHAnsi"/>
          <w:color w:val="auto"/>
          <w:lang w:val="en-US"/>
        </w:rPr>
        <w:t xml:space="preserve">Ninety-four seizures from 24 patients were analyzed. </w:t>
      </w:r>
      <w:r w:rsidR="00144689" w:rsidRPr="00F0434A">
        <w:rPr>
          <w:rFonts w:asciiTheme="minorHAnsi" w:hAnsiTheme="minorHAnsi" w:cstheme="minorHAnsi"/>
          <w:color w:val="auto"/>
          <w:lang w:val="en-US"/>
        </w:rPr>
        <w:t xml:space="preserve">At seizure-level, </w:t>
      </w:r>
      <w:r w:rsidRPr="00F0434A">
        <w:rPr>
          <w:rFonts w:asciiTheme="minorHAnsi" w:hAnsiTheme="minorHAnsi" w:cstheme="minorHAnsi"/>
          <w:color w:val="auto"/>
          <w:lang w:val="en-US"/>
        </w:rPr>
        <w:t xml:space="preserve">ESI power </w:t>
      </w:r>
      <w:r w:rsidR="00144689" w:rsidRPr="00F0434A">
        <w:rPr>
          <w:rFonts w:asciiTheme="minorHAnsi" w:hAnsiTheme="minorHAnsi" w:cstheme="minorHAnsi"/>
          <w:color w:val="auto"/>
          <w:lang w:val="en-US"/>
        </w:rPr>
        <w:t xml:space="preserve">showed 36% </w:t>
      </w:r>
      <w:r w:rsidRPr="00F0434A">
        <w:rPr>
          <w:rFonts w:asciiTheme="minorHAnsi" w:hAnsiTheme="minorHAnsi" w:cstheme="minorHAnsi"/>
          <w:color w:val="auto"/>
          <w:lang w:val="en-US"/>
        </w:rPr>
        <w:t>sensitivity an</w:t>
      </w:r>
      <w:r w:rsidR="00144689" w:rsidRPr="00F0434A">
        <w:rPr>
          <w:rFonts w:asciiTheme="minorHAnsi" w:hAnsiTheme="minorHAnsi" w:cstheme="minorHAnsi"/>
          <w:color w:val="auto"/>
          <w:lang w:val="en-US"/>
        </w:rPr>
        <w:t>d 72%</w:t>
      </w:r>
      <w:r w:rsidRPr="00F0434A">
        <w:rPr>
          <w:rFonts w:asciiTheme="minorHAnsi" w:hAnsiTheme="minorHAnsi" w:cstheme="minorHAnsi"/>
          <w:color w:val="auto"/>
          <w:lang w:val="en-US"/>
        </w:rPr>
        <w:t xml:space="preserve"> specificity</w:t>
      </w:r>
      <w:r w:rsidR="00691EFB" w:rsidRPr="00F0434A">
        <w:rPr>
          <w:rFonts w:asciiTheme="minorHAnsi" w:hAnsiTheme="minorHAnsi" w:cstheme="minorHAnsi"/>
          <w:color w:val="auto"/>
          <w:lang w:val="en-US"/>
        </w:rPr>
        <w:t xml:space="preserve"> (</w:t>
      </w:r>
      <w:r w:rsidR="00144689" w:rsidRPr="00F0434A">
        <w:rPr>
          <w:rFonts w:asciiTheme="minorHAnsi" w:hAnsiTheme="minorHAnsi" w:cstheme="minorHAnsi"/>
          <w:color w:val="auto"/>
          <w:lang w:val="en-US"/>
        </w:rPr>
        <w:t>a</w:t>
      </w:r>
      <w:r w:rsidR="00365BFE" w:rsidRPr="00F0434A">
        <w:rPr>
          <w:rFonts w:asciiTheme="minorHAnsi" w:hAnsiTheme="minorHAnsi" w:cstheme="minorHAnsi"/>
          <w:color w:val="auto"/>
          <w:lang w:val="en-US"/>
        </w:rPr>
        <w:t xml:space="preserve">ccuracy: </w:t>
      </w:r>
      <w:r w:rsidR="00691EFB" w:rsidRPr="00F0434A">
        <w:rPr>
          <w:rFonts w:asciiTheme="minorHAnsi" w:hAnsiTheme="minorHAnsi" w:cstheme="minorHAnsi"/>
          <w:color w:val="auto"/>
          <w:lang w:val="en-US"/>
        </w:rPr>
        <w:t>45%)</w:t>
      </w:r>
      <w:r w:rsidRPr="00F0434A">
        <w:rPr>
          <w:rFonts w:asciiTheme="minorHAnsi" w:hAnsiTheme="minorHAnsi" w:cstheme="minorHAnsi"/>
          <w:color w:val="auto"/>
          <w:lang w:val="en-US"/>
        </w:rPr>
        <w:t xml:space="preserve">. ESI+FC significantly improved the </w:t>
      </w:r>
      <w:r w:rsidR="00365BFE" w:rsidRPr="00F0434A">
        <w:rPr>
          <w:rFonts w:asciiTheme="minorHAnsi" w:hAnsiTheme="minorHAnsi" w:cstheme="minorHAnsi"/>
          <w:color w:val="auto"/>
          <w:lang w:val="en-US"/>
        </w:rPr>
        <w:t>accuracy</w:t>
      </w:r>
      <w:r w:rsidR="00144689" w:rsidRPr="00F0434A">
        <w:rPr>
          <w:rFonts w:asciiTheme="minorHAnsi" w:hAnsiTheme="minorHAnsi" w:cstheme="minorHAnsi"/>
          <w:color w:val="auto"/>
          <w:lang w:val="en-US"/>
        </w:rPr>
        <w:t>, with 52% sensitivity and 84%</w:t>
      </w:r>
      <w:r w:rsidRPr="00F0434A">
        <w:rPr>
          <w:rFonts w:asciiTheme="minorHAnsi" w:hAnsiTheme="minorHAnsi" w:cstheme="minorHAnsi"/>
          <w:color w:val="auto"/>
          <w:lang w:val="en-US"/>
        </w:rPr>
        <w:t xml:space="preserve"> specificity</w:t>
      </w:r>
      <w:r w:rsidR="00144689" w:rsidRPr="00F0434A">
        <w:rPr>
          <w:rFonts w:asciiTheme="minorHAnsi" w:hAnsiTheme="minorHAnsi" w:cstheme="minorHAnsi"/>
          <w:color w:val="auto"/>
          <w:lang w:val="en-US"/>
        </w:rPr>
        <w:t xml:space="preserve"> (</w:t>
      </w:r>
      <w:r w:rsidR="00365BFE" w:rsidRPr="00F0434A">
        <w:rPr>
          <w:rFonts w:asciiTheme="minorHAnsi" w:hAnsiTheme="minorHAnsi" w:cstheme="minorHAnsi"/>
          <w:color w:val="auto"/>
          <w:lang w:val="en-US"/>
        </w:rPr>
        <w:t xml:space="preserve">accuracy: </w:t>
      </w:r>
      <w:r w:rsidR="00144689" w:rsidRPr="00F0434A">
        <w:rPr>
          <w:rFonts w:asciiTheme="minorHAnsi" w:hAnsiTheme="minorHAnsi" w:cstheme="minorHAnsi"/>
          <w:color w:val="auto"/>
          <w:lang w:val="en-US"/>
        </w:rPr>
        <w:t>61%, p=0.04)</w:t>
      </w:r>
      <w:r w:rsidRPr="00F0434A">
        <w:rPr>
          <w:rFonts w:asciiTheme="minorHAnsi" w:hAnsiTheme="minorHAnsi" w:cstheme="minorHAnsi"/>
          <w:color w:val="auto"/>
          <w:lang w:val="en-US"/>
        </w:rPr>
        <w:t>. Results of ESI+FC were equally valu</w:t>
      </w:r>
      <w:r w:rsidR="00144689" w:rsidRPr="00F0434A">
        <w:rPr>
          <w:rFonts w:asciiTheme="minorHAnsi" w:hAnsiTheme="minorHAnsi" w:cstheme="minorHAnsi"/>
          <w:color w:val="auto"/>
          <w:lang w:val="en-US"/>
        </w:rPr>
        <w:t>able in patients with lateralized</w:t>
      </w:r>
      <w:r w:rsidRPr="00F0434A">
        <w:rPr>
          <w:rFonts w:asciiTheme="minorHAnsi" w:hAnsiTheme="minorHAnsi" w:cstheme="minorHAnsi"/>
          <w:color w:val="auto"/>
          <w:lang w:val="en-US"/>
        </w:rPr>
        <w:t xml:space="preserve"> or bilateral/generalized visual interpretation of i</w:t>
      </w:r>
      <w:r w:rsidR="00DE282C" w:rsidRPr="00F0434A">
        <w:rPr>
          <w:rFonts w:asciiTheme="minorHAnsi" w:hAnsiTheme="minorHAnsi" w:cstheme="minorHAnsi"/>
          <w:color w:val="auto"/>
          <w:lang w:val="en-US"/>
        </w:rPr>
        <w:t>ctal EEG.</w:t>
      </w:r>
      <w:r w:rsidRPr="00F0434A">
        <w:rPr>
          <w:rFonts w:asciiTheme="minorHAnsi" w:hAnsiTheme="minorHAnsi" w:cstheme="minorHAnsi"/>
          <w:color w:val="auto"/>
          <w:lang w:val="en-US"/>
        </w:rPr>
        <w:t xml:space="preserve"> In a patient level </w:t>
      </w:r>
      <w:r w:rsidR="00144689" w:rsidRPr="00F0434A">
        <w:rPr>
          <w:rFonts w:asciiTheme="minorHAnsi" w:hAnsiTheme="minorHAnsi" w:cstheme="minorHAnsi"/>
          <w:color w:val="auto"/>
          <w:lang w:val="en-US"/>
        </w:rPr>
        <w:t>sub-</w:t>
      </w:r>
      <w:r w:rsidRPr="00F0434A">
        <w:rPr>
          <w:rFonts w:asciiTheme="minorHAnsi" w:hAnsiTheme="minorHAnsi" w:cstheme="minorHAnsi"/>
          <w:color w:val="auto"/>
          <w:lang w:val="en-US"/>
        </w:rPr>
        <w:t xml:space="preserve">analysis, upon blinded clinical interpretation, ESI+FC showed a correct localization in 67% of patients </w:t>
      </w:r>
      <w:r w:rsidR="00365BFE" w:rsidRPr="00F0434A">
        <w:rPr>
          <w:rFonts w:asciiTheme="minorHAnsi" w:hAnsiTheme="minorHAnsi" w:cstheme="minorHAnsi"/>
          <w:color w:val="auto"/>
          <w:lang w:val="en-US"/>
        </w:rPr>
        <w:t>and</w:t>
      </w:r>
      <w:r w:rsidRPr="00F0434A">
        <w:rPr>
          <w:rFonts w:asciiTheme="minorHAnsi" w:hAnsiTheme="minorHAnsi" w:cstheme="minorHAnsi"/>
          <w:color w:val="auto"/>
          <w:lang w:val="en-US"/>
        </w:rPr>
        <w:t xml:space="preserve"> substantial inter-rater agreement (kappa=0.64)</w:t>
      </w:r>
      <w:r w:rsidR="008C1E17" w:rsidRPr="00F0434A">
        <w:rPr>
          <w:rFonts w:asciiTheme="minorHAnsi" w:hAnsiTheme="minorHAnsi" w:cstheme="minorHAnsi"/>
          <w:color w:val="auto"/>
          <w:lang w:val="en-US"/>
        </w:rPr>
        <w:t xml:space="preserve">, against 27% </w:t>
      </w:r>
      <w:r w:rsidR="006728D9" w:rsidRPr="00F0434A">
        <w:rPr>
          <w:rFonts w:asciiTheme="minorHAnsi" w:hAnsiTheme="minorHAnsi" w:cstheme="minorHAnsi"/>
          <w:color w:val="auto"/>
          <w:lang w:val="en-US"/>
        </w:rPr>
        <w:t>achieved by</w:t>
      </w:r>
      <w:r w:rsidR="008C1E17" w:rsidRPr="00F0434A">
        <w:rPr>
          <w:rFonts w:asciiTheme="minorHAnsi" w:hAnsiTheme="minorHAnsi" w:cstheme="minorHAnsi"/>
          <w:color w:val="auto"/>
          <w:lang w:val="en-US"/>
        </w:rPr>
        <w:t xml:space="preserve"> ESI power</w:t>
      </w:r>
      <w:r w:rsidR="00144689" w:rsidRPr="00F0434A">
        <w:rPr>
          <w:rFonts w:asciiTheme="minorHAnsi" w:hAnsiTheme="minorHAnsi" w:cstheme="minorHAnsi"/>
          <w:color w:val="auto"/>
          <w:lang w:val="en-US"/>
        </w:rPr>
        <w:t xml:space="preserve">, with </w:t>
      </w:r>
      <w:r w:rsidR="008C1E17" w:rsidRPr="00F0434A">
        <w:rPr>
          <w:rFonts w:asciiTheme="minorHAnsi" w:hAnsiTheme="minorHAnsi" w:cstheme="minorHAnsi"/>
          <w:color w:val="auto"/>
          <w:lang w:val="en-US"/>
        </w:rPr>
        <w:t>fair inter-rater agreement (kappa= 0.37)</w:t>
      </w:r>
      <w:r w:rsidRPr="00F0434A">
        <w:rPr>
          <w:rFonts w:asciiTheme="minorHAnsi" w:hAnsiTheme="minorHAnsi" w:cstheme="minorHAnsi"/>
          <w:color w:val="auto"/>
          <w:lang w:val="en-US"/>
        </w:rPr>
        <w:t xml:space="preserve">. </w:t>
      </w:r>
    </w:p>
    <w:p w:rsidR="00975855" w:rsidRPr="00F0434A" w:rsidRDefault="00975855" w:rsidP="00975855">
      <w:pPr>
        <w:spacing w:before="160" w:line="360" w:lineRule="auto"/>
        <w:jc w:val="both"/>
        <w:rPr>
          <w:rFonts w:asciiTheme="minorHAnsi" w:hAnsiTheme="minorHAnsi" w:cstheme="minorHAnsi"/>
          <w:b/>
          <w:color w:val="auto"/>
          <w:lang w:val="en-US"/>
        </w:rPr>
      </w:pPr>
      <w:r w:rsidRPr="00F0434A">
        <w:rPr>
          <w:rFonts w:asciiTheme="minorHAnsi" w:hAnsiTheme="minorHAnsi" w:cstheme="minorHAnsi"/>
          <w:b/>
          <w:color w:val="auto"/>
          <w:lang w:val="en-US"/>
        </w:rPr>
        <w:t>Conclusion</w:t>
      </w:r>
    </w:p>
    <w:p w:rsidR="00975855" w:rsidRPr="00F0434A" w:rsidRDefault="00975855" w:rsidP="00975855">
      <w:pPr>
        <w:spacing w:line="360" w:lineRule="auto"/>
        <w:jc w:val="both"/>
        <w:rPr>
          <w:rFonts w:asciiTheme="minorHAnsi" w:hAnsiTheme="minorHAnsi" w:cstheme="minorHAnsi"/>
          <w:color w:val="auto"/>
          <w:lang w:val="en-US"/>
        </w:rPr>
      </w:pPr>
      <w:r w:rsidRPr="00F0434A">
        <w:rPr>
          <w:rFonts w:asciiTheme="minorHAnsi" w:hAnsiTheme="minorHAnsi" w:cstheme="minorHAnsi"/>
          <w:color w:val="auto"/>
          <w:lang w:val="en-US"/>
        </w:rPr>
        <w:t>FC significantly improves SOZ localization compared to ESI solely in ETLE. I</w:t>
      </w:r>
      <w:r w:rsidR="00365BFE" w:rsidRPr="00F0434A">
        <w:rPr>
          <w:rFonts w:asciiTheme="minorHAnsi" w:hAnsiTheme="minorHAnsi" w:cstheme="minorHAnsi"/>
          <w:color w:val="auto"/>
          <w:lang w:val="en-US"/>
        </w:rPr>
        <w:t>ctal ESI+</w:t>
      </w:r>
      <w:r w:rsidRPr="00F0434A">
        <w:rPr>
          <w:rFonts w:asciiTheme="minorHAnsi" w:hAnsiTheme="minorHAnsi" w:cstheme="minorHAnsi"/>
          <w:color w:val="auto"/>
          <w:lang w:val="en-US"/>
        </w:rPr>
        <w:t xml:space="preserve">FC could </w:t>
      </w:r>
      <w:r w:rsidR="008C3004" w:rsidRPr="00F0434A">
        <w:rPr>
          <w:rFonts w:asciiTheme="minorHAnsi" w:hAnsiTheme="minorHAnsi" w:cstheme="minorHAnsi"/>
          <w:color w:val="auto"/>
          <w:lang w:val="en-US"/>
        </w:rPr>
        <w:t>represent</w:t>
      </w:r>
      <w:r w:rsidR="00F92F1E" w:rsidRPr="00F0434A">
        <w:rPr>
          <w:rFonts w:asciiTheme="minorHAnsi" w:hAnsiTheme="minorHAnsi" w:cstheme="minorHAnsi"/>
          <w:color w:val="auto"/>
          <w:lang w:val="en-US"/>
        </w:rPr>
        <w:t xml:space="preserve"> a novel option in the</w:t>
      </w:r>
      <w:r w:rsidRPr="00F0434A">
        <w:rPr>
          <w:rFonts w:asciiTheme="minorHAnsi" w:hAnsiTheme="minorHAnsi" w:cstheme="minorHAnsi"/>
          <w:color w:val="auto"/>
          <w:lang w:val="en-US"/>
        </w:rPr>
        <w:t xml:space="preserve"> armamentarium of presurgical evaluation, aiding also in patients with visually non-localizable </w:t>
      </w:r>
      <w:r w:rsidR="00365BFE" w:rsidRPr="00F0434A">
        <w:rPr>
          <w:rFonts w:asciiTheme="minorHAnsi" w:hAnsiTheme="minorHAnsi" w:cstheme="minorHAnsi"/>
          <w:color w:val="auto"/>
          <w:lang w:val="en-US"/>
        </w:rPr>
        <w:t xml:space="preserve">scalp </w:t>
      </w:r>
      <w:r w:rsidRPr="00F0434A">
        <w:rPr>
          <w:rFonts w:asciiTheme="minorHAnsi" w:hAnsiTheme="minorHAnsi" w:cstheme="minorHAnsi"/>
          <w:color w:val="auto"/>
          <w:lang w:val="en-US"/>
        </w:rPr>
        <w:t>ictal EEG. Prospective studies evaluating</w:t>
      </w:r>
      <w:r w:rsidR="00365BFE" w:rsidRPr="00F0434A">
        <w:rPr>
          <w:rFonts w:asciiTheme="minorHAnsi" w:hAnsiTheme="minorHAnsi" w:cstheme="minorHAnsi"/>
          <w:color w:val="auto"/>
          <w:lang w:val="en-US"/>
        </w:rPr>
        <w:t xml:space="preserve"> the clinical added value</w:t>
      </w:r>
      <w:r w:rsidRPr="00F0434A">
        <w:rPr>
          <w:rFonts w:asciiTheme="minorHAnsi" w:hAnsiTheme="minorHAnsi" w:cstheme="minorHAnsi"/>
          <w:color w:val="auto"/>
          <w:lang w:val="en-US"/>
        </w:rPr>
        <w:t xml:space="preserve"> </w:t>
      </w:r>
      <w:r w:rsidR="00365BFE" w:rsidRPr="00F0434A">
        <w:rPr>
          <w:rFonts w:asciiTheme="minorHAnsi" w:hAnsiTheme="minorHAnsi" w:cstheme="minorHAnsi"/>
          <w:color w:val="auto"/>
          <w:lang w:val="en-US"/>
        </w:rPr>
        <w:t xml:space="preserve">of </w:t>
      </w:r>
      <w:r w:rsidRPr="00F0434A">
        <w:rPr>
          <w:rFonts w:asciiTheme="minorHAnsi" w:hAnsiTheme="minorHAnsi" w:cstheme="minorHAnsi"/>
          <w:color w:val="auto"/>
          <w:lang w:val="en-US"/>
        </w:rPr>
        <w:t>automated</w:t>
      </w:r>
      <w:r w:rsidR="00694F0E" w:rsidRPr="00F0434A">
        <w:rPr>
          <w:rFonts w:asciiTheme="minorHAnsi" w:hAnsiTheme="minorHAnsi" w:cstheme="minorHAnsi"/>
          <w:color w:val="auto"/>
          <w:lang w:val="en-US"/>
        </w:rPr>
        <w:t xml:space="preserve"> low-density</w:t>
      </w:r>
      <w:r w:rsidRPr="00F0434A">
        <w:rPr>
          <w:rFonts w:asciiTheme="minorHAnsi" w:hAnsiTheme="minorHAnsi" w:cstheme="minorHAnsi"/>
          <w:color w:val="auto"/>
          <w:lang w:val="en-US"/>
        </w:rPr>
        <w:t xml:space="preserve"> ictal ESI </w:t>
      </w:r>
      <w:r w:rsidR="004A3D88" w:rsidRPr="00F0434A">
        <w:rPr>
          <w:rFonts w:asciiTheme="minorHAnsi" w:hAnsiTheme="minorHAnsi" w:cstheme="minorHAnsi"/>
          <w:color w:val="auto"/>
          <w:lang w:val="en-US"/>
        </w:rPr>
        <w:t xml:space="preserve">may be </w:t>
      </w:r>
      <w:r w:rsidR="002461D8" w:rsidRPr="00F0434A">
        <w:rPr>
          <w:rFonts w:asciiTheme="minorHAnsi" w:hAnsiTheme="minorHAnsi" w:cstheme="minorHAnsi"/>
          <w:color w:val="auto"/>
          <w:lang w:val="en-US"/>
        </w:rPr>
        <w:t>justified</w:t>
      </w:r>
      <w:r w:rsidRPr="00F0434A">
        <w:rPr>
          <w:rFonts w:asciiTheme="minorHAnsi" w:hAnsiTheme="minorHAnsi" w:cstheme="minorHAnsi"/>
          <w:color w:val="auto"/>
          <w:lang w:val="en-US"/>
        </w:rPr>
        <w:t>.</w:t>
      </w:r>
    </w:p>
    <w:p w:rsidR="00DB2F72" w:rsidRPr="00F0434A" w:rsidRDefault="00F0434A">
      <w:pPr>
        <w:rPr>
          <w:color w:val="auto"/>
          <w:lang w:val="en-US"/>
        </w:rPr>
      </w:pPr>
    </w:p>
    <w:p w:rsidR="00F0434A" w:rsidRPr="00F0434A" w:rsidRDefault="00F0434A">
      <w:pPr>
        <w:rPr>
          <w:color w:val="auto"/>
          <w:lang w:val="en-US"/>
        </w:rPr>
      </w:pPr>
    </w:p>
    <w:p w:rsidR="00F0434A" w:rsidRPr="00F0434A" w:rsidRDefault="00F0434A">
      <w:pPr>
        <w:rPr>
          <w:color w:val="auto"/>
          <w:lang w:val="en-US"/>
        </w:rPr>
      </w:pPr>
    </w:p>
    <w:p w:rsidR="00F0434A" w:rsidRPr="00F0434A" w:rsidRDefault="00F0434A">
      <w:pPr>
        <w:rPr>
          <w:color w:val="auto"/>
          <w:lang w:val="en-US"/>
        </w:rPr>
      </w:pPr>
    </w:p>
    <w:p w:rsidR="00F0434A" w:rsidRPr="00F0434A" w:rsidRDefault="00F0434A">
      <w:pPr>
        <w:rPr>
          <w:color w:val="auto"/>
          <w:lang w:val="en-US"/>
        </w:rPr>
      </w:pPr>
    </w:p>
    <w:p w:rsidR="00F0434A" w:rsidRPr="00F0434A" w:rsidRDefault="00F0434A">
      <w:pPr>
        <w:spacing w:after="160" w:line="259" w:lineRule="auto"/>
        <w:rPr>
          <w:color w:val="auto"/>
          <w:lang w:val="en-US"/>
        </w:rPr>
      </w:pPr>
      <w:r w:rsidRPr="00F0434A">
        <w:rPr>
          <w:color w:val="auto"/>
          <w:lang w:val="en-US"/>
        </w:rPr>
        <w:br w:type="page"/>
      </w:r>
    </w:p>
    <w:p w:rsidR="00F0434A" w:rsidRPr="00F0434A" w:rsidRDefault="00F0434A" w:rsidP="00F0434A">
      <w:pPr>
        <w:pStyle w:val="Paragraphedeliste"/>
        <w:numPr>
          <w:ilvl w:val="0"/>
          <w:numId w:val="31"/>
        </w:numPr>
        <w:spacing w:line="360" w:lineRule="auto"/>
        <w:rPr>
          <w:rFonts w:asciiTheme="minorHAnsi" w:hAnsiTheme="minorHAnsi" w:cstheme="minorHAnsi"/>
          <w:b/>
          <w:color w:val="auto"/>
          <w:u w:val="single"/>
          <w:lang w:val="en-US"/>
        </w:rPr>
      </w:pPr>
      <w:r w:rsidRPr="00F0434A">
        <w:rPr>
          <w:rFonts w:asciiTheme="minorHAnsi" w:hAnsiTheme="minorHAnsi" w:cstheme="minorHAnsi"/>
          <w:b/>
          <w:color w:val="auto"/>
          <w:lang w:val="en-US"/>
        </w:rPr>
        <w:lastRenderedPageBreak/>
        <w:t>INTRODUCTION</w:t>
      </w:r>
    </w:p>
    <w:p w:rsidR="00F0434A" w:rsidRPr="00F0434A" w:rsidRDefault="00F0434A" w:rsidP="00F0434A">
      <w:pPr>
        <w:pStyle w:val="Corpsdetexte"/>
        <w:spacing w:after="0" w:line="360" w:lineRule="auto"/>
        <w:ind w:firstLine="720"/>
        <w:jc w:val="both"/>
        <w:rPr>
          <w:rFonts w:asciiTheme="minorHAnsi" w:hAnsiTheme="minorHAnsi" w:cstheme="minorHAnsi"/>
          <w:color w:val="auto"/>
          <w:lang w:val="en-US"/>
        </w:rPr>
      </w:pPr>
      <w:r w:rsidRPr="00F0434A">
        <w:rPr>
          <w:rFonts w:asciiTheme="minorHAnsi" w:hAnsiTheme="minorHAnsi" w:cstheme="minorHAnsi"/>
          <w:color w:val="auto"/>
          <w:lang w:val="en-US"/>
        </w:rPr>
        <w:t xml:space="preserve">Obtaining an early, reliable estimate of the epileptogenic zone (EZ) is critical to the success rate of drug-resistant epilepsy surgery </w:t>
      </w:r>
      <w:r w:rsidRPr="00F0434A">
        <w:rPr>
          <w:rFonts w:asciiTheme="minorHAnsi" w:hAnsiTheme="minorHAnsi" w:cstheme="minorHAnsi"/>
          <w:color w:val="auto"/>
          <w:lang w:val="en-US"/>
        </w:rPr>
        <w:fldChar w:fldCharType="begin" w:fldLock="1"/>
      </w:r>
      <w:r w:rsidRPr="00F0434A">
        <w:rPr>
          <w:rFonts w:asciiTheme="minorHAnsi" w:hAnsiTheme="minorHAnsi" w:cstheme="minorHAnsi"/>
          <w:color w:val="auto"/>
          <w:lang w:val="en-US"/>
        </w:rPr>
        <w:instrText>ADDIN CSL_CITATION {"citationItems":[{"id":"ITEM-1","itemData":{"DOI":"10.1111/epi.13515","ISSN":"1528-1167 (Electronic)","PMID":"27677490","abstract":"Many patients with medically refractory epilepsy now undergo successful surgery based on noninvasive diagnostic information, but intracranial electroencephalography (IEEG) continues to be used as increasingly complex cases are considered surgical candidates. The indications for IEEG and the modalities employed vary across epilepsy surgical centers; each modality has its advantages and limitations. IEEG can be performed in the same intraoperative setting, that is, intraoperative electrocorticography, or through an independent implantation procedure with chronic extraoperative recordings; the latter are not only resource intensive but also carry risk. A lack of understanding of IEEG limitations predisposes to data misinterpretation that can lead to denying surgery when indicated or, worse yet, incorrect resection with adverse outcomes. Given the lack of class 1 or 2 evidence on IEEG, a consensus-based expert recommendation on the diagnostic utility of IEEG is presented, with emphasis on the application of various modalities in specific substrates or locations, taking into account their relative efficacy, safety, ease, and incremental cost-benefit. These recommendations aim to curtail outlying indications that risk the over- or underutilization of IEEG, while retaining substantial flexibility in keeping with most standard practices at epilepsy centers and addressing some of the needs of resource-poor regions around the world.","author":[{"dropping-particle":"","family":"Jayakar","given":"Prasanna","non-dropping-particle":"","parse-names":false,"suffix":""},{"dropping-particle":"","family":"Gotman","given":"Jean","non-dropping-particle":"","parse-names":false,"suffix":""},{"dropping-particle":"","family":"Harvey","given":"A Simon","non-dropping-particle":"","parse-names":false,"suffix":""},{"dropping-particle":"","family":"Palmini","given":"Andre","non-dropping-particle":"","parse-names":false,"suffix":""},{"dropping-particle":"","family":"Tassi","given":"Laura","non-dropping-particle":"","parse-names":false,"suffix":""},{"dropping-particle":"","family":"Schomer","given":"Donald","non-dropping-particle":"","parse-names":false,"suffix":""},{"dropping-particle":"","family":"Dubeau","given":"Francois","non-dropping-particle":"","parse-names":false,"suffix":""},{"dropping-particle":"","family":"Bartolomei","given":"Fabrice","non-dropping-particle":"","parse-names":false,"suffix":""},{"dropping-particle":"","family":"Yu","given":"Alice","non-dropping-particle":"","parse-names":false,"suffix":""},{"dropping-particle":"","family":"Krsek","given":"Pavel","non-dropping-particle":"","parse-names":false,"suffix":""},{"dropping-particle":"","family":"Velis","given":"Demetrios","non-dropping-particle":"","parse-names":false,"suffix":""},{"dropping-particle":"","family":"Kahane","given":"Philippe","non-dropping-particle":"","parse-names":false,"suffix":""}],"container-title":"Epilepsia","id":"ITEM-1","issue":"11","issued":{"date-parts":[["2016","11"]]},"language":"eng","page":"1735-1747","publisher-place":"United States","title":"Diagnostic utility of invasive EEG for epilepsy surgery: Indications, modalities, and techniques.","type":"article-journal","volume":"57"},"uris":["http://www.mendeley.com/documents/?uuid=f6fa2822-b714-4ca6-b79b-29d48c540ad5","http://www.mendeley.com/documents/?uuid=e219d47c-f285-427c-ae53-1a30a54e8d8d"]}],"mendeley":{"formattedCitation":"[1]","plainTextFormattedCitation":"[1]","previouslyFormattedCitation":"[1]"},"properties":{"noteIndex":0},"schema":"https://github.com/citation-style-language/schema/raw/master/csl-citation.json"}</w:instrText>
      </w:r>
      <w:r w:rsidRPr="00F0434A">
        <w:rPr>
          <w:rFonts w:asciiTheme="minorHAnsi" w:hAnsiTheme="minorHAnsi" w:cstheme="minorHAnsi"/>
          <w:color w:val="auto"/>
          <w:lang w:val="en-US"/>
        </w:rPr>
        <w:fldChar w:fldCharType="separate"/>
      </w:r>
      <w:r w:rsidRPr="00F0434A">
        <w:rPr>
          <w:rFonts w:asciiTheme="minorHAnsi" w:hAnsiTheme="minorHAnsi" w:cstheme="minorHAnsi"/>
          <w:noProof/>
          <w:color w:val="auto"/>
          <w:lang w:val="en-US"/>
        </w:rPr>
        <w:t>[1]</w:t>
      </w:r>
      <w:r w:rsidRPr="00F0434A">
        <w:rPr>
          <w:rFonts w:asciiTheme="minorHAnsi" w:hAnsiTheme="minorHAnsi" w:cstheme="minorHAnsi"/>
          <w:color w:val="auto"/>
          <w:lang w:val="en-US"/>
        </w:rPr>
        <w:fldChar w:fldCharType="end"/>
      </w:r>
      <w:r w:rsidRPr="00F0434A">
        <w:rPr>
          <w:rFonts w:asciiTheme="minorHAnsi" w:hAnsiTheme="minorHAnsi" w:cstheme="minorHAnsi"/>
          <w:color w:val="auto"/>
          <w:lang w:val="en-US"/>
        </w:rPr>
        <w:t xml:space="preserve">. The irritative zone (IZ), obtained from interictal epileptiform activity, and the seizure onset zone (SOZ), derived from ictal EEG, are commonly used as an approximation of the EZ </w:t>
      </w:r>
      <w:r w:rsidRPr="00F0434A">
        <w:rPr>
          <w:rFonts w:asciiTheme="minorHAnsi" w:hAnsiTheme="minorHAnsi" w:cstheme="minorHAnsi"/>
          <w:color w:val="auto"/>
          <w:lang w:val="en-US"/>
        </w:rPr>
        <w:fldChar w:fldCharType="begin" w:fldLock="1"/>
      </w:r>
      <w:r w:rsidRPr="00F0434A">
        <w:rPr>
          <w:rFonts w:asciiTheme="minorHAnsi" w:hAnsiTheme="minorHAnsi" w:cstheme="minorHAnsi"/>
          <w:color w:val="auto"/>
          <w:lang w:val="en-US"/>
        </w:rPr>
        <w:instrText>ADDIN CSL_CITATION {"citationItems":[{"id":"ITEM-1","itemData":{"ISSN":"1294-9361 (Print)","PMID":"17012069","abstract":"The definition of the epileptogenic zone, as proposed by Talairach and Bancaud, is an ictal electro-clinical definition based on the results of stereotactic intracerebral EEG (SEEG) recordings. It takes into account not only the anatomical location of the \"site of the beginning and of the primary organization\" of the epileptic discharge, but also how this discharge gives rise to the accompanying clinical symptoms. This definition is different from the North American view since, for the French authors, the epileptogenic zone is not synonymous with what can be called the \"what-to-remove area\". In fact, it is above all a conceptual definition which emphazises the importance of studying the spatio-temporal dynamics of seizure discharges, and not only their starting point.","author":[{"dropping-particle":"","family":"Kahane","given":"Philippe","non-dropping-particle":"","parse-names":false,"suffix":""},{"dropping-particle":"","family":"Landre","given":"Elisabeth","non-dropping-particle":"","parse-names":false,"suffix":""},{"dropping-particle":"","family":"Minotti","given":"Lorella","non-dropping-particle":"","parse-names":false,"suffix":""},{"dropping-particle":"","family":"Francione","given":"Stafano","non-dropping-particle":"","parse-names":false,"suffix":""},{"dropping-particle":"","family":"Ryvlin","given":"Philippe","non-dropping-particle":"","parse-names":false,"suffix":""}],"container-title":"Epileptic disorders : international epilepsy journal with videotape","id":"ITEM-1","issued":{"date-parts":[["2006","8"]]},"language":"eng","page":"S16-26","publisher-place":"France","title":"The Bancaud and Talairach view on the epileptogenic zone: a working hypothesis.","type":"article-journal","volume":"8 Suppl 2"},"uris":["http://www.mendeley.com/documents/?uuid=d3799515-597c-4564-9276-72c6ef6459a9","http://www.mendeley.com/documents/?uuid=16e81749-55c1-4e41-8398-fa4d60691917"]}],"mendeley":{"formattedCitation":"[2]","plainTextFormattedCitation":"[2]","previouslyFormattedCitation":"[2]"},"properties":{"noteIndex":0},"schema":"https://github.com/citation-style-language/schema/raw/master/csl-citation.json"}</w:instrText>
      </w:r>
      <w:r w:rsidRPr="00F0434A">
        <w:rPr>
          <w:rFonts w:asciiTheme="minorHAnsi" w:hAnsiTheme="minorHAnsi" w:cstheme="minorHAnsi"/>
          <w:color w:val="auto"/>
          <w:lang w:val="en-US"/>
        </w:rPr>
        <w:fldChar w:fldCharType="separate"/>
      </w:r>
      <w:r w:rsidRPr="00F0434A">
        <w:rPr>
          <w:rFonts w:asciiTheme="minorHAnsi" w:hAnsiTheme="minorHAnsi" w:cstheme="minorHAnsi"/>
          <w:noProof/>
          <w:color w:val="auto"/>
          <w:lang w:val="en-US"/>
        </w:rPr>
        <w:t>[2]</w:t>
      </w:r>
      <w:r w:rsidRPr="00F0434A">
        <w:rPr>
          <w:rFonts w:asciiTheme="minorHAnsi" w:hAnsiTheme="minorHAnsi" w:cstheme="minorHAnsi"/>
          <w:color w:val="auto"/>
          <w:lang w:val="en-US"/>
        </w:rPr>
        <w:fldChar w:fldCharType="end"/>
      </w:r>
      <w:r w:rsidRPr="00F0434A">
        <w:rPr>
          <w:rFonts w:asciiTheme="minorHAnsi" w:hAnsiTheme="minorHAnsi" w:cstheme="minorHAnsi"/>
          <w:color w:val="auto"/>
          <w:lang w:val="en-US"/>
        </w:rPr>
        <w:t xml:space="preserve">. Nevertheless, it has been argued that the SOZ could be more informative than the IZ </w:t>
      </w:r>
      <w:r w:rsidRPr="00F0434A">
        <w:rPr>
          <w:rFonts w:asciiTheme="minorHAnsi" w:hAnsiTheme="minorHAnsi" w:cstheme="minorHAnsi"/>
          <w:color w:val="auto"/>
          <w:lang w:val="en-US"/>
        </w:rPr>
        <w:fldChar w:fldCharType="begin" w:fldLock="1"/>
      </w:r>
      <w:r w:rsidRPr="00F0434A">
        <w:rPr>
          <w:rFonts w:asciiTheme="minorHAnsi" w:hAnsiTheme="minorHAnsi" w:cstheme="minorHAnsi"/>
          <w:color w:val="auto"/>
          <w:lang w:val="en-US"/>
        </w:rPr>
        <w:instrText>ADDIN CSL_CITATION {"citationItems":[{"id":"ITEM-1","itemData":{"ISSN":"0736-0258 (Print)","PMID":"1761707","abstract":"The pitfalls and difficulties in accurately localizing seizure foci are reviewed. Basic issues regarding modeling, volume conduction, inhomogeneities, and corticocortical propagation are discussed, and the limitations of scalp and intracranial recordings are outlined. The ambiguities in interpreting patterns and their significance are highlighted with a concluding commentary on pitfalls in defining the epileptogenic region.","author":[{"dropping-particle":"","family":"Jayakar","given":"P","non-dropping-particle":"","parse-names":false,"suffix":""},{"dropping-particle":"","family":"Duchowny","given":"M","non-dropping-particle":"","parse-names":false,"suffix":""},{"dropping-particle":"","family":"Resnick","given":"T J","non-dropping-particle":"","parse-names":false,"suffix":""},{"dropping-particle":"","family":"Alvarez","given":"L A","non-dropping-particle":"","parse-names":false,"suffix":""}],"container-title":"Journal of clinical neurophysiology : official publication of the American Electroencephalographic Society","id":"ITEM-1","issue":"4","issued":{"date-parts":[["1991","10"]]},"language":"eng","page":"414-431","publisher-place":"United States","title":"Localization of seizure foci: pitfalls and caveats.","type":"article-journal","volume":"8"},"uris":["http://www.mendeley.com/documents/?uuid=2cdb77a7-e0bb-43a3-b261-958febf6f77c"]}],"mendeley":{"formattedCitation":"[3]","plainTextFormattedCitation":"[3]","previouslyFormattedCitation":"[3]"},"properties":{"noteIndex":0},"schema":"https://github.com/citation-style-language/schema/raw/master/csl-citation.json"}</w:instrText>
      </w:r>
      <w:r w:rsidRPr="00F0434A">
        <w:rPr>
          <w:rFonts w:asciiTheme="minorHAnsi" w:hAnsiTheme="minorHAnsi" w:cstheme="minorHAnsi"/>
          <w:color w:val="auto"/>
          <w:lang w:val="en-US"/>
        </w:rPr>
        <w:fldChar w:fldCharType="separate"/>
      </w:r>
      <w:r w:rsidRPr="00F0434A">
        <w:rPr>
          <w:rFonts w:asciiTheme="minorHAnsi" w:hAnsiTheme="minorHAnsi" w:cstheme="minorHAnsi"/>
          <w:noProof/>
          <w:color w:val="auto"/>
          <w:lang w:val="en-US"/>
        </w:rPr>
        <w:t>[3]</w:t>
      </w:r>
      <w:r w:rsidRPr="00F0434A">
        <w:rPr>
          <w:rFonts w:asciiTheme="minorHAnsi" w:hAnsiTheme="minorHAnsi" w:cstheme="minorHAnsi"/>
          <w:color w:val="auto"/>
          <w:lang w:val="en-US"/>
        </w:rPr>
        <w:fldChar w:fldCharType="end"/>
      </w:r>
      <w:r w:rsidRPr="00F0434A">
        <w:rPr>
          <w:rFonts w:asciiTheme="minorHAnsi" w:hAnsiTheme="minorHAnsi" w:cstheme="minorHAnsi"/>
          <w:color w:val="auto"/>
          <w:lang w:val="en-US"/>
        </w:rPr>
        <w:t xml:space="preserve">. Indeed, interictal spikes can be generated by remote brain areas, whose removal might not lead to seizure freedom, while ictogenesis is considered to occur in one limited brain site, provided the epilepsy is unifocal and thus operable </w:t>
      </w:r>
      <w:r w:rsidRPr="00F0434A">
        <w:rPr>
          <w:rFonts w:asciiTheme="minorHAnsi" w:hAnsiTheme="minorHAnsi" w:cstheme="minorHAnsi"/>
          <w:color w:val="auto"/>
          <w:lang w:val="en-US"/>
        </w:rPr>
        <w:fldChar w:fldCharType="begin" w:fldLock="1"/>
      </w:r>
      <w:r w:rsidRPr="00F0434A">
        <w:rPr>
          <w:rFonts w:asciiTheme="minorHAnsi" w:hAnsiTheme="minorHAnsi" w:cstheme="minorHAnsi"/>
          <w:color w:val="auto"/>
          <w:lang w:val="en-US"/>
        </w:rPr>
        <w:instrText>ADDIN CSL_CITATION {"citationItems":[{"id":"ITEM-1","itemData":{"DOI":"10.1038/nrneurol.2012.150","ISSN":"1759-4766 (Electronic)","PMID":"22868868","abstract":"EEG source imaging (ESI) is a model-based imaging technique that integrates temporal and spatial components of EEG to identify the generating source of electrical potentials recorded on the scalp. Recent advances in computer technologies have made the analysis of ESI data less time-consuming, and have rekindled interest in this technique as a clinical diagnostic tool. On the basis of the available body of evidence, ESI seems to be a promising tool for epilepsy evaluation; however, the precise clinical value of ESI in presurgical evaluation of epilepsy and in localization of eloquent cortex remains to be investigated. In this Review, we describe two fundamental issues in ESI; namely, the forward and inverse problems, and their solutions. The clinical application of ESI in surgical planning for patients with medically refractory focal epilepsy, and its use in source reconstruction together with invasive recordings, is also discussed. As ESI can be used to map evoked responses, we discuss the clinical utility of this technique in cortical mapping-an essential process when planning resective surgery for brain regions that are in close proximity to eloquent cortex.","author":[{"dropping-particle":"","family":"Kaiboriboon","given":"Kitti","non-dropping-particle":"","parse-names":false,"suffix":""},{"dropping-particle":"","family":"Luders","given":"Hans O","non-dropping-particle":"","parse-names":false,"suffix":""},{"dropping-particle":"","family":"Hamaneh","given":"Mehdi","non-dropping-particle":"","parse-names":false,"suffix":""},{"dropping-particle":"","family":"Turnbull","given":"John","non-dropping-particle":"","parse-names":false,"suffix":""},{"dropping-particle":"","family":"Lhatoo","given":"Samden D","non-dropping-particle":"","parse-names":false,"suffix":""}],"container-title":"Nature reviews. Neurology","id":"ITEM-1","issue":"9","issued":{"date-parts":[["2012","9"]]},"language":"eng","page":"498-507","publisher-place":"England","title":"EEG source imaging in epilepsy--practicalities and pitfalls.","type":"article-journal","volume":"8"},"uris":["http://www.mendeley.com/documents/?uuid=bd384b91-a5b0-4bd3-b625-2cf9668aa31b"]},{"id":"ITEM-2","itemData":{"DOI":"10.1097/WCO.0000000000000545","ISSN":"1473-6551 (Electronic)","PMID":"29432218","abstract":"PURPOSE OF REVIEW: Source localization of cerebral activity using electroencephalography (EEG) or magnetoencephalography (MEG) can reveal noninvasively the generators of the abnormal signals recorded in epilepsy, such as interictal epileptic discharges (IEDs) and seizures. Here, we review recent progress showcasing the usefulness of these techniques in treating patients with drug-resistant epilepsy. RECENT FINDINGS: The source localization of IEDs by high-density EEG and MEG has now been proved in large patient cohorts to be accurate and clinically relevant, with positive and negative predictive values rivaling those of structural MRI. Localizing seizure onsets is an emerging technique that seems to perform similarly well to the localization of interictal spikes, although there remain questions regarding the processing of signals for reliable results. The localization of somatosensory cortex using EEG/MEG is well established. The localization of language cortex is less reliable, although progress has been made regarding hemispheric lateralization. Source localization is also able to reveal how epilepsy alters the dynamics of neuronal activity in the large-scale networks that underlie cerebral function. SUMMARY: Given the high performance of EEG/MEG source localization, these tools should find a place similar to that of established techniques like MRI in the assessment of patients for epilepsy surgery.","author":[{"dropping-particle":"","family":"Megevand","given":"Pierre","non-dropping-particle":"","parse-names":false,"suffix":""},{"dropping-particle":"","family":"Seeck","given":"Margitta","non-dropping-particle":"","parse-names":false,"suffix":""}],"container-title":"Current opinion in neurology","id":"ITEM-2","issue":"2","issued":{"date-parts":[["2018","4"]]},"language":"eng","page":"176-183","publisher-place":"England","title":"Electroencephalography, magnetoencephalography and source localization: their value in epilepsy.","type":"article-journal","volume":"31"},"uris":["http://www.mendeley.com/documents/?uuid=d028058e-7240-47ce-81ae-41056b9e2bdc"]}],"mendeley":{"formattedCitation":"[4,5]","plainTextFormattedCitation":"[4,5]","previouslyFormattedCitation":"[4,5]"},"properties":{"noteIndex":0},"schema":"https://github.com/citation-style-language/schema/raw/master/csl-citation.json"}</w:instrText>
      </w:r>
      <w:r w:rsidRPr="00F0434A">
        <w:rPr>
          <w:rFonts w:asciiTheme="minorHAnsi" w:hAnsiTheme="minorHAnsi" w:cstheme="minorHAnsi"/>
          <w:color w:val="auto"/>
          <w:lang w:val="en-US"/>
        </w:rPr>
        <w:fldChar w:fldCharType="separate"/>
      </w:r>
      <w:r w:rsidRPr="00F0434A">
        <w:rPr>
          <w:rFonts w:asciiTheme="minorHAnsi" w:hAnsiTheme="minorHAnsi" w:cstheme="minorHAnsi"/>
          <w:noProof/>
          <w:color w:val="auto"/>
          <w:lang w:val="en-US"/>
        </w:rPr>
        <w:t>[4,5]</w:t>
      </w:r>
      <w:r w:rsidRPr="00F0434A">
        <w:rPr>
          <w:rFonts w:asciiTheme="minorHAnsi" w:hAnsiTheme="minorHAnsi" w:cstheme="minorHAnsi"/>
          <w:color w:val="auto"/>
          <w:lang w:val="en-US"/>
        </w:rPr>
        <w:fldChar w:fldCharType="end"/>
      </w:r>
      <w:r w:rsidRPr="00F0434A">
        <w:rPr>
          <w:rFonts w:asciiTheme="minorHAnsi" w:hAnsiTheme="minorHAnsi" w:cstheme="minorHAnsi"/>
          <w:color w:val="auto"/>
          <w:lang w:val="en-US"/>
        </w:rPr>
        <w:t xml:space="preserve">. Visual interpretation of ictal scalp EEG remains challenging due to the abundance of artefacts, the short duration of certain seizure types or their rapid propagation, especially in extra-temporal lobe epilepsy (ETLE) compared to temporal lobe epilepsy (TLE) </w:t>
      </w:r>
      <w:r w:rsidRPr="00F0434A">
        <w:rPr>
          <w:rFonts w:asciiTheme="minorHAnsi" w:hAnsiTheme="minorHAnsi" w:cstheme="minorHAnsi"/>
          <w:color w:val="auto"/>
          <w:lang w:val="en-US"/>
        </w:rPr>
        <w:fldChar w:fldCharType="begin" w:fldLock="1"/>
      </w:r>
      <w:r w:rsidRPr="00F0434A">
        <w:rPr>
          <w:rFonts w:asciiTheme="minorHAnsi" w:hAnsiTheme="minorHAnsi" w:cstheme="minorHAnsi"/>
          <w:color w:val="auto"/>
          <w:lang w:val="en-US"/>
        </w:rPr>
        <w:instrText>ADDIN CSL_CITATION {"citationItems":[{"id":"ITEM-1","itemData":{"DOI":"10.1093/brain/124.9.1683","ISSN":"0006-8950 (Print)","PMID":"11522572","abstract":"An overview of the following six cortical zones that have been defined in the presurgical evaluation of candidates for epilepsy surgery is given: the symptomatogenic zone; the irritative zone; the seizure onset zone; the epileptogenic lesion; the epileptogenic zone; and the eloquent cortex. The stepwise historical evolution of these different zones is described. The current diagnostic techniques used in the definition of these cortical zones, such as video-EEG monitoring, MRI and ictal single photon emission computed tomography, are discussed. Established diagnostic tests are set apart from procedures that should still be regarded as experimental, such as magnetoencephalography, dipole source localization and spike-triggered functional MRI. Possible future developments that might lead to a more direct definition of the epileptogenic zone are presented.","author":[{"dropping-particle":"","family":"Rosenow","given":"F","non-dropping-particle":"","parse-names":false,"suffix":""},{"dropping-particle":"","family":"Luders","given":"H","non-dropping-particle":"","parse-names":false,"suffix":""}],"container-title":"Brain : a journal of neurology","id":"ITEM-1","issue":"Pt 9","issued":{"date-parts":[["2001","9"]]},"language":"eng","page":"1683-1700","publisher-place":"England","title":"Presurgical evaluation of epilepsy.","type":"article-journal","volume":"124"},"uris":["http://www.mendeley.com/documents/?uuid=004cdab7-58c5-4027-8d06-95776ff34d8c"]},{"id":"ITEM-2","itemData":{"ISSN":"0028-3878 (Print)","PMID":"11739820","abstract":"OBJECTIVE: To investigate the lateralization and localization of ictal EEG in focal epilepsy. METHODS: A total of 486 ictal EEG of 72 patients with focal epilepsy arising from the mesial temporal, neocortical temporal, mesial frontal, dorsolateral frontal, parietal, and occipital regions were analyzed. RESULTS: Surface ictal EEG was adequately localized in 72% of cases, more often in temporal than extratemporal epilepsy. Localized ictal onsets were seen in 57% of seizures and were most common in mesial temporal lobe epilepsy (MTLE), lateral frontal lobe epilepsy (LFLE), and parietal lobe epilepsy, whereas lateralized onsets predominated in neocortical temporal lobe epilepsy and generalized onsets in mesial frontal lobe epilepsy (MFLE) and occipital lobe epilepsy. Approximately two-thirds of seizures were localized, 22% generalized, 4% lateralized, and 6% mislocalized/lateralized. False localization/lateralization occurred in 28% of occipital and 16% of parietal seizures. Rhythmic temporal theta at ictal onset was seen exclusively in temporal lobe seizures, whereas localized repetitive epileptiform activity was highly predictive of LFLE. Seizures arising from the lateral convexity and mesial regions were differentiated by a high incidence of repetitive epileptiform activity at ictal onset in the former and rhythmic theta activity in the latter. CONCLUSIONS: With the exception of mesial frontal lobe epilepsy, ictal recordings are very useful in the localization/lateralization of focal seizures. Some patterns are highly accurate in localizing the epileptogenic lobe. One limitation of ictal EEG is the potential for false localization/lateralization in occipital and parietal lobe epilepsies.","author":[{"dropping-particle":"","family":"Foldvary","given":"N","non-dropping-particle":"","parse-names":false,"suffix":""},{"dropping-particle":"","family":"Klem","given":"G","non-dropping-particle":"","parse-names":false,"suffix":""},{"dropping-particle":"","family":"Hammel","given":"J","non-dropping-particle":"","parse-names":false,"suffix":""},{"dropping-particle":"","family":"Bingaman","given":"W","non-dropping-particle":"","parse-names":false,"suffix":""},{"dropping-particle":"","family":"Najm","given":"I","non-dropping-particle":"","parse-names":false,"suffix":""},{"dropping-particle":"","family":"Luders","given":"H","non-dropping-particle":"","parse-names":false,"suffix":""}],"container-title":"Neurology","id":"ITEM-2","issue":"11","issued":{"date-parts":[["2001","12"]]},"language":"eng","page":"2022-2028","publisher-place":"United States","title":"The localizing value of ictal EEG in focal epilepsy.","type":"article-journal","volume":"57"},"uris":["http://www.mendeley.com/documents/?uuid=09ba1e2a-c7ca-4994-bdbc-d668c94b5cd3"]}],"mendeley":{"formattedCitation":"[6,7]","plainTextFormattedCitation":"[6,7]","previouslyFormattedCitation":"[6,7]"},"properties":{"noteIndex":0},"schema":"https://github.com/citation-style-language/schema/raw/master/csl-citation.json"}</w:instrText>
      </w:r>
      <w:r w:rsidRPr="00F0434A">
        <w:rPr>
          <w:rFonts w:asciiTheme="minorHAnsi" w:hAnsiTheme="minorHAnsi" w:cstheme="minorHAnsi"/>
          <w:color w:val="auto"/>
          <w:lang w:val="en-US"/>
        </w:rPr>
        <w:fldChar w:fldCharType="separate"/>
      </w:r>
      <w:r w:rsidRPr="00F0434A">
        <w:rPr>
          <w:rFonts w:asciiTheme="minorHAnsi" w:hAnsiTheme="minorHAnsi" w:cstheme="minorHAnsi"/>
          <w:noProof/>
          <w:color w:val="auto"/>
          <w:lang w:val="en-US"/>
        </w:rPr>
        <w:t>[6,7]</w:t>
      </w:r>
      <w:r w:rsidRPr="00F0434A">
        <w:rPr>
          <w:rFonts w:asciiTheme="minorHAnsi" w:hAnsiTheme="minorHAnsi" w:cstheme="minorHAnsi"/>
          <w:color w:val="auto"/>
          <w:lang w:val="en-US"/>
        </w:rPr>
        <w:fldChar w:fldCharType="end"/>
      </w:r>
      <w:r w:rsidRPr="00F0434A">
        <w:rPr>
          <w:rFonts w:asciiTheme="minorHAnsi" w:hAnsiTheme="minorHAnsi" w:cstheme="minorHAnsi"/>
          <w:color w:val="auto"/>
          <w:lang w:val="en-US"/>
        </w:rPr>
        <w:t>.</w:t>
      </w:r>
    </w:p>
    <w:p w:rsidR="00F0434A" w:rsidRPr="00F0434A" w:rsidRDefault="00F0434A" w:rsidP="00F0434A">
      <w:pPr>
        <w:pStyle w:val="Corpsdetexte"/>
        <w:spacing w:after="0" w:line="360" w:lineRule="auto"/>
        <w:ind w:firstLine="720"/>
        <w:jc w:val="both"/>
        <w:rPr>
          <w:rFonts w:asciiTheme="minorHAnsi" w:hAnsiTheme="minorHAnsi" w:cstheme="minorHAnsi"/>
          <w:color w:val="auto"/>
          <w:lang w:val="en-US"/>
        </w:rPr>
      </w:pPr>
      <w:r w:rsidRPr="00F0434A">
        <w:rPr>
          <w:rFonts w:asciiTheme="minorHAnsi" w:hAnsiTheme="minorHAnsi" w:cstheme="minorHAnsi"/>
          <w:color w:val="auto"/>
          <w:lang w:val="en-US"/>
        </w:rPr>
        <w:t xml:space="preserve">Electrical source imaging (ESI) aims to identify the anatomical source of ictal and interictal EEG activity, and to provide a computer-based estimate of SOZ and IZ, respectively. ESI relies on algorithms resolving the so-called inverse problem, i.e. to identify the possible current sources of a given surface electrical potential, taking into account the volume conduction through the head structures </w:t>
      </w:r>
      <w:r w:rsidRPr="00F0434A">
        <w:rPr>
          <w:rFonts w:asciiTheme="minorHAnsi" w:hAnsiTheme="minorHAnsi" w:cstheme="minorHAnsi"/>
          <w:color w:val="auto"/>
          <w:lang w:val="en-US"/>
        </w:rPr>
        <w:fldChar w:fldCharType="begin" w:fldLock="1"/>
      </w:r>
      <w:r w:rsidRPr="00F0434A">
        <w:rPr>
          <w:rFonts w:asciiTheme="minorHAnsi" w:hAnsiTheme="minorHAnsi" w:cstheme="minorHAnsi"/>
          <w:color w:val="auto"/>
          <w:lang w:val="en-US"/>
        </w:rPr>
        <w:instrText>ADDIN CSL_CITATION {"citationItems":[{"id":"ITEM-1","itemData":{"DOI":"10.1038/nrneurol.2012.150","ISSN":"1759-4766 (Electronic)","PMID":"22868868","abstract":"EEG source imaging (ESI) is a model-based imaging technique that integrates temporal and spatial components of EEG to identify the generating source of electrical potentials recorded on the scalp. Recent advances in computer technologies have made the analysis of ESI data less time-consuming, and have rekindled interest in this technique as a clinical diagnostic tool. On the basis of the available body of evidence, ESI seems to be a promising tool for epilepsy evaluation; however, the precise clinical value of ESI in presurgical evaluation of epilepsy and in localization of eloquent cortex remains to be investigated. In this Review, we describe two fundamental issues in ESI; namely, the forward and inverse problems, and their solutions. The clinical application of ESI in surgical planning for patients with medically refractory focal epilepsy, and its use in source reconstruction together with invasive recordings, is also discussed. As ESI can be used to map evoked responses, we discuss the clinical utility of this technique in cortical mapping-an essential process when planning resective surgery for brain regions that are in close proximity to eloquent cortex.","author":[{"dropping-particle":"","family":"Kaiboriboon","given":"Kitti","non-dropping-particle":"","parse-names":false,"suffix":""},{"dropping-particle":"","family":"Luders","given":"Hans O","non-dropping-particle":"","parse-names":false,"suffix":""},{"dropping-particle":"","family":"Hamaneh","given":"Mehdi","non-dropping-particle":"","parse-names":false,"suffix":""},{"dropping-particle":"","family":"Turnbull","given":"John","non-dropping-particle":"","parse-names":false,"suffix":""},{"dropping-particle":"","family":"Lhatoo","given":"Samden D","non-dropping-particle":"","parse-names":false,"suffix":""}],"container-title":"Nature reviews. Neurology","id":"ITEM-1","issue":"9","issued":{"date-parts":[["2012","9"]]},"language":"eng","page":"498-507","publisher-place":"England","title":"EEG source imaging in epilepsy--practicalities and pitfalls.","type":"article-journal","volume":"8"},"uris":["http://www.mendeley.com/documents/?uuid=bd384b91-a5b0-4bd3-b625-2cf9668aa31b"]}],"mendeley":{"formattedCitation":"[4]","plainTextFormattedCitation":"[4]","previouslyFormattedCitation":"[4]"},"properties":{"noteIndex":0},"schema":"https://github.com/citation-style-language/schema/raw/master/csl-citation.json"}</w:instrText>
      </w:r>
      <w:r w:rsidRPr="00F0434A">
        <w:rPr>
          <w:rFonts w:asciiTheme="minorHAnsi" w:hAnsiTheme="minorHAnsi" w:cstheme="minorHAnsi"/>
          <w:color w:val="auto"/>
          <w:lang w:val="en-US"/>
        </w:rPr>
        <w:fldChar w:fldCharType="separate"/>
      </w:r>
      <w:r w:rsidRPr="00F0434A">
        <w:rPr>
          <w:rFonts w:asciiTheme="minorHAnsi" w:hAnsiTheme="minorHAnsi" w:cstheme="minorHAnsi"/>
          <w:noProof/>
          <w:color w:val="auto"/>
          <w:lang w:val="en-US"/>
        </w:rPr>
        <w:t>[4]</w:t>
      </w:r>
      <w:r w:rsidRPr="00F0434A">
        <w:rPr>
          <w:rFonts w:asciiTheme="minorHAnsi" w:hAnsiTheme="minorHAnsi" w:cstheme="minorHAnsi"/>
          <w:color w:val="auto"/>
          <w:lang w:val="en-US"/>
        </w:rPr>
        <w:fldChar w:fldCharType="end"/>
      </w:r>
      <w:r w:rsidRPr="00F0434A">
        <w:rPr>
          <w:rFonts w:asciiTheme="minorHAnsi" w:hAnsiTheme="minorHAnsi" w:cstheme="minorHAnsi"/>
          <w:color w:val="auto"/>
          <w:lang w:val="en-US"/>
        </w:rPr>
        <w:t xml:space="preserve">. Previous research has demonstrated the higher anatomical and diagnostic accuracy of high-density (HD) ESI (i.e. derived from EEG &gt;32 channels) compared to low-density (LD) ESI (from 19-25 channel EEG) </w:t>
      </w:r>
      <w:r w:rsidRPr="00F0434A">
        <w:rPr>
          <w:rFonts w:asciiTheme="minorHAnsi" w:hAnsiTheme="minorHAnsi" w:cstheme="minorHAnsi"/>
          <w:color w:val="auto"/>
          <w:lang w:val="en-US"/>
        </w:rPr>
        <w:fldChar w:fldCharType="begin" w:fldLock="1"/>
      </w:r>
      <w:r w:rsidRPr="00F0434A">
        <w:rPr>
          <w:rFonts w:asciiTheme="minorHAnsi" w:hAnsiTheme="minorHAnsi" w:cstheme="minorHAnsi"/>
          <w:color w:val="auto"/>
          <w:lang w:val="en-US"/>
        </w:rPr>
        <w:instrText>ADDIN CSL_CITATION {"citationItems":[{"id":"ITEM-1","itemData":{"DOI":"10.1016/s1388-2457(02)00337-1","ISSN":"1388-2457 (Print)","PMID":"12495765","abstract":"OBJECTIVE: Electroencephalography (EEG) source reconstruction is becoming recognized as a useful technique to non-invasively localize the epileptic focus. Whereas, large array magnetoencephalography (MEG) systems are available since quite some time, application difficulties have previously prevented multichannel EEG recordings. Recently, however, EEG systems which allow for quick (10-20min) application of, and recording from, up to 125 electrodes have become available. The purpose of the current investigation was to systematically compare the accuracy of epileptic source localization with high electrode density to that obtained with sparser electrode setups. METHODS: Interictal epileptiform activity was recorded with 123 electrodes in 14 epileptic patients undergoing presurgical evaluation. Each single epileptiform potential was down sampled to 63 and 31 electrodes, and a distributed source model (EPIFOCUS) was used to reconstruct the sources with the 3 different electrode configurations. The localization accuracy with the 3 electrode setups was then assessed, by determining the distance from the inverse solution, maximum of each single spike to the epileptogenic lesion. RESULTS: In 9/14 patients, the distance from the EEG source to the lesion was significantly smaller with 63 than with 31 electrodes, and increasing the number of electrodes to 123 increased this number of patients from 9 to 11. Simulations confirmed the relation between the number of electrodes and localization accuracy. CONCLUSIONS: The results illustrate the necessity of multichannel EEG recordings for high source location accuracy in epileptic patients.","author":[{"dropping-particle":"","family":"Lantz","given":"G","non-dropping-particle":"","parse-names":false,"suffix":""},{"dropping-particle":"","family":"Grave de Peralta","given":"R","non-dropping-particle":"","parse-names":false,"suffix":""},{"dropping-particle":"","family":"Spinelli","given":"L","non-dropping-particle":"","parse-names":false,"suffix":""},{"dropping-particle":"","family":"Seeck","given":"M","non-dropping-particle":"","parse-names":false,"suffix":""},{"dropping-particle":"","family":"Michel","given":"C M","non-dropping-particle":"","parse-names":false,"suffix":""}],"container-title":"Clinical neurophysiology : official journal of the International Federation of Clinical Neurophysiology","id":"ITEM-1","issue":"1","issued":{"date-parts":[["2003","1"]]},"language":"eng","page":"63-69","publisher-place":"Netherlands","title":"Epileptic source localization with high density EEG: how many electrodes are needed?","type":"article-journal","volume":"114"},"uris":["http://www.mendeley.com/documents/?uuid=f3489475-eeb7-4d83-9cd5-b784f1d265d9"]},{"id":"ITEM-2","itemData":{"DOI":"10.1093/brain/awr243","ISSN":"1460-2156 (Electronic)","PMID":"21975586","abstract":"Electroencephalography is mandatory to determine the epilepsy syndrome. However,  for the precise localization of the irritative zone in patients with focal epilepsy, costly and sometimes cumbersome imaging techniques are used. Recent small studies using electric source imaging suggest that electroencephalography itself could be used to localize the focus. However, a large prospective validation study is missing. This study presents a cohort of 152 operated patients where electric source imaging was applied as part of the pre-surgical work-up allowing a comparison with the results from other methods. Patients (n = 152) with &gt;1 year postoperative follow-up were studied prospectively. The sensitivity and specificity of each imaging method was defined by comparing the localization of the source maximum with the resected zone and surgical outcome. Electric source imaging had a sensitivity of 84% and a specificity of 88% if the electroencephalogram was recorded with a large number of electrodes (128-256 channels) and the individual magnetic resonance image was used as head model. These values compared favourably with those of structural magnetic resonance imaging (76% sensitivity, 53% specificity), positron emission tomography (69% sensitivity, 44% specificity) and ictal/interictal single-photon emission-computed tomography (58% sensitivity, 47% specificity). The sensitivity and specificity of electric source imaging decreased to 57% and 59%, respectively, with low number of electrodes (&lt;32 channels) and a template head model. This study demonstrated the validity and clinical utility of electric source imaging in a large prospective study. Given the low cost and high flexibility of electroencephalographic systems even with high channel counts, we conclude that electric source imaging is a highly valuable tool in pre-surgical epilepsy evaluation.","author":[{"dropping-particle":"","family":"Brodbeck","given":"Verena","non-dropping-particle":"","parse-names":false,"suffix":""},{"dropping-particle":"","family":"Spinelli","given":"Laurent","non-dropping-particle":"","parse-names":false,"suffix":""},{"dropping-particle":"","family":"Lascano","given":"Agustina M","non-dropping-particle":"","parse-names":false,"suffix":""},{"dropping-particle":"","family":"Wissmeier","given":"Michael","non-dropping-particle":"","parse-names":false,"suffix":""},{"dropping-particle":"","family":"Vargas","given":"Maria-Isabel","non-dropping-particle":"","parse-names":false,"suffix":""},{"dropping-particle":"","family":"Vulliemoz","given":"Serge","non-dropping-particle":"","parse-names":false,"suffix":""},{"dropping-particle":"","family":"Pollo","given":"Claudio","non-dropping-particle":"","parse-names":false,"suffix":""},{"dropping-particle":"","family":"Schaller","given":"Karl","non-dropping-particle":"","parse-names":false,"suffix":""},{"dropping-particle":"","family":"Michel","given":"Christoph M","non-dropping-particle":"","parse-names":false,"suffix":""},{"dropping-particle":"","family":"Seeck","given":"Margitta","non-dropping-particle":"","parse-names":false,"suffix":""}],"container-title":"Brain : a journal of neurology","id":"ITEM-2","issue":"Pt 10","issued":{"date-parts":[["2011","10"]]},"language":"eng","page":"2887-2897","publisher-place":"England","title":"Electroencephalographic source imaging: a prospective study of 152 operated epileptic patients.","type":"article-journal","volume":"134"},"uris":["http://www.mendeley.com/documents/?uuid=0b7e3ff3-cb6e-468d-b0b1-5f20f31a6c23"]}],"mendeley":{"formattedCitation":"[8,9]","plainTextFormattedCitation":"[8,9]","previouslyFormattedCitation":"[8,9]"},"properties":{"noteIndex":0},"schema":"https://github.com/citation-style-language/schema/raw/master/csl-citation.json"}</w:instrText>
      </w:r>
      <w:r w:rsidRPr="00F0434A">
        <w:rPr>
          <w:rFonts w:asciiTheme="minorHAnsi" w:hAnsiTheme="minorHAnsi" w:cstheme="minorHAnsi"/>
          <w:color w:val="auto"/>
          <w:lang w:val="en-US"/>
        </w:rPr>
        <w:fldChar w:fldCharType="separate"/>
      </w:r>
      <w:r w:rsidRPr="00F0434A">
        <w:rPr>
          <w:rFonts w:asciiTheme="minorHAnsi" w:hAnsiTheme="minorHAnsi" w:cstheme="minorHAnsi"/>
          <w:noProof/>
          <w:color w:val="auto"/>
          <w:lang w:val="en-US"/>
        </w:rPr>
        <w:t>[8,9]</w:t>
      </w:r>
      <w:r w:rsidRPr="00F0434A">
        <w:rPr>
          <w:rFonts w:asciiTheme="minorHAnsi" w:hAnsiTheme="minorHAnsi" w:cstheme="minorHAnsi"/>
          <w:color w:val="auto"/>
          <w:lang w:val="en-US"/>
        </w:rPr>
        <w:fldChar w:fldCharType="end"/>
      </w:r>
      <w:r w:rsidRPr="00F0434A">
        <w:rPr>
          <w:rFonts w:asciiTheme="minorHAnsi" w:hAnsiTheme="minorHAnsi" w:cstheme="minorHAnsi"/>
          <w:color w:val="auto"/>
          <w:lang w:val="en-US"/>
        </w:rPr>
        <w:t xml:space="preserve">. However, there is increasing evidence that adequate diagnostic accuracy in SOZ/IZ localization may be reached through LD ESI – at least at a sublobar level  </w:t>
      </w:r>
      <w:r w:rsidRPr="00F0434A">
        <w:rPr>
          <w:rFonts w:asciiTheme="minorHAnsi" w:hAnsiTheme="minorHAnsi" w:cstheme="minorHAnsi"/>
          <w:color w:val="auto"/>
          <w:lang w:val="en-US"/>
        </w:rPr>
        <w:fldChar w:fldCharType="begin" w:fldLock="1"/>
      </w:r>
      <w:r w:rsidRPr="00F0434A">
        <w:rPr>
          <w:rFonts w:asciiTheme="minorHAnsi" w:hAnsiTheme="minorHAnsi" w:cstheme="minorHAnsi"/>
          <w:color w:val="auto"/>
          <w:lang w:val="en-US"/>
        </w:rPr>
        <w:instrText>ADDIN CSL_CITATION {"citationItems":[{"id":"ITEM-1","itemData":{"DOI":"10.1002/epi4.12066","ISSN":"2470-9239 (Print)","PMID":"29588961","abstract":"Objective: We investigated the performance of automatic spike detection and subsequent electroencephalogram (EEG) source imaging to localize the epileptogenic zone (EZ) from long-term EEG recorded during video-EEG monitoring. Methods: In 32 patients, spikes were automatically detected in the EEG and clustered according to their morphology. The two spike clusters with most single events in each patient were averaged and localized in the brain at the half-rising time and peak of the spike using EEG source imaging. On the basis of the distance from the sources to the resection and the known patient outcome after surgery, the performance of the automated EEG analysis to localize the EZ was quantified. Results: In 28 out of the 32 patients, the automatically detected spike clusters corresponded with the reported interictal findings. The median distance to the resection in patients with Engel class I outcome was 6.5 and 15 mm for spike cluster 1 and 27 and 26 mm for cluster 2, at the peak and the half-rising time of the spike, respectively. Spike occurrence (cluster 1 vs. cluster 2) and spike timing (peak vs. half-rising) significantly influenced the distance to the resection (p &lt; 0.05). For patients with Engel class II, III, and IV outcomes, the median distance increased to 36 and 36 mm for cluster 1. Localizing spike cluster 1 at the peak resulted in a sensitivity of 70% and specificity of 100%, positive prediction value (PPV) of 100%, and negative predictive value (NPV) of 53%. Including the results of spike cluster 2 led to an increased sensitivity of 79% NPV of 55% and diagnostic OR of 11.4, while the specificity dropped to 75% and the PPV to 90%. Significance: We showed that automated analysis of long-term EEG recordings results in a high sensitivity and specificity to localize the epileptogenic focus.","author":[{"dropping-particle":"","family":"Mierlo","given":"Pieter","non-dropping-particle":"van","parse-names":false,"suffix":""},{"dropping-particle":"","family":"Strobbe","given":"Gregor","non-dropping-particle":"","parse-names":false,"suffix":""},{"dropping-particle":"","family":"Keereman","given":"Vincent","non-dropping-particle":"","parse-names":false,"suffix":""},{"dropping-particle":"","family":"Birot","given":"Gwenael","non-dropping-particle":"","parse-names":false,"suffix":""},{"dropping-particle":"","family":"Gadeyne","given":"Stefanie","non-dropping-particle":"","parse-names":false,"suffix":""},{"dropping-particle":"","family":"Gschwind","given":"Markus","non-dropping-particle":"","parse-names":false,"suffix":""},{"dropping-particle":"","family":"Carrette","given":"Evelien","non-dropping-particle":"","parse-names":false,"suffix":""},{"dropping-particle":"","family":"Meurs","given":"Alfred","non-dropping-particle":"","parse-names":false,"suffix":""},{"dropping-particle":"","family":"Roost","given":"Dirk","non-dropping-particle":"Van","parse-names":false,"suffix":""},{"dropping-particle":"","family":"Vonck","given":"Kristl","non-dropping-particle":"","parse-names":false,"suffix":""},{"dropping-particle":"","family":"Seeck","given":"Margitta","non-dropping-particle":"","parse-names":false,"suffix":""},{"dropping-particle":"","family":"Vulliemoz","given":"Serge","non-dropping-particle":"","parse-names":false,"suffix":""},{"dropping-particle":"","family":"Boon","given":"Paul","non-dropping-particle":"","parse-names":false,"suffix":""}],"container-title":"Epilepsia open","id":"ITEM-1","issue":"3","issued":{"date-parts":[["2017","9"]]},"language":"eng","page":"322-333","publisher-place":"United States","title":"Automated long-term EEG analysis to localize the epileptogenic zone.","type":"article-journal","volume":"2"},"uris":["http://www.mendeley.com/documents/?uuid=417caea8-346e-4478-9f87-59c3d0e0d9ed"]},{"id":"ITEM-2","itemData":{"DOI":"10.1016/j.clinph.2018.03.020","ISSN":"1872-8952 (Electronic)","PMID":"29680731","abstract":"OBJECTIVE: To test the diagnostic accuracy of a new automatic algorithm for ictal onset source localization (IOSL) during routine presurgical epilepsy evaluation following STARD (Standards for Reporting of Diagnostic Accuracy) criteria. METHODS: We included 28 consecutive patients with refractory focal epilepsy (25 patients with temporal lobe epilepsy (TLE) and 3 with extratemporal epilepsy) who underwent resective epilepsy surgery. Ictal EEG patterns were analyzed with a novel automatic IOSL algorithm. IOSL source localizations on a sublobar level were validated by comparison with actual resection sites and seizure free outcome 2years after surgery. RESULTS: Sensitivity of IOSL was 92.3% (TLE: 92.3%); specificity 60% (TLE: 50%); positive predictive value 66.7% (TLE: 66.7%); and negative predictive value 90% (TLE: 85.7%). The likelihood ratio was more than ten times higher for concordant IOSL results as compared to discordant results (p=0.013). CONCLUSIONS: We demonstrated the clinical feasibility of our IOSL approach yielding reasonable high performance measures on a sublobar level. SIGNIFICANCE: Our IOSL method may contribute to a correct localization of the seizure onset zone in temporal lobe epilepsy and can readily be used in standard epilepsy monitoring settings. Further studies are needed for validation in extratemporal epilepsy.","author":[{"dropping-particle":"","family":"Koren","given":"Johannes","non-dropping-particle":"","parse-names":false,"suffix":""},{"dropping-particle":"","family":"Gritsch","given":"Gerhard","non-dropping-particle":"","parse-names":false,"suffix":""},{"dropping-particle":"","family":"Pirker","given":"Susanne","non-dropping-particle":"","parse-names":false,"suffix":""},{"dropping-particle":"","family":"Herta","given":"Johannes","non-dropping-particle":"","parse-names":false,"suffix":""},{"dropping-particle":"","family":"Perko","given":"Hannes","non-dropping-particle":"","parse-names":false,"suffix":""},{"dropping-particle":"","family":"Kluge","given":"Tilmann","non-dropping-particle":"","parse-names":false,"suffix":""},{"dropping-particle":"","family":"Baumgartner","given":"Christoph","non-dropping-particle":"","parse-names":false,"suffix":""}],"container-title":"Clinical neurophysiology : official journal of the International Federation of Clinical Neurophysiology","id":"ITEM-2","issue":"6","issued":{"date-parts":[["2018","6"]]},"language":"eng","page":"1291-1299","publisher-place":"Netherlands","title":"Automatic ictal onset source localization in presurgical epilepsy evaluation.","type":"article-journal","volume":"129"},"uris":["http://www.mendeley.com/documents/?uuid=81578706-1ed6-45b3-ab5e-abfa03e17db2"]},{"id":"ITEM-3","itemData":{"DOI":"10.1016/j.clinph.2018.09.015","ISSN":"1872-8952 (Electronic)","PMID":"30278389","abstract":"OBJECTIVE: To evaluate the accuracy of automated EEG source imaging (ESI) in localizing epileptogenic zone. METHODS: Long-term EEG, recorded with the standard 25-electrode array of the IFCN, from 41 consecutive patients with focal epilepsy who underwent resective surgery, were analyzed blinded to the surgical outcome. The automated analysis comprised spike-detection, clustering and source imaging at the half-rising time and at the peak of each spike-cluster, using individual head-models with six tissue-layers and a distributed source model (sLORETA). The fully automated approach presented ESI of the cluster with the highest number of spikes, at the half-rising time. In addition, a physician involved in the presurgical evaluation of the patients, evaluated the automated ESI results (up to four clusters per patient) in clinical context and selected the dominant cluster and the analysis time-point (semi-automated approach). The reference standard was location of the resected area and outcome one year after operation. RESULTS: Accuracy was 61% (95% CI: 45-76%) for the fully automated approach and 78% (95% CI: 62-89%) for the semi-automated approach. CONCLUSION: Automated ESI has an accuracy similar to previously reported neuroimaging methods. SIGNIFICANCE: Automated ESI will contribute to increased utilization of source imaging in the presurgical evaluation of patients with epilepsy.","author":[{"dropping-particle":"","family":"Baroumand","given":"Amir G","non-dropping-particle":"","parse-names":false,"suffix":""},{"dropping-particle":"","family":"Mierlo","given":"Pieter","non-dropping-particle":"van","parse-names":false,"suffix":""},{"dropping-particle":"","family":"Strobbe","given":"Gregor","non-dropping-particle":"","parse-names":false,"suffix":""},{"dropping-particle":"","family":"Pinborg","given":"Lars H","non-dropping-particle":"","parse-names":false,"suffix":""},{"dropping-particle":"","family":"Fabricius","given":"Martin","non-dropping-particle":"","parse-names":false,"suffix":""},{"dropping-particle":"","family":"Rubboli","given":"Guido","non-dropping-particle":"","parse-names":false,"suffix":""},{"dropping-particle":"","family":"Leffers","given":"Anne-Mette","non-dropping-particle":"","parse-names":false,"suffix":""},{"dropping-particle":"","family":"Uldall","given":"Peter","non-dropping-particle":"","parse-names":false,"suffix":""},{"dropping-particle":"","family":"Jespersen","given":"Bo","non-dropping-particle":"","parse-names":false,"suffix":""},{"dropping-particle":"","family":"Brennum","given":"Jannick","non-dropping-particle":"","parse-names":false,"suffix":""},{"dropping-particle":"","family":"Henriksen","given":"Otto Molby","non-dropping-particle":"","parse-names":false,"suffix":""},{"dropping-particle":"","family":"Beniczky","given":"Sandor","non-dropping-particle":"","parse-names":false,"suffix":""}],"container-title":"Clinical neurophysiology : official journal of the International Federation of Clinical Neurophysiology","id":"ITEM-3","issue":"11","issued":{"date-parts":[["2018","11"]]},"language":"eng","page":"2403-2410","publisher-place":"Netherlands","title":"Automated EEG source imaging: A retrospective, blinded clinical validation study.","type":"article-journal","volume":"129"},"uris":["http://www.mendeley.com/documents/?uuid=33d797c8-2b74-42bd-86a7-9b9cea8e3214"]},{"id":"ITEM-4","itemData":{"DOI":"10.1111/ene.13676","ISSN":"1468-1331 (Electronic)","PMID":"29751364","abstract":"BACKGROUND AND PURPOSE: Accurate localization of the epileptic focus is essential for surgical treatment of patients with drug-resistant epilepsy. Electric source imaging (ESI) is increasingly used in pre-surgical evaluation. However, most previous studies have analysed interictal (II) discharges. Prospective studies comparing the feasibility and accuracy of II and ictal (IC) ESI are lacking. METHODS: We prospectively analysed long-term video-electroencephalography recordings (LTM) of patients admitted for pre-surgical evaluation. We performed ESI of II and IC signals using two methods, i.e. equivalent current dipole (ECD) and a distributed source model (DSM). LTM recordings employed the standard 25-electrode array (including inferior temporal electrodes). An age-matched template head model was used for source analysis. Results were compared with intracranial recordings, conventional neuroimaging methods [magnetic resonance imaging (MRI), positron emission tomography (PET), single-photon emission computed tomography (SPECT)] and outcome at 1 year after surgery. RESULTS: A total of 87 consecutive patients were analysed. ECD gave a significantly higher proportion of patients with localized focal abnormalities (94%) compared with MRI (70%), PET (66%) and SPECT (64%). Agreement between the ESI methods and intracranial recording was moderate to substantial (k = 0.56-0.79). A total of 54 patients were operated (47 patients more than 1 year ago) and 62% of them became seizure-free. The localization accuracy of II-ESI was 51% for DSM and 57% for ECD, and that for IC-ESI was 51% for DSM and 62% for ECD. The differences between the ESI methods were not significant. Differences in localization accuracy between ESI and MRI (55%), PET (33%) and SPECT (40%) were not significant. CONCLUSIONS: The II-ESI and IC-ESI of LTM data have high feasibility and their localization accuracy is similar to that of conventional neuroimaging methods.","author":[{"dropping-particle":"","family":"Sharma","given":"P","non-dropping-particle":"","parse-names":false,"suffix":""},{"dropping-particle":"","family":"Scherg","given":"M","non-dropping-particle":"","parse-names":false,"suffix":""},{"dropping-particle":"","family":"Pinborg","given":"L H","non-dropping-particle":"","parse-names":false,"suffix":""},{"dropping-particle":"","family":"Fabricius","given":"M","non-dropping-particle":"","parse-names":false,"suffix":""},{"dropping-particle":"","family":"Rubboli","given":"G","non-dropping-particle":"","parse-names":false,"suffix":""},{"dropping-particle":"","family":"Pedersen","given":"B","non-dropping-particle":"","parse-names":false,"suffix":""},{"dropping-particle":"","family":"Leffers","given":"A-M","non-dropping-particle":"","parse-names":false,"suffix":""},{"dropping-particle":"","family":"Uldall","given":"P","non-dropping-particle":"","parse-names":false,"suffix":""},{"dropping-particle":"","family":"Jespersen","given":"B","non-dropping-particle":"","parse-names":false,"suffix":""},{"dropping-particle":"","family":"Brennum","given":"J","non-dropping-particle":"","parse-names":false,"suffix":""},{"dropping-particle":"","family":"Henriksen","given":"O M","non-dropping-particle":"","parse-names":false,"suffix":""},{"dropping-particle":"","family":"Beniczky","given":"S","non-dropping-particle":"","parse-names":false,"suffix":""}],"container-title":"European journal of neurology","id":"ITEM-4","issue":"9","issued":{"date-parts":[["2018","9"]]},"language":"eng","page":"1154-1160","publisher-place":"England","title":"Ictal and interictal electric source imaging in pre-surgical evaluation: a prospective study.","type":"article-journal","volume":"25"},"uris":["http://www.mendeley.com/documents/?uuid=cfb305e0-1e33-4b6f-9e39-1e8d5b6d9e95"]}],"mendeley":{"formattedCitation":"[10–13]","plainTextFormattedCitation":"[10–13]","previouslyFormattedCitation":"[10–13]"},"properties":{"noteIndex":0},"schema":"https://github.com/citation-style-language/schema/raw/master/csl-citation.json"}</w:instrText>
      </w:r>
      <w:r w:rsidRPr="00F0434A">
        <w:rPr>
          <w:rFonts w:asciiTheme="minorHAnsi" w:hAnsiTheme="minorHAnsi" w:cstheme="minorHAnsi"/>
          <w:color w:val="auto"/>
          <w:lang w:val="en-US"/>
        </w:rPr>
        <w:fldChar w:fldCharType="separate"/>
      </w:r>
      <w:r w:rsidRPr="00F0434A">
        <w:rPr>
          <w:rFonts w:asciiTheme="minorHAnsi" w:hAnsiTheme="minorHAnsi" w:cstheme="minorHAnsi"/>
          <w:noProof/>
          <w:color w:val="auto"/>
          <w:lang w:val="en-US"/>
        </w:rPr>
        <w:t>[10–13]</w:t>
      </w:r>
      <w:r w:rsidRPr="00F0434A">
        <w:rPr>
          <w:rFonts w:asciiTheme="minorHAnsi" w:hAnsiTheme="minorHAnsi" w:cstheme="minorHAnsi"/>
          <w:color w:val="auto"/>
          <w:lang w:val="en-US"/>
        </w:rPr>
        <w:fldChar w:fldCharType="end"/>
      </w:r>
      <w:r w:rsidRPr="00F0434A">
        <w:rPr>
          <w:rFonts w:asciiTheme="minorHAnsi" w:hAnsiTheme="minorHAnsi" w:cstheme="minorHAnsi"/>
          <w:color w:val="auto"/>
          <w:lang w:val="en-US"/>
        </w:rPr>
        <w:t xml:space="preserve"> – and that LD ESI may yield non-redundant information, useful to the phase-I of epilepsy presurgical workup </w:t>
      </w:r>
      <w:r w:rsidRPr="00F0434A">
        <w:rPr>
          <w:rFonts w:asciiTheme="minorHAnsi" w:hAnsiTheme="minorHAnsi" w:cstheme="minorHAnsi"/>
          <w:color w:val="auto"/>
          <w:lang w:val="en-US"/>
        </w:rPr>
        <w:fldChar w:fldCharType="begin" w:fldLock="1"/>
      </w:r>
      <w:r w:rsidRPr="00F0434A">
        <w:rPr>
          <w:rFonts w:asciiTheme="minorHAnsi" w:hAnsiTheme="minorHAnsi" w:cstheme="minorHAnsi"/>
          <w:color w:val="auto"/>
          <w:lang w:val="en-US"/>
        </w:rPr>
        <w:instrText>ADDIN CSL_CITATION {"citationItems":[{"id":"ITEM-1","itemData":{"DOI":"10.1016/j.clinph.2019.07.031","ISSN":"1872-8952 (Electronic)","PMID":"31466846","abstract":"OBJECTIVE: To investigate the diagnostic added value of electrical source imaging (ESI) in presurgical evaluation of patients with drug resistant focal epilepsy. METHODS: Eighty-two consecutive patients were included. We analyzed both low density (LD) and high density (HD) EEG recordings. LD ESI was done on interictal and ictal signals recorded during long-term video-EEG monitoring (LTM), with standard 25 electrodes and age-matched template head models. HD ESI was done on shorter recordings (90-120 min), with 256 electrodes, using individual head model. The multidisciplinary team made decisions first blinded to ESI (based on all other modalities) and then discussed the results of the ESI. We considered that ESI had diagnostic added value, when it provided non-redundant information that changed the patients management plan. RESULTS: ESI had diagnostic added value in 28 patients (34%). In most cases (85.7%), these changes were related to planning of the invasive recordings. In nine out of 13 patients, invasive recordings confirmed the localization. Out of eight patients in whom the ESI source was resected, six became seizure-free. CONCLUSIONS: ESI provides non-redundant information in one third of the patients undergoing presurgical evaluation. SIGNIFICANCE: This study provides evidence for the diagnostic added value of ESI in presurgical evaluation.","author":[{"dropping-particle":"","family":"Foged","given":"Mette Thrane","non-dropping-particle":"","parse-names":false,"suffix":""},{"dropping-particle":"","family":"Martens","given":"Terje","non-dropping-particle":"","parse-names":false,"suffix":""},{"dropping-particle":"","family":"Pinborg","given":"Lars H","non-dropping-particle":"","parse-names":false,"suffix":""},{"dropping-particle":"","family":"Hamrouni","given":"Nizar","non-dropping-particle":"","parse-names":false,"suffix":""},{"dropping-particle":"","family":"Litman","given":"Minna","non-dropping-particle":"","parse-names":false,"suffix":""},{"dropping-particle":"","family":"Rubboli","given":"Guido","non-dropping-particle":"","parse-names":false,"suffix":""},{"dropping-particle":"","family":"Leffers","given":"Anne-Mette","non-dropping-particle":"","parse-names":false,"suffix":""},{"dropping-particle":"","family":"Ryvlin","given":"Philippe","non-dropping-particle":"","parse-names":false,"suffix":""},{"dropping-particle":"","family":"Jespersen","given":"Bo","non-dropping-particle":"","parse-names":false,"suffix":""},{"dropping-particle":"","family":"Paulson","given":"Olaf B","non-dropping-particle":"","parse-names":false,"suffix":""},{"dropping-particle":"","family":"Fabricius","given":"Martin","non-dropping-particle":"","parse-names":false,"suffix":""},{"dropping-particle":"","family":"Beniczky","given":"Sandor","non-dropping-particle":"","parse-names":false,"suffix":""}],"container-title":"Clinical neurophysiology : official journal of the International Federation of Clinical Neurophysiology","id":"ITEM-1","issue":"1","issued":{"date-parts":[["2020","1"]]},"language":"eng","page":"324-329","publisher-place":"Netherlands","title":"Diagnostic added value of electrical source imaging in presurgical evaluation of  patients with epilepsy: A prospective study.","type":"article-journal","volume":"131"},"uris":["http://www.mendeley.com/documents/?uuid=48d2dc9c-cb00-4f9c-8430-dd2bb9c171f9"]}],"mendeley":{"formattedCitation":"[14]","plainTextFormattedCitation":"[14]","previouslyFormattedCitation":"[14]"},"properties":{"noteIndex":0},"schema":"https://github.com/citation-style-language/schema/raw/master/csl-citation.json"}</w:instrText>
      </w:r>
      <w:r w:rsidRPr="00F0434A">
        <w:rPr>
          <w:rFonts w:asciiTheme="minorHAnsi" w:hAnsiTheme="minorHAnsi" w:cstheme="minorHAnsi"/>
          <w:color w:val="auto"/>
          <w:lang w:val="en-US"/>
        </w:rPr>
        <w:fldChar w:fldCharType="separate"/>
      </w:r>
      <w:r w:rsidRPr="00F0434A">
        <w:rPr>
          <w:rFonts w:asciiTheme="minorHAnsi" w:hAnsiTheme="minorHAnsi" w:cstheme="minorHAnsi"/>
          <w:noProof/>
          <w:color w:val="auto"/>
          <w:lang w:val="en-US"/>
        </w:rPr>
        <w:t>[14]</w:t>
      </w:r>
      <w:r w:rsidRPr="00F0434A">
        <w:rPr>
          <w:rFonts w:asciiTheme="minorHAnsi" w:hAnsiTheme="minorHAnsi" w:cstheme="minorHAnsi"/>
          <w:color w:val="auto"/>
          <w:lang w:val="en-US"/>
        </w:rPr>
        <w:fldChar w:fldCharType="end"/>
      </w:r>
      <w:r w:rsidRPr="00F0434A">
        <w:rPr>
          <w:rFonts w:asciiTheme="minorHAnsi" w:hAnsiTheme="minorHAnsi" w:cstheme="minorHAnsi"/>
          <w:color w:val="auto"/>
          <w:lang w:val="en-US"/>
        </w:rPr>
        <w:t xml:space="preserve">. </w:t>
      </w:r>
    </w:p>
    <w:p w:rsidR="00F0434A" w:rsidRPr="00F0434A" w:rsidRDefault="00F0434A" w:rsidP="00F0434A">
      <w:pPr>
        <w:pStyle w:val="Corpsdetexte"/>
        <w:spacing w:after="0" w:line="360" w:lineRule="auto"/>
        <w:ind w:firstLine="720"/>
        <w:jc w:val="both"/>
        <w:rPr>
          <w:rFonts w:asciiTheme="minorHAnsi" w:hAnsiTheme="minorHAnsi" w:cstheme="minorHAnsi"/>
          <w:color w:val="auto"/>
          <w:lang w:val="en-US"/>
        </w:rPr>
      </w:pPr>
      <w:r w:rsidRPr="00F0434A">
        <w:rPr>
          <w:rFonts w:asciiTheme="minorHAnsi" w:hAnsiTheme="minorHAnsi" w:cstheme="minorHAnsi"/>
          <w:color w:val="auto"/>
          <w:lang w:val="en-US"/>
        </w:rPr>
        <w:t xml:space="preserve">Developing new methodologies to improve the yield of LD ESI may be valuable especially in the analysis of ictal EEG activity. Indeed, a limitation of HD ESI relies on the complexity of the HD EEG recordings, leading to acquire rather short traces (24-48 hours) which may not include a compelling number of seizures to analyze </w:t>
      </w:r>
      <w:r w:rsidRPr="00F0434A">
        <w:rPr>
          <w:rFonts w:asciiTheme="minorHAnsi" w:hAnsiTheme="minorHAnsi" w:cstheme="minorHAnsi"/>
          <w:color w:val="auto"/>
          <w:lang w:val="en-US"/>
        </w:rPr>
        <w:fldChar w:fldCharType="begin" w:fldLock="1"/>
      </w:r>
      <w:r w:rsidRPr="00F0434A">
        <w:rPr>
          <w:rFonts w:asciiTheme="minorHAnsi" w:hAnsiTheme="minorHAnsi" w:cstheme="minorHAnsi"/>
          <w:color w:val="auto"/>
          <w:lang w:val="en-US"/>
        </w:rPr>
        <w:instrText>ADDIN CSL_CITATION {"citationItems":[{"id":"ITEM-1","itemData":{"DOI":"10.1111/epi.13749","ISSN":"1528-1167 (Electronic)","PMID":"28398008","abstract":"OBJECTIVE: Electrical source imaging (ESI) is a well-established approach to localizing the epileptic focus in drug-resistant focal epilepsy. So far, ESI has been used primarily on interictal events. Emerging evidence suggests that ictal ESI is also feasible and potentially useful. We aimed to investigate the diagnostic accuracy of ESI on ictal events using high-density electroencephalography (EEG). METHODS: We performed ictal ESI on 14 patients (9 with temporal lobe epilepsy) admitted for presurgical evaluation who presented seizures during a long-term (&gt;/=18 h) high-density EEG recording (13 with 256 electrodes and one with 128 electrodes), and subsequently 8 of them underwent epilepsy surgery (postoperative follow-up &gt;1 year). Artifact-free EEG epochs at ictal omicronnset were selected for further analysis. The predominant ictal rhythm was identified and filtered (+/-1 Hz around the main frequency). ESI was computed for each time point using an individual head model and a distributed linear inverse solution, and the average across source localizations was localized. For validation, results were compared with the resection area and postoperative outcome. RESULTS: Ictal ESI correctly localized the epileptic seizure-onset zone in the resection area in five of six postoperatively seizure-free patients. Interictal and ictal ESI were concordant in 9 of 14 patients and partially concordant in additional 4 of 14 patients (93%). Divergent solutions were found in only one of the 14 patients (7%). SIGNIFICANCE: Ictal ESI is a promising localization technique in focal epilepsy.","author":[{"dropping-particle":"","family":"Nemtsas","given":"Petros","non-dropping-particle":"","parse-names":false,"suffix":""},{"dropping-particle":"","family":"Birot","given":"Gwenael","non-dropping-particle":"","parse-names":false,"suffix":""},{"dropping-particle":"","family":"Pittau","given":"Francesca","non-dropping-particle":"","parse-names":false,"suffix":""},{"dropping-particle":"","family":"Michel","given":"Christoph M","non-dropping-particle":"","parse-names":false,"suffix":""},{"dropping-particle":"","family":"Schaller","given":"Karl","non-dropping-particle":"","parse-names":false,"suffix":""},{"dropping-particle":"","family":"Vulliemoz","given":"Serge","non-dropping-particle":"","parse-names":false,"suffix":""},{"dropping-particle":"","family":"Kimiskidis","given":"Vasilios K","non-dropping-particle":"","parse-names":false,"suffix":""},{"dropping-particle":"","family":"Seeck","given":"Margitta","non-dropping-particle":"","parse-names":false,"suffix":""}],"container-title":"Epilepsia","id":"ITEM-1","issue":"6","issued":{"date-parts":[["2017","6"]]},"language":"eng","page":"1027-1036","publisher-place":"United States","title":"Source localization of ictal epileptic activity based on high-density scalp EEG data.","type":"article-journal","volume":"58"},"uris":["http://www.mendeley.com/documents/?uuid=c2f163ae-43bd-4929-b3f0-245030ecfebf"]},{"id":"ITEM-2","itemData":{"DOI":"10.1016/j.clinph.2019.08.007","ISSN":"1872-8952 (Electronic)","PMID":"31541983","abstract":"OBJECTIVE: To investigate the effect of spatial sampling and of recording duration on the diagnostic yield of EEG for identification of interictal epileptiform discharges (IEDs). Previous studies demonstrated that high-density (HD) recordings increased accuracy of localization compared to low-density (LD) recordings. METHODS: We have prospectively evaluated the effect of spatial sampling and of recording duration in patients who had short-term (ST) recordings with a HD array of 256 electrodes following long-term (LT) recordings with a LD array consisting of the standard IFCN array of 25 electrodes. IED clusters were identified in four datasets: LT-LD, ST-LD (spatially down-sampled to the standard IFCN array), ST-HD and a shortened (90 minutes) epoch of LT-LD. RESULTS: Sixty consecutive patients were recruited. We identified 89 IED clusters totally. Two clusters were found by increasing spatial sampling from 25 to 256 electrodes. This modest increase was not statistically significant. Eight clusters were missed by reducing the recording duration to 90 minutes, as compared with the LT recordings (p=0.003). CONCLUSIONS: Recording duration is more important for the diagnostic yield of EEGs than increasing spatial sampling beyond the standard IFCN electrode array. SIGNIFICANCE: The standard IFCN electrode array provides sufficient spatial sampling for identification of the IEDs.","author":[{"dropping-particle":"","family":"Bach Justesen","given":"Anders","non-dropping-particle":"","parse-names":false,"suffix":""},{"dropping-particle":"","family":"Foged","given":"Mette Thrane","non-dropping-particle":"","parse-names":false,"suffix":""},{"dropping-particle":"","family":"Fabricius","given":"Martin","non-dropping-particle":"","parse-names":false,"suffix":""},{"dropping-particle":"","family":"Skaarup","given":"Christian","non-dropping-particle":"","parse-names":false,"suffix":""},{"dropping-particle":"","family":"Hamrouni","given":"Nizar","non-dropping-particle":"","parse-names":false,"suffix":""},{"dropping-particle":"","family":"Martens","given":"Terje","non-dropping-particle":"","parse-names":false,"suffix":""},{"dropping-particle":"","family":"Paulson","given":"Olaf B","non-dropping-particle":"","parse-names":false,"suffix":""},{"dropping-particle":"","family":"Pinborg","given":"Lars H","non-dropping-particle":"","parse-names":false,"suffix":""},{"dropping-particle":"","family":"Beniczky","given":"Sandor","non-dropping-particle":"","parse-names":false,"suffix":""}],"container-title":"Clinical neurophysiology : official journal of the International Federation of Clinical Neurophysiology","id":"ITEM-2","issue":"11","issued":{"date-parts":[["2019","11"]]},"language":"eng","page":"2060-2064","publisher-place":"Netherlands","title":"Diagnostic yield of high-density versus low-density EEG: The effect of spatial sampling, timing and duration of recording.","type":"article-journal","volume":"130"},"uris":["http://www.mendeley.com/documents/?uuid=b7ba157e-8fe7-4cea-99d8-28803d058b2e"]},{"id":"ITEM-3","itemData":{"DOI":"10.1016/j.clinph.2019.07.031","ISSN":"1872-8952 (Electronic)","PMID":"31466846","abstract":"OBJECTIVE: To investigate the diagnostic added value of electrical source imaging (ESI) in presurgical evaluation of patients with drug resistant focal epilepsy. METHODS: Eighty-two consecutive patients were included. We analyzed both low density (LD) and high density (HD) EEG recordings. LD ESI was done on interictal and ictal signals recorded during long-term video-EEG monitoring (LTM), with standard 25 electrodes and age-matched template head models. HD ESI was done on shorter recordings (90-120 min), with 256 electrodes, using individual head model. The multidisciplinary team made decisions first blinded to ESI (based on all other modalities) and then discussed the results of the ESI. We considered that ESI had diagnostic added value, when it provided non-redundant information that changed the patients management plan. RESULTS: ESI had diagnostic added value in 28 patients (34%). In most cases (85.7%), these changes were related to planning of the invasive recordings. In nine out of 13 patients, invasive recordings confirmed the localization. Out of eight patients in whom the ESI source was resected, six became seizure-free. CONCLUSIONS: ESI provides non-redundant information in one third of the patients undergoing presurgical evaluation. SIGNIFICANCE: This study provides evidence for the diagnostic added value of ESI in presurgical evaluation.","author":[{"dropping-particle":"","family":"Foged","given":"Mette Thrane","non-dropping-particle":"","parse-names":false,"suffix":""},{"dropping-particle":"","family":"Martens","given":"Terje","non-dropping-particle":"","parse-names":false,"suffix":""},{"dropping-particle":"","family":"Pinborg","given":"Lars H","non-dropping-particle":"","parse-names":false,"suffix":""},{"dropping-particle":"","family":"Hamrouni","given":"Nizar","non-dropping-particle":"","parse-names":false,"suffix":""},{"dropping-particle":"","family":"Litman","given":"Minna","non-dropping-particle":"","parse-names":false,"suffix":""},{"dropping-particle":"","family":"Rubboli","given":"Guido","non-dropping-particle":"","parse-names":false,"suffix":""},{"dropping-particle":"","family":"Leffers","given":"Anne-Mette","non-dropping-particle":"","parse-names":false,"suffix":""},{"dropping-particle":"","family":"Ryvlin","given":"Philippe","non-dropping-particle":"","parse-names":false,"suffix":""},{"dropping-particle":"","family":"Jespersen","given":"Bo","non-dropping-particle":"","parse-names":false,"suffix":""},{"dropping-particle":"","family":"Paulson","given":"Olaf B","non-dropping-particle":"","parse-names":false,"suffix":""},{"dropping-particle":"","family":"Fabricius","given":"Martin","non-dropping-particle":"","parse-names":false,"suffix":""},{"dropping-particle":"","family":"Beniczky","given":"Sandor","non-dropping-particle":"","parse-names":false,"suffix":""}],"container-title":"Clinical neurophysiology : official journal of the International Federation of Clinical Neurophysiology","id":"ITEM-3","issue":"1","issued":{"date-parts":[["2020","1"]]},"language":"eng","page":"324-329","publisher-place":"Netherlands","title":"Diagnostic added value of electrical source imaging in presurgical evaluation of  patients with epilepsy: A prospective study.","type":"article-journal","volume":"131"},"uris":["http://www.mendeley.com/documents/?uuid=48d2dc9c-cb00-4f9c-8430-dd2bb9c171f9"]}],"mendeley":{"formattedCitation":"[14–16]","plainTextFormattedCitation":"[14–16]","previouslyFormattedCitation":"[14–16]"},"properties":{"noteIndex":0},"schema":"https://github.com/citation-style-language/schema/raw/master/csl-citation.json"}</w:instrText>
      </w:r>
      <w:r w:rsidRPr="00F0434A">
        <w:rPr>
          <w:rFonts w:asciiTheme="minorHAnsi" w:hAnsiTheme="minorHAnsi" w:cstheme="minorHAnsi"/>
          <w:color w:val="auto"/>
          <w:lang w:val="en-US"/>
        </w:rPr>
        <w:fldChar w:fldCharType="separate"/>
      </w:r>
      <w:r w:rsidRPr="00F0434A">
        <w:rPr>
          <w:rFonts w:asciiTheme="minorHAnsi" w:hAnsiTheme="minorHAnsi" w:cstheme="minorHAnsi"/>
          <w:noProof/>
          <w:color w:val="auto"/>
          <w:lang w:val="en-US"/>
        </w:rPr>
        <w:t>[14–16]</w:t>
      </w:r>
      <w:r w:rsidRPr="00F0434A">
        <w:rPr>
          <w:rFonts w:asciiTheme="minorHAnsi" w:hAnsiTheme="minorHAnsi" w:cstheme="minorHAnsi"/>
          <w:color w:val="auto"/>
          <w:lang w:val="en-US"/>
        </w:rPr>
        <w:fldChar w:fldCharType="end"/>
      </w:r>
      <w:r w:rsidRPr="00F0434A">
        <w:rPr>
          <w:rFonts w:asciiTheme="minorHAnsi" w:hAnsiTheme="minorHAnsi" w:cstheme="minorHAnsi"/>
          <w:color w:val="auto"/>
          <w:lang w:val="en-US"/>
        </w:rPr>
        <w:t xml:space="preserve">. Higher numbers of seizures may instead be available in LD EEG traces, which account for the majority of the long-term monitoring that are currently performed. </w:t>
      </w:r>
    </w:p>
    <w:p w:rsidR="00F0434A" w:rsidRPr="00F0434A" w:rsidRDefault="00F0434A" w:rsidP="00F0434A">
      <w:pPr>
        <w:pStyle w:val="Corpsdetexte"/>
        <w:spacing w:after="0" w:line="360" w:lineRule="auto"/>
        <w:ind w:firstLine="720"/>
        <w:jc w:val="both"/>
        <w:rPr>
          <w:rFonts w:asciiTheme="minorHAnsi" w:hAnsiTheme="minorHAnsi" w:cstheme="minorHAnsi"/>
          <w:color w:val="auto"/>
          <w:lang w:val="en-US"/>
        </w:rPr>
      </w:pPr>
      <w:r w:rsidRPr="00F0434A">
        <w:rPr>
          <w:rFonts w:asciiTheme="minorHAnsi" w:hAnsiTheme="minorHAnsi" w:cstheme="minorHAnsi"/>
          <w:color w:val="auto"/>
          <w:lang w:val="en-US"/>
        </w:rPr>
        <w:t>When</w:t>
      </w:r>
      <w:r w:rsidRPr="00F0434A">
        <w:rPr>
          <w:rFonts w:asciiTheme="minorHAnsi" w:hAnsiTheme="minorHAnsi" w:cstheme="minorHAnsi"/>
          <w:color w:val="auto"/>
          <w:lang w:val="en-GB"/>
        </w:rPr>
        <w:t xml:space="preserve"> applied to ictal EEG, conventional ESI methods that localize the sources with the highest power, might not be able to characterise the dynamic connections that occur during ictogenesis </w:t>
      </w:r>
      <w:r w:rsidRPr="00F0434A">
        <w:rPr>
          <w:rFonts w:asciiTheme="minorHAnsi" w:hAnsiTheme="minorHAnsi" w:cstheme="minorHAnsi"/>
          <w:color w:val="auto"/>
          <w:lang w:val="en-GB"/>
        </w:rPr>
        <w:fldChar w:fldCharType="begin" w:fldLock="1"/>
      </w:r>
      <w:r w:rsidRPr="00F0434A">
        <w:rPr>
          <w:rFonts w:asciiTheme="minorHAnsi" w:hAnsiTheme="minorHAnsi" w:cstheme="minorHAnsi"/>
          <w:color w:val="auto"/>
          <w:lang w:val="en-GB"/>
        </w:rPr>
        <w:instrText>ADDIN CSL_CITATION {"citationItems":[{"id":"ITEM-1","itemData":{"ISSN":"1294-9361 (Print)","PMID":"15246951","abstract":"In the attempt to understand the processes affecting human focal epilepsy, various models that have been proposed as a back drop to which current observations of the clinical manifestations and therapies in this disorder can be tested. There are three main models that are reviewed. The notion of epileptogenicity as described by Penfield and Jasper's epileptogenic zone model postulates that specific regions of cerebral cortex have varying degrees of importance in the generation of focal epilepsy. A variation of this hypothesis comprises the second model put forth by Talairach and Bancaud. In this view the notion of the epileptogenic zone is expanded to incorporate a larger regions of cerebral cortex involved in the seizure propagation. A third concept and more separate hypothesis suggests that all components of the neural network involved in focal epilepsy are equally importance in the initiation and maintenance of the seizure. The various concepts underlying these models are reviewed in this paper and data from clinical and neurophysiologic observations are discussed in the context of these models. We suggest in this paper that the data best supports the epileptogenic zone hypothesis put forth by Penfield and Jasper.","author":[{"dropping-particle":"","family":"Nair","given":"Dileep R","non-dropping-particle":"","parse-names":false,"suffix":""},{"dropping-particle":"","family":"Mohamed","given":"Armin","non-dropping-particle":"","parse-names":false,"suffix":""},{"dropping-particle":"","family":"Burgess","given":"Richard","non-dropping-particle":"","parse-names":false,"suffix":""},{"dropping-particle":"","family":"Luders","given":"Hans","non-dropping-particle":"","parse-names":false,"suffix":""}],"container-title":"Epileptic disorders : international epilepsy journal with videotape","id":"ITEM-1","issue":"2","issued":{"date-parts":[["2004","6"]]},"language":"eng","page":"77-83","publisher-place":"France","title":"A critical review of the different conceptual hypotheses framing human focal epilepsy.","type":"article-journal","volume":"6"},"uris":["http://www.mendeley.com/documents/?uuid=1f35e588-d79e-4e41-9592-a5bbc70d24fc"]},{"id":"ITEM-2","itemData":{"DOI":"10.1093/brain/awn111","ISSN":"1460-2156 (Electronic)","PMID":"18556663","abstract":"The identification of brain regions generating seizures ('epileptogenic zone', EZ) in patients with refractory partial epilepsy is crucial prior to surgery. During pre-surgical evaluation, this identification can be performed from the analysis of intracerebral EEG. In particular, the presence of high-frequency oscillations, often referred to as 'rapid discharges', has long been recognized as a characteristic electrophysiological pattern of the EZ. However, to date, there has been no attempt to make use of this specific pattern to quantitatively evaluate the degree of epileptogenicity in recorded structures. A novel quantitative measure that characterizes the epileptogenicity of brain structures recorded with depth electrodes is presented. This measure, called 'Epileptogenicity Index' (EI), is based on both spectral (appearance of fast oscillations replacing the background activity) and temporal (delay of appearance with respect to seizure onset) properties of intracerebral EEG signals. EI values were computed in mesial and lateral structures of the temporal lobe in a group of 17 patients with mesial temporal lobe epilepsy (MTLE). Statistically high EI values corresponded to structures involved early in the ictal process and producing rapid discharges at seizure onset. In all patients, these high values were obtained in more than one structure of the temporal lobe region. In the majority of patients, highest EI values were computed from signals recorded in mesial structures. In addition, when averaged over patients, EI values gradually decreased from structure to structure. For lateral neocortex, higher EI values were found in patients with normal MRI, in contrast with patients with hippocampal sclerosis. In this former sub-group of patients, a greater number of epileptogenic structures was also found. A statistically significant correlation was found between the duration of epilepsy and the number of structures disclosing high epileptogenicity suggesting that MTLE is a gradually evolving process in which the epileptogenicity of the temporal lobe tends to increase with time.","author":[{"dropping-particle":"","family":"Bartolomei","given":"Fabrice","non-dropping-particle":"","parse-names":false,"suffix":""},{"dropping-particle":"","family":"Chauvel","given":"Patrick","non-dropping-particle":"","parse-names":false,"suffix":""},{"dropping-particle":"","family":"Wendling","given":"Fabrice","non-dropping-particle":"","parse-names":false,"suffix":""}],"container-title":"Brain : a journal of neurology","id":"ITEM-2","issue":"Pt 7","issued":{"date-parts":[["2008","7"]]},"language":"eng","page":"1818-1830","publisher-place":"England","title":"Epileptogenicity of brain structures in human temporal lobe epilepsy: a quantified study from intracerebral EEG.","type":"article-journal","volume":"131"},"uris":["http://www.mendeley.com/documents/?uuid=ccd2f9b7-8433-42e5-a963-235523dfde57"]},{"id":"ITEM-3","itemData":{"DOI":"10.1136/jnnp-2011-301944","ISSN":"1468-330X (Electronic)","PMID":"22917671","abstract":"The brain is in a constant state of dynamic change, for example switching between cognitive and behavioural tasks, and between wakefulness and sleep. The brains of people with epilepsy have additional features to their dynamic repertoire, particularly the paroxysmal occurrence of seizures. Substantial effort over decades has produced a detailed description of many human epilepsies and of specific seizure types; in some instances there are known causes, sometimes highly specific such as single gene mutations, but the mechanisms of seizure onset and termination are not known. A large number of in vivo animal models and in vitro models based on animal tissues can generate seizures and seizure-like phenomena. Although in some instances there is much known about the mechanism of seizure onset and termination, across the range of models there is a bewildering range of mechanisms. There is a pressing need to bridge the gap between microscale mechanisms in experimental models and mechanisms of human epilepsies. Computational models of epilepsy have advanced rapidly, allowing dynamic mechanisms to be revealed in a computer model that can then be tested in biological systems. These models are typically simplified, leaving a need to scale up these models to the large scale brain networks in which seizures become manifest. The emerging science of connectomics provides an approach to understanding the large scale brain networks in which normal and abnormal brain functions operate. The stage is now set to couple dynamics with connectomics, to reveal the abnormal dynamics of brain networks which allow seizures to occur.","author":[{"dropping-particle":"","family":"Richardson","given":"Mark P","non-dropping-particle":"","parse-names":false,"suffix":""}],"container-title":"Journal of neurology, neurosurgery, and psychiatry","id":"ITEM-3","issue":"12","issued":{"date-parts":[["2012","12"]]},"language":"eng","page":"1238-1248","publisher-place":"England","title":"Large scale brain models of epilepsy: dynamics meets connectomics.","type":"article-journal","volume":"83"},"uris":["http://www.mendeley.com/documents/?uuid=953908d3-6e7d-436f-b38e-c7d453120c6a"]}],"mendeley":{"formattedCitation":"[17–19]","plainTextFormattedCitation":"[17–19]","previouslyFormattedCitation":"[17–19]"},"properties":{"noteIndex":0},"schema":"https://github.com/citation-style-language/schema/raw/master/csl-citation.json"}</w:instrText>
      </w:r>
      <w:r w:rsidRPr="00F0434A">
        <w:rPr>
          <w:rFonts w:asciiTheme="minorHAnsi" w:hAnsiTheme="minorHAnsi" w:cstheme="minorHAnsi"/>
          <w:color w:val="auto"/>
          <w:lang w:val="en-GB"/>
        </w:rPr>
        <w:fldChar w:fldCharType="separate"/>
      </w:r>
      <w:r w:rsidRPr="00F0434A">
        <w:rPr>
          <w:rFonts w:asciiTheme="minorHAnsi" w:hAnsiTheme="minorHAnsi" w:cstheme="minorHAnsi"/>
          <w:noProof/>
          <w:color w:val="auto"/>
          <w:lang w:val="en-US"/>
        </w:rPr>
        <w:t>[17–19]</w:t>
      </w:r>
      <w:r w:rsidRPr="00F0434A">
        <w:rPr>
          <w:rFonts w:asciiTheme="minorHAnsi" w:hAnsiTheme="minorHAnsi" w:cstheme="minorHAnsi"/>
          <w:color w:val="auto"/>
          <w:lang w:val="en-GB"/>
        </w:rPr>
        <w:fldChar w:fldCharType="end"/>
      </w:r>
      <w:r w:rsidRPr="00F0434A">
        <w:rPr>
          <w:rFonts w:asciiTheme="minorHAnsi" w:hAnsiTheme="minorHAnsi" w:cstheme="minorHAnsi"/>
          <w:color w:val="auto"/>
          <w:lang w:val="en-US"/>
        </w:rPr>
        <w:t xml:space="preserve">. </w:t>
      </w:r>
      <w:r w:rsidRPr="00F0434A">
        <w:rPr>
          <w:rFonts w:asciiTheme="minorHAnsi" w:hAnsiTheme="minorHAnsi" w:cstheme="minorHAnsi"/>
          <w:color w:val="auto"/>
          <w:lang w:val="en-GB"/>
        </w:rPr>
        <w:t xml:space="preserve">Functional connectivity (FC) analysis is capable to estimate the flow of information between different brain regions </w:t>
      </w:r>
      <w:r w:rsidRPr="00F0434A">
        <w:rPr>
          <w:rFonts w:asciiTheme="minorHAnsi" w:hAnsiTheme="minorHAnsi" w:cstheme="minorHAnsi"/>
          <w:color w:val="auto"/>
          <w:vertAlign w:val="superscript"/>
          <w:lang w:val="en-GB"/>
        </w:rPr>
        <w:fldChar w:fldCharType="begin" w:fldLock="1"/>
      </w:r>
      <w:r w:rsidRPr="00F0434A">
        <w:rPr>
          <w:rFonts w:asciiTheme="minorHAnsi" w:hAnsiTheme="minorHAnsi" w:cstheme="minorHAnsi"/>
          <w:color w:val="auto"/>
          <w:vertAlign w:val="superscript"/>
          <w:lang w:val="en-GB"/>
        </w:rPr>
        <w:instrText>ADDIN CSL_CITATION {"citationItems":[{"id":"ITEM-1","itemData":{"DOI":"10.1016/j.conb.2012.11.010","ISSN":"1873-6882 (Electronic)","PMID":"23265964","abstract":"This review considers state-of-the-art analyses of functional integration in neuronal macrocircuits. We focus on detecting and estimating directed connectivity in neuronal networks using Granger causality (GC) and dynamic causal modelling (DCM). These approaches are considered in the context of functional segregation and integration and--within functional integration--the distinction between functional and effective connectivity. We review recent developments that have enjoyed a rapid uptake in the discovery and quantification of functional brain architectures. GC and DCM have distinct and complementary ambitions that are usefully considered in relation to the detection of functional connectivity and the identification of models of effective connectivity. We highlight the basic ideas upon which they are grounded, provide a comparative evaluation and point to some outstanding issues.","author":[{"dropping-particle":"","family":"Friston","given":"Karl","non-dropping-particle":"","parse-names":false,"suffix":""},{"dropping-particle":"","family":"Moran","given":"Rosalyn","non-dropping-particle":"","parse-names":false,"suffix":""},{"dropping-particle":"","family":"Seth","given":"Anil K","non-dropping-particle":"","parse-names":false,"suffix":""}],"container-title":"Current opinion in neurobiology","id":"ITEM-1","issue":"2","issued":{"date-parts":[["2013","4"]]},"language":"eng","page":"172-178","publisher-place":"England","title":"Analysing connectivity with Granger causality and dynamic causal modelling.","type":"article-journal","volume":"23"},"uris":["http://www.mendeley.com/documents/?uuid=0ff8e918-d0ba-4cf9-8ff9-9b0862793166"]}],"mendeley":{"formattedCitation":"[20]","plainTextFormattedCitation":"[20]","previouslyFormattedCitation":"[20]"},"properties":{"noteIndex":0},"schema":"https://github.com/citation-style-language/schema/raw/master/csl-citation.json"}</w:instrText>
      </w:r>
      <w:r w:rsidRPr="00F0434A">
        <w:rPr>
          <w:rFonts w:asciiTheme="minorHAnsi" w:hAnsiTheme="minorHAnsi" w:cstheme="minorHAnsi"/>
          <w:color w:val="auto"/>
          <w:vertAlign w:val="superscript"/>
          <w:lang w:val="en-GB"/>
        </w:rPr>
        <w:fldChar w:fldCharType="separate"/>
      </w:r>
      <w:r w:rsidRPr="00F0434A">
        <w:rPr>
          <w:rFonts w:asciiTheme="minorHAnsi" w:hAnsiTheme="minorHAnsi" w:cstheme="minorHAnsi"/>
          <w:noProof/>
          <w:color w:val="auto"/>
          <w:lang w:val="en-GB"/>
        </w:rPr>
        <w:t>[20]</w:t>
      </w:r>
      <w:r w:rsidRPr="00F0434A">
        <w:rPr>
          <w:rFonts w:asciiTheme="minorHAnsi" w:hAnsiTheme="minorHAnsi" w:cstheme="minorHAnsi"/>
          <w:color w:val="auto"/>
          <w:vertAlign w:val="superscript"/>
          <w:lang w:val="en-GB"/>
        </w:rPr>
        <w:fldChar w:fldCharType="end"/>
      </w:r>
      <w:r w:rsidRPr="00F0434A">
        <w:rPr>
          <w:rFonts w:asciiTheme="minorHAnsi" w:hAnsiTheme="minorHAnsi" w:cstheme="minorHAnsi"/>
          <w:color w:val="auto"/>
          <w:lang w:val="en-GB"/>
        </w:rPr>
        <w:t xml:space="preserve">. In this context, graph theory has been used </w:t>
      </w:r>
      <w:r w:rsidRPr="00F0434A">
        <w:rPr>
          <w:rFonts w:asciiTheme="minorHAnsi" w:hAnsiTheme="minorHAnsi" w:cstheme="minorHAnsi"/>
          <w:color w:val="auto"/>
          <w:lang w:val="en-GB"/>
        </w:rPr>
        <w:lastRenderedPageBreak/>
        <w:t xml:space="preserve">to characterize the functional connectome underlying the EZ, and focal epilepsies are increasingly interpreted as larger-scale network diseases </w:t>
      </w:r>
      <w:r w:rsidRPr="00F0434A">
        <w:rPr>
          <w:rFonts w:asciiTheme="minorHAnsi" w:hAnsiTheme="minorHAnsi" w:cstheme="minorHAnsi"/>
          <w:color w:val="auto"/>
          <w:lang w:val="en-GB"/>
        </w:rPr>
        <w:fldChar w:fldCharType="begin" w:fldLock="1"/>
      </w:r>
      <w:r w:rsidRPr="00F0434A">
        <w:rPr>
          <w:rFonts w:asciiTheme="minorHAnsi" w:hAnsiTheme="minorHAnsi" w:cstheme="minorHAnsi"/>
          <w:color w:val="auto"/>
          <w:lang w:val="en-GB"/>
        </w:rPr>
        <w:instrText>ADDIN CSL_CITATION {"citationItems":[{"id":"ITEM-1","itemData":{"DOI":"10.1016/j.clinph.2006.12.002","ISSN":"1388-2457 (Print)","PMID":"17314065","abstract":"OBJECTIVE: Neuronal networks with a so-called \"small-world\" topography (characterized by strong clustering in combination with short path lengths) are known to facilitate synchronization, and possibly seizure generation. We tested the hypothesis that real functional brain networks during seizures display small-world features, using intracerebral recordings of mesial temporal lobe seizures. METHODS: We used synchronization likelihood (SL) to characterize synchronization patterns in intracerebral EEG recordings of 7 patients for 5 periods of interest: interictal, before-, during- and after rapid discharges (in which the last two periods are ictal) and postictal. For each period, graphs (abstract network representations) were reconstructed from the synchronization matrix and characterized by a clustering coefficient C (measure of local connectedness) and a shortest path length L (measure of overall network integration). Results were also compared with those obtained from random networks. RESULTS: The neuronal network changed during seizure activity, with an increase of C and L most prominent in the alpha, theta and delta frequency bands during and after the seizure. CONCLUSIONS: During seizures, the neuronal network moves in the direction of a more ordered configuration (higher C combined with a slightly, but significantly, higher L) compared to the more randomly organized interictal network, even after correcting for changes in synchronization strength. SIGNIFICANCE: Analysis of neuronal networks during seizures may provide insight into seizure genesis and development.","author":[{"dropping-particle":"","family":"Ponten","given":"S C","non-dropping-particle":"","parse-names":false,"suffix":""},{"dropping-particle":"","family":"Bartolomei","given":"F","non-dropping-particle":"","parse-names":false,"suffix":""},{"dropping-particle":"","family":"Stam","given":"C J","non-dropping-particle":"","parse-names":false,"suffix":""}],"container-title":"Clinical neurophysiology : official journal of the International Federation of Clinical Neurophysiology","id":"ITEM-1","issue":"4","issued":{"date-parts":[["2007","4"]]},"language":"eng","page":"918-927","publisher-place":"Netherlands","title":"Small-world networks and epilepsy: graph theoretical analysis of intracerebrally  recorded mesial temporal lobe seizures.","type":"article-journal","volume":"118"},"uris":["http://www.mendeley.com/documents/?uuid=e02e5d8b-f05c-4451-aecb-70212a267e98"]},{"id":"ITEM-2","itemData":{"DOI":"10.3389/fnsys.2010.00154","ISSN":"1662-5137 (Electronic)","PMID":"21152345","abstract":"Epilepsy is a complex neurological disorder characterized by recurring seizures.  In 30% of patients, seizures are insufficiently reduced by anti-epileptic drugs. In the case where seizures originate from a relatively circumscribed region of the brain, epilepsy is said to be partial and surgery can be indicated. The success of epilepsy surgery depends on the accurate localization and delineation of the epileptogenic zone (which often involves several structures), responsible for seizures. It requires a comprehensive pre-surgical evaluation of patients that includes not only imaging data but also long-term monitoring of electrophysiological signals (scalp and intracerebral EEG). During the past decades, considerable effort has been devoted to the development of signal analysis techniques aimed at characterizing the functional connectivity among spatially distributed regions over interictal (outside seizures) or ictal (during seizures) periods from EEG data. Most of these methods rely on the measurement of statistical couplings among signals recorded from distinct brain sites. However, methods differ with respect to underlying theoretical principles (mostly coming from the field of statistics or the field of non-linear physics). The objectives of this paper are: (i) to provide an brief overview of methods aimed at characterizing functional brain connectivity from electrophysiological data, (ii) to provide concrete application examples in the context of drug-refractory partial epilepsies, and iii) to highlight some key points emerging from results obtained both on real intracerebral EEG signals and on signals simulated from physiologically plausible models in which the underlying connectivity patterns are known a priori (ground truth).","author":[{"dropping-particle":"","family":"Wendling","given":"Fabrice","non-dropping-particle":"","parse-names":false,"suffix":""},{"dropping-particle":"","family":"Chauvel","given":"Patrick","non-dropping-particle":"","parse-names":false,"suffix":""},{"dropping-particle":"","family":"Biraben","given":"Arnaud","non-dropping-particle":"","parse-names":false,"suffix":""},{"dropping-particle":"","family":"Bartolomei","given":"Fabrice","non-dropping-particle":"","parse-names":false,"suffix":""}],"container-title":"Frontiers in systems neuroscience","id":"ITEM-2","issued":{"date-parts":[["2010"]]},"language":"eng","page":"154","publisher-place":"Switzerland","title":"From intracerebral EEG signals to brain connectivity: identification of epileptogenic networks in partial epilepsy.","type":"article-journal","volume":"4"},"uris":["http://www.mendeley.com/documents/?uuid=dc01de1e-c090-4cdc-ae4f-716f60a89835"]},{"id":"ITEM-3","itemData":{"DOI":"10.1111/epi.12904","ISSN":"1528-1167 (Electronic)","PMID":"25599821","abstract":"OBJECTIVE: There is increasing evidence that epileptic activity involves widespread brain networks rather than single sources and that these networks contribute to interictal brain dysfunction. We investigated the fast-varying behavior of epileptic networks during interictal spikes in right and left temporal lobe epilepsy (RTLE and LTLE) at a whole-brain scale using directed connectivity. METHODS: In 16 patients, 8 with LTLE and 8 with RTLE, we estimated the electrical source activity in 82 cortical regions of interest (ROIs) using high-density electroencephalography (EEG), individual head models, and a distributed linear inverse solution. A multivariate, time-varying, and frequency-resolved Granger-causal modeling (weighted Partial Directed Coherence) was applied to the source signal of all ROIs. A nonparametric statistical test assessed differences between spike and baseline epochs. Connectivity results between RTLE and LTLE were compared between RTLE and LTLE and with neuropsychological impairments. RESULTS: Ipsilateral anterior temporal structures were identified as key drivers for both groups, concordant with the epileptogenic zone estimated invasively. We observed an increase in outflow from the key driver already before the spike. There were also important temporal and extratemporal ipsilateral drivers in both conditions, and contralateral only in RTLE. A different network pattern between LTLE and RTLE was found: in RTLE there was a much more prominent ipsilateral to contralateral pattern than in LTLE. Half of the RTLE patients but none of the LTLE patients had neuropsychological deficits consistent with contralateral temporal lobe dysfunction, suggesting a relationship between connectivity changes and cognitive deficits. SIGNIFICANCE: The different patterns of time-varying connectivity in LTLE and RTLE suggest that they are not symmetrical entities, in line with our neuropsychological results. The highest outflow region was concordant with invasive validation of the epileptogenic zone. This enhanced characterization of dynamic connectivity patterns could better explain cognitive deficits and help the management of epilepsy surgery candidates.","author":[{"dropping-particle":"","family":"Coito","given":"Ana","non-dropping-particle":"","parse-names":false,"suffix":""},{"dropping-particle":"","family":"Plomp","given":"Gijs","non-dropping-particle":"","parse-names":false,"suffix":""},{"dropping-particle":"","family":"Genetti","given":"Melanie","non-dropping-particle":"","parse-names":false,"suffix":""},{"dropping-particle":"","family":"Abela","given":"Eugenio","non-dropping-particle":"","parse-names":false,"suffix":""},{"dropping-particle":"","family":"Wiest","given":"Roland","non-dropping-particle":"","parse-names":false,"suffix":""},{"dropping-particle":"","family":"Seeck","given":"Margitta","non-dropping-particle":"","parse-names":false,"suffix":""},{"dropping-particle":"","family":"Michel","given":"Christoph M","non-dropping-particle":"","parse-names":false,"suffix":""},{"dropping-particle":"","family":"Vulliemoz","given":"Serge","non-dropping-particle":"","parse-names":false,"suffix":""}],"container-title":"Epilepsia","id":"ITEM-3","issue":"2","issued":{"date-parts":[["2015","2"]]},"language":"eng","page":"207-217","publisher-place":"United States","title":"Dynamic directed interictal connectivity in left and right temporal lobe epilepsy.","type":"article-journal","volume":"56"},"uris":["http://www.mendeley.com/documents/?uuid=ef1816d3-498e-4b18-95a0-fff70004374e"]},{"id":"ITEM-4","itemData":{"DOI":"10.1016/j.clinph.2014.09.019","ISSN":"1872-8952 (Electronic)","PMID":"25449555","abstract":"OBJECTIVE: It is believed that effective connectivity and optimal network structure are essential for proper information processing in the brain. Indeed, functional abnormalities of the brain are found to be associated with pathological changes in connectivity and network structures. The aim of the present study was to explore the interictal network properties of EEG signals from temporal lobe structures in the context of fronto-temporal lobe epilepsy. METHODS: To complete this aim, the graph characteristics of the EEG data of 17 patients suffering from focal epilepsy of the fronto-temporal type, recorded during interictal periods, were examined and compared in terms of the affected versus the unaffected hemispheres. EEG connectivity analysis was performed using eLORETA software in 15 fronto-temporal regions (Brodmann Areas BAs 8, 9, 10, 11, 20, 21, 22, 37, 38, 41, 42, 44, 45, 46, 47) on both affected and unaffected hemispheres. RESULTS: The evaluation of the graph analysis parameters, such as 'global' (characteristic path length) and 'local' connectivity (clustering coefficient) showed a statistically significant interaction among side (affected and unaffected hemisphere) and Band (delta, theta, alpha, beta, gamma). Duncan post hoc testing showed an increase of the path length in the alpha band in the affected hemisphere with respect to the unaffected one, as evaluated by an inter-hemispheric marker. The affected hemisphere also showed higher values of local connectivity in the alpha band. In general, an increase of local and global graph theory parameters in the alpha band was found in the affected hemisphere. It was also demonstrated that these effects were more evident in drug-free patients than in those undergoing pharmacological therapy. CONCLUSIONS: The increased measures in the affected hemisphere of both functional local segregation and global integration could result from the combination of overlapping mechanisms, including reactive neuroplastic changes seeking to maintain constant integration and segregation properties. SIGNIFICANCE: This reactive neuroplastic mechanism seeking to maintain constant integration and segregation properties seems to be more evident in the absence of antiepileptic treatment.","author":[{"dropping-particle":"","family":"Vecchio","given":"Fabrizio","non-dropping-particle":"","parse-names":false,"suffix":""},{"dropping-particle":"","family":"Miraglia","given":"Francesca","non-dropping-particle":"","parse-names":false,"suffix":""},{"dropping-particle":"","family":"Curcio","given":"Giuseppe","non-dropping-particle":"","parse-names":false,"suffix":""},{"dropping-particle":"","family":"Marca","given":"Giacomo","non-dropping-particle":"Della","parse-names":false,"suffix":""},{"dropping-particle":"","family":"Vollono","given":"Catello","non-dropping-particle":"","parse-names":false,"suffix":""},{"dropping-particle":"","family":"Mazzucchi","given":"Edoardo","non-dropping-particle":"","parse-names":false,"suffix":""},{"dropping-particle":"","family":"Bramanti","given":"Placido","non-dropping-particle":"","parse-names":false,"suffix":""},{"dropping-particle":"","family":"Rossini","given":"Paolo Maria","non-dropping-particle":"","parse-names":false,"suffix":""}],"container-title":"Clinical neurophysiology : official journal of the International Federation of Clinical Neurophysiology","id":"ITEM-4","issue":"6","issued":{"date-parts":[["2015","6"]]},"language":"eng","page":"1108-1116","publisher-place":"Netherlands","title":"Cortical connectivity in fronto-temporal focal epilepsy from EEG analysis: A study via graph theory.","type":"article-journal","volume":"126"},"uris":["http://www.mendeley.com/documents/?uuid=3dede9d8-cc82-455b-97cd-46f86a6a5949"]},{"id":"ITEM-5","itemData":{"DOI":"10.1111/epi.13791","ISSN":"1528-1167 (Electronic)","PMID":"28543030","abstract":"Epileptogenic networks are defined by the brain regions involved in the production and propagation of epileptic activities. In this review we describe the historical, methodologic, and conceptual bases of this model in the analysis of electrophysiologic intracerebral recordings. In the context of epilepsy surgery, the determination of cerebral regions producing seizures (i.e., the \"epileptogenic zone\") is a crucial objective. In contrast with a traditional focal vision of focal drug-resistant epilepsies, the concept of epileptogenic networks has been progressively introduced as a model better able to describe the complexity of seizure dynamics and realistically describe the distribution of epileptogenic anomalies in the brain. The concept of epileptogenic networks is historically linked to the development of the stereoelectroencephalography (SEEG) method and subsequent introduction of means of quantifying the recorded signals. Seizures, and preictal and interictal discharges produce clear patterns on SEEG. These patterns can be analyzed utilizing signal analysis methods that quantify high-frequency oscillations or changes in functional connectivity. Dramatic changes in SEEG brain connectivity can be described during seizure genesis and propagation within cortical and subcortical regions, associated with the production of different patterns of seizure semiology. The interictal state is characterized by networks generating abnormal activities (interictal spikes) and also by modified functional properties. The introduction of novel approaches to large-scale modeling of these networks offers new methods in the goal of better predicting the effects of epilepsy surgery. The epileptogenic network concept is a key factor in identifying the anatomic distribution of the epileptogenic process, which is particularly important in the context of epilepsy surgery.","author":[{"dropping-particle":"","family":"Bartolomei","given":"Fabrice","non-dropping-particle":"","parse-names":false,"suffix":""},{"dropping-particle":"","family":"Lagarde","given":"Stanislas","non-dropping-particle":"","parse-names":false,"suffix":""},{"dropping-particle":"","family":"Wendling","given":"Fabrice","non-dropping-particle":"","parse-names":false,"suffix":""},{"dropping-particle":"","family":"McGonigal","given":"Aileen","non-dropping-particle":"","parse-names":false,"suffix":""},{"dropping-particle":"","family":"Jirsa","given":"Viktor","non-dropping-particle":"","parse-names":false,"suffix":""},{"dropping-particle":"","family":"Guye","given":"Maxime","non-dropping-particle":"","parse-names":false,"suffix":""},{"dropping-particle":"","family":"Benar","given":"Christian","non-dropping-particle":"","parse-names":false,"suffix":""}],"container-title":"Epilepsia","id":"ITEM-5","issue":"7","issued":{"date-parts":[["2017","7"]]},"language":"eng","page":"1131-1147","publisher-place":"United States","title":"Defining epileptogenic networks: Contribution of SEEG and signal analysis.","type":"article-journal","volume":"58"},"uris":["http://www.mendeley.com/documents/?uuid=f8b85895-3a91-48cb-8015-4df0f6f6efb4"]},{"id":"ITEM-6","itemData":{"DOI":"10.1109/JBHI.2016.2607802","ISSN":"2168-2194 VO  - 21","author":[{"dropping-particle":"","family":"Storti","given":"S F","non-dropping-particle":"","parse-names":false,"suffix":""},{"dropping-particle":"","family":"Galazzo","given":"I B","non-dropping-particle":"","parse-names":false,"suffix":""},{"dropping-particle":"","family":"Khan","given":"S","non-dropping-particle":"","parse-names":false,"suffix":""},{"dropping-particle":"","family":"Manganotti","given":"P","non-dropping-particle":"","parse-names":false,"suffix":""},{"dropping-particle":"","family":"Menegaz","given":"G","non-dropping-particle":"","parse-names":false,"suffix":""}],"container-title":"IEEE Journal of Biomedical and Health Informatics","id":"ITEM-6","issue":"5","issued":{"date-parts":[["2017"]]},"page":"1411-1421","title":"Exploring the Epileptic Brain Network Using Time-Variant Effective Connectivity and Graph Theory","type":"article-journal","volume":"21"},"uris":["http://www.mendeley.com/documents/?uuid=af181817-1dad-488c-b523-a9b4c82cd445"]},{"id":"ITEM-7","itemData":{"DOI":"10.1093/brain/awy214","ISSN":"1460-2156 (Electronic)","PMID":"30107499","abstract":"Drug-refractory focal epilepsies are network diseases associated with functional  connectivity alterations both during ictal and interictal periods. A large majority of studies on the interictal/resting state have focused on functional MRI-based functional connectivity. Few studies have used electrophysiology, despite its high temporal capacities. In particular, stereotactic-EEG is highly suitable to study functional connectivity because it permits direct intracranial electrophysiological recordings with relative large-scale sampling. Most previous studies in stereotactic-EEG have been directed towards temporal lobe epilepsy, which does not represent the whole spectrum of drug-refractory epilepsies. The present study aims at filling this gap, investigating interictal functional connectivity alterations behind cortical epileptic organization and its association with post-surgical prognosis. To this purpose, we studied a large cohort of 59 patients with malformation of cortical development explored by stereotactic-EEG with a wide spatial sampling (76 distinct brain areas were recorded, median of 13.2 per patient). We computed functional connectivity using non-linear correlation. We focused on three zones defined by stereotactic-EEG ictal activity: the epileptogenic zone, the propagation zone and the non-involved zone. First, we compared within-zone and between-zones functional connectivity. Second, we analysed the directionality of functional connectivity between these zones. Third, we measured the associations between functional connectivity measures and clinical variables, especially post-surgical prognosis. Our study confirms that functional connectivity differs according to the zone under investigation. We found: (i) a gradual decrease of the within-zone functional connectivity with higher values for epileptogenic zone and propagation zone, and lower for non-involved zones; (ii) preferential coupling between structures of the epileptogenic zone; (iii) preferential coupling between epileptogenic zone and propagation zone; and (iv) poorer post-surgical outcome in patients with higher functional connectivity of non-involved zone (within- non-involved zone, between non-involved zone and propagation zone functional connectivity). Our work suggests that, even during the interictal state, functional connectivity is reinforced within epileptic cortices (epileptogenic zone and propagation zone) with a gradual organization. Moreover, larger functional connectiv…","author":[{"dropping-particle":"","family":"Lagarde","given":"Stanislas","non-dropping-particle":"","parse-names":false,"suffix":""},{"dropping-particle":"","family":"Roehri","given":"Nicolas","non-dropping-particle":"","parse-names":false,"suffix":""},{"dropping-particle":"","family":"Lambert","given":"Isabelle","non-dropping-particle":"","parse-names":false,"suffix":""},{"dropping-particle":"","family":"Trebuchon","given":"Agnes","non-dropping-particle":"","parse-names":false,"suffix":""},{"dropping-particle":"","family":"McGonigal","given":"Aileen","non-dropping-particle":"","parse-names":false,"suffix":""},{"dropping-particle":"","family":"Carron","given":"Romain","non-dropping-particle":"","parse-names":false,"suffix":""},{"dropping-particle":"","family":"Scavarda","given":"Didier","non-dropping-particle":"","parse-names":false,"suffix":""},{"dropping-particle":"","family":"Milh","given":"Mathieu","non-dropping-particle":"","parse-names":false,"suffix":""},{"dropping-particle":"","family":"Pizzo","given":"Francesca","non-dropping-particle":"","parse-names":false,"suffix":""},{"dropping-particle":"","family":"Colombet","given":"Bruno","non-dropping-particle":"","parse-names":false,"suffix":""},{"dropping-particle":"","family":"Giusiano","given":"Bernard","non-dropping-particle":"","parse-names":false,"suffix":""},{"dropping-particle":"","family":"Medina Villalon","given":"Samuel","non-dropping-particle":"","parse-names":false,"suffix":""},{"dropping-particle":"","family":"Guye","given":"Maxime","non-dropping-particle":"","parse-names":false,"suffix":""},{"dropping-particle":"","family":"Benar","given":"Christian-G","non-dropping-particle":"","parse-names":false,"suffix":""},{"dropping-particle":"","family":"Bartolomei","given":"Fabrice","non-dropping-particle":"","parse-names":false,"suffix":""}],"container-title":"Brain : a journal of neurology","id":"ITEM-7","issue":"10","issued":{"date-parts":[["2018","10"]]},"language":"eng","page":"2966-2980","publisher-place":"England","title":"Interictal stereotactic-EEG functional connectivity in refractory focal epilepsies.","type":"article-journal","volume":"141"},"uris":["http://www.mendeley.com/documents/?uuid=be4c55fa-93f2-4c8a-abfc-9e71a3cf820a"]}],"mendeley":{"formattedCitation":"[21–27]","plainTextFormattedCitation":"[21–27]","previouslyFormattedCitation":"[21–27]"},"properties":{"noteIndex":0},"schema":"https://github.com/citation-style-language/schema/raw/master/csl-citation.json"}</w:instrText>
      </w:r>
      <w:r w:rsidRPr="00F0434A">
        <w:rPr>
          <w:rFonts w:asciiTheme="minorHAnsi" w:hAnsiTheme="minorHAnsi" w:cstheme="minorHAnsi"/>
          <w:color w:val="auto"/>
          <w:lang w:val="en-GB"/>
        </w:rPr>
        <w:fldChar w:fldCharType="separate"/>
      </w:r>
      <w:r w:rsidRPr="00F0434A">
        <w:rPr>
          <w:rFonts w:asciiTheme="minorHAnsi" w:hAnsiTheme="minorHAnsi" w:cstheme="minorHAnsi"/>
          <w:noProof/>
          <w:color w:val="auto"/>
          <w:lang w:val="en-US"/>
        </w:rPr>
        <w:t>[21–27]</w:t>
      </w:r>
      <w:r w:rsidRPr="00F0434A">
        <w:rPr>
          <w:rFonts w:asciiTheme="minorHAnsi" w:hAnsiTheme="minorHAnsi" w:cstheme="minorHAnsi"/>
          <w:color w:val="auto"/>
          <w:lang w:val="en-GB"/>
        </w:rPr>
        <w:fldChar w:fldCharType="end"/>
      </w:r>
      <w:r w:rsidRPr="00F0434A">
        <w:rPr>
          <w:rFonts w:asciiTheme="minorHAnsi" w:hAnsiTheme="minorHAnsi" w:cstheme="minorHAnsi"/>
          <w:color w:val="auto"/>
          <w:lang w:val="en-US"/>
        </w:rPr>
        <w:t xml:space="preserve">. </w:t>
      </w:r>
    </w:p>
    <w:p w:rsidR="00F0434A" w:rsidRPr="00F0434A" w:rsidRDefault="00F0434A" w:rsidP="00F0434A">
      <w:pPr>
        <w:pStyle w:val="Corpsdetexte"/>
        <w:spacing w:after="0" w:line="360" w:lineRule="auto"/>
        <w:ind w:firstLine="720"/>
        <w:jc w:val="both"/>
        <w:rPr>
          <w:rFonts w:asciiTheme="minorHAnsi" w:hAnsiTheme="minorHAnsi" w:cstheme="minorHAnsi"/>
          <w:color w:val="auto"/>
          <w:lang w:val="en-US"/>
        </w:rPr>
      </w:pPr>
      <w:r w:rsidRPr="00F0434A">
        <w:rPr>
          <w:rFonts w:asciiTheme="minorHAnsi" w:hAnsiTheme="minorHAnsi" w:cstheme="minorHAnsi"/>
          <w:color w:val="auto"/>
          <w:lang w:val="en-GB"/>
        </w:rPr>
        <w:t xml:space="preserve">FC and graph theory measures can also be applied to ictal ESI, in order to extract features localizing the SOZ </w:t>
      </w:r>
      <w:r w:rsidRPr="00F0434A">
        <w:rPr>
          <w:rFonts w:asciiTheme="minorHAnsi" w:hAnsiTheme="minorHAnsi" w:cstheme="minorHAnsi"/>
          <w:color w:val="auto"/>
          <w:lang w:val="en-GB"/>
        </w:rPr>
        <w:fldChar w:fldCharType="begin" w:fldLock="1"/>
      </w:r>
      <w:r w:rsidRPr="00F0434A">
        <w:rPr>
          <w:rFonts w:asciiTheme="minorHAnsi" w:hAnsiTheme="minorHAnsi" w:cstheme="minorHAnsi"/>
          <w:color w:val="auto"/>
          <w:lang w:val="en-GB"/>
        </w:rPr>
        <w:instrText>ADDIN CSL_CITATION {"citationItems":[{"id":"ITEM-1","itemData":{"DOI":"10.1016/j.neuroimage.2006.09.042","ISSN":"1053-8119 (Print)","PMID":"17112748","abstract":"We propose a new integrative approach to characterize the structure of seizures in the space, time, and frequency domains. Such characterization leads to a new technical development of ictal source analysis for the presurgical evaluation of epilepsy patients. The present new ictal source analysis method consists of three parts. First, a three-dimensional source scanning procedure is performed by a spatio-temporal FINE source localization method to locate the multiple sources responsible for the time evolving ictal rhythms at their onsets. Next, the dynamic behavior of the sources is modeled by a multivariate autoregressive process (MVAR). Lastly, the causal interaction patterns among the sources as a function of frequency are estimated from the MVAR modeling of the source temporal dynamics. The causal interaction patterns indicate the dynamic communications between sources, which are useful in distinguishing the primary sources responsible for the ictal onset from the secondary sources caused by the ictal propagation. The present ictal analysis strategy has been applied to a number of seizures from five epilepsy patients, and their results are consistent with observations from either MRI lesions or SPECT scans, which indicate its effectiveness. Each step of the ictal source analysis is statistically evaluated in order to guarantee the confidence in the results.","author":[{"dropping-particle":"","family":"Ding","given":"Lei","non-dropping-particle":"","parse-names":false,"suffix":""},{"dropping-particle":"","family":"Worrell","given":"Gregory A","non-dropping-particle":"","parse-names":false,"suffix":""},{"dropping-particle":"","family":"Lagerlund","given":"Terrence D","non-dropping-particle":"","parse-names":false,"suffix":""},{"dropping-particle":"","family":"He","given":"Bin","non-dropping-particle":"","parse-names":false,"suffix":""}],"container-title":"NeuroImage","id":"ITEM-1","issue":"2","issued":{"date-parts":[["2007","1"]]},"language":"eng","page":"575-586","publisher-place":"United States","title":"Ictal source analysis: localization and imaging of causal interactions in humans.","type":"article-journal","volume":"34"},"uris":["http://www.mendeley.com/documents/?uuid=52d93416-3cd1-4ff9-bd98-cf2b89cd4b38"]},{"id":"ITEM-2","itemData":{"DOI":"10.1109/IEMBS.2009.5334866","ISSN":"1557-170X (Print)","PMID":"19964953","abstract":"In the present study, we utilize methods from graph theory to analyze epileptogenic network properties during periods of ictal activity. Using these methods, we analyzed the DTF-based causal information flow in nine seizures recorded from two patients undergoing presurgical monitoring for the treatment of medically intractable epilepsy. From the results, we observed a high degree of correlation between the regions with a high amount of information outflow (termed the outdegree) and the cortical areas identified clinically as the generators of the ictal activity. We furthermore observe a frequency-dependent correlation between the co-localization of these \"activated regions\" and the clinical foci. These findings suggest that application of network analysis tools to ictal activity could provide clinically useful information concerning these epileptogenic networks.","author":[{"dropping-particle":"","family":"Wilke","given":"Christopher","non-dropping-particle":"","parse-names":false,"suffix":""},{"dropping-particle":"","family":"Worrell","given":"Gregory A","non-dropping-particle":"","parse-names":false,"suffix":""},{"dropping-particle":"","family":"He","given":"Bin","non-dropping-particle":"","parse-names":false,"suffix":""}],"container-title":"Conference proceedings : ... Annual International Conference of the IEEE Engineering in Medicine and Biology Society. IEEE Engineering in Medicine and Biology Society. Annual Conference","id":"ITEM-2","issued":{"date-parts":[["2009"]]},"language":"eng","page":"2220-2223","publisher-place":"United States","title":"Analysis of epileptogenic network properties during ictal activity.","type":"article-journal","volume":"2009"},"uris":["http://www.mendeley.com/documents/?uuid=31934cab-7506-4300-bf91-5daa76187f47"]},{"id":"ITEM-3","itemData":{"DOI":"10.1016/j.pneurobio.2014.06.004","ISSN":"1873-5118 (Electronic)","PMID":"25014528","abstract":"Today, neuroimaging techniques are frequently used to investigate the integration of functionally specialized brain regions in a network. Functional connectivity, which quantifies the statistical dependencies among the dynamics of simultaneously recorded signals, allows to infer the dynamical interactions of segregated brain regions. In this review we discuss how the functional connectivity patterns obtained from intracranial and scalp electroencephalographic (EEG) recordings reveal information about the dynamics of the epileptic brain and can be used to predict upcoming seizures and to localize the seizure onset zone. The added value of extracting information that is not visibly identifiable in the EEG data using functional connectivity analysis is stressed. Despite the fact that many studies have showed promising results, we must conclude that functional connectivity analysis has not made its way into clinical practice yet.","author":[{"dropping-particle":"","family":"Mierlo","given":"Pieter","non-dropping-particle":"van","parse-names":false,"suffix":""},{"dropping-particle":"","family":"Papadopoulou","given":"Margarita","non-dropping-particle":"","parse-names":false,"suffix":""},{"dropping-particle":"","family":"Carrette","given":"Evelien","non-dropping-particle":"","parse-names":false,"suffix":""},{"dropping-particle":"","family":"Boon","given":"Paul","non-dropping-particle":"","parse-names":false,"suffix":""},{"dropping-particle":"","family":"Vandenberghe","given":"Stefaan","non-dropping-particle":"","parse-names":false,"suffix":""},{"dropping-particle":"","family":"Vonck","given":"Kristl","non-dropping-particle":"","parse-names":false,"suffix":""},{"dropping-particle":"","family":"Marinazzo","given":"Daniele","non-dropping-particle":"","parse-names":false,"suffix":""}],"container-title":"Progress in neurobiology","id":"ITEM-3","issued":{"date-parts":[["2014","10"]]},"language":"eng","page":"19-35","publisher-place":"England","title":"Functional brain connectivity from EEG in epilepsy: seizure prediction and epileptogenic focus localization.","type":"article-journal","volume":"121"},"uris":["http://www.mendeley.com/documents/?uuid=d381d71e-5905-4ab6-831f-0678481db590"]}],"mendeley":{"formattedCitation":"[28–30]","plainTextFormattedCitation":"[28–30]","previouslyFormattedCitation":"[28–30]"},"properties":{"noteIndex":0},"schema":"https://github.com/citation-style-language/schema/raw/master/csl-citation.json"}</w:instrText>
      </w:r>
      <w:r w:rsidRPr="00F0434A">
        <w:rPr>
          <w:rFonts w:asciiTheme="minorHAnsi" w:hAnsiTheme="minorHAnsi" w:cstheme="minorHAnsi"/>
          <w:color w:val="auto"/>
          <w:lang w:val="en-GB"/>
        </w:rPr>
        <w:fldChar w:fldCharType="separate"/>
      </w:r>
      <w:r w:rsidRPr="00F0434A">
        <w:rPr>
          <w:rFonts w:asciiTheme="minorHAnsi" w:hAnsiTheme="minorHAnsi" w:cstheme="minorHAnsi"/>
          <w:noProof/>
          <w:color w:val="auto"/>
          <w:lang w:val="en-US"/>
        </w:rPr>
        <w:t>[28–30]</w:t>
      </w:r>
      <w:r w:rsidRPr="00F0434A">
        <w:rPr>
          <w:rFonts w:asciiTheme="minorHAnsi" w:hAnsiTheme="minorHAnsi" w:cstheme="minorHAnsi"/>
          <w:color w:val="auto"/>
          <w:lang w:val="en-GB"/>
        </w:rPr>
        <w:fldChar w:fldCharType="end"/>
      </w:r>
      <w:r w:rsidRPr="00F0434A">
        <w:rPr>
          <w:rFonts w:asciiTheme="minorHAnsi" w:hAnsiTheme="minorHAnsi" w:cstheme="minorHAnsi"/>
          <w:color w:val="auto"/>
          <w:lang w:val="en-US"/>
        </w:rPr>
        <w:t xml:space="preserve">. For this specific purpose, methods of directed FC - which evaluate the temporal precedence between signals - may be preferred, due to the dynamics of seizure evolution </w:t>
      </w:r>
      <w:r w:rsidRPr="00F0434A">
        <w:rPr>
          <w:rFonts w:asciiTheme="minorHAnsi" w:hAnsiTheme="minorHAnsi" w:cstheme="minorHAnsi"/>
          <w:color w:val="auto"/>
          <w:lang w:val="en-US"/>
        </w:rPr>
        <w:fldChar w:fldCharType="begin" w:fldLock="1"/>
      </w:r>
      <w:r w:rsidRPr="00F0434A">
        <w:rPr>
          <w:rFonts w:asciiTheme="minorHAnsi" w:hAnsiTheme="minorHAnsi" w:cstheme="minorHAnsi"/>
          <w:color w:val="auto"/>
          <w:lang w:val="en-US"/>
        </w:rPr>
        <w:instrText>ADDIN CSL_CITATION {"citationItems":[{"id":"ITEM-1","itemData":{"DOI":"10.1016/j.pneurobio.2014.06.004","ISSN":"1873-5118 (Electronic)","PMID":"25014528","abstract":"Today, neuroimaging techniques are frequently used to investigate the integration of functionally specialized brain regions in a network. Functional connectivity, which quantifies the statistical dependencies among the dynamics of simultaneously recorded signals, allows to infer the dynamical interactions of segregated brain regions. In this review we discuss how the functional connectivity patterns obtained from intracranial and scalp electroencephalographic (EEG) recordings reveal information about the dynamics of the epileptic brain and can be used to predict upcoming seizures and to localize the seizure onset zone. The added value of extracting information that is not visibly identifiable in the EEG data using functional connectivity analysis is stressed. Despite the fact that many studies have showed promising results, we must conclude that functional connectivity analysis has not made its way into clinical practice yet.","author":[{"dropping-particle":"","family":"Mierlo","given":"Pieter","non-dropping-particle":"van","parse-names":false,"suffix":""},{"dropping-particle":"","family":"Papadopoulou","given":"Margarita","non-dropping-particle":"","parse-names":false,"suffix":""},{"dropping-particle":"","family":"Carrette","given":"Evelien","non-dropping-particle":"","parse-names":false,"suffix":""},{"dropping-particle":"","family":"Boon","given":"Paul","non-dropping-particle":"","parse-names":false,"suffix":""},{"dropping-particle":"","family":"Vandenberghe","given":"Stefaan","non-dropping-particle":"","parse-names":false,"suffix":""},{"dropping-particle":"","family":"Vonck","given":"Kristl","non-dropping-particle":"","parse-names":false,"suffix":""},{"dropping-particle":"","family":"Marinazzo","given":"Daniele","non-dropping-particle":"","parse-names":false,"suffix":""}],"container-title":"Progress in neurobiology","id":"ITEM-1","issued":{"date-parts":[["2014","10"]]},"language":"eng","page":"19-35","publisher-place":"England","title":"Functional brain connectivity from EEG in epilepsy: seizure prediction and epileptogenic focus localization.","type":"article-journal","volume":"121"},"uris":["http://www.mendeley.com/documents/?uuid=d381d71e-5905-4ab6-831f-0678481db590"]}],"mendeley":{"formattedCitation":"[30]","plainTextFormattedCitation":"[30]","previouslyFormattedCitation":"[30]"},"properties":{"noteIndex":0},"schema":"https://github.com/citation-style-language/schema/raw/master/csl-citation.json"}</w:instrText>
      </w:r>
      <w:r w:rsidRPr="00F0434A">
        <w:rPr>
          <w:rFonts w:asciiTheme="minorHAnsi" w:hAnsiTheme="minorHAnsi" w:cstheme="minorHAnsi"/>
          <w:color w:val="auto"/>
          <w:lang w:val="en-US"/>
        </w:rPr>
        <w:fldChar w:fldCharType="separate"/>
      </w:r>
      <w:r w:rsidRPr="00F0434A">
        <w:rPr>
          <w:rFonts w:asciiTheme="minorHAnsi" w:hAnsiTheme="minorHAnsi" w:cstheme="minorHAnsi"/>
          <w:noProof/>
          <w:color w:val="auto"/>
          <w:lang w:val="en-US"/>
        </w:rPr>
        <w:t>[30]</w:t>
      </w:r>
      <w:r w:rsidRPr="00F0434A">
        <w:rPr>
          <w:rFonts w:asciiTheme="minorHAnsi" w:hAnsiTheme="minorHAnsi" w:cstheme="minorHAnsi"/>
          <w:color w:val="auto"/>
          <w:lang w:val="en-US"/>
        </w:rPr>
        <w:fldChar w:fldCharType="end"/>
      </w:r>
      <w:r w:rsidRPr="00F0434A">
        <w:rPr>
          <w:rFonts w:asciiTheme="minorHAnsi" w:hAnsiTheme="minorHAnsi" w:cstheme="minorHAnsi"/>
          <w:color w:val="auto"/>
          <w:lang w:val="en-US"/>
        </w:rPr>
        <w:t xml:space="preserve">. Granger causality has been successfully applied with this respect </w:t>
      </w:r>
      <w:r w:rsidRPr="00F0434A">
        <w:rPr>
          <w:rFonts w:asciiTheme="minorHAnsi" w:hAnsiTheme="minorHAnsi" w:cstheme="minorHAnsi"/>
          <w:color w:val="auto"/>
          <w:lang w:val="en-US"/>
        </w:rPr>
        <w:fldChar w:fldCharType="begin" w:fldLock="1"/>
      </w:r>
      <w:r w:rsidRPr="00F0434A">
        <w:rPr>
          <w:rFonts w:asciiTheme="minorHAnsi" w:hAnsiTheme="minorHAnsi" w:cstheme="minorHAnsi"/>
          <w:color w:val="auto"/>
          <w:lang w:val="en-US"/>
        </w:rPr>
        <w:instrText>ADDIN CSL_CITATION {"citationItems":[{"id":"ITEM-1","itemData":{"DOI":"10.1016/j.neuroimage.2006.09.042","ISSN":"1053-8119 (Print)","PMID":"17112748","abstract":"We propose a new integrative approach to characterize the structure of seizures in the space, time, and frequency domains. Such characterization leads to a new technical development of ictal source analysis for the presurgical evaluation of epilepsy patients. The present new ictal source analysis method consists of three parts. First, a three-dimensional source scanning procedure is performed by a spatio-temporal FINE source localization method to locate the multiple sources responsible for the time evolving ictal rhythms at their onsets. Next, the dynamic behavior of the sources is modeled by a multivariate autoregressive process (MVAR). Lastly, the causal interaction patterns among the sources as a function of frequency are estimated from the MVAR modeling of the source temporal dynamics. The causal interaction patterns indicate the dynamic communications between sources, which are useful in distinguishing the primary sources responsible for the ictal onset from the secondary sources caused by the ictal propagation. The present ictal analysis strategy has been applied to a number of seizures from five epilepsy patients, and their results are consistent with observations from either MRI lesions or SPECT scans, which indicate its effectiveness. Each step of the ictal source analysis is statistically evaluated in order to guarantee the confidence in the results.","author":[{"dropping-particle":"","family":"Ding","given":"Lei","non-dropping-particle":"","parse-names":false,"suffix":""},{"dropping-particle":"","family":"Worrell","given":"Gregory A","non-dropping-particle":"","parse-names":false,"suffix":""},{"dropping-particle":"","family":"Lagerlund","given":"Terrence D","non-dropping-particle":"","parse-names":false,"suffix":""},{"dropping-particle":"","family":"He","given":"Bin","non-dropping-particle":"","parse-names":false,"suffix":""}],"container-title":"NeuroImage","id":"ITEM-1","issue":"2","issued":{"date-parts":[["2007","1"]]},"language":"eng","page":"575-586","publisher-place":"United States","title":"Ictal source analysis: localization and imaging of causal interactions in humans.","type":"article-journal","volume":"34"},"uris":["http://www.mendeley.com/documents/?uuid=52d93416-3cd1-4ff9-bd98-cf2b89cd4b38"]},{"id":"ITEM-2","itemData":{"DOI":"10.1371/journal.pone.0078422","ISSN":"1932-6203 (Electronic)","PMID":"24194931","abstract":"The concept of focal epilepsies includes a seizure origin in brain regions with hyper synchronous activity (epileptogenic zone and seizure onset zone) and a complex epileptic network of different brain areas involved in the generation, propagation, and modulation of seizures. The purpose of this work was to study functional and effective connectivity between regions involved in networks of epileptic seizures. The beginning and middle part of focal seizures from ictal surface EEG data were analyzed using dynamic imaging of coherent sources (DICS), an inverse solution in the frequency domain which describes neuronal networks and coherences of oscillatory brain activities. The information flow (effective connectivity) between coherent sources was investigated using the renormalized partial directed coherence (RPDC) method. In 8/11 patients, the first and second source of epileptic activity as found by DICS were concordant with the operative resection site; these patients became seizure free after epilepsy surgery. In the remaining 3 patients, the results of DICS / RPDC calculations and the resection site were discordant; these patients had a poorer post-operative outcome. The first sources as found by DICS were located predominantly in cortical structures; subsequent sources included some subcortical structures: thalamus, Nucl. Subthalamicus and cerebellum. DICS seems to be a powerful tool to define the seizure onset zone and the epileptic networks involved. Seizure generation seems to be related to the propagation of epileptic activity from the primary source in the seizure onset zone, and maintenance of seizures is attributed to the perpetuation of epileptic activity between nodes in the epileptic network. Despite of these promising results, this proof of principle study needs further confirmation prior to the use of the described methods in the clinical praxis.","author":[{"dropping-particle":"","family":"Elshoff","given":"Lydia","non-dropping-particle":"","parse-names":false,"suffix":""},{"dropping-particle":"","family":"Muthuraman","given":"Muthuraman","non-dropping-particle":"","parse-names":false,"suffix":""},{"dropping-particle":"","family":"Anwar","given":"Abdul Rauf","non-dropping-particle":"","parse-names":false,"suffix":""},{"dropping-particle":"","family":"Deuschl","given":"Gunther","non-dropping-particle":"","parse-names":false,"suffix":""},{"dropping-particle":"","family":"Stephani","given":"Ulrich","non-dropping-particle":"","parse-names":false,"suffix":""},{"dropping-particle":"","family":"Raethjen","given":"Jan","non-dropping-particle":"","parse-names":false,"suffix":""},{"dropping-particle":"","family":"Siniatchkin","given":"Michael","non-dropping-particle":"","parse-names":false,"suffix":""}],"container-title":"PloS one","id":"ITEM-2","issue":"10","issued":{"date-parts":[["2013"]]},"language":"eng","page":"e78422","publisher-place":"United States","title":"Dynamic imaging of coherent sources reveals different network connectivity underlying the generation and perpetuation of epileptic seizures.","type":"article-journal","volume":"8"},"uris":["http://www.mendeley.com/documents/?uuid=39c39408-a512-4782-8cdb-4964b4430872"]},{"id":"ITEM-3","itemData":{"DOI":"10.1111/epi.12206","ISSN":"1528-1167 (Electronic)","PMID":"23647147","abstract":"PURPOSE: Fifteen percent to 25% of patients with refractory epilepsy require invasive video-electroencephalography (EEG) monitoring (IVEM) to precisely delineate the ictal-onset zone. This delineation based on the recorded intracranial EEG (iEEG) signals occurs visually by the epileptologist and is therefore prone to human mistakes. The purpose of this study is to investigate whether effective connectivity analysis of intracranially recorded EEG during seizures provides an objective method to localize the ictal-onset zone. METHODS: In this study data were analyzed from eight patients who underwent IVEM at Ghent University Hospital in Belgium. All patients had a focal ictal onset and were seizure-free following resective surgery. The effective connectivity pattern was calculated during the first 20 s of ictal rhythmic iEEG activity. The out-degree, which is reflective of the number of outgoing connections, was calculated for each electrode contact for every single seizure during these 20 s. The seizure specific out-degrees were summed per patient to obtain the total out-degree. The electrode contact with the highest total out-degree was considered indicative of localization of the ictal-onset zone. This result was compared to the conclusion of the visual analysis of the epileptologist and the resected brain region segmented from postoperative magnetic resonance imaging (MRI). KEY FINDINGS: In all eight patients the electrode contact with the highest total out-degree was among the contacts identified by the epileptologist as the ictal onset. This contact, that we named \"the driver,\" always laid within the resected brain region. Furthermore, the patient-specific connectivity patterns were consistent over the majority of seizures. SIGNIFICANCE: In this study we demonstrated the feasibility of correctly localizing the ictal-onset zone from iEEG recordings by using effective connectivity analysis during the first 20 s of ictal rhythmic iEEG activity.","author":[{"dropping-particle":"","family":"Mierlo","given":"Pieter","non-dropping-particle":"van","parse-names":false,"suffix":""},{"dropping-particle":"","family":"Carrette","given":"Evelien","non-dropping-particle":"","parse-names":false,"suffix":""},{"dropping-particle":"","family":"Hallez","given":"Hans","non-dropping-particle":"","parse-names":false,"suffix":""},{"dropping-particle":"","family":"Raedt","given":"Robrecht","non-dropping-particle":"","parse-names":false,"suffix":""},{"dropping-particle":"","family":"Meurs","given":"Alfred","non-dropping-particle":"","parse-names":false,"suffix":""},{"dropping-particle":"","family":"Vandenberghe","given":"Stefaan","non-dropping-particle":"","parse-names":false,"suffix":""},{"dropping-particle":"","family":"Roost","given":"Dirk","non-dropping-particle":"Van","parse-names":false,"suffix":""},{"dropping-particle":"","family":"Boon","given":"Paul","non-dropping-particle":"","parse-names":false,"suffix":""},{"dropping-particle":"","family":"Staelens","given":"Steven","non-dropping-particle":"","parse-names":false,"suffix":""},{"dropping-particle":"","family":"Vonck","given":"Kristl","non-dropping-particle":"","parse-names":false,"suffix":""}],"container-title":"Epilepsia","id":"ITEM-3","issue":"8","issued":{"date-parts":[["2013","8"]]},"language":"eng","page":"1409-1418","publisher-place":"United States","title":"Ictal-onset localization through connectivity analysis of intracranial EEG signals in patients with refractory epilepsy.","type":"article-journal","volume":"54"},"uris":["http://www.mendeley.com/documents/?uuid=feb29770-cb43-4008-8823-4ad46cf753e5"]}],"mendeley":{"formattedCitation":"[28,31,32]","plainTextFormattedCitation":"[28,31,32]","previouslyFormattedCitation":"[28,31,32]"},"properties":{"noteIndex":0},"schema":"https://github.com/citation-style-language/schema/raw/master/csl-citation.json"}</w:instrText>
      </w:r>
      <w:r w:rsidRPr="00F0434A">
        <w:rPr>
          <w:rFonts w:asciiTheme="minorHAnsi" w:hAnsiTheme="minorHAnsi" w:cstheme="minorHAnsi"/>
          <w:color w:val="auto"/>
          <w:lang w:val="en-US"/>
        </w:rPr>
        <w:fldChar w:fldCharType="separate"/>
      </w:r>
      <w:r w:rsidRPr="00F0434A">
        <w:rPr>
          <w:rFonts w:asciiTheme="minorHAnsi" w:hAnsiTheme="minorHAnsi" w:cstheme="minorHAnsi"/>
          <w:noProof/>
          <w:color w:val="auto"/>
          <w:lang w:val="en-US"/>
        </w:rPr>
        <w:t>[28,31,32]</w:t>
      </w:r>
      <w:r w:rsidRPr="00F0434A">
        <w:rPr>
          <w:rFonts w:asciiTheme="minorHAnsi" w:hAnsiTheme="minorHAnsi" w:cstheme="minorHAnsi"/>
          <w:color w:val="auto"/>
          <w:lang w:val="en-US"/>
        </w:rPr>
        <w:fldChar w:fldCharType="end"/>
      </w:r>
      <w:r w:rsidRPr="00F0434A">
        <w:rPr>
          <w:rFonts w:asciiTheme="minorHAnsi" w:hAnsiTheme="minorHAnsi" w:cstheme="minorHAnsi"/>
          <w:color w:val="auto"/>
          <w:lang w:val="en-US"/>
        </w:rPr>
        <w:t xml:space="preserve">. Connectivity analysis of source-space signals showed potential in identifying the “driving hub” of ictal networks, i.e. the source that is most likely to first cause the electrical modifications seen in a seizure </w:t>
      </w:r>
      <w:r w:rsidRPr="00F0434A">
        <w:rPr>
          <w:rFonts w:asciiTheme="minorHAnsi" w:hAnsiTheme="minorHAnsi" w:cstheme="minorHAnsi"/>
          <w:color w:val="auto"/>
          <w:lang w:val="en-US"/>
        </w:rPr>
        <w:fldChar w:fldCharType="begin" w:fldLock="1"/>
      </w:r>
      <w:r w:rsidRPr="00F0434A">
        <w:rPr>
          <w:rFonts w:asciiTheme="minorHAnsi" w:hAnsiTheme="minorHAnsi" w:cstheme="minorHAnsi"/>
          <w:color w:val="auto"/>
          <w:lang w:val="en-US"/>
        </w:rPr>
        <w:instrText>ADDIN CSL_CITATION {"citationItems":[{"id":"ITEM-1","itemData":{"DOI":"10.1007/s10548-016-0537-8","ISSN":"1573-6792 (Electronic)","PMID":"27853892","abstract":"Epilepsy surgery is the most efficient treatment option for patients with refractory epilepsy. Before surgery, it is of utmost importance to accurately delineate the seizure onset zone (SOZ). Non-invasive EEG is the most used neuroimaging technique to diagnose epilepsy, but it is hard to localize the SOZ from EEG due to its low spatial resolution and because epilepsy is a network disease, with several brain regions becoming active during a seizure. In this work, we propose and validate an approach based on EEG source imaging (ESI) combined with functional connectivity analysis to overcome these problems. We considered both simulations and real data of patients. Ictal epochs of 204-channel EEG and subsets down to 32 channels were analyzed. ESI was done using realistic head models and LORETA was used as inverse technique. The connectivity pattern between the reconstructed sources was calculated, and the source with the highest number of outgoing connections was selected as SOZ. We compared this algorithm with a more straightforward approach, i.e. selecting the source with the highest power after ESI as the SOZ. We found that functional connectivity analysis estimated the SOZ consistently closer to the simulated EZ/RZ than localization based on maximal power. Performance, however, decreased when 128 electrodes or less were used, especially in the realistic data. The results show the added value of functional connectivity analysis for SOZ localization, when the EEG is obtained with a high-density setup. Next to this, the method can potentially be used as objective tool in clinical settings.","author":[{"dropping-particle":"","family":"Staljanssens","given":"Willeke","non-dropping-particle":"","parse-names":false,"suffix":""},{"dropping-particle":"","family":"Strobbe","given":"Gregor","non-dropping-particle":"","parse-names":false,"suffix":""},{"dropping-particle":"Van","family":"Holen","given":"Roel","non-dropping-particle":"","parse-names":false,"suffix":""},{"dropping-particle":"","family":"Birot","given":"Gwenael","non-dropping-particle":"","parse-names":false,"suffix":""},{"dropping-particle":"","family":"Gschwind","given":"Markus","non-dropping-particle":"","parse-names":false,"suffix":""},{"dropping-particle":"","family":"Seeck","given":"Margitta","non-dropping-particle":"","parse-names":false,"suffix":""},{"dropping-particle":"","family":"Vandenberghe","given":"Stefaan","non-dropping-particle":"","parse-names":false,"suffix":""},{"dropping-particle":"","family":"Vulliemoz","given":"Serge","non-dropping-particle":"","parse-names":false,"suffix":""},{"dropping-particle":"","family":"Mierlo","given":"Pieter","non-dropping-particle":"van","parse-names":false,"suffix":""}],"container-title":"Brain topography","id":"ITEM-1","issue":"2","issued":{"date-parts":[["2017","3"]]},"language":"eng","page":"257-271","publisher-place":"United States","title":"Seizure Onset Zone Localization from Ictal High-Density EEG in Refractory Focal Epilepsy.","type":"article-journal","volume":"30"},"uris":["http://www.mendeley.com/documents/?uuid=6e89c961-37d7-40fa-88b8-608b8f8d1163"]},{"id":"ITEM-2","itemData":{"DOI":"10.3389/fneur.2019.00721","ISSN":"1664-2295 (Print)","PMID":"31379703","abstract":"The evolution of EEG/MEG source connectivity is both, a promising, and controversial advance in the characterization of epileptic brain activity. In this narrative review we elucidate the potential of this technology to provide an intuitive view of the epileptic network at its origin, the different brain regions involved in the epilepsy, without the limitation of electrodes at the scalp level. Several studies have confirmed the added value of using source connectivity to localize the seizure onset zone and irritative zone or to quantify the propagation of epileptic activity over time. It has been shown in pilot studies that source connectivity has the potential to obtain prognostic correlates, to assist in the diagnosis of the epilepsy type even in the absence of visually noticeable epileptic activity in the EEG/MEG, and to predict treatment outcome. Nevertheless, prospective validation studies in large and heterogeneous patient cohorts are still lacking and are needed to bring these techniques into clinical use. Moreover, the methodological approach is challenging, with several poorly examined parameters that most likely impact the resulting network patterns. These fundamental challenges affect all potential applications of EEG/MEG source connectivity analysis, be it in a resting, spiking, or ictal state, and also its application to cognitive activation of the eloquent area in presurgical evaluation. However, such method can allow unique insights into physiological and pathological brain functions and have great potential in (clinical) neuroscience.","author":[{"dropping-particle":"","family":"Mierlo","given":"Pieter","non-dropping-particle":"van","parse-names":false,"suffix":""},{"dropping-particle":"","family":"Holler","given":"Yvonne","non-dropping-particle":"","parse-names":false,"suffix":""},{"dropping-particle":"","family":"Focke","given":"Niels K","non-dropping-particle":"","parse-names":false,"suffix":""},{"dropping-particle":"","family":"Vulliemoz","given":"Serge","non-dropping-particle":"","parse-names":false,"suffix":""}],"container-title":"Frontiers in neurology","id":"ITEM-2","issued":{"date-parts":[["2019"]]},"language":"eng","page":"721","publisher-place":"Switzerland","title":"Network Perspectives on Epilepsy Using EEG/MEG Source Connectivity.","type":"article-journal","volume":"10"},"uris":["http://www.mendeley.com/documents/?uuid=604858b6-c43e-443b-b9b0-cfb0f5a4bb17"]}],"mendeley":{"formattedCitation":"[33,34]","plainTextFormattedCitation":"[33,34]","previouslyFormattedCitation":"[33,34]"},"properties":{"noteIndex":0},"schema":"https://github.com/citation-style-language/schema/raw/master/csl-citation.json"}</w:instrText>
      </w:r>
      <w:r w:rsidRPr="00F0434A">
        <w:rPr>
          <w:rFonts w:asciiTheme="minorHAnsi" w:hAnsiTheme="minorHAnsi" w:cstheme="minorHAnsi"/>
          <w:color w:val="auto"/>
          <w:lang w:val="en-US"/>
        </w:rPr>
        <w:fldChar w:fldCharType="separate"/>
      </w:r>
      <w:r w:rsidRPr="00F0434A">
        <w:rPr>
          <w:rFonts w:asciiTheme="minorHAnsi" w:hAnsiTheme="minorHAnsi" w:cstheme="minorHAnsi"/>
          <w:noProof/>
          <w:color w:val="auto"/>
          <w:lang w:val="en-US"/>
        </w:rPr>
        <w:t>[33,34]</w:t>
      </w:r>
      <w:r w:rsidRPr="00F0434A">
        <w:rPr>
          <w:rFonts w:asciiTheme="minorHAnsi" w:hAnsiTheme="minorHAnsi" w:cstheme="minorHAnsi"/>
          <w:color w:val="auto"/>
          <w:lang w:val="en-US"/>
        </w:rPr>
        <w:fldChar w:fldCharType="end"/>
      </w:r>
      <w:r w:rsidRPr="00F0434A">
        <w:rPr>
          <w:rFonts w:asciiTheme="minorHAnsi" w:hAnsiTheme="minorHAnsi" w:cstheme="minorHAnsi"/>
          <w:color w:val="auto"/>
          <w:lang w:val="en-US"/>
        </w:rPr>
        <w:t>. Staljanssens et al.</w:t>
      </w:r>
      <w:r w:rsidRPr="00F0434A">
        <w:rPr>
          <w:rFonts w:asciiTheme="minorHAnsi" w:hAnsiTheme="minorHAnsi" w:cstheme="minorHAnsi"/>
          <w:iCs/>
          <w:color w:val="auto"/>
          <w:lang w:val="en-US"/>
        </w:rPr>
        <w:t xml:space="preserve"> recently</w:t>
      </w:r>
      <w:r w:rsidRPr="00F0434A">
        <w:rPr>
          <w:rFonts w:asciiTheme="minorHAnsi" w:hAnsiTheme="minorHAnsi" w:cstheme="minorHAnsi"/>
          <w:color w:val="auto"/>
          <w:lang w:val="en-US"/>
        </w:rPr>
        <w:t xml:space="preserve"> investigated </w:t>
      </w:r>
      <w:r w:rsidRPr="00F0434A">
        <w:rPr>
          <w:rFonts w:asciiTheme="minorHAnsi" w:hAnsiTheme="minorHAnsi" w:cstheme="minorHAnsi"/>
          <w:iCs/>
          <w:color w:val="auto"/>
          <w:lang w:val="en-US"/>
        </w:rPr>
        <w:t xml:space="preserve">the added value of ictal connectivity to LD ESI for SOZ localization, in a group of mostly TLE patients. When FC was combined with ESI, test sensitivity reached a value of 72%, against 31% for the ESI power approach </w:t>
      </w:r>
      <w:r w:rsidRPr="00F0434A">
        <w:rPr>
          <w:rFonts w:asciiTheme="minorHAnsi" w:hAnsiTheme="minorHAnsi" w:cstheme="minorHAnsi"/>
          <w:iCs/>
          <w:color w:val="auto"/>
          <w:lang w:val="en-US"/>
        </w:rPr>
        <w:fldChar w:fldCharType="begin" w:fldLock="1"/>
      </w:r>
      <w:r w:rsidRPr="00F0434A">
        <w:rPr>
          <w:rFonts w:asciiTheme="minorHAnsi" w:hAnsiTheme="minorHAnsi" w:cstheme="minorHAnsi"/>
          <w:iCs/>
          <w:color w:val="auto"/>
          <w:lang w:val="en-US"/>
        </w:rPr>
        <w:instrText>ADDIN CSL_CITATION {"citationItems":[{"id":"ITEM-1","itemData":{"DOI":"10.1016/j.nicl.2017.09.011","ISSN":"2213-1582 (Electronic)","PMID":"29034162","abstract":"Electrical source imaging (ESI) from interictal scalp EEG is increasingly validated and used as a valuable tool in the presurgical evaluation of epilepsy as a reflection of the irritative zone. ESI of ictal scalp EEG to localize the seizure onset zone (SOZ) remains challenging. We investigated the value of an approach for ictal imaging using ESI and functional connectivity analysis (FC). Ictal scalp EEG from 111 seizures in 27 patients who had Engel class I outcome at least 1 year following resective surgery was analyzed. For every seizure, an artifact-free epoch close to the seizure onset was selected and ESI using LORETA was applied. In addition, the reconstructed sources underwent FC using the spectrum-weighted Adaptive Directed Transfer Function. This resulted in the estimation of the SOZ in two ways: (i) the source with maximal power after ESI, (ii) the source with the strongest outgoing connections after combined ESI and FC. Next, we calculated the distance between the estimated SOZ and the border of the resected zone (RZ) for both approaches and called this the localization error ((i) LEpow and (ii) LEconn respectively). By comparing LEpow and LEconn, we assessed the added value of FC. The source with maximal power after ESI was inside the RZ (LEpow = 0 mm) in 31% of the seizures and estimated within 10 mm from the border of the RZ (LEpow &lt;/= 10 mm) in 42%. Using ESI and FC, these numbers increased to 72% for LEconn = 0 mm and 94% for LEconn &lt;/= 10 mm. FC provided a significant added value to ESI alone (p &lt; 0.001). ESI combined with subsequent FC is able to localize the SOZ in a non-invasive way with high accuracy. Therefore it could be a valuable tool in the presurgical evaluation of epilepsy.","author":[{"dropping-particle":"","family":"Staljanssens","given":"Willeke","non-dropping-particle":"","parse-names":false,"suffix":""},{"dropping-particle":"","family":"Strobbe","given":"Gregor","non-dropping-particle":"","parse-names":false,"suffix":""},{"dropping-particle":"","family":"Holen","given":"Roel","non-dropping-particle":"Van","parse-names":false,"suffix":""},{"dropping-particle":"","family":"Keereman","given":"Vincent","non-dropping-particle":"","parse-names":false,"suffix":""},{"dropping-particle":"","family":"Gadeyne","given":"Stefanie","non-dropping-particle":"","parse-names":false,"suffix":""},{"dropping-particle":"","family":"Carrette","given":"Evelien","non-dropping-particle":"","parse-names":false,"suffix":""},{"dropping-particle":"","family":"Meurs","given":"Alfred","non-dropping-particle":"","parse-names":false,"suffix":""},{"dropping-particle":"","family":"Pittau","given":"Francesca","non-dropping-particle":"","parse-names":false,"suffix":""},{"dropping-particle":"","family":"Momjian","given":"Shahan","non-dropping-particle":"","parse-names":false,"suffix":""},{"dropping-particle":"","family":"Seeck","given":"Margitta","non-dropping-particle":"","parse-names":false,"suffix":""},{"dropping-particle":"","family":"Boon","given":"Paul","non-dropping-particle":"","parse-names":false,"suffix":""},{"dropping-particle":"","family":"Vandenberghe","given":"Stefaan","non-dropping-particle":"","parse-names":false,"suffix":""},{"dropping-particle":"","family":"Vulliemoz","given":"Serge","non-dropping-particle":"","parse-names":false,"suffix":""},{"dropping-particle":"","family":"Vonck","given":"Kristl","non-dropping-particle":"","parse-names":false,"suffix":""},{"dropping-particle":"","family":"Mierlo","given":"Pieter","non-dropping-particle":"van","parse-names":false,"suffix":""}],"container-title":"NeuroImage. Clinical","id":"ITEM-1","issued":{"date-parts":[["2017"]]},"language":"eng","page":"689-698","publisher-place":"Netherlands","title":"EEG source connectivity to localize the seizure onset zone in patients with drug  resistant epilepsy.","type":"article-journal","volume":"16"},"uris":["http://www.mendeley.com/documents/?uuid=65b91fef-2806-4dfc-8dca-faaa219310bc"]}],"mendeley":{"formattedCitation":"[35]","plainTextFormattedCitation":"[35]","previouslyFormattedCitation":"[35]"},"properties":{"noteIndex":0},"schema":"https://github.com/citation-style-language/schema/raw/master/csl-citation.json"}</w:instrText>
      </w:r>
      <w:r w:rsidRPr="00F0434A">
        <w:rPr>
          <w:rFonts w:asciiTheme="minorHAnsi" w:hAnsiTheme="minorHAnsi" w:cstheme="minorHAnsi"/>
          <w:iCs/>
          <w:color w:val="auto"/>
          <w:lang w:val="en-US"/>
        </w:rPr>
        <w:fldChar w:fldCharType="separate"/>
      </w:r>
      <w:r w:rsidRPr="00F0434A">
        <w:rPr>
          <w:rFonts w:asciiTheme="minorHAnsi" w:hAnsiTheme="minorHAnsi" w:cstheme="minorHAnsi"/>
          <w:iCs/>
          <w:noProof/>
          <w:color w:val="auto"/>
          <w:lang w:val="en-US"/>
        </w:rPr>
        <w:t>[35]</w:t>
      </w:r>
      <w:r w:rsidRPr="00F0434A">
        <w:rPr>
          <w:rFonts w:asciiTheme="minorHAnsi" w:hAnsiTheme="minorHAnsi" w:cstheme="minorHAnsi"/>
          <w:iCs/>
          <w:color w:val="auto"/>
          <w:lang w:val="en-US"/>
        </w:rPr>
        <w:fldChar w:fldCharType="end"/>
      </w:r>
      <w:r w:rsidRPr="00F0434A">
        <w:rPr>
          <w:rFonts w:asciiTheme="minorHAnsi" w:hAnsiTheme="minorHAnsi" w:cstheme="minorHAnsi"/>
          <w:iCs/>
          <w:color w:val="auto"/>
          <w:lang w:val="en-US"/>
        </w:rPr>
        <w:t>. However, specificity measures are still lacking. Moreover, an automated approach to ictal ESI, which could reduce time consumption and objectivize the parameters of analysis, has not been developed for this methodology yet.</w:t>
      </w:r>
    </w:p>
    <w:p w:rsidR="00F0434A" w:rsidRPr="00F0434A" w:rsidRDefault="00F0434A" w:rsidP="00F0434A">
      <w:pPr>
        <w:pStyle w:val="Corpsdetexte"/>
        <w:spacing w:after="0" w:line="360" w:lineRule="auto"/>
        <w:ind w:firstLine="708"/>
        <w:jc w:val="both"/>
        <w:rPr>
          <w:rFonts w:asciiTheme="minorHAnsi" w:hAnsiTheme="minorHAnsi" w:cstheme="minorHAnsi"/>
          <w:color w:val="auto"/>
          <w:lang w:val="en-US"/>
        </w:rPr>
      </w:pPr>
      <w:r w:rsidRPr="00F0434A">
        <w:rPr>
          <w:rFonts w:asciiTheme="minorHAnsi" w:hAnsiTheme="minorHAnsi" w:cstheme="minorHAnsi"/>
          <w:color w:val="auto"/>
          <w:lang w:val="en-US"/>
        </w:rPr>
        <w:t xml:space="preserve">Up to date, most studies probing new techniques of ictal ESI have focused on TLE </w:t>
      </w:r>
      <w:r w:rsidRPr="00F0434A">
        <w:rPr>
          <w:rFonts w:asciiTheme="minorHAnsi" w:hAnsiTheme="minorHAnsi" w:cstheme="minorHAnsi"/>
          <w:color w:val="auto"/>
          <w:lang w:val="en-US"/>
        </w:rPr>
        <w:fldChar w:fldCharType="begin" w:fldLock="1"/>
      </w:r>
      <w:r w:rsidRPr="00F0434A">
        <w:rPr>
          <w:rFonts w:asciiTheme="minorHAnsi" w:hAnsiTheme="minorHAnsi" w:cstheme="minorHAnsi"/>
          <w:color w:val="auto"/>
          <w:lang w:val="en-US"/>
        </w:rPr>
        <w:instrText>ADDIN CSL_CITATION {"citationItems":[{"id":"ITEM-1","itemData":{"ISSN":"0013-9580 (Print)","PMID":"9579958","abstract":"PURPOSE: We wished to determine whether continuous EEG source imaging can predict the location of seizure onset with sublobar accuracy in temporal lobe epilepsy (TLE). METHODS: We retrospectively analyzed the earliest scalp ictal rhythms, recorded with 23- to 27-channel EEG, in 40 patients with intractable TLE. A continuous source analysis technique with multiple fixed dipoles (Focus 1.1) decomposed the EEG into source components representing the activity of major cortical sublobar surfaces. For the temporal lobe, these were basal, anterior tip, anterolateral, and posterolateral cortex. Ictal EEG onset was categorized according to its most prominent and leading source component. All patients underwent intracranial EEG studies before epilepsy surgery, and all had a successful surgical outcome (follow-up &gt;1 year). RESULTS: Most patients with ictal rhythms having a predominant basal source component had hippocampal-onset seizures, whereas those with seizures with prominent lateral source activity had predominantly temporal neocortical seizure origins. Seizures with a prominent anterior temporal tip source component mostly had onset in entorhinal cortex. Seizures in some patients had several equally large and nearly synchronous source components. These seizures, which could be modeled equally well by a single oblique dipole, had onset predominantly in either entorhinal or lateral temporal cortex. CONCLUSIONS: Multiple fixed dipole analysis of scalp EEG can provide information about the origin of temporal lobe seizures that is useful in presurgical planning. In particular, it can reliably distinguish seizures of mesial temporal origin from those of lateral temporal origin.","author":[{"dropping-particle":"","family":"Assaf","given":"B A","non-dropping-particle":"","parse-names":false,"suffix":""},{"dropping-particle":"","family":"Ebersole","given":"J S","non-dropping-particle":"","parse-names":false,"suffix":""}],"container-title":"Epilepsia","id":"ITEM-1","issue":"10","issued":{"date-parts":[["1997","10"]]},"language":"eng","page":"1114-1123","publisher-place":"United States","title":"Continuous source imaging of scalp ictal rhythms in temporal lobe epilepsy.","type":"article-journal","volume":"38"},"uris":["http://www.mendeley.com/documents/?uuid=7505a066-e52e-4cc2-a0f4-9d37e34d4787"]},{"id":"ITEM-2","itemData":{"ISSN":"1388-2457 (Print)","PMID":"10348337","abstract":"The aim of this study was to investigate whether EEG source localization in the frequency domain, using the FFT dipole approximation (Lehmann, D. and Michel, C.M. Electroenceph. clin. Neurophysiol., 1990, 76: 271-276), would be useful for quantifying the frequency content of epileptic seizure activity. Between one and 7 extracranially recorded seizures were analyzed in each of 7 patients with mesolimbic epilepsy, who were seizure-free after temporal lobe resection. The full scalp frequency spectrum for the first 4 s after seizure onset, as well as for subsequent periods, was determined. Power peaks in the spectra were identified, and an instant dipole fit was performed for the frequencies corresponding to these peaks. Ictal frequencies, ranging between 3.5 and 8.5 Hz, showed a variable degree of stability over time in the different patients. For a particular frequency, dipole results were similar during the different phases of seizure development. In patients with more than one prominent frequency, dipole results for the different frequencies were similar. Dipole results were also similar between patients. We conclude that dipole localization of dominant frequencies, as obtained from full scalp FFT analysis, gives quite reproducible results for seizures originating in the mesial temporal area. The method may become a useful tool for the pre-surgical identification of patients with mesolimbic epilepsy.","author":[{"dropping-particle":"","family":"Lantz","given":"G","non-dropping-particle":"","parse-names":false,"suffix":""},{"dropping-particle":"","family":"Michel","given":"C M","non-dropping-particle":"","parse-names":false,"suffix":""},{"dropping-particle":"","family":"Seeck","given":"M","non-dropping-particle":"","parse-names":false,"suffix":""},{"dropping-particle":"","family":"Blanke","given":"O","non-dropping-particle":"","parse-names":false,"suffix":""},{"dropping-particle":"","family":"Landis","given":"T","non-dropping-particle":"","parse-names":false,"suffix":""},{"dropping-particle":"","family":"Rosen","given":"I","non-dropping-particle":"","parse-names":false,"suffix":""}],"container-title":"Clinical neurophysiology : official journal of the International Federation of Clinical Neurophysiology","id":"ITEM-2","issue":"1","issued":{"date-parts":[["1999","1"]]},"language":"eng","page":"176-184","publisher-place":"Netherlands","title":"Frequency domain EEG source localization of ictal epileptiform activity in patients with partial complex epilepsy of temporal lobe origin.","type":"article-journal","volume":"110"},"uris":["http://www.mendeley.com/documents/?uuid=addbd473-5e99-470f-a7f9-af25c8e1cb59"]},{"id":"ITEM-3","itemData":{"ISSN":"0736-0258 (Print)","PMID":"12477991","abstract":"Source localization of epileptic foci using ictal spatiotemporal dipole modeling  (ISDM) yields reliable anatomic information in presurgical candidates. It requires substantial resources from EEG and neuroimaging laboratories. The profile and number of patients who may benefit from it are currently unknown. The purpose of this study is to demonstrate the clinical usefulness of source localization in a prospectively analyzed series. One hundred patients (51 male and 49 female patients) with mean age of 31 years (range, 2 to 63 years) and mean duration of refractory epilepsy of 20 years (range, 1 to 49 years) were enrolled consecutively in a presurgical protocol. Ictal EEG was available in 93 patients. ISDM was performed when suitable ictal EEG files were available. The clinical applicability of ISDM was examined in three patients groups: 37 patients in whom ictal EEG recording and MRI were congruent (group I), 30 patients in whom results were not completely congruent but not incongruent (group II), and 26 patients in whom the results were incongruent (group III). ISDM could be performed in 31 of 100 patients: 11 in group I, 8 in group II, and 12 in group III. ISDM influenced decision making in none of the patients in group I, in 4 of 8 patients in group II, and in 10 of 12 patients in group III. Typically, the results of ISDM directed avoiding intracranial EEG recordings in what appeared to be unsuitable candidates for resection by clearly confirming the incongruency between ictal EEG and MRI findings. In this series of 100 presurgical candidates, ictal source localization could be performed in 31% of patients. In 14% of patients, it proved to be a key element in the surgical decision process.","author":[{"dropping-particle":"","family":"Boon","given":"Paul","non-dropping-particle":"","parse-names":false,"suffix":""},{"dropping-particle":"","family":"D'Have","given":"Michel","non-dropping-particle":"","parse-names":false,"suffix":""},{"dropping-particle":"","family":"Vanrumste","given":"Bart","non-dropping-particle":"","parse-names":false,"suffix":""},{"dropping-particle":"","family":"Hoey","given":"Gert","non-dropping-particle":"Van","parse-names":false,"suffix":""},{"dropping-particle":"","family":"Vonck","given":"Kristl","non-dropping-particle":"","parse-names":false,"suffix":""},{"dropping-particle":"","family":"Walleghem","given":"Phyllis","non-dropping-particle":"Van","parse-names":false,"suffix":""},{"dropping-particle":"","family":"Caemaert","given":"Jacques","non-dropping-particle":"","parse-names":false,"suffix":""},{"dropping-particle":"","family":"Achten","given":"Eric","non-dropping-particle":"","parse-names":false,"suffix":""},{"dropping-particle":"","family":"Reuck","given":"Jacques","non-dropping-particle":"De","parse-names":false,"suffix":""}],"container-title":"Journal of clinical neurophysiology : official publication of the American Electroencephalographic Society","id":"ITEM-3","issue":"5","issued":{"date-parts":[["2002","10"]]},"language":"eng","page":"461-468","publisher-place":"United States","title":"Ictal source localization in presurgical patients with refractory epilepsy.","type":"article-journal","volume":"19"},"uris":["http://www.mendeley.com/documents/?uuid=016c1a56-0c96-40d1-a726-6891cef8eb30"]},{"id":"ITEM-4","itemData":{"DOI":"10.1016/j.neuroimage.2010.02.067","ISSN":"1095-9572 (Electronic)","PMID":"20206700","abstract":"High resolution electroencephalography (HR-EEG) combined with source localization methods has mainly been used to study interictal spikes and there have been few studies comparing source localization of scalp ictal patterns with depth EEG. To address this issue, 10 patients with four different scalp ictal patterns (ictal spikes, rhythmic activity, paroxysmal fast activity, obscured) were investigated by both HR-EEG and stereoelectroencephalography (SEEG). Sixty-four scalp-EEG sensors and a sampling rate of 1kHz were used to record scalp ictal patterns. Five different source models (moving dipole, rotating dipole, MUSIC, LORETA, and sLORETA) were used in order to perform source localization. Seven to 10 intracerebral electrodes were implanted during SEEG investigations. For each source model, the concordance between ictal source localization and epileptogenic zone defined by SEEG was assessed. Results were considered to agree if they localized in the same sublobar area as defined by a trained epileptologist. Across the study population, the best concordance between source localization methods and SEEG (9/10) was obtained with equivalent current dipole modeling. MUSIC and LORETA had a concordance of 7/10 whereas sLORETA had a concordance of only 5/10. Four of our patients classified into different groups (ictal spikes, paroxysmal fast activity, obscured) had complete concordance between source localization methods and SEEG. A high signal to noise ratio, a short time window of analysis (&lt;1s) and bandpass filtering around the frequency of rhythmic activity allowed improvement of the source localization results. A high level of agreement between source localization methods and SEEG can be obtained for ictal spike patterns and for scalp-EEG paroxysmal fact activities whereas scalp rhythmic discharges can be accurately localized but originated from seizure propagation network.","author":[{"dropping-particle":"","family":"Koessler","given":"Laurent","non-dropping-particle":"","parse-names":false,"suffix":""},{"dropping-particle":"","family":"Benar","given":"Christian","non-dropping-particle":"","parse-names":false,"suffix":""},{"dropping-particle":"","family":"Maillard","given":"Louis","non-dropping-particle":"","parse-names":false,"suffix":""},{"dropping-particle":"","family":"Badier","given":"Jean-Michel","non-dropping-particle":"","parse-names":false,"suffix":""},{"dropping-particle":"","family":"Vignal","given":"Jean Pierre","non-dropping-particle":"","parse-names":false,"suffix":""},{"dropping-particle":"","family":"Bartolomei","given":"Fabrice","non-dropping-particle":"","parse-names":false,"suffix":""},{"dropping-particle":"","family":"Chauvel","given":"Patrick","non-dropping-particle":"","parse-names":false,"suffix":""},{"dropping-particle":"","family":"Gavaret","given":"Martine","non-dropping-particle":"","parse-names":false,"suffix":""}],"container-title":"NeuroImage","id":"ITEM-4","issue":"2","issued":{"date-parts":[["2010","6"]]},"language":"eng","page":"642-653","publisher-place":"United States","title":"Source localization of ictal epileptic activity investigated by high resolution EEG and validated by SEEG.","type":"article-journal","volume":"51"},"uris":["http://www.mendeley.com/documents/?uuid=48ec6828-0195-4331-80c3-8ebfdf9114b5"]},{"id":"ITEM-5","itemData":{"DOI":"10.1111/epi.12339","ISSN":"1528-1167 (Electronic)","PMID":"23944234","abstract":"PURPOSE: Although precise identification of the seizure-onset zone is an essential element of presurgical evaluation, source localization of ictal electroencephalography (EEG) signals has received little attention. The aim of our study was to estimate the accuracy of source localization of rhythmic ictal EEG activity using a distributed source model. METHODS: Source localization of rhythmic ictal scalp EEG activity was performed in 42 consecutive cases fulfilling inclusion criteria. The study was designed according to recommendations for studies on diagnostic accuracy (STARD). The initial ictal EEG signals were selected using a standardized method, based on frequency analysis and voltage distribution of the ictal activity. A distributed source model-local autoregressive average (LAURA)-was used for the source localization. Sensitivity, specificity, and measurement of agreement (kappa) were determined based on the reference standard-the consensus conclusion of the multidisciplinary epilepsy surgery team. Predictive values were calculated from the surgical outcome of the operated patients. To estimate the clinical value of the ictal source analysis, we compared the likelihood ratios of concordant and discordant results. Source localization was performed blinded to the clinical data, and before the surgical decision. KEY FINDINGS: Reference standard was available for 33 patients. The ictal source localization had a sensitivity of 70% and a specificity of 76%. The mean measurement of agreement (kappa) was 0.61, corresponding to substantial agreement (95% confidence interval (CI) 0.38-0.84). Twenty patients underwent resective surgery. The positive predictive value (PPV) for seizure freedom was 92% and the negative predictive value (NPV) was 43%. The likelihood ratio was nine times higher for the concordant results, as compared with the discordant ones. SIGNIFICANCE: Source localization of rhythmic ictal activity using a distributed source model (LAURA) for the ictal EEG signals selected with a standardized method is feasible in clinical practice and has a good diagnostic accuracy. Our findings encourage clinical neurophysiologists assessing ictal EEGs to include this method in their armamentarium.","author":[{"dropping-particle":"","family":"Beniczky","given":"Sandor","non-dropping-particle":"","parse-names":false,"suffix":""},{"dropping-particle":"","family":"Lantz","given":"Goran","non-dropping-particle":"","parse-names":false,"suffix":""},{"dropping-particle":"","family":"Rosenzweig","given":"Ivana","non-dropping-particle":"","parse-names":false,"suffix":""},{"dropping-particle":"","family":"Akeson","given":"Per","non-dropping-particle":"","parse-names":false,"suffix":""},{"dropping-particle":"","family":"Pedersen","given":"Birthe","non-dropping-particle":"","parse-names":false,"suffix":""},{"dropping-particle":"","family":"Pinborg","given":"Lars H","non-dropping-particle":"","parse-names":false,"suffix":""},{"dropping-particle":"","family":"Ziebell","given":"Morten","non-dropping-particle":"","parse-names":false,"suffix":""},{"dropping-particle":"","family":"Jespersen","given":"Bo","non-dropping-particle":"","parse-names":false,"suffix":""},{"dropping-particle":"","family":"Fuglsang-Frederiksen","given":"Anders","non-dropping-particle":"","parse-names":false,"suffix":""}],"container-title":"Epilepsia","id":"ITEM-5","issue":"10","issued":{"date-parts":[["2013","10"]]},"language":"eng","page":"1743-1752","publisher-place":"United States","title":"Source localization of rhythmic ictal EEG activity: a study of diagnostic accuracy following STARD criteria.","type":"article-journal","volume":"54"},"uris":["http://www.mendeley.com/documents/?uuid=b9fc34a0-672f-4026-8eac-3ef4099db2bf"]},{"id":"ITEM-6","itemData":{"DOI":"10.1016/j.clinph.2018.03.020","ISSN":"1872-8952 (Electronic)","PMID":"29680731","abstract":"OBJECTIVE: To test the diagnostic accuracy of a new automatic algorithm for ictal onset source localization (IOSL) during routine presurgical epilepsy evaluation following STARD (Standards for Reporting of Diagnostic Accuracy) criteria. METHODS: We included 28 consecutive patients with refractory focal epilepsy (25 patients with temporal lobe epilepsy (TLE) and 3 with extratemporal epilepsy) who underwent resective epilepsy surgery. Ictal EEG patterns were analyzed with a novel automatic IOSL algorithm. IOSL source localizations on a sublobar level were validated by comparison with actual resection sites and seizure free outcome 2years after surgery. RESULTS: Sensitivity of IOSL was 92.3% (TLE: 92.3%); specificity 60% (TLE: 50%); positive predictive value 66.7% (TLE: 66.7%); and negative predictive value 90% (TLE: 85.7%). The likelihood ratio was more than ten times higher for concordant IOSL results as compared to discordant results (p=0.013). CONCLUSIONS: We demonstrated the clinical feasibility of our IOSL approach yielding reasonable high performance measures on a sublobar level. SIGNIFICANCE: Our IOSL method may contribute to a correct localization of the seizure onset zone in temporal lobe epilepsy and can readily be used in standard epilepsy monitoring settings. Further studies are needed for validation in extratemporal epilepsy.","author":[{"dropping-particle":"","family":"Koren","given":"Johannes","non-dropping-particle":"","parse-names":false,"suffix":""},{"dropping-particle":"","family":"Gritsch","given":"Gerhard","non-dropping-particle":"","parse-names":false,"suffix":""},{"dropping-particle":"","family":"Pirker","given":"Susanne","non-dropping-particle":"","parse-names":false,"suffix":""},{"dropping-particle":"","family":"Herta","given":"Johannes","non-dropping-particle":"","parse-names":false,"suffix":""},{"dropping-particle":"","family":"Perko","given":"Hannes","non-dropping-particle":"","parse-names":false,"suffix":""},{"dropping-particle":"","family":"Kluge","given":"Tilmann","non-dropping-particle":"","parse-names":false,"suffix":""},{"dropping-particle":"","family":"Baumgartner","given":"Christoph","non-dropping-particle":"","parse-names":false,"suffix":""}],"container-title":"Clinical neurophysiology : official journal of the International Federation of Clinical Neurophysiology","id":"ITEM-6","issue":"6","issued":{"date-parts":[["2018","6"]]},"language":"eng","page":"1291-1299","publisher-place":"Netherlands","title":"Automatic ictal onset source localization in presurgical epilepsy evaluation.","type":"article-journal","volume":"129"},"uris":["http://www.mendeley.com/documents/?uuid=81578706-1ed6-45b3-ab5e-abfa03e17db2"]}],"mendeley":{"formattedCitation":"[11,36–40]","plainTextFormattedCitation":"[11,36–40]","previouslyFormattedCitation":"[11,36–40]"},"properties":{"noteIndex":0},"schema":"https://github.com/citation-style-language/schema/raw/master/csl-citation.json"}</w:instrText>
      </w:r>
      <w:r w:rsidRPr="00F0434A">
        <w:rPr>
          <w:rFonts w:asciiTheme="minorHAnsi" w:hAnsiTheme="minorHAnsi" w:cstheme="minorHAnsi"/>
          <w:color w:val="auto"/>
          <w:lang w:val="en-US"/>
        </w:rPr>
        <w:fldChar w:fldCharType="separate"/>
      </w:r>
      <w:r w:rsidRPr="00F0434A">
        <w:rPr>
          <w:rFonts w:asciiTheme="minorHAnsi" w:hAnsiTheme="minorHAnsi" w:cstheme="minorHAnsi"/>
          <w:noProof/>
          <w:color w:val="auto"/>
          <w:lang w:val="en-US"/>
        </w:rPr>
        <w:t>[11,36–40]</w:t>
      </w:r>
      <w:r w:rsidRPr="00F0434A">
        <w:rPr>
          <w:rFonts w:asciiTheme="minorHAnsi" w:hAnsiTheme="minorHAnsi" w:cstheme="minorHAnsi"/>
          <w:color w:val="auto"/>
          <w:lang w:val="en-US"/>
        </w:rPr>
        <w:fldChar w:fldCharType="end"/>
      </w:r>
      <w:r w:rsidRPr="00F0434A">
        <w:rPr>
          <w:rFonts w:asciiTheme="minorHAnsi" w:hAnsiTheme="minorHAnsi" w:cstheme="minorHAnsi"/>
          <w:color w:val="auto"/>
          <w:lang w:val="en-US"/>
        </w:rPr>
        <w:t xml:space="preserve">.  TLE shows rather definite neural networks </w:t>
      </w:r>
      <w:r w:rsidRPr="00F0434A">
        <w:rPr>
          <w:rFonts w:asciiTheme="minorHAnsi" w:hAnsiTheme="minorHAnsi" w:cstheme="minorHAnsi"/>
          <w:color w:val="auto"/>
          <w:lang w:val="en-US"/>
        </w:rPr>
        <w:fldChar w:fldCharType="begin" w:fldLock="1"/>
      </w:r>
      <w:r w:rsidRPr="00F0434A">
        <w:rPr>
          <w:rFonts w:asciiTheme="minorHAnsi" w:hAnsiTheme="minorHAnsi" w:cstheme="minorHAnsi"/>
          <w:color w:val="auto"/>
          <w:lang w:val="en-US"/>
        </w:rPr>
        <w:instrText>ADDIN CSL_CITATION {"citationItems":[{"id":"ITEM-1","itemData":{"ISSN":"1388-2457 (Print)","PMID":"11514258","abstract":"OBJECTIVES: In a previous study using the averaged coherence technique to study interactions between medial/limbic and lateral/neocortical regions, we observed that epileptogenic networks in temporal lobe epilepsy seizures (TLES) could be divided into 4 subtypes, i.e. medial (M), medial-lateral (ML), lateral-medial (LM), and lateral (L). In the ML and LM subtypes, medial structures and the anterior temporal neocortex are co-activated at the onset of seizures. However, using this approach, we were unable to determine the direction of coupling and may have overlooked non-linear variations in interdependency. The purpose of the present study using non-linear regression for analysis of stereoelectroencephalographic (SEEG) signal pairs was to measure the degree and direction of coupling between medial and neocortical areas during TLES in patients with the M, ML, and LM subtypes. METHODS: Eighteen patients with drug-resistant TLEs who underwent SEEG recording were studied. We used a non-linear correlation method as a measure of the degree and the direction of coupling on SEEG signal pairs. Patients with pure lateral TLEs were not studied. We analyzed the functional coupling between 3 regions of the temporal lobe: the anterior temporal neocortex, the amygdala, and the anterior hippocampus. A physiological model of EEG generation was used to validate the non-linear quantification method and assess its applicability to real SEEG signals. RESULTS: Results are first based on a physiological model of EEG data in which both degree and direction of coupling are explicitly represented, thus allowing construction of the neural systems inside which causality relationships are controlled and generation of multichannel EEG signals from these systems. These signals provide an objective way of studying the performance of non-linear regression analysis on real signals. In medial networks (10 patients), the ictal discharge is limited to the medial limbic structures and may propagate secondarily to the cortex. Quantified results demonstrated no significant coupling between medial and lateral structures at the beginning of the seizures. Conversely, almost constant unidirectional or bidirectional coupling was observed between hippocampus and amygdala. In medial-lateral (5 patients) and lateral-medial (3 patients) networks, the initial ictal discharge includes both limbic and neocortical regions. A rapid \"tonic\" discharge is observed over the temporal neocortex at the onset of se…","author":[{"dropping-particle":"","family":"Bartolomei","given":"F","non-dropping-particle":"","parse-names":false,"suffix":""},{"dropping-particle":"","family":"Wendling","given":"F","non-dropping-particle":"","parse-names":false,"suffix":""},{"dropping-particle":"","family":"Bellanger","given":"J J","non-dropping-particle":"","parse-names":false,"suffix":""},{"dropping-particle":"","family":"Regis","given":"J","non-dropping-particle":"","parse-names":false,"suffix":""},{"dropping-particle":"","family":"Chauvel","given":"P","non-dropping-particle":"","parse-names":false,"suffix":""}],"container-title":"Clinical neurophysiology : official journal of the International Federation of Clinical Neurophysiology","id":"ITEM-1","issue":"9","issued":{"date-parts":[["2001","9"]]},"language":"eng","page":"1746-1760","publisher-place":"Netherlands","title":"Neural networks involving the medial temporal structures in temporal lobe epilepsy.","type":"article-journal","volume":"112"},"uris":["http://www.mendeley.com/documents/?uuid=71b4295b-079e-400c-9ec7-b0fa91efa61d"]}],"mendeley":{"formattedCitation":"[41]","plainTextFormattedCitation":"[41]","previouslyFormattedCitation":"[41]"},"properties":{"noteIndex":0},"schema":"https://github.com/citation-style-language/schema/raw/master/csl-citation.json"}</w:instrText>
      </w:r>
      <w:r w:rsidRPr="00F0434A">
        <w:rPr>
          <w:rFonts w:asciiTheme="minorHAnsi" w:hAnsiTheme="minorHAnsi" w:cstheme="minorHAnsi"/>
          <w:color w:val="auto"/>
          <w:lang w:val="en-US"/>
        </w:rPr>
        <w:fldChar w:fldCharType="separate"/>
      </w:r>
      <w:r w:rsidRPr="00F0434A">
        <w:rPr>
          <w:rFonts w:asciiTheme="minorHAnsi" w:hAnsiTheme="minorHAnsi" w:cstheme="minorHAnsi"/>
          <w:noProof/>
          <w:color w:val="auto"/>
          <w:lang w:val="en-US"/>
        </w:rPr>
        <w:t>[41]</w:t>
      </w:r>
      <w:r w:rsidRPr="00F0434A">
        <w:rPr>
          <w:rFonts w:asciiTheme="minorHAnsi" w:hAnsiTheme="minorHAnsi" w:cstheme="minorHAnsi"/>
          <w:color w:val="auto"/>
          <w:lang w:val="en-US"/>
        </w:rPr>
        <w:fldChar w:fldCharType="end"/>
      </w:r>
      <w:r w:rsidRPr="00F0434A">
        <w:rPr>
          <w:rFonts w:asciiTheme="minorHAnsi" w:hAnsiTheme="minorHAnsi" w:cstheme="minorHAnsi"/>
          <w:color w:val="auto"/>
          <w:lang w:val="en-US"/>
        </w:rPr>
        <w:t xml:space="preserve"> and presents with homogeneous ictal EEG correlates if compared to the diversity found in ETLE </w:t>
      </w:r>
      <w:r w:rsidRPr="00F0434A">
        <w:rPr>
          <w:rFonts w:asciiTheme="minorHAnsi" w:hAnsiTheme="minorHAnsi" w:cstheme="minorHAnsi"/>
          <w:color w:val="auto"/>
          <w:lang w:val="en-US"/>
        </w:rPr>
        <w:fldChar w:fldCharType="begin" w:fldLock="1"/>
      </w:r>
      <w:r w:rsidRPr="00F0434A">
        <w:rPr>
          <w:rFonts w:asciiTheme="minorHAnsi" w:hAnsiTheme="minorHAnsi" w:cstheme="minorHAnsi"/>
          <w:color w:val="auto"/>
          <w:lang w:val="en-US"/>
        </w:rPr>
        <w:instrText>ADDIN CSL_CITATION {"citationItems":[{"id":"ITEM-1","itemData":{"ISSN":"0028-3878 (Print)","PMID":"11739820","abstract":"OBJECTIVE: To investigate the lateralization and localization of ictal EEG in focal epilepsy. METHODS: A total of 486 ictal EEG of 72 patients with focal epilepsy arising from the mesial temporal, neocortical temporal, mesial frontal, dorsolateral frontal, parietal, and occipital regions were analyzed. RESULTS: Surface ictal EEG was adequately localized in 72% of cases, more often in temporal than extratemporal epilepsy. Localized ictal onsets were seen in 57% of seizures and were most common in mesial temporal lobe epilepsy (MTLE), lateral frontal lobe epilepsy (LFLE), and parietal lobe epilepsy, whereas lateralized onsets predominated in neocortical temporal lobe epilepsy and generalized onsets in mesial frontal lobe epilepsy (MFLE) and occipital lobe epilepsy. Approximately two-thirds of seizures were localized, 22% generalized, 4% lateralized, and 6% mislocalized/lateralized. False localization/lateralization occurred in 28% of occipital and 16% of parietal seizures. Rhythmic temporal theta at ictal onset was seen exclusively in temporal lobe seizures, whereas localized repetitive epileptiform activity was highly predictive of LFLE. Seizures arising from the lateral convexity and mesial regions were differentiated by a high incidence of repetitive epileptiform activity at ictal onset in the former and rhythmic theta activity in the latter. CONCLUSIONS: With the exception of mesial frontal lobe epilepsy, ictal recordings are very useful in the localization/lateralization of focal seizures. Some patterns are highly accurate in localizing the epileptogenic lobe. One limitation of ictal EEG is the potential for false localization/lateralization in occipital and parietal lobe epilepsies.","author":[{"dropping-particle":"","family":"Foldvary","given":"N","non-dropping-particle":"","parse-names":false,"suffix":""},{"dropping-particle":"","family":"Klem","given":"G","non-dropping-particle":"","parse-names":false,"suffix":""},{"dropping-particle":"","family":"Hammel","given":"J","non-dropping-particle":"","parse-names":false,"suffix":""},{"dropping-particle":"","family":"Bingaman","given":"W","non-dropping-particle":"","parse-names":false,"suffix":""},{"dropping-particle":"","family":"Najm","given":"I","non-dropping-particle":"","parse-names":false,"suffix":""},{"dropping-particle":"","family":"Luders","given":"H","non-dropping-particle":"","parse-names":false,"suffix":""}],"container-title":"Neurology","id":"ITEM-1","issue":"11","issued":{"date-parts":[["2001","12"]]},"language":"eng","page":"2022-2028","publisher-place":"United States","title":"The localizing value of ictal EEG in focal epilepsy.","type":"article-journal","volume":"57"},"uris":["http://www.mendeley.com/documents/?uuid=09ba1e2a-c7ca-4994-bdbc-d668c94b5cd3"]}],"mendeley":{"formattedCitation":"[7]","plainTextFormattedCitation":"[7]","previouslyFormattedCitation":"[7]"},"properties":{"noteIndex":0},"schema":"https://github.com/citation-style-language/schema/raw/master/csl-citation.json"}</w:instrText>
      </w:r>
      <w:r w:rsidRPr="00F0434A">
        <w:rPr>
          <w:rFonts w:asciiTheme="minorHAnsi" w:hAnsiTheme="minorHAnsi" w:cstheme="minorHAnsi"/>
          <w:color w:val="auto"/>
          <w:lang w:val="en-US"/>
        </w:rPr>
        <w:fldChar w:fldCharType="separate"/>
      </w:r>
      <w:r w:rsidRPr="00F0434A">
        <w:rPr>
          <w:rFonts w:asciiTheme="minorHAnsi" w:hAnsiTheme="minorHAnsi" w:cstheme="minorHAnsi"/>
          <w:noProof/>
          <w:color w:val="auto"/>
          <w:lang w:val="en-US"/>
        </w:rPr>
        <w:t>[7]</w:t>
      </w:r>
      <w:r w:rsidRPr="00F0434A">
        <w:rPr>
          <w:rFonts w:asciiTheme="minorHAnsi" w:hAnsiTheme="minorHAnsi" w:cstheme="minorHAnsi"/>
          <w:color w:val="auto"/>
          <w:lang w:val="en-US"/>
        </w:rPr>
        <w:fldChar w:fldCharType="end"/>
      </w:r>
      <w:r w:rsidRPr="00F0434A">
        <w:rPr>
          <w:rFonts w:asciiTheme="minorHAnsi" w:hAnsiTheme="minorHAnsi" w:cstheme="minorHAnsi"/>
          <w:color w:val="auto"/>
          <w:lang w:val="en-US"/>
        </w:rPr>
        <w:t xml:space="preserve">. In the latter, the abundance of artefacts, the short duration or the rapid propagation of certain seizure types have discouraged to perform ictal ESI more extensively  </w:t>
      </w:r>
      <w:r w:rsidRPr="00F0434A">
        <w:rPr>
          <w:rFonts w:asciiTheme="minorHAnsi" w:hAnsiTheme="minorHAnsi" w:cstheme="minorHAnsi"/>
          <w:color w:val="auto"/>
          <w:lang w:val="en-US"/>
        </w:rPr>
        <w:fldChar w:fldCharType="begin" w:fldLock="1"/>
      </w:r>
      <w:r w:rsidRPr="00F0434A">
        <w:rPr>
          <w:rFonts w:asciiTheme="minorHAnsi" w:hAnsiTheme="minorHAnsi" w:cstheme="minorHAnsi"/>
          <w:color w:val="auto"/>
          <w:lang w:val="en-US"/>
        </w:rPr>
        <w:instrText>ADDIN CSL_CITATION {"citationItems":[{"id":"ITEM-1","itemData":{"ISSN":"0028-3878 (Print)","PMID":"11739820","abstract":"OBJECTIVE: To investigate the lateralization and localization of ictal EEG in focal epilepsy. METHODS: A total of 486 ictal EEG of 72 patients with focal epilepsy arising from the mesial temporal, neocortical temporal, mesial frontal, dorsolateral frontal, parietal, and occipital regions were analyzed. RESULTS: Surface ictal EEG was adequately localized in 72% of cases, more often in temporal than extratemporal epilepsy. Localized ictal onsets were seen in 57% of seizures and were most common in mesial temporal lobe epilepsy (MTLE), lateral frontal lobe epilepsy (LFLE), and parietal lobe epilepsy, whereas lateralized onsets predominated in neocortical temporal lobe epilepsy and generalized onsets in mesial frontal lobe epilepsy (MFLE) and occipital lobe epilepsy. Approximately two-thirds of seizures were localized, 22% generalized, 4% lateralized, and 6% mislocalized/lateralized. False localization/lateralization occurred in 28% of occipital and 16% of parietal seizures. Rhythmic temporal theta at ictal onset was seen exclusively in temporal lobe seizures, whereas localized repetitive epileptiform activity was highly predictive of LFLE. Seizures arising from the lateral convexity and mesial regions were differentiated by a high incidence of repetitive epileptiform activity at ictal onset in the former and rhythmic theta activity in the latter. CONCLUSIONS: With the exception of mesial frontal lobe epilepsy, ictal recordings are very useful in the localization/lateralization of focal seizures. Some patterns are highly accurate in localizing the epileptogenic lobe. One limitation of ictal EEG is the potential for false localization/lateralization in occipital and parietal lobe epilepsies.","author":[{"dropping-particle":"","family":"Foldvary","given":"N","non-dropping-particle":"","parse-names":false,"suffix":""},{"dropping-particle":"","family":"Klem","given":"G","non-dropping-particle":"","parse-names":false,"suffix":""},{"dropping-particle":"","family":"Hammel","given":"J","non-dropping-particle":"","parse-names":false,"suffix":""},{"dropping-particle":"","family":"Bingaman","given":"W","non-dropping-particle":"","parse-names":false,"suffix":""},{"dropping-particle":"","family":"Najm","given":"I","non-dropping-particle":"","parse-names":false,"suffix":""},{"dropping-particle":"","family":"Luders","given":"H","non-dropping-particle":"","parse-names":false,"suffix":""}],"container-title":"Neurology","id":"ITEM-1","issue":"11","issued":{"date-parts":[["2001","12"]]},"language":"eng","page":"2022-2028","publisher-place":"United States","title":"The localizing value of ictal EEG in focal epilepsy.","type":"article-journal","volume":"57"},"uris":["http://www.mendeley.com/documents/?uuid=09ba1e2a-c7ca-4994-bdbc-d668c94b5cd3"]}],"mendeley":{"formattedCitation":"[7]","plainTextFormattedCitation":"[7]","previouslyFormattedCitation":"[7]"},"properties":{"noteIndex":0},"schema":"https://github.com/citation-style-language/schema/raw/master/csl-citation.json"}</w:instrText>
      </w:r>
      <w:r w:rsidRPr="00F0434A">
        <w:rPr>
          <w:rFonts w:asciiTheme="minorHAnsi" w:hAnsiTheme="minorHAnsi" w:cstheme="minorHAnsi"/>
          <w:color w:val="auto"/>
          <w:lang w:val="en-US"/>
        </w:rPr>
        <w:fldChar w:fldCharType="separate"/>
      </w:r>
      <w:r w:rsidRPr="00F0434A">
        <w:rPr>
          <w:rFonts w:asciiTheme="minorHAnsi" w:hAnsiTheme="minorHAnsi" w:cstheme="minorHAnsi"/>
          <w:noProof/>
          <w:color w:val="auto"/>
          <w:lang w:val="en-US"/>
        </w:rPr>
        <w:t>[7]</w:t>
      </w:r>
      <w:r w:rsidRPr="00F0434A">
        <w:rPr>
          <w:rFonts w:asciiTheme="minorHAnsi" w:hAnsiTheme="minorHAnsi" w:cstheme="minorHAnsi"/>
          <w:color w:val="auto"/>
          <w:lang w:val="en-US"/>
        </w:rPr>
        <w:fldChar w:fldCharType="end"/>
      </w:r>
      <w:r w:rsidRPr="00F0434A">
        <w:rPr>
          <w:rFonts w:asciiTheme="minorHAnsi" w:hAnsiTheme="minorHAnsi" w:cstheme="minorHAnsi"/>
          <w:color w:val="auto"/>
          <w:lang w:val="en-US"/>
        </w:rPr>
        <w:t xml:space="preserve">. Further validation of ictal ESI in ETLE is thus needed. Moreover, ETLE patients tend to be more difficult cases to treat surgically </w:t>
      </w:r>
      <w:r w:rsidRPr="00F0434A">
        <w:rPr>
          <w:rFonts w:asciiTheme="minorHAnsi" w:hAnsiTheme="minorHAnsi" w:cstheme="minorHAnsi"/>
          <w:color w:val="auto"/>
          <w:lang w:val="en-US"/>
        </w:rPr>
        <w:fldChar w:fldCharType="begin" w:fldLock="1"/>
      </w:r>
      <w:r w:rsidRPr="00F0434A">
        <w:rPr>
          <w:rFonts w:asciiTheme="minorHAnsi" w:hAnsiTheme="minorHAnsi" w:cstheme="minorHAnsi"/>
          <w:color w:val="auto"/>
          <w:lang w:val="en-US"/>
        </w:rPr>
        <w:instrText>ADDIN CSL_CITATION {"citationItems":[{"id":"ITEM-1","itemData":{"DOI":"10.1007/s10143-014-0527-9","ISSN":"1437-2320 (Electronic)","PMID":"24497269","abstract":"Epilepsy is a debilitating neurological disorder affecting approximately 1 % of the world's population. Drug-resistant focal epilepsies are potentially surgically remediable. Although epilepsy surgery is dramatically underutilized among medically refractory patients, there is an expanding collection of evidence supporting its efficacy which may soon compel a paradigm shift. Of note is that a recent randomized controlled trial demonstrated that early resection leads to considerably better seizure outcomes than continued medical therapy in patients with pharmacoresistant temporal lobe epilepsy. In the present review, we provide a timely update of seizure freedom rates and predictors in resective epilepsy surgery, organized by the distinct pathological entities most commonly observed. Class I evidence, meta-analyses, and individual observational case series are considered, including the experiences of both our institution and others. Overall, resective epilepsy surgery leads to seizure freedom in approximately two thirds of patients with intractable temporal lobe epilepsy and about one half of individuals with focal neocortical epilepsy, although only the former observation is supported by class I evidence. Two common modifiable predictors of postoperative seizure freedom are early operative intervention and, in the case of a discrete lesion, gross total resection. Evidence-based practice guidelines recommend that epilepsy patients who continue to have seizures after trialing two or more medication regimens should be referred to a comprehensive epilepsy center for multidisciplinary evaluation, including surgical consideration.","author":[{"dropping-particle":"","family":"Englot","given":"Dario J","non-dropping-particle":"","parse-names":false,"suffix":""},{"dropping-particle":"","family":"Chang","given":"Edward F","non-dropping-particle":"","parse-names":false,"suffix":""}],"container-title":"Neurosurgical review","id":"ITEM-1","issue":"3","issued":{"date-parts":[["2014","7"]]},"language":"eng","page":"385-389","publisher-place":"Germany","title":"Rates and predictors of seizure freedom in resective epilepsy surgery: an update.","type":"article-journal","volume":"37"},"uris":["http://www.mendeley.com/documents/?uuid=205293bc-6808-4008-8cca-e71cefaa88e8"]}],"mendeley":{"formattedCitation":"[42]","plainTextFormattedCitation":"[42]","previouslyFormattedCitation":"[42]"},"properties":{"noteIndex":0},"schema":"https://github.com/citation-style-language/schema/raw/master/csl-citation.json"}</w:instrText>
      </w:r>
      <w:r w:rsidRPr="00F0434A">
        <w:rPr>
          <w:rFonts w:asciiTheme="minorHAnsi" w:hAnsiTheme="minorHAnsi" w:cstheme="minorHAnsi"/>
          <w:color w:val="auto"/>
          <w:lang w:val="en-US"/>
        </w:rPr>
        <w:fldChar w:fldCharType="separate"/>
      </w:r>
      <w:r w:rsidRPr="00F0434A">
        <w:rPr>
          <w:rFonts w:asciiTheme="minorHAnsi" w:hAnsiTheme="minorHAnsi" w:cstheme="minorHAnsi"/>
          <w:noProof/>
          <w:color w:val="auto"/>
          <w:lang w:val="en-US"/>
        </w:rPr>
        <w:t>[42]</w:t>
      </w:r>
      <w:r w:rsidRPr="00F0434A">
        <w:rPr>
          <w:rFonts w:asciiTheme="minorHAnsi" w:hAnsiTheme="minorHAnsi" w:cstheme="minorHAnsi"/>
          <w:color w:val="auto"/>
          <w:lang w:val="en-US"/>
        </w:rPr>
        <w:fldChar w:fldCharType="end"/>
      </w:r>
      <w:r w:rsidRPr="00F0434A">
        <w:rPr>
          <w:rFonts w:asciiTheme="minorHAnsi" w:hAnsiTheme="minorHAnsi" w:cstheme="minorHAnsi"/>
          <w:color w:val="auto"/>
          <w:lang w:val="en-US"/>
        </w:rPr>
        <w:t>, with a need of additional techniques to localize the EZ more accurately.</w:t>
      </w:r>
    </w:p>
    <w:p w:rsidR="00F0434A" w:rsidRPr="00F0434A" w:rsidRDefault="00F0434A" w:rsidP="00F0434A">
      <w:pPr>
        <w:pStyle w:val="Corpsdetexte"/>
        <w:spacing w:after="0" w:line="360" w:lineRule="auto"/>
        <w:ind w:firstLine="708"/>
        <w:jc w:val="both"/>
        <w:rPr>
          <w:rFonts w:asciiTheme="minorHAnsi" w:hAnsiTheme="minorHAnsi" w:cstheme="minorHAnsi"/>
          <w:color w:val="auto"/>
          <w:lang w:val="en-US"/>
        </w:rPr>
      </w:pPr>
      <w:r w:rsidRPr="00F0434A">
        <w:rPr>
          <w:rFonts w:asciiTheme="minorHAnsi" w:hAnsiTheme="minorHAnsi" w:cstheme="minorHAnsi"/>
          <w:color w:val="auto"/>
          <w:lang w:val="en-US"/>
        </w:rPr>
        <w:t>Hence, in the present study, we propose a time efficient approach for the performance of ictal ESI and subsequent FC, using a semi-automated methodology for the selection of the parameters of analysis. We investigated the accuracy of LD ESI and FC in a group of ETLE patients exclusively. In addition, we compared the performances of (semi-) automated ictal and interictal ESI approaches, and explored their potential complementary value.</w:t>
      </w:r>
    </w:p>
    <w:p w:rsidR="00F0434A" w:rsidRPr="00F0434A" w:rsidRDefault="00F0434A" w:rsidP="00F0434A">
      <w:pPr>
        <w:rPr>
          <w:rFonts w:asciiTheme="minorHAnsi" w:hAnsiTheme="minorHAnsi" w:cstheme="minorHAnsi"/>
          <w:color w:val="auto"/>
          <w:lang w:val="en-US"/>
        </w:rPr>
      </w:pPr>
    </w:p>
    <w:p w:rsidR="00F0434A" w:rsidRPr="00F0434A" w:rsidRDefault="00F0434A" w:rsidP="00F0434A">
      <w:pPr>
        <w:rPr>
          <w:rFonts w:asciiTheme="minorHAnsi" w:hAnsiTheme="minorHAnsi" w:cstheme="minorHAnsi"/>
          <w:color w:val="auto"/>
          <w:lang w:val="en-US"/>
        </w:rPr>
      </w:pPr>
    </w:p>
    <w:p w:rsidR="00F0434A" w:rsidRPr="00F0434A" w:rsidRDefault="00F0434A" w:rsidP="00F0434A">
      <w:pPr>
        <w:pStyle w:val="Paragraphedeliste"/>
        <w:numPr>
          <w:ilvl w:val="0"/>
          <w:numId w:val="31"/>
        </w:numPr>
        <w:spacing w:line="360" w:lineRule="auto"/>
        <w:rPr>
          <w:rFonts w:asciiTheme="minorHAnsi" w:hAnsiTheme="minorHAnsi" w:cstheme="minorHAnsi"/>
          <w:b/>
          <w:color w:val="auto"/>
          <w:u w:val="single"/>
          <w:lang w:val="en-US"/>
        </w:rPr>
      </w:pPr>
      <w:r w:rsidRPr="00F0434A">
        <w:rPr>
          <w:rFonts w:asciiTheme="minorHAnsi" w:hAnsiTheme="minorHAnsi" w:cstheme="minorHAnsi"/>
          <w:b/>
          <w:color w:val="auto"/>
          <w:lang w:val="en-US"/>
        </w:rPr>
        <w:t>MATERIALS AND METHODS</w:t>
      </w:r>
    </w:p>
    <w:p w:rsidR="00F0434A" w:rsidRPr="00F0434A" w:rsidRDefault="00F0434A" w:rsidP="00F0434A">
      <w:pPr>
        <w:pStyle w:val="Paragraphedeliste"/>
        <w:numPr>
          <w:ilvl w:val="1"/>
          <w:numId w:val="31"/>
        </w:numPr>
        <w:spacing w:line="360" w:lineRule="auto"/>
        <w:rPr>
          <w:rFonts w:asciiTheme="minorHAnsi" w:hAnsiTheme="minorHAnsi" w:cstheme="minorHAnsi"/>
          <w:b/>
          <w:color w:val="auto"/>
          <w:lang w:val="en-US"/>
        </w:rPr>
      </w:pPr>
      <w:r w:rsidRPr="00F0434A">
        <w:rPr>
          <w:rFonts w:asciiTheme="minorHAnsi" w:hAnsiTheme="minorHAnsi" w:cstheme="minorHAnsi"/>
          <w:b/>
          <w:color w:val="auto"/>
          <w:lang w:val="en-US"/>
        </w:rPr>
        <w:t>Patient selection</w:t>
      </w:r>
    </w:p>
    <w:p w:rsidR="00F0434A" w:rsidRPr="00F0434A" w:rsidRDefault="00F0434A" w:rsidP="00F0434A">
      <w:pPr>
        <w:spacing w:line="360" w:lineRule="auto"/>
        <w:ind w:firstLine="708"/>
        <w:jc w:val="both"/>
        <w:rPr>
          <w:rFonts w:asciiTheme="minorHAnsi" w:hAnsiTheme="minorHAnsi" w:cstheme="minorHAnsi"/>
          <w:color w:val="auto"/>
          <w:lang w:val="en-US"/>
        </w:rPr>
      </w:pPr>
      <w:r w:rsidRPr="00F0434A">
        <w:rPr>
          <w:rFonts w:asciiTheme="minorHAnsi" w:hAnsiTheme="minorHAnsi" w:cstheme="minorHAnsi"/>
          <w:color w:val="auto"/>
          <w:lang w:val="en-US"/>
        </w:rPr>
        <w:t xml:space="preserve">The study was approved by the Institutional Review Board of Saint Luc University Hospital, Brussels, Belgium (2018/25JAN/030). We reviewed the medical records of the </w:t>
      </w:r>
      <w:r w:rsidRPr="00F0434A">
        <w:rPr>
          <w:rFonts w:asciiTheme="minorHAnsi" w:hAnsiTheme="minorHAnsi" w:cstheme="minorHAnsi"/>
          <w:color w:val="auto"/>
          <w:lang w:val="en-US"/>
        </w:rPr>
        <w:lastRenderedPageBreak/>
        <w:t xml:space="preserve">epilepsy surgical database of the Centre for Refractory Epilepsy of Saint Luc University Hospital between 01-Jan-2014 and 01-Jul-2018, and screened for consecutive patients with the following inclusion criteria: (1) drug-resistant extratemporal focal epilepsy; (2) performance of curative epilepsy surgery such as cortectomy, lesionectomy, lobar disconnection or hemispherotomy </w:t>
      </w:r>
      <w:r w:rsidRPr="00F0434A">
        <w:rPr>
          <w:rFonts w:asciiTheme="minorHAnsi" w:hAnsiTheme="minorHAnsi" w:cstheme="minorHAnsi"/>
          <w:color w:val="auto"/>
          <w:lang w:val="en-US"/>
        </w:rPr>
        <w:fldChar w:fldCharType="begin" w:fldLock="1"/>
      </w:r>
      <w:r w:rsidRPr="00F0434A">
        <w:rPr>
          <w:rFonts w:asciiTheme="minorHAnsi" w:hAnsiTheme="minorHAnsi" w:cstheme="minorHAnsi"/>
          <w:color w:val="auto"/>
          <w:lang w:val="en-US"/>
        </w:rPr>
        <w:instrText>ADDIN CSL_CITATION {"citationItems":[{"id":"ITEM-1","itemData":{"DOI":"10.1136/jnnp-2012-304083","ISSN":"1468-330X (Electronic)","PMID":"23599386","abstract":"BACKGROUND: Pharmacoresistant epilepsy can be treated by either resection of the  epileptic focus or functional isolation of the epileptic focus through complete disconnection of the pathways of propagation of the epileptic activity. OBJECTIVE: To evaluate long-term seizure outcome and complications of temporal lobe disconnection (TLD) without resection for mesial temporal lobe epilepsy (MTLE). METHODS: Data of 45 patients operated on for intractable MTLE using a functional disconnection procedure have been studied. Indication of TLD surgery was retained after a standard preoperative evaluation of refractory epilepsy and using the same criteria as for standard temporal resection. RESULTS: Mean follow-up duration was 3.7 years. At the last follow-up, 30 patients (67%) were completely seizure-free (Engel-Ia/International League Against Epilepsy class 1) and 39 patients (87%) remained significantly improved (Engel-I or -II) by surgery. Actuarial outcome displays a 77.7% probability of being seizure-free and an 85.4% probability of being significantly improved at 5 years. No patient died after surgery and no subdural haematoma or hygroma occurred. Permanent morbidity included hemiparesis, hemianopia and oculomotor paresis found in three, five and one patient, respectively, after TLD. CONCLUSIONS: TLD is acceptable alternative surgical technique for patients with intractable MTLE. The results of TLD are in the range of morbidity and long-term seizure outcome rates after standard surgical resection. We observed a slightly higher rate of complications after TLD in comparison with usual rates of morbidity of resection procedures. TLD may be used as an alternative to resection and could reduce operating time and the risks of subdural collections.","author":[{"dropping-particle":"","family":"Massager","given":"Nicolas","non-dropping-particle":"","parse-names":false,"suffix":""},{"dropping-particle":"","family":"Tugendhaft","given":"Patrick","non-dropping-particle":"","parse-names":false,"suffix":""},{"dropping-particle":"","family":"Depondt","given":"Chantal","non-dropping-particle":"","parse-names":false,"suffix":""},{"dropping-particle":"","family":"Coppens","given":"Thomas","non-dropping-particle":"","parse-names":false,"suffix":""},{"dropping-particle":"","family":"Drogba","given":"Landry","non-dropping-particle":"","parse-names":false,"suffix":""},{"dropping-particle":"","family":"Benmebarek","given":"Nadir","non-dropping-particle":"","parse-names":false,"suffix":""},{"dropping-particle":"","family":"Witte","given":"Olivier","non-dropping-particle":"De","parse-names":false,"suffix":""},{"dropping-particle":"","family":"Bogaert","given":"Patrick","non-dropping-particle":"Van","parse-names":false,"suffix":""},{"dropping-particle":"","family":"Legros","given":"Benjamin","non-dropping-particle":"","parse-names":false,"suffix":""}],"container-title":"Journal of neurology, neurosurgery, and psychiatry","id":"ITEM-1","issue":"12","issued":{"date-parts":[["2013","12"]]},"language":"eng","page":"1378-1383","publisher-place":"England","title":"Long-term outcome of surgical disconnection of the epileptic zone as an alternative to resection for nonlesional mesial temporal epilepsy.","type":"article-journal","volume":"84"},"uris":["http://www.mendeley.com/documents/?uuid=d2fc959f-00fc-4e1d-b10f-3764e8b74356"]}],"mendeley":{"formattedCitation":"[43]","plainTextFormattedCitation":"[43]"},"properties":{"noteIndex":0},"schema":"https://github.com/citation-style-language/schema/raw/master/csl-citation.json"}</w:instrText>
      </w:r>
      <w:r w:rsidRPr="00F0434A">
        <w:rPr>
          <w:rFonts w:asciiTheme="minorHAnsi" w:hAnsiTheme="minorHAnsi" w:cstheme="minorHAnsi"/>
          <w:color w:val="auto"/>
          <w:lang w:val="en-US"/>
        </w:rPr>
        <w:fldChar w:fldCharType="separate"/>
      </w:r>
      <w:r w:rsidRPr="00F0434A">
        <w:rPr>
          <w:rFonts w:asciiTheme="minorHAnsi" w:hAnsiTheme="minorHAnsi" w:cstheme="minorHAnsi"/>
          <w:noProof/>
          <w:color w:val="auto"/>
          <w:lang w:val="en-US"/>
        </w:rPr>
        <w:t>[43]</w:t>
      </w:r>
      <w:r w:rsidRPr="00F0434A">
        <w:rPr>
          <w:rFonts w:asciiTheme="minorHAnsi" w:hAnsiTheme="minorHAnsi" w:cstheme="minorHAnsi"/>
          <w:color w:val="auto"/>
          <w:lang w:val="en-US"/>
        </w:rPr>
        <w:fldChar w:fldCharType="end"/>
      </w:r>
      <w:r w:rsidRPr="00F0434A">
        <w:rPr>
          <w:rFonts w:asciiTheme="minorHAnsi" w:hAnsiTheme="minorHAnsi" w:cstheme="minorHAnsi"/>
          <w:color w:val="auto"/>
          <w:lang w:val="en-US"/>
        </w:rPr>
        <w:t>; (3) availability of long-term scalp EEG monitoring, pre-operative and post-operative 3T structural MRI; (4) 1-year minimal follow-up after surgery. Patients were divided into seizure free (ILAE class 1) or not (ILAE class 2-6) based on the 1-year follow up. If patients had underwent more than one surgery, only the last presurgical evaluation performed at our center was taken into consideration for the study.</w:t>
      </w:r>
    </w:p>
    <w:p w:rsidR="00F0434A" w:rsidRPr="00F0434A" w:rsidRDefault="00F0434A" w:rsidP="00F0434A">
      <w:pPr>
        <w:spacing w:line="360" w:lineRule="auto"/>
        <w:jc w:val="both"/>
        <w:rPr>
          <w:rFonts w:asciiTheme="minorHAnsi" w:hAnsiTheme="minorHAnsi" w:cstheme="minorHAnsi"/>
          <w:color w:val="auto"/>
          <w:lang w:val="en-US"/>
        </w:rPr>
      </w:pPr>
      <w:r w:rsidRPr="00F0434A">
        <w:rPr>
          <w:rFonts w:asciiTheme="minorHAnsi" w:hAnsiTheme="minorHAnsi" w:cstheme="minorHAnsi"/>
          <w:color w:val="auto"/>
          <w:lang w:val="en-US"/>
        </w:rPr>
        <w:tab/>
      </w:r>
    </w:p>
    <w:p w:rsidR="00F0434A" w:rsidRPr="00F0434A" w:rsidRDefault="00F0434A" w:rsidP="00F0434A">
      <w:pPr>
        <w:pStyle w:val="Paragraphedeliste"/>
        <w:numPr>
          <w:ilvl w:val="1"/>
          <w:numId w:val="31"/>
        </w:numPr>
        <w:spacing w:line="360" w:lineRule="auto"/>
        <w:jc w:val="both"/>
        <w:rPr>
          <w:rFonts w:asciiTheme="minorHAnsi" w:hAnsiTheme="minorHAnsi" w:cstheme="minorHAnsi"/>
          <w:b/>
          <w:color w:val="auto"/>
          <w:lang w:val="en-US"/>
        </w:rPr>
      </w:pPr>
      <w:r w:rsidRPr="00F0434A">
        <w:rPr>
          <w:rFonts w:asciiTheme="minorHAnsi" w:hAnsiTheme="minorHAnsi" w:cstheme="minorHAnsi"/>
          <w:b/>
          <w:color w:val="auto"/>
          <w:lang w:val="en-US"/>
        </w:rPr>
        <w:t>EEG recordings and seizure selection: ictal rhythmical activity</w:t>
      </w:r>
    </w:p>
    <w:p w:rsidR="00F0434A" w:rsidRPr="00F0434A" w:rsidRDefault="00F0434A" w:rsidP="00F0434A">
      <w:pPr>
        <w:spacing w:line="360" w:lineRule="auto"/>
        <w:ind w:firstLine="708"/>
        <w:jc w:val="both"/>
        <w:rPr>
          <w:rFonts w:asciiTheme="minorHAnsi" w:hAnsiTheme="minorHAnsi" w:cstheme="minorHAnsi"/>
          <w:color w:val="auto"/>
          <w:highlight w:val="white"/>
          <w:lang w:val="en-US"/>
        </w:rPr>
      </w:pPr>
      <w:r w:rsidRPr="00F0434A">
        <w:rPr>
          <w:rFonts w:asciiTheme="minorHAnsi" w:hAnsiTheme="minorHAnsi" w:cstheme="minorHAnsi"/>
          <w:color w:val="auto"/>
          <w:lang w:val="en-US"/>
        </w:rPr>
        <w:t xml:space="preserve">EEG recordings were performed either at Saint Luc University Hospital or at Centre neurologique William Lennox, Ottignies, Belgium. EEG acquisition systems were the Deltamed® (Natus Europe, Paris, France) or the Grass-Telefactor® (Astro-Med, West Warwick, United States). A total of 19-23 electrodes were used, placed according to the 10-20 system, with possibility of additional T1-2/FT9-10/TP9-10 channels. For all cases, the sampling rate was 256 Hz. </w:t>
      </w:r>
    </w:p>
    <w:p w:rsidR="00F0434A" w:rsidRPr="00F0434A" w:rsidRDefault="00F0434A" w:rsidP="00F0434A">
      <w:pPr>
        <w:spacing w:line="360" w:lineRule="auto"/>
        <w:ind w:firstLine="708"/>
        <w:jc w:val="both"/>
        <w:rPr>
          <w:rFonts w:asciiTheme="minorHAnsi" w:hAnsiTheme="minorHAnsi" w:cstheme="minorHAnsi"/>
          <w:color w:val="auto"/>
          <w:lang w:val="en-US"/>
        </w:rPr>
      </w:pPr>
      <w:r w:rsidRPr="00F0434A">
        <w:rPr>
          <w:rFonts w:asciiTheme="minorHAnsi" w:hAnsiTheme="minorHAnsi" w:cstheme="minorHAnsi"/>
          <w:color w:val="auto"/>
          <w:highlight w:val="white"/>
          <w:lang w:val="en-US"/>
        </w:rPr>
        <w:t xml:space="preserve">Revision of long-term EEG and selection of seizures to analyze was carried out by experienced epileptologists </w:t>
      </w:r>
      <w:r w:rsidRPr="00F0434A">
        <w:rPr>
          <w:rFonts w:asciiTheme="minorHAnsi" w:hAnsiTheme="minorHAnsi" w:cstheme="minorHAnsi"/>
          <w:color w:val="auto"/>
          <w:lang w:val="en-US"/>
        </w:rPr>
        <w:t>(RET, PV, MDT, SFS). We collected up to five stereotyped seizures per electrophysiological type of seizures presented by each patient. If more seizures were available, those containing the least amount of artefact were selected.</w:t>
      </w:r>
    </w:p>
    <w:p w:rsidR="00F0434A" w:rsidRPr="00F0434A" w:rsidRDefault="00F0434A" w:rsidP="00F0434A">
      <w:pPr>
        <w:spacing w:line="360" w:lineRule="auto"/>
        <w:ind w:firstLine="708"/>
        <w:jc w:val="both"/>
        <w:rPr>
          <w:rFonts w:asciiTheme="minorHAnsi" w:hAnsiTheme="minorHAnsi" w:cstheme="minorHAnsi"/>
          <w:color w:val="auto"/>
          <w:lang w:val="en-US"/>
        </w:rPr>
      </w:pPr>
      <w:r w:rsidRPr="00F0434A">
        <w:rPr>
          <w:rFonts w:asciiTheme="minorHAnsi" w:hAnsiTheme="minorHAnsi" w:cstheme="minorHAnsi"/>
          <w:color w:val="auto"/>
          <w:lang w:val="en-US"/>
        </w:rPr>
        <w:t xml:space="preserve">The epileptologist marked the first rhythmical ictal activity appearing on the EEG, and identified the frequency band of interest. The ictal activity had to comply with one of the three following patterns: (1) rhythmically evolving discharge </w:t>
      </w:r>
      <w:r w:rsidRPr="00F0434A">
        <w:rPr>
          <w:rFonts w:asciiTheme="minorHAnsi" w:hAnsiTheme="minorHAnsi" w:cstheme="minorHAnsi"/>
          <w:color w:val="auto"/>
          <w:highlight w:val="white"/>
          <w:lang w:val="en-US"/>
        </w:rPr>
        <w:t>in the theta (4–7 Hz), delta (0–3 Hz) or alpha (8–13 Hz) band; (2) rhythmical spiking</w:t>
      </w:r>
      <w:r w:rsidRPr="00F0434A">
        <w:rPr>
          <w:rFonts w:asciiTheme="minorHAnsi" w:hAnsiTheme="minorHAnsi" w:cstheme="minorHAnsi"/>
          <w:color w:val="auto"/>
          <w:lang w:val="en-US"/>
        </w:rPr>
        <w:t xml:space="preserve">; (3) fast paroxysmal activity (&gt;13Hz) </w:t>
      </w:r>
      <w:r w:rsidRPr="00F0434A">
        <w:rPr>
          <w:rFonts w:asciiTheme="minorHAnsi" w:hAnsiTheme="minorHAnsi" w:cstheme="minorHAnsi"/>
          <w:color w:val="auto"/>
          <w:lang w:val="en-US"/>
        </w:rPr>
        <w:fldChar w:fldCharType="begin" w:fldLock="1"/>
      </w:r>
      <w:r w:rsidRPr="00F0434A">
        <w:rPr>
          <w:rFonts w:asciiTheme="minorHAnsi" w:hAnsiTheme="minorHAnsi" w:cstheme="minorHAnsi"/>
          <w:color w:val="auto"/>
          <w:lang w:val="en-US"/>
        </w:rPr>
        <w:instrText>ADDIN CSL_CITATION {"citationItems":[{"id":"ITEM-1","itemData":{"ISSN":"0028-3878 (Print)","PMID":"11739820","abstract":"OBJECTIVE: To investigate the lateralization and localization of ictal EEG in focal epilepsy. METHODS: A total of 486 ictal EEG of 72 patients with focal epilepsy arising from the mesial temporal, neocortical temporal, mesial frontal, dorsolateral frontal, parietal, and occipital regions were analyzed. RESULTS: Surface ictal EEG was adequately localized in 72% of cases, more often in temporal than extratemporal epilepsy. Localized ictal onsets were seen in 57% of seizures and were most common in mesial temporal lobe epilepsy (MTLE), lateral frontal lobe epilepsy (LFLE), and parietal lobe epilepsy, whereas lateralized onsets predominated in neocortical temporal lobe epilepsy and generalized onsets in mesial frontal lobe epilepsy (MFLE) and occipital lobe epilepsy. Approximately two-thirds of seizures were localized, 22% generalized, 4% lateralized, and 6% mislocalized/lateralized. False localization/lateralization occurred in 28% of occipital and 16% of parietal seizures. Rhythmic temporal theta at ictal onset was seen exclusively in temporal lobe seizures, whereas localized repetitive epileptiform activity was highly predictive of LFLE. Seizures arising from the lateral convexity and mesial regions were differentiated by a high incidence of repetitive epileptiform activity at ictal onset in the former and rhythmic theta activity in the latter. CONCLUSIONS: With the exception of mesial frontal lobe epilepsy, ictal recordings are very useful in the localization/lateralization of focal seizures. Some patterns are highly accurate in localizing the epileptogenic lobe. One limitation of ictal EEG is the potential for false localization/lateralization in occipital and parietal lobe epilepsies.","author":[{"dropping-particle":"","family":"Foldvary","given":"N","non-dropping-particle":"","parse-names":false,"suffix":""},{"dropping-particle":"","family":"Klem","given":"G","non-dropping-particle":"","parse-names":false,"suffix":""},{"dropping-particle":"","family":"Hammel","given":"J","non-dropping-particle":"","parse-names":false,"suffix":""},{"dropping-particle":"","family":"Bingaman","given":"W","non-dropping-particle":"","parse-names":false,"suffix":""},{"dropping-particle":"","family":"Najm","given":"I","non-dropping-particle":"","parse-names":false,"suffix":""},{"dropping-particle":"","family":"Luders","given":"H","non-dropping-particle":"","parse-names":false,"suffix":""}],"container-title":"Neurology","id":"ITEM-1","issue":"11","issued":{"date-parts":[["2001","12"]]},"language":"eng","page":"2022-2028","publisher-place":"United States","title":"The localizing value of ictal EEG in focal epilepsy.","type":"article-journal","volume":"57"},"uris":["http://www.mendeley.com/documents/?uuid=09ba1e2a-c7ca-4994-bdbc-d668c94b5cd3"]}],"mendeley":{"formattedCitation":"[7]","plainTextFormattedCitation":"[7]","previouslyFormattedCitation":"[7]"},"properties":{"noteIndex":0},"schema":"https://github.com/citation-style-language/schema/raw/master/csl-citation.json"}</w:instrText>
      </w:r>
      <w:r w:rsidRPr="00F0434A">
        <w:rPr>
          <w:rFonts w:asciiTheme="minorHAnsi" w:hAnsiTheme="minorHAnsi" w:cstheme="minorHAnsi"/>
          <w:color w:val="auto"/>
          <w:lang w:val="en-US"/>
        </w:rPr>
        <w:fldChar w:fldCharType="separate"/>
      </w:r>
      <w:r w:rsidRPr="00F0434A">
        <w:rPr>
          <w:rFonts w:asciiTheme="minorHAnsi" w:hAnsiTheme="minorHAnsi" w:cstheme="minorHAnsi"/>
          <w:noProof/>
          <w:color w:val="auto"/>
          <w:lang w:val="en-US"/>
        </w:rPr>
        <w:t>[7]</w:t>
      </w:r>
      <w:r w:rsidRPr="00F0434A">
        <w:rPr>
          <w:rFonts w:asciiTheme="minorHAnsi" w:hAnsiTheme="minorHAnsi" w:cstheme="minorHAnsi"/>
          <w:color w:val="auto"/>
          <w:lang w:val="en-US"/>
        </w:rPr>
        <w:fldChar w:fldCharType="end"/>
      </w:r>
      <w:r w:rsidRPr="00F0434A">
        <w:rPr>
          <w:rFonts w:asciiTheme="minorHAnsi" w:hAnsiTheme="minorHAnsi" w:cstheme="minorHAnsi"/>
          <w:color w:val="auto"/>
          <w:lang w:val="en-US"/>
        </w:rPr>
        <w:t>. Seizures starting with non-rhythmical patterns, such as high‐voltage slow waves followed by voltage attenuation, electrodecremental flattening or other non-rhythmical irregular activity, were excluded.</w:t>
      </w:r>
    </w:p>
    <w:p w:rsidR="00F0434A" w:rsidRPr="00F0434A" w:rsidRDefault="00F0434A" w:rsidP="00F0434A">
      <w:pPr>
        <w:spacing w:line="360" w:lineRule="auto"/>
        <w:ind w:firstLine="708"/>
        <w:jc w:val="both"/>
        <w:rPr>
          <w:rFonts w:asciiTheme="minorHAnsi" w:hAnsiTheme="minorHAnsi" w:cstheme="minorHAnsi"/>
          <w:color w:val="auto"/>
          <w:lang w:val="en-US"/>
        </w:rPr>
      </w:pPr>
    </w:p>
    <w:p w:rsidR="00F0434A" w:rsidRPr="00F0434A" w:rsidRDefault="00F0434A" w:rsidP="00F0434A">
      <w:pPr>
        <w:pStyle w:val="Paragraphedeliste"/>
        <w:numPr>
          <w:ilvl w:val="1"/>
          <w:numId w:val="31"/>
        </w:numPr>
        <w:spacing w:line="360" w:lineRule="auto"/>
        <w:jc w:val="both"/>
        <w:rPr>
          <w:rFonts w:asciiTheme="minorHAnsi" w:hAnsiTheme="minorHAnsi" w:cstheme="minorHAnsi"/>
          <w:color w:val="auto"/>
          <w:lang w:val="en-US"/>
        </w:rPr>
      </w:pPr>
      <w:r w:rsidRPr="00F0434A">
        <w:rPr>
          <w:rFonts w:asciiTheme="minorHAnsi" w:hAnsiTheme="minorHAnsi" w:cstheme="minorHAnsi"/>
          <w:b/>
          <w:color w:val="auto"/>
          <w:lang w:val="en-US"/>
        </w:rPr>
        <w:t>EEG pre-processing and automated identification of time window and frequency band of interest</w:t>
      </w:r>
    </w:p>
    <w:p w:rsidR="00F0434A" w:rsidRPr="00F0434A" w:rsidRDefault="00F0434A" w:rsidP="00F0434A">
      <w:pPr>
        <w:spacing w:line="360" w:lineRule="auto"/>
        <w:ind w:firstLine="720"/>
        <w:jc w:val="both"/>
        <w:rPr>
          <w:rFonts w:asciiTheme="minorHAnsi" w:hAnsiTheme="minorHAnsi" w:cstheme="minorHAnsi"/>
          <w:color w:val="auto"/>
          <w:lang w:val="en-US"/>
        </w:rPr>
      </w:pPr>
      <w:r w:rsidRPr="00F0434A">
        <w:rPr>
          <w:rFonts w:asciiTheme="minorHAnsi" w:hAnsiTheme="minorHAnsi" w:cstheme="minorHAnsi"/>
          <w:color w:val="auto"/>
          <w:lang w:val="en-US"/>
        </w:rPr>
        <w:lastRenderedPageBreak/>
        <w:t>EEG recordings were analyzed in common average reference. When present, T1-2/FT9-10/TP9-10 channels were excluded from the analysis, for homogeneity with patients recorded with standard 10-20 system. The signal analysis was performed with MATLAB2017a (MathWorks, Natick, MA, USA). A band-pass between 0.5 and 30 Hz and a 50Hz notch filter were applied. A maximum of two channels could be removed if they presented bad contact or major artefacts: if three or more channels were affected, the seizure was rejected from further analysis.</w:t>
      </w:r>
    </w:p>
    <w:p w:rsidR="00F0434A" w:rsidRPr="00F0434A" w:rsidRDefault="00F0434A" w:rsidP="00F0434A">
      <w:pPr>
        <w:spacing w:line="360" w:lineRule="auto"/>
        <w:ind w:firstLine="708"/>
        <w:jc w:val="both"/>
        <w:rPr>
          <w:rFonts w:asciiTheme="minorHAnsi" w:hAnsiTheme="minorHAnsi" w:cstheme="minorHAnsi"/>
          <w:color w:val="auto"/>
          <w:lang w:val="en-US"/>
        </w:rPr>
      </w:pPr>
      <w:r w:rsidRPr="00F0434A">
        <w:rPr>
          <w:rFonts w:asciiTheme="minorHAnsi" w:hAnsiTheme="minorHAnsi" w:cstheme="minorHAnsi"/>
          <w:color w:val="auto"/>
          <w:lang w:val="en-US"/>
        </w:rPr>
        <w:t xml:space="preserve">An automated algorithm for the analysis of ictal EEG was implemented to localize the SOZ. The methodology of analysis is summarized in </w:t>
      </w:r>
      <w:r w:rsidRPr="00F0434A">
        <w:rPr>
          <w:rFonts w:asciiTheme="minorHAnsi" w:hAnsiTheme="minorHAnsi" w:cstheme="minorHAnsi"/>
          <w:b/>
          <w:color w:val="auto"/>
          <w:lang w:val="en-US"/>
        </w:rPr>
        <w:t>Figure 1</w:t>
      </w:r>
      <w:r w:rsidRPr="00F0434A">
        <w:rPr>
          <w:rFonts w:asciiTheme="minorHAnsi" w:hAnsiTheme="minorHAnsi" w:cstheme="minorHAnsi"/>
          <w:color w:val="auto"/>
          <w:lang w:val="en-US"/>
        </w:rPr>
        <w:t xml:space="preserve">. First, the main EEG channel of interest was determined by performing a Fast Fourier transformation (FFT) of all traces, with a sliding window of 1 s, including -0.5 to +3.5 s after the SOZ marking. The channel showing the maximal peak of FFT within the band of frequency provided by the epileptologist was selected, to limit the interference of other waveform activities in different frequencies (background rhythms, artifacts). Thereafter, the algorithm determined the epoch length defined as the time in which the target FFT value did not fall below the 50% of the maximal peak FFT value. If this condition was not maintained for at least 1 s, the specific FFT peak was discarded as likely to be non-ictal, and the algorithm analyzed the following highest peak of FFT.  Epoch length was at longest of 3 s, as longer durations were considered to potentially include ictal spread </w:t>
      </w:r>
      <w:r w:rsidRPr="00F0434A">
        <w:rPr>
          <w:rFonts w:asciiTheme="minorHAnsi" w:hAnsiTheme="minorHAnsi" w:cstheme="minorHAnsi"/>
          <w:color w:val="auto"/>
          <w:lang w:val="en-US"/>
        </w:rPr>
        <w:fldChar w:fldCharType="begin" w:fldLock="1"/>
      </w:r>
      <w:r w:rsidRPr="00F0434A">
        <w:rPr>
          <w:rFonts w:asciiTheme="minorHAnsi" w:hAnsiTheme="minorHAnsi" w:cstheme="minorHAnsi"/>
          <w:color w:val="auto"/>
          <w:lang w:val="en-US"/>
        </w:rPr>
        <w:instrText>ADDIN CSL_CITATION {"citationItems":[{"id":"ITEM-1","itemData":{"DOI":"10.1016/j.neuroimage.2006.09.042","ISSN":"1053-8119 (Print)","PMID":"17112748","abstract":"We propose a new integrative approach to characterize the structure of seizures in the space, time, and frequency domains. Such characterization leads to a new technical development of ictal source analysis for the presurgical evaluation of epilepsy patients. The present new ictal source analysis method consists of three parts. First, a three-dimensional source scanning procedure is performed by a spatio-temporal FINE source localization method to locate the multiple sources responsible for the time evolving ictal rhythms at their onsets. Next, the dynamic behavior of the sources is modeled by a multivariate autoregressive process (MVAR). Lastly, the causal interaction patterns among the sources as a function of frequency are estimated from the MVAR modeling of the source temporal dynamics. The causal interaction patterns indicate the dynamic communications between sources, which are useful in distinguishing the primary sources responsible for the ictal onset from the secondary sources caused by the ictal propagation. The present ictal analysis strategy has been applied to a number of seizures from five epilepsy patients, and their results are consistent with observations from either MRI lesions or SPECT scans, which indicate its effectiveness. Each step of the ictal source analysis is statistically evaluated in order to guarantee the confidence in the results.","author":[{"dropping-particle":"","family":"Ding","given":"Lei","non-dropping-particle":"","parse-names":false,"suffix":""},{"dropping-particle":"","family":"Worrell","given":"Gregory A","non-dropping-particle":"","parse-names":false,"suffix":""},{"dropping-particle":"","family":"Lagerlund","given":"Terrence D","non-dropping-particle":"","parse-names":false,"suffix":""},{"dropping-particle":"","family":"He","given":"Bin","non-dropping-particle":"","parse-names":false,"suffix":""}],"container-title":"NeuroImage","id":"ITEM-1","issue":"2","issued":{"date-parts":[["2007","1"]]},"language":"eng","page":"575-586","publisher-place":"United States","title":"Ictal source analysis: localization and imaging of causal interactions in humans.","type":"article-journal","volume":"34"},"uris":["http://www.mendeley.com/documents/?uuid=52d93416-3cd1-4ff9-bd98-cf2b89cd4b38"]}],"mendeley":{"formattedCitation":"[28]","plainTextFormattedCitation":"[28]","previouslyFormattedCitation":"[28]"},"properties":{"noteIndex":0},"schema":"https://github.com/citation-style-language/schema/raw/master/csl-citation.json"}</w:instrText>
      </w:r>
      <w:r w:rsidRPr="00F0434A">
        <w:rPr>
          <w:rFonts w:asciiTheme="minorHAnsi" w:hAnsiTheme="minorHAnsi" w:cstheme="minorHAnsi"/>
          <w:color w:val="auto"/>
          <w:lang w:val="en-US"/>
        </w:rPr>
        <w:fldChar w:fldCharType="separate"/>
      </w:r>
      <w:r w:rsidRPr="00F0434A">
        <w:rPr>
          <w:rFonts w:asciiTheme="minorHAnsi" w:hAnsiTheme="minorHAnsi" w:cstheme="minorHAnsi"/>
          <w:noProof/>
          <w:color w:val="auto"/>
          <w:lang w:val="en-US"/>
        </w:rPr>
        <w:t>[28]</w:t>
      </w:r>
      <w:r w:rsidRPr="00F0434A">
        <w:rPr>
          <w:rFonts w:asciiTheme="minorHAnsi" w:hAnsiTheme="minorHAnsi" w:cstheme="minorHAnsi"/>
          <w:color w:val="auto"/>
          <w:lang w:val="en-US"/>
        </w:rPr>
        <w:fldChar w:fldCharType="end"/>
      </w:r>
      <w:r w:rsidRPr="00F0434A">
        <w:rPr>
          <w:rFonts w:asciiTheme="minorHAnsi" w:hAnsiTheme="minorHAnsi" w:cstheme="minorHAnsi"/>
          <w:color w:val="auto"/>
          <w:lang w:val="en-US"/>
        </w:rPr>
        <w:t>. In turn, based on the selected peak value of FFT, the frequency-of-interest (FOI) for ESI and FC analysis were obtained, which corresponded to the FFT peak +/- 0.5 Hz.</w:t>
      </w:r>
    </w:p>
    <w:p w:rsidR="00F0434A" w:rsidRPr="00F0434A" w:rsidRDefault="00F0434A" w:rsidP="00F0434A">
      <w:pPr>
        <w:spacing w:line="360" w:lineRule="auto"/>
        <w:jc w:val="both"/>
        <w:rPr>
          <w:rFonts w:asciiTheme="minorHAnsi" w:hAnsiTheme="minorHAnsi" w:cstheme="minorHAnsi"/>
          <w:color w:val="auto"/>
          <w:lang w:val="en-US"/>
        </w:rPr>
      </w:pPr>
    </w:p>
    <w:p w:rsidR="00F0434A" w:rsidRPr="00F0434A" w:rsidRDefault="00F0434A" w:rsidP="00F0434A">
      <w:pPr>
        <w:pStyle w:val="Paragraphedeliste"/>
        <w:numPr>
          <w:ilvl w:val="1"/>
          <w:numId w:val="31"/>
        </w:numPr>
        <w:spacing w:line="360" w:lineRule="auto"/>
        <w:jc w:val="both"/>
        <w:rPr>
          <w:rFonts w:asciiTheme="minorHAnsi" w:hAnsiTheme="minorHAnsi" w:cstheme="minorHAnsi"/>
          <w:color w:val="auto"/>
          <w:szCs w:val="24"/>
          <w:lang w:val="en-US"/>
        </w:rPr>
      </w:pPr>
      <w:r w:rsidRPr="00F0434A">
        <w:rPr>
          <w:rFonts w:asciiTheme="minorHAnsi" w:hAnsiTheme="minorHAnsi" w:cstheme="minorHAnsi"/>
          <w:b/>
          <w:color w:val="auto"/>
          <w:szCs w:val="24"/>
          <w:lang w:val="en-US"/>
        </w:rPr>
        <w:t>Determination of SOZ based on ESI and FC analysis</w:t>
      </w:r>
    </w:p>
    <w:p w:rsidR="00F0434A" w:rsidRPr="00F0434A" w:rsidRDefault="00F0434A" w:rsidP="00F0434A">
      <w:pPr>
        <w:spacing w:line="360" w:lineRule="auto"/>
        <w:ind w:firstLine="708"/>
        <w:jc w:val="both"/>
        <w:rPr>
          <w:rFonts w:asciiTheme="minorHAnsi" w:hAnsiTheme="minorHAnsi" w:cstheme="minorHAnsi"/>
          <w:color w:val="auto"/>
          <w:lang w:val="en-US"/>
        </w:rPr>
      </w:pPr>
      <w:r w:rsidRPr="00F0434A">
        <w:rPr>
          <w:rFonts w:asciiTheme="minorHAnsi" w:hAnsiTheme="minorHAnsi" w:cstheme="minorHAnsi"/>
          <w:color w:val="auto"/>
          <w:lang w:val="en-US"/>
        </w:rPr>
        <w:t xml:space="preserve">Individual head models were constructed from the T1-weighted MRI of each patient with a 1x1x1 mm resolution, using the tissue probability maps available in SPM12 (Wellcome Trust Centre for Neuroimaging, London, UK). The head model consisted of six layers: scalp, skull, cerebrospinal fluid, grey matter, white matter and air </w:t>
      </w:r>
      <w:r w:rsidRPr="00F0434A">
        <w:rPr>
          <w:rFonts w:asciiTheme="minorHAnsi" w:hAnsiTheme="minorHAnsi" w:cstheme="minorHAnsi"/>
          <w:color w:val="auto"/>
          <w:lang w:val="en-US"/>
        </w:rPr>
        <w:fldChar w:fldCharType="begin" w:fldLock="1"/>
      </w:r>
      <w:r w:rsidRPr="00F0434A">
        <w:rPr>
          <w:rFonts w:asciiTheme="minorHAnsi" w:hAnsiTheme="minorHAnsi" w:cstheme="minorHAnsi"/>
          <w:color w:val="auto"/>
          <w:lang w:val="en-US"/>
        </w:rPr>
        <w:instrText>ADDIN CSL_CITATION {"citationItems":[{"id":"ITEM-1","itemData":{"DOI":"10.1007/s10548-016-0482-6","ISSN":"1573-6792 (Electronic)","PMID":"26936594","abstract":"We investigated the influence of different skull modeling approaches on EEG source imaging (ESI), using data of six patients with refractory temporal lobe epilepsy who later underwent successful epilepsy surgery. Four realistic head models with different skull compartments, based on finite difference methods, were constructed for each patient: (i) Three models had skulls with compact and spongy bone compartments as well as air-filled cavities, segmented from either computed tomography (CT), magnetic resonance imaging (MRI) or a CT-template and (ii) one model included a MRI-based skull with a single compact bone compartment. In all patients we performed ESI of single and averaged spikes marked in the clinical 27-channel EEG by the epileptologist. To analyze at which time point the dipole estimations were closer to the resected zone, ESI was performed at two time instants: the half-rising phase and peak of the spike. The estimated sources for each model were validated against the resected area, as indicated by the postoperative MRI. Our results showed that single spike analysis was highly influenced by the signal-to-noise ratio (SNR), yielding estimations with smaller distances to the resected volume at the peak of the spike. Although averaging reduced the SNR effects, it did not always result in dipole estimations lying closer to the resection. The proposed skull modeling approaches did not lead to significant differences in the localization of the irritative zone from clinical EEG data with low spatial sampling density. Furthermore, we showed that a simple skull model (MRI-based) resulted in similar accuracy in dipole estimation compared to more complex head models (based on CT- or CT-template). Therefore, all the considered head models can be used in the presurgical evaluation of patients with temporal lobe epilepsy to localize the irritative zone from low-density clinical EEG recordings.","author":[{"dropping-particle":"","family":"Montes-Restrepo","given":"Victoria","non-dropping-particle":"","parse-names":false,"suffix":""},{"dropping-particle":"","family":"Carrette","given":"Evelien","non-dropping-particle":"","parse-names":false,"suffix":""},{"dropping-particle":"","family":"Strobbe","given":"Gregor","non-dropping-particle":"","parse-names":false,"suffix":""},{"dropping-particle":"","family":"Gadeyne","given":"Stefanie","non-dropping-particle":"","parse-names":false,"suffix":""},{"dropping-particle":"","family":"Vandenberghe","given":"Stefaan","non-dropping-particle":"","parse-names":false,"suffix":""},{"dropping-particle":"","family":"Boon","given":"Paul","non-dropping-particle":"","parse-names":false,"suffix":""},{"dropping-particle":"","family":"Vonck","given":"Kristl","non-dropping-particle":"","parse-names":false,"suffix":""},{"dropping-particle":"van","family":"Mierlo","given":"Pieter","non-dropping-particle":"","parse-names":false,"suffix":""}],"container-title":"Brain topography","id":"ITEM-1","issue":"4","issued":{"date-parts":[["2016","7"]]},"language":"eng","page":"572-589","publisher-place":"United States","title":"The Role of Skull Modeling in EEG Source Imaging for Patients with Refractory Temporal Lobe Epilepsy.","type":"article-journal","volume":"29"},"uris":["http://www.mendeley.com/documents/?uuid=7fb8ac7f-57f1-4297-88de-977cbb6d9a57","http://www.mendeley.com/documents/?uuid=b4c8678c-9042-41c9-8d8b-7b5228b8f725"]}],"mendeley":{"formattedCitation":"[44]","plainTextFormattedCitation":"[44]","previouslyFormattedCitation":"[43]"},"properties":{"noteIndex":0},"schema":"https://github.com/citation-style-language/schema/raw/master/csl-citation.json"}</w:instrText>
      </w:r>
      <w:r w:rsidRPr="00F0434A">
        <w:rPr>
          <w:rFonts w:asciiTheme="minorHAnsi" w:hAnsiTheme="minorHAnsi" w:cstheme="minorHAnsi"/>
          <w:color w:val="auto"/>
          <w:lang w:val="en-US"/>
        </w:rPr>
        <w:fldChar w:fldCharType="separate"/>
      </w:r>
      <w:r w:rsidRPr="00F0434A">
        <w:rPr>
          <w:rFonts w:asciiTheme="minorHAnsi" w:hAnsiTheme="minorHAnsi" w:cstheme="minorHAnsi"/>
          <w:noProof/>
          <w:color w:val="auto"/>
          <w:lang w:val="en-US"/>
        </w:rPr>
        <w:t>[44]</w:t>
      </w:r>
      <w:r w:rsidRPr="00F0434A">
        <w:rPr>
          <w:rFonts w:asciiTheme="minorHAnsi" w:hAnsiTheme="minorHAnsi" w:cstheme="minorHAnsi"/>
          <w:color w:val="auto"/>
          <w:lang w:val="en-US"/>
        </w:rPr>
        <w:fldChar w:fldCharType="end"/>
      </w:r>
      <w:r w:rsidRPr="00F0434A">
        <w:rPr>
          <w:rFonts w:asciiTheme="minorHAnsi" w:hAnsiTheme="minorHAnsi" w:cstheme="minorHAnsi"/>
          <w:color w:val="auto"/>
          <w:lang w:val="en-US"/>
        </w:rPr>
        <w:t xml:space="preserve">. The tissue maps were smoothed and combined in the final model for forward problem solution.  The solution space was restricted to the grey matter, with a uniform grid of 3 mm spacing, and leadfields were computed to correlate the current dipoles in the grey matter with the measured scalp EEG. Further details of the steps of head model calculation can be found in </w:t>
      </w:r>
      <w:r w:rsidRPr="00F0434A">
        <w:rPr>
          <w:rFonts w:asciiTheme="minorHAnsi" w:hAnsiTheme="minorHAnsi" w:cstheme="minorHAnsi"/>
          <w:color w:val="auto"/>
          <w:lang w:val="en-US"/>
        </w:rPr>
        <w:fldChar w:fldCharType="begin" w:fldLock="1"/>
      </w:r>
      <w:r w:rsidRPr="00F0434A">
        <w:rPr>
          <w:rFonts w:asciiTheme="minorHAnsi" w:hAnsiTheme="minorHAnsi" w:cstheme="minorHAnsi"/>
          <w:color w:val="auto"/>
          <w:lang w:val="en-US"/>
        </w:rPr>
        <w:instrText>ADDIN CSL_CITATION {"citationItems":[{"id":"ITEM-1","itemData":{"DOI":"10.1016/j.clinph.2018.09.015","ISSN":"1872-8952 (Electronic)","PMID":"30278389","abstract":"OBJECTIVE: To evaluate the accuracy of automated EEG source imaging (ESI) in localizing epileptogenic zone. METHODS: Long-term EEG, recorded with the standard 25-electrode array of the IFCN, from 41 consecutive patients with focal epilepsy who underwent resective surgery, were analyzed blinded to the surgical outcome. The automated analysis comprised spike-detection, clustering and source imaging at the half-rising time and at the peak of each spike-cluster, using individual head-models with six tissue-layers and a distributed source model (sLORETA). The fully automated approach presented ESI of the cluster with the highest number of spikes, at the half-rising time. In addition, a physician involved in the presurgical evaluation of the patients, evaluated the automated ESI results (up to four clusters per patient) in clinical context and selected the dominant cluster and the analysis time-point (semi-automated approach). The reference standard was location of the resected area and outcome one year after operation. RESULTS: Accuracy was 61% (95% CI: 45-76%) for the fully automated approach and 78% (95% CI: 62-89%) for the semi-automated approach. CONCLUSION: Automated ESI has an accuracy similar to previously reported neuroimaging methods. SIGNIFICANCE: Automated ESI will contribute to increased utilization of source imaging in the presurgical evaluation of patients with epilepsy.","author":[{"dropping-particle":"","family":"Baroumand","given":"Amir G","non-dropping-particle":"","parse-names":false,"suffix":""},{"dropping-particle":"","family":"Mierlo","given":"Pieter","non-dropping-particle":"van","parse-names":false,"suffix":""},{"dropping-particle":"","family":"Strobbe","given":"Gregor","non-dropping-particle":"","parse-names":false,"suffix":""},{"dropping-particle":"","family":"Pinborg","given":"Lars H","non-dropping-particle":"","parse-names":false,"suffix":""},{"dropping-particle":"","family":"Fabricius","given":"Martin","non-dropping-particle":"","parse-names":false,"suffix":""},{"dropping-particle":"","family":"Rubboli","given":"Guido","non-dropping-particle":"","parse-names":false,"suffix":""},{"dropping-particle":"","family":"Leffers","given":"Anne-Mette","non-dropping-particle":"","parse-names":false,"suffix":""},{"dropping-particle":"","family":"Uldall","given":"Peter","non-dropping-particle":"","parse-names":false,"suffix":""},{"dropping-particle":"","family":"Jespersen","given":"Bo","non-dropping-particle":"","parse-names":false,"suffix":""},{"dropping-particle":"","family":"Brennum","given":"Jannick","non-dropping-particle":"","parse-names":false,"suffix":""},{"dropping-particle":"","family":"Henriksen","given":"Otto Molby","non-dropping-particle":"","parse-names":false,"suffix":""},{"dropping-particle":"","family":"Beniczky","given":"Sandor","non-dropping-particle":"","parse-names":false,"suffix":""}],"container-title":"Clinical neurophysiology : official journal of the International Federation of Clinical Neurophysiology","id":"ITEM-1","issue":"11","issued":{"date-parts":[["2018","11"]]},"language":"eng","page":"2403-2410","publisher-place":"Netherlands","title":"Automated EEG source imaging: A retrospective, blinded clinical validation study.","type":"article-journal","volume":"129"},"uris":["http://www.mendeley.com/documents/?uuid=33d797c8-2b74-42bd-86a7-9b9cea8e3214"]}],"mendeley":{"formattedCitation":"[12]","plainTextFormattedCitation":"[12]","previouslyFormattedCitation":"[12]"},"properties":{"noteIndex":0},"schema":"https://github.com/citation-style-language/schema/raw/master/csl-citation.json"}</w:instrText>
      </w:r>
      <w:r w:rsidRPr="00F0434A">
        <w:rPr>
          <w:rFonts w:asciiTheme="minorHAnsi" w:hAnsiTheme="minorHAnsi" w:cstheme="minorHAnsi"/>
          <w:color w:val="auto"/>
          <w:lang w:val="en-US"/>
        </w:rPr>
        <w:fldChar w:fldCharType="separate"/>
      </w:r>
      <w:r w:rsidRPr="00F0434A">
        <w:rPr>
          <w:rFonts w:asciiTheme="minorHAnsi" w:hAnsiTheme="minorHAnsi" w:cstheme="minorHAnsi"/>
          <w:noProof/>
          <w:color w:val="auto"/>
          <w:lang w:val="en-US"/>
        </w:rPr>
        <w:t>[12]</w:t>
      </w:r>
      <w:r w:rsidRPr="00F0434A">
        <w:rPr>
          <w:rFonts w:asciiTheme="minorHAnsi" w:hAnsiTheme="minorHAnsi" w:cstheme="minorHAnsi"/>
          <w:color w:val="auto"/>
          <w:lang w:val="en-US"/>
        </w:rPr>
        <w:fldChar w:fldCharType="end"/>
      </w:r>
      <w:r w:rsidRPr="00F0434A">
        <w:rPr>
          <w:rFonts w:asciiTheme="minorHAnsi" w:hAnsiTheme="minorHAnsi" w:cstheme="minorHAnsi"/>
          <w:color w:val="auto"/>
          <w:lang w:val="en-US"/>
        </w:rPr>
        <w:t>.</w:t>
      </w:r>
    </w:p>
    <w:p w:rsidR="00F0434A" w:rsidRPr="00F0434A" w:rsidRDefault="00F0434A" w:rsidP="00F0434A">
      <w:pPr>
        <w:spacing w:line="360" w:lineRule="auto"/>
        <w:ind w:firstLine="708"/>
        <w:jc w:val="both"/>
        <w:rPr>
          <w:rFonts w:asciiTheme="minorHAnsi" w:hAnsiTheme="minorHAnsi" w:cstheme="minorHAnsi"/>
          <w:color w:val="auto"/>
          <w:lang w:val="en-US"/>
        </w:rPr>
      </w:pPr>
      <w:r w:rsidRPr="00F0434A">
        <w:rPr>
          <w:rFonts w:asciiTheme="minorHAnsi" w:hAnsiTheme="minorHAnsi" w:cstheme="minorHAnsi"/>
          <w:color w:val="auto"/>
          <w:lang w:val="en-US"/>
        </w:rPr>
        <w:lastRenderedPageBreak/>
        <w:t xml:space="preserve">For the ESI power method of source localization, LORETA-derived time series were extracted </w:t>
      </w:r>
      <w:r w:rsidRPr="00F0434A">
        <w:rPr>
          <w:rFonts w:asciiTheme="minorHAnsi" w:hAnsiTheme="minorHAnsi" w:cstheme="minorHAnsi"/>
          <w:color w:val="auto"/>
          <w:lang w:val="en-US"/>
        </w:rPr>
        <w:fldChar w:fldCharType="begin" w:fldLock="1"/>
      </w:r>
      <w:r w:rsidRPr="00F0434A">
        <w:rPr>
          <w:rFonts w:asciiTheme="minorHAnsi" w:hAnsiTheme="minorHAnsi" w:cstheme="minorHAnsi"/>
          <w:color w:val="auto"/>
          <w:lang w:val="en-US"/>
        </w:rPr>
        <w:instrText>ADDIN CSL_CITATION {"citationItems":[{"id":"ITEM-1","itemData":{"ISSN":"0167-8760 (Print)","PMID":"7876038","abstract":"This paper presents a new method for localizing the electric activity in the brain based on multichannel surface EEG recordings. In contrast to the models presented up to now the new method does not assume a limited number of dipolar point sources nor a distribution on a given known surface, but directly computes a current distribution throughout the full brain volume. In order to find a unique solution for the 3-dimensional distribution among the infinite set of different possible solutions, the method assumes that neighboring neurons are simultaneously and synchronously activated. The basic assumption rests on evidence from single cell recordings in the brain that demonstrates strong synchronization of adjacent neurons. In view of this physiological consideration the computational task is to select the smoothest of all possible 3-dimensional current distributions, a task that is a common procedure in generalized signal processing. The result is a true 3-dimensional tomography with the characteristic that localization is preserved with a certain amount of dispersion, i.e., it has a relatively low spatial resolution. The new method, which we call Low Resolution Electromagnetic Tomography (LORETA) is illustrated with two different sets of evoked potential data, the first showing the tomography of the P100 component to checkerboard stimulation of the left, right, upper and lower hemiretina, and the second showing the results for the auditory N100 component and the two cognitive components CNV and P300. A direct comparison of the tomography results with those obtained from fitting one and two dipoles illustrates that the new method provides physiologically meaningful results while dipolar solutions fail in many situations. In the case of the cognitive components, the method offers new hypotheses on the location of higher cognitive functions in the brain.","author":[{"dropping-particle":"","family":"Pascual-Marqui","given":"R D","non-dropping-particle":"","parse-names":false,"suffix":""},{"dropping-particle":"","family":"Michel","given":"C M","non-dropping-particle":"","parse-names":false,"suffix":""},{"dropping-particle":"","family":"Lehmann","given":"D","non-dropping-particle":"","parse-names":false,"suffix":""}],"container-title":"International journal of psychophysiology : official journal of the International Organization of Psychophysiology","id":"ITEM-1","issue":"1","issued":{"date-parts":[["1994","10"]]},"language":"eng","page":"49-65","publisher-place":"Netherlands","title":"Low resolution electromagnetic tomography: a new method for localizing electrical activity in the brain.","type":"article-journal","volume":"18"},"uris":["http://www.mendeley.com/documents/?uuid=b08cac4a-e6cf-4866-95ad-54f6a332c76b","http://www.mendeley.com/documents/?uuid=d4cae5d4-0476-4012-88fa-fa299ad91439"]}],"mendeley":{"formattedCitation":"[45]","plainTextFormattedCitation":"[45]","previouslyFormattedCitation":"[44]"},"properties":{"noteIndex":0},"schema":"https://github.com/citation-style-language/schema/raw/master/csl-citation.json"}</w:instrText>
      </w:r>
      <w:r w:rsidRPr="00F0434A">
        <w:rPr>
          <w:rFonts w:asciiTheme="minorHAnsi" w:hAnsiTheme="minorHAnsi" w:cstheme="minorHAnsi"/>
          <w:color w:val="auto"/>
          <w:lang w:val="en-US"/>
        </w:rPr>
        <w:fldChar w:fldCharType="separate"/>
      </w:r>
      <w:r w:rsidRPr="00F0434A">
        <w:rPr>
          <w:rFonts w:asciiTheme="minorHAnsi" w:hAnsiTheme="minorHAnsi" w:cstheme="minorHAnsi"/>
          <w:noProof/>
          <w:color w:val="auto"/>
          <w:lang w:val="en-US"/>
        </w:rPr>
        <w:t>[45]</w:t>
      </w:r>
      <w:r w:rsidRPr="00F0434A">
        <w:rPr>
          <w:rFonts w:asciiTheme="minorHAnsi" w:hAnsiTheme="minorHAnsi" w:cstheme="minorHAnsi"/>
          <w:color w:val="auto"/>
          <w:lang w:val="en-US"/>
        </w:rPr>
        <w:fldChar w:fldCharType="end"/>
      </w:r>
      <w:r w:rsidRPr="00F0434A">
        <w:rPr>
          <w:rFonts w:asciiTheme="minorHAnsi" w:hAnsiTheme="minorHAnsi" w:cstheme="minorHAnsi"/>
          <w:color w:val="auto"/>
          <w:lang w:val="en-US"/>
        </w:rPr>
        <w:t>, and sorted according to their relative power in the FOI range established by automated algorithm. For each seizure analyzed, the source with the highest power was defined as S</w:t>
      </w:r>
      <w:r w:rsidRPr="00F0434A">
        <w:rPr>
          <w:rFonts w:asciiTheme="minorHAnsi" w:hAnsiTheme="minorHAnsi" w:cstheme="minorHAnsi"/>
          <w:color w:val="auto"/>
          <w:vertAlign w:val="subscript"/>
          <w:lang w:val="en-US"/>
        </w:rPr>
        <w:t>POW</w:t>
      </w:r>
      <w:r w:rsidRPr="00F0434A">
        <w:rPr>
          <w:rFonts w:asciiTheme="minorHAnsi" w:hAnsiTheme="minorHAnsi" w:cstheme="minorHAnsi"/>
          <w:color w:val="auto"/>
          <w:lang w:val="en-US"/>
        </w:rPr>
        <w:t xml:space="preserve">, which was considered as the SOZ estimate for ESI power method.  </w:t>
      </w:r>
    </w:p>
    <w:p w:rsidR="00F0434A" w:rsidRPr="00F0434A" w:rsidRDefault="00F0434A" w:rsidP="00F0434A">
      <w:pPr>
        <w:spacing w:line="360" w:lineRule="auto"/>
        <w:ind w:firstLine="720"/>
        <w:jc w:val="both"/>
        <w:rPr>
          <w:rFonts w:asciiTheme="minorHAnsi" w:hAnsiTheme="minorHAnsi" w:cstheme="minorHAnsi"/>
          <w:color w:val="auto"/>
          <w:lang w:val="en-US"/>
        </w:rPr>
      </w:pPr>
      <w:r w:rsidRPr="00F0434A">
        <w:rPr>
          <w:rFonts w:asciiTheme="minorHAnsi" w:hAnsiTheme="minorHAnsi" w:cstheme="minorHAnsi"/>
          <w:color w:val="auto"/>
          <w:lang w:val="en-US"/>
        </w:rPr>
        <w:t>For the ESI+FC method of source localization, connectivity analysis based on Granger causality was applied on the time series extracted by ESI. Spectrum-weighted Adaptive Directed Transfer Function (swADTF) was used as method for FC computation</w:t>
      </w:r>
      <w:r w:rsidRPr="00F0434A">
        <w:rPr>
          <w:rFonts w:asciiTheme="minorHAnsi" w:hAnsiTheme="minorHAnsi" w:cstheme="minorHAnsi"/>
          <w:color w:val="auto"/>
          <w:lang w:val="en-US"/>
        </w:rPr>
        <w:fldChar w:fldCharType="begin" w:fldLock="1"/>
      </w:r>
      <w:r w:rsidRPr="00F0434A">
        <w:rPr>
          <w:rFonts w:asciiTheme="minorHAnsi" w:hAnsiTheme="minorHAnsi" w:cstheme="minorHAnsi"/>
          <w:color w:val="auto"/>
          <w:lang w:val="en-US"/>
        </w:rPr>
        <w:instrText>ADDIN CSL_CITATION {"citationItems":[{"id":"ITEM-1","itemData":{"DOI":"10.1016/j.neuroimage.2011.02.009","ISSN":"1095-9572 (Electronic)","PMID":"21316472","abstract":"Epilepsy is a neurological disorder characterized by seizures, i.e. abnormal synchronous activity of neurons in the brain. During a focal seizure, the abnormal synchronous activity starts in a specific brain region and rapidly propagates to neighboring regions. Intracranial ElectroEncephaloGraphy (IEEG) is the recording of brain activity at a high temporal resolution through electrodes placed within different brain regions. Intracranial electrodes are used to access structures deep within the brain and to reveal brain activity that cannot be observed with scalp EEG recordings. In order to identify the pattern of propagation across brain areas, a connectivity measure named the Adapted Directed Transfer Function (ADTF) has been developed. This measure reveals connections between different regions by exploiting statistical dependencies within multichannel recordings. The ADTF can be derived from the coefficients of a time-variant multivariate autoregressive (TVAR) model fitted to the data. In this paper the applicability to locate the epileptogenic focus by time-variant connectivity analysis of seizure onsets based on the ADTF is shown. Furthermore, different normalizations of the ADTF (the integrated ADTF, the masked ADTF and the full frequency ADTF) are compared to investigate whether one is more suitable to describe the spreading of epileptic activity during an epileptic seizure. We quantified the performance of different connectivity measures during simulations of an epileptic seizure onset. The full frequency ADTF outperforms the integrated ADTF and masked ADTF. Accordingly, we applied this full frequency ADTF to 4 seizure onset and 29 subclinical seizure IEEG recordings of a patient with refractory epilepsy. Hereby, we showed that connectivity patterns derived from IEEG recordings can provide useful information about seizure propagation and may improve the accuracy of the pre-surgical evaluation in patients with refractory epilepsy.","author":[{"dropping-particle":"","family":"Mierlo","given":"Pieter","non-dropping-particle":"van","parse-names":false,"suffix":""},{"dropping-particle":"","family":"Carrette","given":"Evelien","non-dropping-particle":"","parse-names":false,"suffix":""},{"dropping-particle":"","family":"Hallez","given":"Hans","non-dropping-particle":"","parse-names":false,"suffix":""},{"dropping-particle":"","family":"Vonck","given":"Kristl","non-dropping-particle":"","parse-names":false,"suffix":""},{"dropping-particle":"","family":"Roost","given":"Dirk","non-dropping-particle":"Van","parse-names":false,"suffix":""},{"dropping-particle":"","family":"Boon","given":"Paul","non-dropping-particle":"","parse-names":false,"suffix":""},{"dropping-particle":"","family":"Staelens","given":"Steven","non-dropping-particle":"","parse-names":false,"suffix":""}],"container-title":"NeuroImage","id":"ITEM-1","issue":"3","issued":{"date-parts":[["2011","6"]]},"language":"eng","page":"1122-1133","publisher-place":"United States","title":"Accurate epileptogenic focus localization through time-variant functional connectivity analysis of intracranial electroencephalographic signals.","type":"article-journal","volume":"56"},"uris":["http://www.mendeley.com/documents/?uuid=01ced328-f1aa-411b-9f5a-eb803a44ee41"]}],"mendeley":{"formattedCitation":"[46]","plainTextFormattedCitation":"[46]","previouslyFormattedCitation":"[45]"},"properties":{"noteIndex":0},"schema":"https://github.com/citation-style-language/schema/raw/master/csl-citation.json"}</w:instrText>
      </w:r>
      <w:r w:rsidRPr="00F0434A">
        <w:rPr>
          <w:rFonts w:asciiTheme="minorHAnsi" w:hAnsiTheme="minorHAnsi" w:cstheme="minorHAnsi"/>
          <w:color w:val="auto"/>
          <w:lang w:val="en-US"/>
        </w:rPr>
        <w:fldChar w:fldCharType="separate"/>
      </w:r>
      <w:r w:rsidRPr="00F0434A">
        <w:rPr>
          <w:rFonts w:asciiTheme="minorHAnsi" w:hAnsiTheme="minorHAnsi" w:cstheme="minorHAnsi"/>
          <w:noProof/>
          <w:color w:val="auto"/>
          <w:lang w:val="en-US"/>
        </w:rPr>
        <w:t>[46]</w:t>
      </w:r>
      <w:r w:rsidRPr="00F0434A">
        <w:rPr>
          <w:rFonts w:asciiTheme="minorHAnsi" w:hAnsiTheme="minorHAnsi" w:cstheme="minorHAnsi"/>
          <w:color w:val="auto"/>
          <w:lang w:val="en-US"/>
        </w:rPr>
        <w:fldChar w:fldCharType="end"/>
      </w:r>
      <w:r w:rsidRPr="00F0434A">
        <w:rPr>
          <w:rFonts w:asciiTheme="minorHAnsi" w:hAnsiTheme="minorHAnsi" w:cstheme="minorHAnsi"/>
          <w:color w:val="auto"/>
          <w:lang w:val="en-US"/>
        </w:rPr>
        <w:t xml:space="preserve">. For further methodological detail, we refer to previous publications on the subject </w:t>
      </w:r>
      <w:r w:rsidRPr="00F0434A">
        <w:rPr>
          <w:rFonts w:asciiTheme="minorHAnsi" w:hAnsiTheme="minorHAnsi" w:cstheme="minorHAnsi"/>
          <w:color w:val="auto"/>
          <w:lang w:val="en-US"/>
        </w:rPr>
        <w:fldChar w:fldCharType="begin" w:fldLock="1"/>
      </w:r>
      <w:r w:rsidRPr="00F0434A">
        <w:rPr>
          <w:rFonts w:asciiTheme="minorHAnsi" w:hAnsiTheme="minorHAnsi" w:cstheme="minorHAnsi"/>
          <w:color w:val="auto"/>
          <w:lang w:val="en-US"/>
        </w:rPr>
        <w:instrText>ADDIN CSL_CITATION {"citationItems":[{"id":"ITEM-1","itemData":{"DOI":"10.1111/epi.12206","ISSN":"1528-1167 (Electronic)","PMID":"23647147","abstract":"PURPOSE: Fifteen percent to 25% of patients with refractory epilepsy require invasive video-electroencephalography (EEG) monitoring (IVEM) to precisely delineate the ictal-onset zone. This delineation based on the recorded intracranial EEG (iEEG) signals occurs visually by the epileptologist and is therefore prone to human mistakes. The purpose of this study is to investigate whether effective connectivity analysis of intracranially recorded EEG during seizures provides an objective method to localize the ictal-onset zone. METHODS: In this study data were analyzed from eight patients who underwent IVEM at Ghent University Hospital in Belgium. All patients had a focal ictal onset and were seizure-free following resective surgery. The effective connectivity pattern was calculated during the first 20 s of ictal rhythmic iEEG activity. The out-degree, which is reflective of the number of outgoing connections, was calculated for each electrode contact for every single seizure during these 20 s. The seizure specific out-degrees were summed per patient to obtain the total out-degree. The electrode contact with the highest total out-degree was considered indicative of localization of the ictal-onset zone. This result was compared to the conclusion of the visual analysis of the epileptologist and the resected brain region segmented from postoperative magnetic resonance imaging (MRI). KEY FINDINGS: In all eight patients the electrode contact with the highest total out-degree was among the contacts identified by the epileptologist as the ictal onset. This contact, that we named \"the driver,\" always laid within the resected brain region. Furthermore, the patient-specific connectivity patterns were consistent over the majority of seizures. SIGNIFICANCE: In this study we demonstrated the feasibility of correctly localizing the ictal-onset zone from iEEG recordings by using effective connectivity analysis during the first 20 s of ictal rhythmic iEEG activity.","author":[{"dropping-particle":"","family":"Mierlo","given":"Pieter","non-dropping-particle":"van","parse-names":false,"suffix":""},{"dropping-particle":"","family":"Carrette","given":"Evelien","non-dropping-particle":"","parse-names":false,"suffix":""},{"dropping-particle":"","family":"Hallez","given":"Hans","non-dropping-particle":"","parse-names":false,"suffix":""},{"dropping-particle":"","family":"Raedt","given":"Robrecht","non-dropping-particle":"","parse-names":false,"suffix":""},{"dropping-particle":"","family":"Meurs","given":"Alfred","non-dropping-particle":"","parse-names":false,"suffix":""},{"dropping-particle":"","family":"Vandenberghe","given":"Stefaan","non-dropping-particle":"","parse-names":false,"suffix":""},{"dropping-particle":"","family":"Roost","given":"Dirk","non-dropping-particle":"Van","parse-names":false,"suffix":""},{"dropping-particle":"","family":"Boon","given":"Paul","non-dropping-particle":"","parse-names":false,"suffix":""},{"dropping-particle":"","family":"Staelens","given":"Steven","non-dropping-particle":"","parse-names":false,"suffix":""},{"dropping-particle":"","family":"Vonck","given":"Kristl","non-dropping-particle":"","parse-names":false,"suffix":""}],"container-title":"Epilepsia","id":"ITEM-1","issue":"8","issued":{"date-parts":[["2013","8"]]},"language":"eng","page":"1409-1418","publisher-place":"United States","title":"Ictal-onset localization through connectivity analysis of intracranial EEG signals in patients with refractory epilepsy.","type":"article-journal","volume":"54"},"uris":["http://www.mendeley.com/documents/?uuid=1d316c29-4c78-4154-baf9-aa2a7783e3c3","http://www.mendeley.com/documents/?uuid=feb29770-cb43-4008-8823-4ad46cf753e5"]},{"id":"ITEM-2","itemData":{"DOI":"10.1016/j.nicl.2017.09.011","ISSN":"2213-1582 (Electronic)","PMID":"29034162","abstract":"Electrical source imaging (ESI) from interictal scalp EEG is increasingly validated and used as a valuable tool in the presurgical evaluation of epilepsy as a reflection of the irritative zone. ESI of ictal scalp EEG to localize the seizure onset zone (SOZ) remains challenging. We investigated the value of an approach for ictal imaging using ESI and functional connectivity analysis (FC). Ictal scalp EEG from 111 seizures in 27 patients who had Engel class I outcome at least 1 year following resective surgery was analyzed. For every seizure, an artifact-free epoch close to the seizure onset was selected and ESI using LORETA was applied. In addition, the reconstructed sources underwent FC using the spectrum-weighted Adaptive Directed Transfer Function. This resulted in the estimation of the SOZ in two ways: (i) the source with maximal power after ESI, (ii) the source with the strongest outgoing connections after combined ESI and FC. Next, we calculated the distance between the estimated SOZ and the border of the resected zone (RZ) for both approaches and called this the localization error ((i) LEpow and (ii) LEconn respectively). By comparing LEpow and LEconn, we assessed the added value of FC. The source with maximal power after ESI was inside the RZ (LEpow = 0 mm) in 31% of the seizures and estimated within 10 mm from the border of the RZ (LEpow &lt;/= 10 mm) in 42%. Using ESI and FC, these numbers increased to 72% for LEconn = 0 mm and 94% for LEconn &lt;/= 10 mm. FC provided a significant added value to ESI alone (p &lt; 0.001). ESI combined with subsequent FC is able to localize the SOZ in a non-invasive way with high accuracy. Therefore it could be a valuable tool in the presurgical evaluation of epilepsy.","author":[{"dropping-particle":"","family":"Staljanssens","given":"Willeke","non-dropping-particle":"","parse-names":false,"suffix":""},{"dropping-particle":"","family":"Strobbe","given":"Gregor","non-dropping-particle":"","parse-names":false,"suffix":""},{"dropping-particle":"","family":"Holen","given":"Roel","non-dropping-particle":"Van","parse-names":false,"suffix":""},{"dropping-particle":"","family":"Keereman","given":"Vincent","non-dropping-particle":"","parse-names":false,"suffix":""},{"dropping-particle":"","family":"Gadeyne","given":"Stefanie","non-dropping-particle":"","parse-names":false,"suffix":""},{"dropping-particle":"","family":"Carrette","given":"Evelien","non-dropping-particle":"","parse-names":false,"suffix":""},{"dropping-particle":"","family":"Meurs","given":"Alfred","non-dropping-particle":"","parse-names":false,"suffix":""},{"dropping-particle":"","family":"Pittau","given":"Francesca","non-dropping-particle":"","parse-names":false,"suffix":""},{"dropping-particle":"","family":"Momjian","given":"Shahan","non-dropping-particle":"","parse-names":false,"suffix":""},{"dropping-particle":"","family":"Seeck","given":"Margitta","non-dropping-particle":"","parse-names":false,"suffix":""},{"dropping-particle":"","family":"Boon","given":"Paul","non-dropping-particle":"","parse-names":false,"suffix":""},{"dropping-particle":"","family":"Vandenberghe","given":"Stefaan","non-dropping-particle":"","parse-names":false,"suffix":""},{"dropping-particle":"","family":"Vulliemoz","given":"Serge","non-dropping-particle":"","parse-names":false,"suffix":""},{"dropping-particle":"","family":"Vonck","given":"Kristl","non-dropping-particle":"","parse-names":false,"suffix":""},{"dropping-particle":"","family":"Mierlo","given":"Pieter","non-dropping-particle":"van","parse-names":false,"suffix":""}],"container-title":"NeuroImage. Clinical","id":"ITEM-2","issued":{"date-parts":[["2017"]]},"language":"eng","page":"689-698","publisher-place":"Netherlands","title":"EEG source connectivity to localize the seizure onset zone in patients with drug  resistant epilepsy.","type":"article-journal","volume":"16"},"uris":["http://www.mendeley.com/documents/?uuid=65b91fef-2806-4dfc-8dca-faaa219310bc"]}],"mendeley":{"formattedCitation":"[32,35]","plainTextFormattedCitation":"[32,35]","previouslyFormattedCitation":"[32,35]"},"properties":{"noteIndex":0},"schema":"https://github.com/citation-style-language/schema/raw/master/csl-citation.json"}</w:instrText>
      </w:r>
      <w:r w:rsidRPr="00F0434A">
        <w:rPr>
          <w:rFonts w:asciiTheme="minorHAnsi" w:hAnsiTheme="minorHAnsi" w:cstheme="minorHAnsi"/>
          <w:color w:val="auto"/>
          <w:lang w:val="en-US"/>
        </w:rPr>
        <w:fldChar w:fldCharType="separate"/>
      </w:r>
      <w:r w:rsidRPr="00F0434A">
        <w:rPr>
          <w:rFonts w:asciiTheme="minorHAnsi" w:hAnsiTheme="minorHAnsi" w:cstheme="minorHAnsi"/>
          <w:noProof/>
          <w:color w:val="auto"/>
          <w:lang w:val="en-US"/>
        </w:rPr>
        <w:t>[32,35]</w:t>
      </w:r>
      <w:r w:rsidRPr="00F0434A">
        <w:rPr>
          <w:rFonts w:asciiTheme="minorHAnsi" w:hAnsiTheme="minorHAnsi" w:cstheme="minorHAnsi"/>
          <w:color w:val="auto"/>
          <w:lang w:val="en-US"/>
        </w:rPr>
        <w:fldChar w:fldCharType="end"/>
      </w:r>
      <w:r w:rsidRPr="00F0434A">
        <w:rPr>
          <w:rFonts w:asciiTheme="minorHAnsi" w:hAnsiTheme="minorHAnsi" w:cstheme="minorHAnsi"/>
          <w:color w:val="auto"/>
          <w:lang w:val="en-US"/>
        </w:rPr>
        <w:t>. SwADTF was calculated at each epoch time sample within the specific FOI. The out-degree of each source was calculated as the sum of the swADTF values pointing to every other source. For each seizure analyzed, the source having the highest out-degree was named S</w:t>
      </w:r>
      <w:r w:rsidRPr="00F0434A">
        <w:rPr>
          <w:rFonts w:asciiTheme="minorHAnsi" w:hAnsiTheme="minorHAnsi" w:cstheme="minorHAnsi"/>
          <w:color w:val="auto"/>
          <w:vertAlign w:val="subscript"/>
          <w:lang w:val="en-US"/>
        </w:rPr>
        <w:t>CONN</w:t>
      </w:r>
      <w:r w:rsidRPr="00F0434A">
        <w:rPr>
          <w:rFonts w:asciiTheme="minorHAnsi" w:hAnsiTheme="minorHAnsi" w:cstheme="minorHAnsi"/>
          <w:color w:val="auto"/>
          <w:lang w:val="en-US"/>
        </w:rPr>
        <w:t>, and considered as the SOZ estimate for ESI+FC method.</w:t>
      </w:r>
    </w:p>
    <w:p w:rsidR="00F0434A" w:rsidRPr="00F0434A" w:rsidRDefault="00F0434A" w:rsidP="00F0434A">
      <w:pPr>
        <w:spacing w:line="360" w:lineRule="auto"/>
        <w:jc w:val="both"/>
        <w:rPr>
          <w:rFonts w:asciiTheme="minorHAnsi" w:hAnsiTheme="minorHAnsi" w:cstheme="minorHAnsi"/>
          <w:color w:val="auto"/>
          <w:u w:val="single"/>
          <w:lang w:val="en-US"/>
        </w:rPr>
      </w:pPr>
    </w:p>
    <w:p w:rsidR="00F0434A" w:rsidRPr="00F0434A" w:rsidRDefault="00F0434A" w:rsidP="00F0434A">
      <w:pPr>
        <w:pStyle w:val="Paragraphedeliste"/>
        <w:numPr>
          <w:ilvl w:val="1"/>
          <w:numId w:val="31"/>
        </w:numPr>
        <w:spacing w:line="360" w:lineRule="auto"/>
        <w:jc w:val="both"/>
        <w:rPr>
          <w:rFonts w:asciiTheme="minorHAnsi" w:hAnsiTheme="minorHAnsi" w:cstheme="minorHAnsi"/>
          <w:b/>
          <w:color w:val="auto"/>
          <w:lang w:val="en-US"/>
        </w:rPr>
      </w:pPr>
      <w:r w:rsidRPr="00F0434A">
        <w:rPr>
          <w:rFonts w:asciiTheme="minorHAnsi" w:hAnsiTheme="minorHAnsi" w:cstheme="minorHAnsi"/>
          <w:b/>
          <w:color w:val="auto"/>
          <w:lang w:val="en-US"/>
        </w:rPr>
        <w:t>Automated interictal ESI</w:t>
      </w:r>
    </w:p>
    <w:p w:rsidR="00F0434A" w:rsidRPr="00F0434A" w:rsidRDefault="00F0434A" w:rsidP="00F0434A">
      <w:pPr>
        <w:spacing w:line="360" w:lineRule="auto"/>
        <w:ind w:firstLine="720"/>
        <w:jc w:val="both"/>
        <w:rPr>
          <w:rFonts w:asciiTheme="minorHAnsi" w:hAnsiTheme="minorHAnsi" w:cstheme="minorHAnsi"/>
          <w:color w:val="auto"/>
          <w:lang w:val="en-US"/>
        </w:rPr>
      </w:pPr>
      <w:r w:rsidRPr="00F0434A">
        <w:rPr>
          <w:rFonts w:asciiTheme="minorHAnsi" w:hAnsiTheme="minorHAnsi" w:cstheme="minorHAnsi"/>
          <w:color w:val="auto"/>
          <w:lang w:val="en-US"/>
        </w:rPr>
        <w:t xml:space="preserve">In addition to ictal analyses, datasets were also analyzed using Epilog PreOp© (Epilog NV, Ghent, Belgium), consisting of an automated interictal spike-detection coupled to subsequent ESI analysis. We refer to previous publications for a more extensive description of this methodology </w:t>
      </w:r>
      <w:r w:rsidRPr="00F0434A">
        <w:rPr>
          <w:rFonts w:asciiTheme="minorHAnsi" w:hAnsiTheme="minorHAnsi" w:cstheme="minorHAnsi"/>
          <w:color w:val="auto"/>
          <w:lang w:val="en-US"/>
        </w:rPr>
        <w:fldChar w:fldCharType="begin" w:fldLock="1"/>
      </w:r>
      <w:r w:rsidRPr="00F0434A">
        <w:rPr>
          <w:rFonts w:asciiTheme="minorHAnsi" w:hAnsiTheme="minorHAnsi" w:cstheme="minorHAnsi"/>
          <w:color w:val="auto"/>
          <w:lang w:val="en-US"/>
        </w:rPr>
        <w:instrText>ADDIN CSL_CITATION {"citationItems":[{"id":"ITEM-1","itemData":{"DOI":"10.1002/epi4.12066","ISSN":"2470-9239 (Print)","PMID":"29588961","abstract":"Objective: We investigated the performance of automatic spike detection and subsequent electroencephalogram (EEG) source imaging to localize the epileptogenic zone (EZ) from long-term EEG recorded during video-EEG monitoring. Methods: In 32 patients, spikes were automatically detected in the EEG and clustered according to their morphology. The two spike clusters with most single events in each patient were averaged and localized in the brain at the half-rising time and peak of the spike using EEG source imaging. On the basis of the distance from the sources to the resection and the known patient outcome after surgery, the performance of the automated EEG analysis to localize the EZ was quantified. Results: In 28 out of the 32 patients, the automatically detected spike clusters corresponded with the reported interictal findings. The median distance to the resection in patients with Engel class I outcome was 6.5 and 15 mm for spike cluster 1 and 27 and 26 mm for cluster 2, at the peak and the half-rising time of the spike, respectively. Spike occurrence (cluster 1 vs. cluster 2) and spike timing (peak vs. half-rising) significantly influenced the distance to the resection (p &lt; 0.05). For patients with Engel class II, III, and IV outcomes, the median distance increased to 36 and 36 mm for cluster 1. Localizing spike cluster 1 at the peak resulted in a sensitivity of 70% and specificity of 100%, positive prediction value (PPV) of 100%, and negative predictive value (NPV) of 53%. Including the results of spike cluster 2 led to an increased sensitivity of 79% NPV of 55% and diagnostic OR of 11.4, while the specificity dropped to 75% and the PPV to 90%. Significance: We showed that automated analysis of long-term EEG recordings results in a high sensitivity and specificity to localize the epileptogenic focus.","author":[{"dropping-particle":"","family":"Mierlo","given":"Pieter","non-dropping-particle":"van","parse-names":false,"suffix":""},{"dropping-particle":"","family":"Strobbe","given":"Gregor","non-dropping-particle":"","parse-names":false,"suffix":""},{"dropping-particle":"","family":"Keereman","given":"Vincent","non-dropping-particle":"","parse-names":false,"suffix":""},{"dropping-particle":"","family":"Birot","given":"Gwenael","non-dropping-particle":"","parse-names":false,"suffix":""},{"dropping-particle":"","family":"Gadeyne","given":"Stefanie","non-dropping-particle":"","parse-names":false,"suffix":""},{"dropping-particle":"","family":"Gschwind","given":"Markus","non-dropping-particle":"","parse-names":false,"suffix":""},{"dropping-particle":"","family":"Carrette","given":"Evelien","non-dropping-particle":"","parse-names":false,"suffix":""},{"dropping-particle":"","family":"Meurs","given":"Alfred","non-dropping-particle":"","parse-names":false,"suffix":""},{"dropping-particle":"","family":"Roost","given":"Dirk","non-dropping-particle":"Van","parse-names":false,"suffix":""},{"dropping-particle":"","family":"Vonck","given":"Kristl","non-dropping-particle":"","parse-names":false,"suffix":""},{"dropping-particle":"","family":"Seeck","given":"Margitta","non-dropping-particle":"","parse-names":false,"suffix":""},{"dropping-particle":"","family":"Vulliemoz","given":"Serge","non-dropping-particle":"","parse-names":false,"suffix":""},{"dropping-particle":"","family":"Boon","given":"Paul","non-dropping-particle":"","parse-names":false,"suffix":""}],"container-title":"Epilepsia open","id":"ITEM-1","issue":"3","issued":{"date-parts":[["2017","9"]]},"language":"eng","page":"322-333","publisher-place":"United States","title":"Automated long-term EEG analysis to localize the epileptogenic zone.","type":"article-journal","volume":"2"},"uris":["http://www.mendeley.com/documents/?uuid=417caea8-346e-4478-9f87-59c3d0e0d9ed"]},{"id":"ITEM-2","itemData":{"DOI":"10.1016/j.clinph.2018.09.015","ISSN":"1872-8952 (Electronic)","PMID":"30278389","abstract":"OBJECTIVE: To evaluate the accuracy of automated EEG source imaging (ESI) in localizing epileptogenic zone. METHODS: Long-term EEG, recorded with the standard 25-electrode array of the IFCN, from 41 consecutive patients with focal epilepsy who underwent resective surgery, were analyzed blinded to the surgical outcome. The automated analysis comprised spike-detection, clustering and source imaging at the half-rising time and at the peak of each spike-cluster, using individual head-models with six tissue-layers and a distributed source model (sLORETA). The fully automated approach presented ESI of the cluster with the highest number of spikes, at the half-rising time. In addition, a physician involved in the presurgical evaluation of the patients, evaluated the automated ESI results (up to four clusters per patient) in clinical context and selected the dominant cluster and the analysis time-point (semi-automated approach). The reference standard was location of the resected area and outcome one year after operation. RESULTS: Accuracy was 61% (95% CI: 45-76%) for the fully automated approach and 78% (95% CI: 62-89%) for the semi-automated approach. CONCLUSION: Automated ESI has an accuracy similar to previously reported neuroimaging methods. SIGNIFICANCE: Automated ESI will contribute to increased utilization of source imaging in the presurgical evaluation of patients with epilepsy.","author":[{"dropping-particle":"","family":"Baroumand","given":"Amir G","non-dropping-particle":"","parse-names":false,"suffix":""},{"dropping-particle":"","family":"Mierlo","given":"Pieter","non-dropping-particle":"van","parse-names":false,"suffix":""},{"dropping-particle":"","family":"Strobbe","given":"Gregor","non-dropping-particle":"","parse-names":false,"suffix":""},{"dropping-particle":"","family":"Pinborg","given":"Lars H","non-dropping-particle":"","parse-names":false,"suffix":""},{"dropping-particle":"","family":"Fabricius","given":"Martin","non-dropping-particle":"","parse-names":false,"suffix":""},{"dropping-particle":"","family":"Rubboli","given":"Guido","non-dropping-particle":"","parse-names":false,"suffix":""},{"dropping-particle":"","family":"Leffers","given":"Anne-Mette","non-dropping-particle":"","parse-names":false,"suffix":""},{"dropping-particle":"","family":"Uldall","given":"Peter","non-dropping-particle":"","parse-names":false,"suffix":""},{"dropping-particle":"","family":"Jespersen","given":"Bo","non-dropping-particle":"","parse-names":false,"suffix":""},{"dropping-particle":"","family":"Brennum","given":"Jannick","non-dropping-particle":"","parse-names":false,"suffix":""},{"dropping-particle":"","family":"Henriksen","given":"Otto Molby","non-dropping-particle":"","parse-names":false,"suffix":""},{"dropping-particle":"","family":"Beniczky","given":"Sandor","non-dropping-particle":"","parse-names":false,"suffix":""}],"container-title":"Clinical neurophysiology : official journal of the International Federation of Clinical Neurophysiology","id":"ITEM-2","issue":"11","issued":{"date-parts":[["2018","11"]]},"language":"eng","page":"2403-2410","publisher-place":"Netherlands","title":"Automated EEG source imaging: A retrospective, blinded clinical validation study.","type":"article-journal","volume":"129"},"uris":["http://www.mendeley.com/documents/?uuid=33d797c8-2b74-42bd-86a7-9b9cea8e3214","http://www.mendeley.com/documents/?uuid=c5a48fe7-f434-47ff-8203-6d96c0f50b6d"]}],"mendeley":{"formattedCitation":"[10,12]","plainTextFormattedCitation":"[10,12]","previouslyFormattedCitation":"[10,12]"},"properties":{"noteIndex":0},"schema":"https://github.com/citation-style-language/schema/raw/master/csl-citation.json"}</w:instrText>
      </w:r>
      <w:r w:rsidRPr="00F0434A">
        <w:rPr>
          <w:rFonts w:asciiTheme="minorHAnsi" w:hAnsiTheme="minorHAnsi" w:cstheme="minorHAnsi"/>
          <w:color w:val="auto"/>
          <w:lang w:val="en-US"/>
        </w:rPr>
        <w:fldChar w:fldCharType="separate"/>
      </w:r>
      <w:r w:rsidRPr="00F0434A">
        <w:rPr>
          <w:rFonts w:asciiTheme="minorHAnsi" w:hAnsiTheme="minorHAnsi" w:cstheme="minorHAnsi"/>
          <w:noProof/>
          <w:color w:val="auto"/>
          <w:lang w:val="en-US"/>
        </w:rPr>
        <w:t>[10,12]</w:t>
      </w:r>
      <w:r w:rsidRPr="00F0434A">
        <w:rPr>
          <w:rFonts w:asciiTheme="minorHAnsi" w:hAnsiTheme="minorHAnsi" w:cstheme="minorHAnsi"/>
          <w:color w:val="auto"/>
          <w:lang w:val="en-US"/>
        </w:rPr>
        <w:fldChar w:fldCharType="end"/>
      </w:r>
      <w:r w:rsidRPr="00F0434A">
        <w:rPr>
          <w:rFonts w:asciiTheme="minorHAnsi" w:hAnsiTheme="minorHAnsi" w:cstheme="minorHAnsi"/>
          <w:color w:val="auto"/>
          <w:lang w:val="en-US"/>
        </w:rPr>
        <w:t xml:space="preserve">. sLORETA inverse solution was performed at the half-rising time and the peak of the averaged spike waveforms, and the four most represented spike clusters were retained. </w:t>
      </w:r>
    </w:p>
    <w:p w:rsidR="00F0434A" w:rsidRPr="00F0434A" w:rsidRDefault="00F0434A" w:rsidP="00F0434A">
      <w:pPr>
        <w:spacing w:line="360" w:lineRule="auto"/>
        <w:jc w:val="both"/>
        <w:rPr>
          <w:rFonts w:asciiTheme="minorHAnsi" w:hAnsiTheme="minorHAnsi" w:cstheme="minorHAnsi"/>
          <w:color w:val="auto"/>
          <w:u w:val="single"/>
          <w:lang w:val="en-US"/>
        </w:rPr>
      </w:pPr>
    </w:p>
    <w:p w:rsidR="00F0434A" w:rsidRPr="00F0434A" w:rsidRDefault="00F0434A" w:rsidP="00F0434A">
      <w:pPr>
        <w:pStyle w:val="Paragraphedeliste"/>
        <w:numPr>
          <w:ilvl w:val="1"/>
          <w:numId w:val="31"/>
        </w:numPr>
        <w:spacing w:line="360" w:lineRule="auto"/>
        <w:jc w:val="both"/>
        <w:rPr>
          <w:rFonts w:asciiTheme="minorHAnsi" w:hAnsiTheme="minorHAnsi" w:cstheme="minorHAnsi"/>
          <w:b/>
          <w:color w:val="auto"/>
          <w:lang w:val="en-US"/>
        </w:rPr>
      </w:pPr>
      <w:r w:rsidRPr="00F0434A">
        <w:rPr>
          <w:rFonts w:asciiTheme="minorHAnsi" w:hAnsiTheme="minorHAnsi" w:cstheme="minorHAnsi"/>
          <w:b/>
          <w:color w:val="auto"/>
          <w:lang w:val="en-US"/>
        </w:rPr>
        <w:t>Reference standard and diagnostic accuracy assessment</w:t>
      </w:r>
    </w:p>
    <w:p w:rsidR="00F0434A" w:rsidRPr="00F0434A" w:rsidRDefault="00F0434A" w:rsidP="00F0434A">
      <w:pPr>
        <w:spacing w:line="360" w:lineRule="auto"/>
        <w:ind w:firstLine="708"/>
        <w:jc w:val="both"/>
        <w:rPr>
          <w:rFonts w:asciiTheme="minorHAnsi" w:hAnsiTheme="minorHAnsi" w:cstheme="minorHAnsi"/>
          <w:color w:val="auto"/>
          <w:lang w:val="en-US"/>
        </w:rPr>
      </w:pPr>
      <w:r w:rsidRPr="00F0434A">
        <w:rPr>
          <w:rFonts w:asciiTheme="minorHAnsi" w:hAnsiTheme="minorHAnsi" w:cstheme="minorHAnsi"/>
          <w:color w:val="auto"/>
          <w:lang w:val="en-US"/>
        </w:rPr>
        <w:t xml:space="preserve">STARD guidelines were adopted for reporting this study </w:t>
      </w:r>
      <w:r w:rsidRPr="00F0434A">
        <w:rPr>
          <w:rFonts w:asciiTheme="minorHAnsi" w:hAnsiTheme="minorHAnsi" w:cstheme="minorHAnsi"/>
          <w:color w:val="auto"/>
          <w:lang w:val="en-US"/>
        </w:rPr>
        <w:fldChar w:fldCharType="begin" w:fldLock="1"/>
      </w:r>
      <w:r w:rsidRPr="00F0434A">
        <w:rPr>
          <w:rFonts w:asciiTheme="minorHAnsi" w:hAnsiTheme="minorHAnsi" w:cstheme="minorHAnsi"/>
          <w:color w:val="auto"/>
          <w:lang w:val="en-US"/>
        </w:rPr>
        <w:instrText>ADDIN CSL_CITATION {"citationItems":[{"id":"ITEM-1","itemData":{"DOI":"10.1136/bmj.h5527","ISSN":"1756-1833 (Electronic)","PMID":"26511519","author":[{"dropping-particle":"","family":"Bossuyt","given":"Patrick M","non-dropping-particle":"","parse-names":false,"suffix":""},{"dropping-particle":"","family":"Reitsma","given":"Johannes B","non-dropping-particle":"","parse-names":false,"suffix":""},{"dropping-particle":"","family":"Bruns","given":"David E","non-dropping-particle":"","parse-names":false,"suffix":""},{"dropping-particle":"","family":"Gatsonis","given":"Constantine A","non-dropping-particle":"","parse-names":false,"suffix":""},{"dropping-particle":"","family":"Glasziou","given":"Paul P","non-dropping-particle":"","parse-names":false,"suffix":""},{"dropping-particle":"","family":"Irwig","given":"Les","non-dropping-particle":"","parse-names":false,"suffix":""},{"dropping-particle":"","family":"Lijmer","given":"Jeroen G","non-dropping-particle":"","parse-names":false,"suffix":""},{"dropping-particle":"","family":"Moher","given":"David","non-dropping-particle":"","parse-names":false,"suffix":""},{"dropping-particle":"","family":"Rennie","given":"Drummond","non-dropping-particle":"","parse-names":false,"suffix":""},{"dropping-particle":"","family":"Vet","given":"Henrica C W","non-dropping-particle":"de","parse-names":false,"suffix":""},{"dropping-particle":"","family":"Kressel","given":"Herbert Y","non-dropping-particle":"","parse-names":false,"suffix":""},{"dropping-particle":"","family":"Rifai","given":"Nader","non-dropping-particle":"","parse-names":false,"suffix":""},{"dropping-particle":"","family":"Golub","given":"Robert M","non-dropping-particle":"","parse-names":false,"suffix":""},{"dropping-particle":"","family":"Altman","given":"Douglas G","non-dropping-particle":"","parse-names":false,"suffix":""},{"dropping-particle":"","family":"Hooft","given":"Lotty","non-dropping-particle":"","parse-names":false,"suffix":""},{"dropping-particle":"","family":"Korevaar","given":"Daniel A","non-dropping-particle":"","parse-names":false,"suffix":""},{"dropping-particle":"","family":"Cohen","given":"Jeremie F","non-dropping-particle":"","parse-names":false,"suffix":""}],"container-title":"BMJ (Clinical research ed.)","id":"ITEM-1","issued":{"date-parts":[["2015","10"]]},"language":"eng","page":"h5527","publisher-place":"England","title":"STARD 2015: an updated list of essential items for reporting diagnostic accuracy  studies.","type":"article-journal","volume":"351"},"uris":["http://www.mendeley.com/documents/?uuid=d790ab4f-98e2-4566-b514-e9e4df735513"]}],"mendeley":{"formattedCitation":"[47]","plainTextFormattedCitation":"[47]","previouslyFormattedCitation":"[46]"},"properties":{"noteIndex":0},"schema":"https://github.com/citation-style-language/schema/raw/master/csl-citation.json"}</w:instrText>
      </w:r>
      <w:r w:rsidRPr="00F0434A">
        <w:rPr>
          <w:rFonts w:asciiTheme="minorHAnsi" w:hAnsiTheme="minorHAnsi" w:cstheme="minorHAnsi"/>
          <w:color w:val="auto"/>
          <w:lang w:val="en-US"/>
        </w:rPr>
        <w:fldChar w:fldCharType="separate"/>
      </w:r>
      <w:r w:rsidRPr="00F0434A">
        <w:rPr>
          <w:rFonts w:asciiTheme="minorHAnsi" w:hAnsiTheme="minorHAnsi" w:cstheme="minorHAnsi"/>
          <w:noProof/>
          <w:color w:val="auto"/>
          <w:lang w:val="en-US"/>
        </w:rPr>
        <w:t>[47]</w:t>
      </w:r>
      <w:r w:rsidRPr="00F0434A">
        <w:rPr>
          <w:rFonts w:asciiTheme="minorHAnsi" w:hAnsiTheme="minorHAnsi" w:cstheme="minorHAnsi"/>
          <w:color w:val="auto"/>
          <w:lang w:val="en-US"/>
        </w:rPr>
        <w:fldChar w:fldCharType="end"/>
      </w:r>
      <w:r w:rsidRPr="00F0434A">
        <w:rPr>
          <w:rFonts w:asciiTheme="minorHAnsi" w:hAnsiTheme="minorHAnsi" w:cstheme="minorHAnsi"/>
          <w:color w:val="auto"/>
          <w:lang w:val="en-US"/>
        </w:rPr>
        <w:t xml:space="preserve">. The resection zone was considered as reference standard, and accuracy measures were determined in relation to the surgical outcome </w:t>
      </w:r>
      <w:r w:rsidRPr="00F0434A">
        <w:rPr>
          <w:rFonts w:asciiTheme="minorHAnsi" w:hAnsiTheme="minorHAnsi" w:cstheme="minorHAnsi"/>
          <w:color w:val="auto"/>
          <w:lang w:val="en-US"/>
        </w:rPr>
        <w:fldChar w:fldCharType="begin" w:fldLock="1"/>
      </w:r>
      <w:r w:rsidRPr="00F0434A">
        <w:rPr>
          <w:rFonts w:asciiTheme="minorHAnsi" w:hAnsiTheme="minorHAnsi" w:cstheme="minorHAnsi"/>
          <w:color w:val="auto"/>
          <w:lang w:val="en-US"/>
        </w:rPr>
        <w:instrText>ADDIN CSL_CITATION {"citationItems":[{"id":"ITEM-1","itemData":{"DOI":"10.1093/brain/awr243","ISSN":"1460-2156 (Electronic)","PMID":"21975586","abstract":"Electroencephalography is mandatory to determine the epilepsy syndrome. However,  for the precise localization of the irritative zone in patients with focal epilepsy, costly and sometimes cumbersome imaging techniques are used. Recent small studies using electric source imaging suggest that electroencephalography itself could be used to localize the focus. However, a large prospective validation study is missing. This study presents a cohort of 152 operated patients where electric source imaging was applied as part of the pre-surgical work-up allowing a comparison with the results from other methods. Patients (n = 152) with &gt;1 year postoperative follow-up were studied prospectively. The sensitivity and specificity of each imaging method was defined by comparing the localization of the source maximum with the resected zone and surgical outcome. Electric source imaging had a sensitivity of 84% and a specificity of 88% if the electroencephalogram was recorded with a large number of electrodes (128-256 channels) and the individual magnetic resonance image was used as head model. These values compared favourably with those of structural magnetic resonance imaging (76% sensitivity, 53% specificity), positron emission tomography (69% sensitivity, 44% specificity) and ictal/interictal single-photon emission-computed tomography (58% sensitivity, 47% specificity). The sensitivity and specificity of electric source imaging decreased to 57% and 59%, respectively, with low number of electrodes (&lt;32 channels) and a template head model. This study demonstrated the validity and clinical utility of electric source imaging in a large prospective study. Given the low cost and high flexibility of electroencephalographic systems even with high channel counts, we conclude that electric source imaging is a highly valuable tool in pre-surgical epilepsy evaluation.","author":[{"dropping-particle":"","family":"Brodbeck","given":"Verena","non-dropping-particle":"","parse-names":false,"suffix":""},{"dropping-particle":"","family":"Spinelli","given":"Laurent","non-dropping-particle":"","parse-names":false,"suffix":""},{"dropping-particle":"","family":"Lascano","given":"Agustina M","non-dropping-particle":"","parse-names":false,"suffix":""},{"dropping-particle":"","family":"Wissmeier","given":"Michael","non-dropping-particle":"","parse-names":false,"suffix":""},{"dropping-particle":"","family":"Vargas","given":"Maria-Isabel","non-dropping-particle":"","parse-names":false,"suffix":""},{"dropping-particle":"","family":"Vulliemoz","given":"Serge","non-dropping-particle":"","parse-names":false,"suffix":""},{"dropping-particle":"","family":"Pollo","given":"Claudio","non-dropping-particle":"","parse-names":false,"suffix":""},{"dropping-particle":"","family":"Schaller","given":"Karl","non-dropping-particle":"","parse-names":false,"suffix":""},{"dropping-particle":"","family":"Michel","given":"Christoph M","non-dropping-particle":"","parse-names":false,"suffix":""},{"dropping-particle":"","family":"Seeck","given":"Margitta","non-dropping-particle":"","parse-names":false,"suffix":""}],"container-title":"Brain : a journal of neurology","id":"ITEM-1","issue":"Pt 10","issued":{"date-parts":[["2011","10"]]},"language":"eng","page":"2887-2897","publisher-place":"England","title":"Electroencephalographic source imaging: a prospective study of 152 operated epileptic patients.","type":"article-journal","volume":"134"},"uris":["http://www.mendeley.com/documents/?uuid=0b7e3ff3-cb6e-468d-b0b1-5f20f31a6c23"]},{"id":"ITEM-2","itemData":{"DOI":"10.1111/ene.13676","ISSN":"1468-1331 (Electronic)","PMID":"29751364","abstract":"BACKGROUND AND PURPOSE: Accurate localization of the epileptic focus is essential for surgical treatment of patients with drug-resistant epilepsy. Electric source imaging (ESI) is increasingly used in pre-surgical evaluation. However, most previous studies have analysed interictal (II) discharges. Prospective studies comparing the feasibility and accuracy of II and ictal (IC) ESI are lacking. METHODS: We prospectively analysed long-term video-electroencephalography recordings (LTM) of patients admitted for pre-surgical evaluation. We performed ESI of II and IC signals using two methods, i.e. equivalent current dipole (ECD) and a distributed source model (DSM). LTM recordings employed the standard 25-electrode array (including inferior temporal electrodes). An age-matched template head model was used for source analysis. Results were compared with intracranial recordings, conventional neuroimaging methods [magnetic resonance imaging (MRI), positron emission tomography (PET), single-photon emission computed tomography (SPECT)] and outcome at 1 year after surgery. RESULTS: A total of 87 consecutive patients were analysed. ECD gave a significantly higher proportion of patients with localized focal abnormalities (94%) compared with MRI (70%), PET (66%) and SPECT (64%). Agreement between the ESI methods and intracranial recording was moderate to substantial (k = 0.56-0.79). A total of 54 patients were operated (47 patients more than 1 year ago) and 62% of them became seizure-free. The localization accuracy of II-ESI was 51% for DSM and 57% for ECD, and that for IC-ESI was 51% for DSM and 62% for ECD. The differences between the ESI methods were not significant. Differences in localization accuracy between ESI and MRI (55%), PET (33%) and SPECT (40%) were not significant. CONCLUSIONS: The II-ESI and IC-ESI of LTM data have high feasibility and their localization accuracy is similar to that of conventional neuroimaging methods.","author":[{"dropping-particle":"","family":"Sharma","given":"P","non-dropping-particle":"","parse-names":false,"suffix":""},{"dropping-particle":"","family":"Scherg","given":"M","non-dropping-particle":"","parse-names":false,"suffix":""},{"dropping-particle":"","family":"Pinborg","given":"L H","non-dropping-particle":"","parse-names":false,"suffix":""},{"dropping-particle":"","family":"Fabricius","given":"M","non-dropping-particle":"","parse-names":false,"suffix":""},{"dropping-particle":"","family":"Rubboli","given":"G","non-dropping-particle":"","parse-names":false,"suffix":""},{"dropping-particle":"","family":"Pedersen","given":"B","non-dropping-particle":"","parse-names":false,"suffix":""},{"dropping-particle":"","family":"Leffers","given":"A-M","non-dropping-particle":"","parse-names":false,"suffix":""},{"dropping-particle":"","family":"Uldall","given":"P","non-dropping-particle":"","parse-names":false,"suffix":""},{"dropping-particle":"","family":"Jespersen","given":"B","non-dropping-particle":"","parse-names":false,"suffix":""},{"dropping-particle":"","family":"Brennum","given":"J","non-dropping-particle":"","parse-names":false,"suffix":""},{"dropping-particle":"","family":"Henriksen","given":"O M","non-dropping-particle":"","parse-names":false,"suffix":""},{"dropping-particle":"","family":"Beniczky","given":"S","non-dropping-particle":"","parse-names":false,"suffix":""}],"container-title":"European journal of neurology","id":"ITEM-2","issue":"9","issued":{"date-parts":[["2018","9"]]},"language":"eng","page":"1154-1160","publisher-place":"England","title":"Ictal and interictal electric source imaging in pre-surgical evaluation: a prospective study.","type":"article-journal","volume":"25"},"uris":["http://www.mendeley.com/documents/?uuid=cfb305e0-1e33-4b6f-9e39-1e8d5b6d9e95"]},{"id":"ITEM-3","itemData":{"DOI":"10.1016/j.clinph.2018.03.020","ISSN":"1872-8952 (Electronic)","PMID":"29680731","abstract":"OBJECTIVE: To test the diagnostic accuracy of a new automatic algorithm for ictal onset source localization (IOSL) during routine presurgical epilepsy evaluation following STARD (Standards for Reporting of Diagnostic Accuracy) criteria. METHODS: We included 28 consecutive patients with refractory focal epilepsy (25 patients with temporal lobe epilepsy (TLE) and 3 with extratemporal epilepsy) who underwent resective epilepsy surgery. Ictal EEG patterns were analyzed with a novel automatic IOSL algorithm. IOSL source localizations on a sublobar level were validated by comparison with actual resection sites and seizure free outcome 2years after surgery. RESULTS: Sensitivity of IOSL was 92.3% (TLE: 92.3%); specificity 60% (TLE: 50%); positive predictive value 66.7% (TLE: 66.7%); and negative predictive value 90% (TLE: 85.7%). The likelihood ratio was more than ten times higher for concordant IOSL results as compared to discordant results (p=0.013). CONCLUSIONS: We demonstrated the clinical feasibility of our IOSL approach yielding reasonable high performance measures on a sublobar level. SIGNIFICANCE: Our IOSL method may contribute to a correct localization of the seizure onset zone in temporal lobe epilepsy and can readily be used in standard epilepsy monitoring settings. Further studies are needed for validation in extratemporal epilepsy.","author":[{"dropping-particle":"","family":"Koren","given":"Johannes","non-dropping-particle":"","parse-names":false,"suffix":""},{"dropping-particle":"","family":"Gritsch","given":"Gerhard","non-dropping-particle":"","parse-names":false,"suffix":""},{"dropping-particle":"","family":"Pirker","given":"Susanne","non-dropping-particle":"","parse-names":false,"suffix":""},{"dropping-particle":"","family":"Herta","given":"Johannes","non-dropping-particle":"","parse-names":false,"suffix":""},{"dropping-particle":"","family":"Perko","given":"Hannes","non-dropping-particle":"","parse-names":false,"suffix":""},{"dropping-particle":"","family":"Kluge","given":"Tilmann","non-dropping-particle":"","parse-names":false,"suffix":""},{"dropping-particle":"","family":"Baumgartner","given":"Christoph","non-dropping-particle":"","parse-names":false,"suffix":""}],"container-title":"Clinical neurophysiology : official journal of the International Federation of Clinical Neurophysiology","id":"ITEM-3","issue":"6","issued":{"date-parts":[["2018","6"]]},"language":"eng","page":"1291-1299","publisher-place":"Netherlands","title":"Automatic ictal onset source localization in presurgical epilepsy evaluation.","type":"article-journal","volume":"129"},"uris":["http://www.mendeley.com/documents/?uuid=81578706-1ed6-45b3-ab5e-abfa03e17db2"]}],"mendeley":{"formattedCitation":"[9,11,13]","plainTextFormattedCitation":"[9,11,13]","previouslyFormattedCitation":"[9,11,13]"},"properties":{"noteIndex":0},"schema":"https://github.com/citation-style-language/schema/raw/master/csl-citation.json"}</w:instrText>
      </w:r>
      <w:r w:rsidRPr="00F0434A">
        <w:rPr>
          <w:rFonts w:asciiTheme="minorHAnsi" w:hAnsiTheme="minorHAnsi" w:cstheme="minorHAnsi"/>
          <w:color w:val="auto"/>
          <w:lang w:val="en-US"/>
        </w:rPr>
        <w:fldChar w:fldCharType="separate"/>
      </w:r>
      <w:r w:rsidRPr="00F0434A">
        <w:rPr>
          <w:rFonts w:asciiTheme="minorHAnsi" w:hAnsiTheme="minorHAnsi" w:cstheme="minorHAnsi"/>
          <w:noProof/>
          <w:color w:val="auto"/>
          <w:lang w:val="en-US"/>
        </w:rPr>
        <w:t>[9,11,13]</w:t>
      </w:r>
      <w:r w:rsidRPr="00F0434A">
        <w:rPr>
          <w:rFonts w:asciiTheme="minorHAnsi" w:hAnsiTheme="minorHAnsi" w:cstheme="minorHAnsi"/>
          <w:color w:val="auto"/>
          <w:lang w:val="en-US"/>
        </w:rPr>
        <w:fldChar w:fldCharType="end"/>
      </w:r>
      <w:r w:rsidRPr="00F0434A">
        <w:rPr>
          <w:rFonts w:asciiTheme="minorHAnsi" w:hAnsiTheme="minorHAnsi" w:cstheme="minorHAnsi"/>
          <w:color w:val="auto"/>
          <w:lang w:val="en-US"/>
        </w:rPr>
        <w:t>. S</w:t>
      </w:r>
      <w:r w:rsidRPr="00F0434A">
        <w:rPr>
          <w:rFonts w:asciiTheme="minorHAnsi" w:hAnsiTheme="minorHAnsi" w:cstheme="minorHAnsi"/>
          <w:color w:val="auto"/>
          <w:vertAlign w:val="subscript"/>
          <w:lang w:val="en-US"/>
        </w:rPr>
        <w:t>POW</w:t>
      </w:r>
      <w:r w:rsidRPr="00F0434A">
        <w:rPr>
          <w:rFonts w:asciiTheme="minorHAnsi" w:hAnsiTheme="minorHAnsi" w:cstheme="minorHAnsi"/>
          <w:color w:val="auto"/>
          <w:lang w:val="en-US"/>
        </w:rPr>
        <w:t xml:space="preserve"> and S</w:t>
      </w:r>
      <w:r w:rsidRPr="00F0434A">
        <w:rPr>
          <w:rFonts w:asciiTheme="minorHAnsi" w:hAnsiTheme="minorHAnsi" w:cstheme="minorHAnsi"/>
          <w:color w:val="auto"/>
          <w:vertAlign w:val="subscript"/>
          <w:lang w:val="en-US"/>
        </w:rPr>
        <w:t xml:space="preserve">CONN </w:t>
      </w:r>
      <w:r w:rsidRPr="00F0434A">
        <w:rPr>
          <w:rFonts w:asciiTheme="minorHAnsi" w:hAnsiTheme="minorHAnsi" w:cstheme="minorHAnsi"/>
          <w:color w:val="auto"/>
          <w:lang w:val="en-US"/>
        </w:rPr>
        <w:t xml:space="preserve">were co-registered with the post-operative patient-specific MRI using SPM12. Concordance was determined at sublobar level, with 21 different sublobes defined for each hemisphere </w:t>
      </w:r>
      <w:r w:rsidRPr="00F0434A">
        <w:rPr>
          <w:rFonts w:asciiTheme="minorHAnsi" w:hAnsiTheme="minorHAnsi" w:cstheme="minorHAnsi"/>
          <w:color w:val="auto"/>
          <w:lang w:val="en-US"/>
        </w:rPr>
        <w:fldChar w:fldCharType="begin" w:fldLock="1"/>
      </w:r>
      <w:r w:rsidRPr="00F0434A">
        <w:rPr>
          <w:rFonts w:asciiTheme="minorHAnsi" w:hAnsiTheme="minorHAnsi" w:cstheme="minorHAnsi"/>
          <w:color w:val="auto"/>
          <w:lang w:val="en-US"/>
        </w:rPr>
        <w:instrText>ADDIN CSL_CITATION {"citationItems":[{"id":"ITEM-1","itemData":{"DOI":"10.1016/j.clinph.2018.05.010","ISSN":"1872-8952 (Electronic)","PMID":"29920428","abstract":"OBJECTIVE: Selected patients with intractable focal epilepsy who have failed a previous epilepsy surgery can become seizure-free with reoperation. Preoperative evaluation is exceedingly challenging in this cohort. We aim to investigate the diagnostic value of two noninvasive approaches, magnetoencephalography (MEG) and ictal single-photon emission computed tomography (SPECT), in patients with failed epilepsy surgery. METHODS: We retrospectively included a consecutive cohort of patients who failed prior resective epilepsy surgery, underwent re-evaluation including MEG and ictal SPECT, and had another surgery after the re-evaluation. The relationship between resection and localization from each test was determined, and their association with seizure outcomes was analyzed. RESULTS: A total of 46 patients were included; 21 (46%) were seizure-free at 1-year followup after reoperation. Twenty-seven (58%) had a positive MEG and 31 (67%) had a positive ictal SPECT. The resection of MEG foci was significantly associated with seizure-free outcome (p=0.002). Overlap of ictal SPECT hyperperfusion zones with resection was significantly associated with seizure-free outcome in the subgroup of patients with injection time &lt;/=20seconds(p=0.03), but did not show significant association in the overall cohort (p=0.46) although all injections were ictal. Patients whose MEG and ictal SPECT were concordant on a sublobar level had a significantly higher chance of seizure freedom (p=0.05). CONCLUSIONS: MEG alone achieved successful localization in patients with failed epilepsy surgery with a statistical significance. Only ictal SPECT with early injection (&lt;/=20seconds) had good localization value. Sublobar concordance between both tests was significantly associated with seizure freedom. SPECT can provide essential information in MEG-negative cases and vice versa. SIGNIFICANCE: Our results emphasize the importance of considering a multimodal presurgical evaluation including MEG and SPECT in all patients with a previous failed epilepsy surgery.","author":[{"dropping-particle":"","family":"Tahry  Russianm","given":"Rismall io","non-dropping-particle":"El","parse-names":false,"suffix":""},{"dropping-particle":"","family":"Wang","given":"Z Irene","non-dropping-particle":"","parse-names":false,"suffix":""},{"dropping-particle":"","family":"Thandar","given":"Aung","non-dropping-particle":"","parse-names":false,"suffix":""},{"dropping-particle":"","family":"Podkorytova","given":"Irina","non-dropping-particle":"","parse-names":false,"suffix":""},{"dropping-particle":"","family":"Krishnan","given":"Balu","non-dropping-particle":"","parse-names":false,"suffix":""},{"dropping-particle":"","family":"Tousseyn","given":"Simon","non-dropping-particle":"","parse-names":false,"suffix":""},{"dropping-particle":"","family":"Guiyun","given":"Wu","non-dropping-particle":"","parse-names":false,"suffix":""},{"dropping-particle":"","family":"Burgess","given":"Richard C","non-dropping-particle":"","parse-names":false,"suffix":""},{"dropping-particle":"V","family":"Alexopoulos","given":"Andreas","non-dropping-particle":"","parse-names":false,"suffix":""}],"container-title":"Clinical neurophysiology : official journal of the International Federation of Clinical Neurophysiology","id":"ITEM-1","issue":"8","issued":{"date-parts":[["2018","8"]]},"language":"eng","page":"1651-1657","publisher-place":"Netherlands","title":"Magnetoencephalography and ictal SPECT in patients with failed epilepsy surgery.","type":"article-journal","volume":"129"},"uris":["http://www.mendeley.com/documents/?uuid=43c21961-064d-4ace-baec-de023958bb94"]}],"mendeley":{"formattedCitation":"[48]","plainTextFormattedCitation":"[48]","previouslyFormattedCitation":"[47]"},"properties":{"noteIndex":0},"schema":"https://github.com/citation-style-language/schema/raw/master/csl-citation.json"}</w:instrText>
      </w:r>
      <w:r w:rsidRPr="00F0434A">
        <w:rPr>
          <w:rFonts w:asciiTheme="minorHAnsi" w:hAnsiTheme="minorHAnsi" w:cstheme="minorHAnsi"/>
          <w:color w:val="auto"/>
          <w:lang w:val="en-US"/>
        </w:rPr>
        <w:fldChar w:fldCharType="separate"/>
      </w:r>
      <w:r w:rsidRPr="00F0434A">
        <w:rPr>
          <w:rFonts w:asciiTheme="minorHAnsi" w:hAnsiTheme="minorHAnsi" w:cstheme="minorHAnsi"/>
          <w:noProof/>
          <w:color w:val="auto"/>
          <w:lang w:val="en-US"/>
        </w:rPr>
        <w:t>[48]</w:t>
      </w:r>
      <w:r w:rsidRPr="00F0434A">
        <w:rPr>
          <w:rFonts w:asciiTheme="minorHAnsi" w:hAnsiTheme="minorHAnsi" w:cstheme="minorHAnsi"/>
          <w:color w:val="auto"/>
          <w:lang w:val="en-US"/>
        </w:rPr>
        <w:fldChar w:fldCharType="end"/>
      </w:r>
      <w:r w:rsidRPr="00F0434A">
        <w:rPr>
          <w:rFonts w:asciiTheme="minorHAnsi" w:hAnsiTheme="minorHAnsi" w:cstheme="minorHAnsi"/>
          <w:color w:val="auto"/>
          <w:lang w:val="en-US"/>
        </w:rPr>
        <w:t xml:space="preserve">, listed in </w:t>
      </w:r>
      <w:r w:rsidRPr="00F0434A">
        <w:rPr>
          <w:rFonts w:asciiTheme="minorHAnsi" w:hAnsiTheme="minorHAnsi" w:cstheme="minorHAnsi"/>
          <w:b/>
          <w:color w:val="auto"/>
          <w:lang w:val="en-US"/>
        </w:rPr>
        <w:t>Supplementary Material 1</w:t>
      </w:r>
      <w:r w:rsidRPr="00F0434A">
        <w:rPr>
          <w:rFonts w:asciiTheme="minorHAnsi" w:hAnsiTheme="minorHAnsi" w:cstheme="minorHAnsi"/>
          <w:color w:val="auto"/>
          <w:lang w:val="en-US"/>
        </w:rPr>
        <w:t>. Each S</w:t>
      </w:r>
      <w:r w:rsidRPr="00F0434A">
        <w:rPr>
          <w:rFonts w:asciiTheme="minorHAnsi" w:hAnsiTheme="minorHAnsi" w:cstheme="minorHAnsi"/>
          <w:color w:val="auto"/>
          <w:vertAlign w:val="subscript"/>
          <w:lang w:val="en-US"/>
        </w:rPr>
        <w:t xml:space="preserve">POW </w:t>
      </w:r>
      <w:r w:rsidRPr="00F0434A">
        <w:rPr>
          <w:rFonts w:asciiTheme="minorHAnsi" w:hAnsiTheme="minorHAnsi" w:cstheme="minorHAnsi"/>
          <w:color w:val="auto"/>
          <w:lang w:val="en-US"/>
        </w:rPr>
        <w:t>and S</w:t>
      </w:r>
      <w:r w:rsidRPr="00F0434A">
        <w:rPr>
          <w:rFonts w:asciiTheme="minorHAnsi" w:hAnsiTheme="minorHAnsi" w:cstheme="minorHAnsi"/>
          <w:color w:val="auto"/>
          <w:vertAlign w:val="subscript"/>
          <w:lang w:val="en-US"/>
        </w:rPr>
        <w:t>CONN</w:t>
      </w:r>
      <w:r w:rsidRPr="00F0434A">
        <w:rPr>
          <w:rFonts w:asciiTheme="minorHAnsi" w:hAnsiTheme="minorHAnsi" w:cstheme="minorHAnsi"/>
          <w:color w:val="auto"/>
          <w:lang w:val="en-US"/>
        </w:rPr>
        <w:t xml:space="preserve"> localization was considered positive if the sublobar classification was concordant with the resection zone, which could include one or more sublobes according to the extent of the surgery, or negative if discordant. Surgical outcome was used to define true positives (TP), true negatives (TN), false positives (FP) and false negatives (FN) </w:t>
      </w:r>
      <w:r w:rsidRPr="00F0434A">
        <w:rPr>
          <w:rFonts w:asciiTheme="minorHAnsi" w:hAnsiTheme="minorHAnsi" w:cstheme="minorHAnsi"/>
          <w:color w:val="auto"/>
          <w:lang w:val="en-US"/>
        </w:rPr>
        <w:fldChar w:fldCharType="begin" w:fldLock="1"/>
      </w:r>
      <w:r w:rsidRPr="00F0434A">
        <w:rPr>
          <w:rFonts w:asciiTheme="minorHAnsi" w:hAnsiTheme="minorHAnsi" w:cstheme="minorHAnsi"/>
          <w:color w:val="auto"/>
          <w:lang w:val="en-US"/>
        </w:rPr>
        <w:instrText>ADDIN CSL_CITATION {"citationItems":[{"id":"ITEM-1","itemData":{"DOI":"10.1093/brain/awr243","ISSN":"1460-2156 (Electronic)","PMID":"21975586","abstract":"Electroencephalography is mandatory to determine the epilepsy syndrome. However,  for the precise localization of the irritative zone in patients with focal epilepsy, costly and sometimes cumbersome imaging techniques are used. Recent small studies using electric source imaging suggest that electroencephalography itself could be used to localize the focus. However, a large prospective validation study is missing. This study presents a cohort of 152 operated patients where electric source imaging was applied as part of the pre-surgical work-up allowing a comparison with the results from other methods. Patients (n = 152) with &gt;1 year postoperative follow-up were studied prospectively. The sensitivity and specificity of each imaging method was defined by comparing the localization of the source maximum with the resected zone and surgical outcome. Electric source imaging had a sensitivity of 84% and a specificity of 88% if the electroencephalogram was recorded with a large number of electrodes (128-256 channels) and the individual magnetic resonance image was used as head model. These values compared favourably with those of structural magnetic resonance imaging (76% sensitivity, 53% specificity), positron emission tomography (69% sensitivity, 44% specificity) and ictal/interictal single-photon emission-computed tomography (58% sensitivity, 47% specificity). The sensitivity and specificity of electric source imaging decreased to 57% and 59%, respectively, with low number of electrodes (&lt;32 channels) and a template head model. This study demonstrated the validity and clinical utility of electric source imaging in a large prospective study. Given the low cost and high flexibility of electroencephalographic systems even with high channel counts, we conclude that electric source imaging is a highly valuable tool in pre-surgical epilepsy evaluation.","author":[{"dropping-particle":"","family":"Brodbeck","given":"Verena","non-dropping-particle":"","parse-names":false,"suffix":""},{"dropping-particle":"","family":"Spinelli","given":"Laurent","non-dropping-particle":"","parse-names":false,"suffix":""},{"dropping-particle":"","family":"Lascano","given":"Agustina M","non-dropping-particle":"","parse-names":false,"suffix":""},{"dropping-particle":"","family":"Wissmeier","given":"Michael","non-dropping-particle":"","parse-names":false,"suffix":""},{"dropping-particle":"","family":"Vargas","given":"Maria-Isabel","non-dropping-particle":"","parse-names":false,"suffix":""},{"dropping-particle":"","family":"Vulliemoz","given":"Serge","non-dropping-particle":"","parse-names":false,"suffix":""},{"dropping-particle":"","family":"Pollo","given":"Claudio","non-dropping-particle":"","parse-names":false,"suffix":""},{"dropping-particle":"","family":"Schaller","given":"Karl","non-dropping-particle":"","parse-names":false,"suffix":""},{"dropping-particle":"","family":"Michel","given":"Christoph M","non-dropping-particle":"","parse-names":false,"suffix":""},{"dropping-particle":"","family":"Seeck","given":"Margitta","non-dropping-particle":"","parse-names":false,"suffix":""}],"container-title":"Brain : a journal of neurology","id":"ITEM-1","issue":"Pt 10","issued":{"date-parts":[["2011","10"]]},"language":"eng","page":"2887-2897","publisher-place":"England","title":"Electroencephalographic source imaging: a prospective study of 152 operated epileptic patients.","type":"article-journal","volume":"134"},"uris":["http://www.mendeley.com/documents/?uuid=0b7e3ff3-cb6e-468d-b0b1-5f20f31a6c23"]},{"id":"ITEM-2","itemData":{"DOI":"10.1111/epi.12339","ISSN":"1528-1167 (Electronic)","PMID":"23944234","abstract":"PURPOSE: Although precise identification of the seizure-onset zone is an essential element of presurgical evaluation, source localization of ictal electroencephalography (EEG) signals has received little attention. The aim of our study was to estimate the accuracy of source localization of rhythmic ictal EEG activity using a distributed source model. METHODS: Source localization of rhythmic ictal scalp EEG activity was performed in 42 consecutive cases fulfilling inclusion criteria. The study was designed according to recommendations for studies on diagnostic accuracy (STARD). The initial ictal EEG signals were selected using a standardized method, based on frequency analysis and voltage distribution of the ictal activity. A distributed source model-local autoregressive average (LAURA)-was used for the source localization. Sensitivity, specificity, and measurement of agreement (kappa) were determined based on the reference standard-the consensus conclusion of the multidisciplinary epilepsy surgery team. Predictive values were calculated from the surgical outcome of the operated patients. To estimate the clinical value of the ictal source analysis, we compared the likelihood ratios of concordant and discordant results. Source localization was performed blinded to the clinical data, and before the surgical decision. KEY FINDINGS: Reference standard was available for 33 patients. The ictal source localization had a sensitivity of 70% and a specificity of 76%. The mean measurement of agreement (kappa) was 0.61, corresponding to substantial agreement (95% confidence interval (CI) 0.38-0.84). Twenty patients underwent resective surgery. The positive predictive value (PPV) for seizure freedom was 92% and the negative predictive value (NPV) was 43%. The likelihood ratio was nine times higher for the concordant results, as compared with the discordant ones. SIGNIFICANCE: Source localization of rhythmic ictal activity using a distributed source model (LAURA) for the ictal EEG signals selected with a standardized method is feasible in clinical practice and has a good diagnostic accuracy. Our findings encourage clinical neurophysiologists assessing ictal EEGs to include this method in their armamentarium.","author":[{"dropping-particle":"","family":"Beniczky","given":"Sandor","non-dropping-particle":"","parse-names":false,"suffix":""},{"dropping-particle":"","family":"Lantz","given":"Goran","non-dropping-particle":"","parse-names":false,"suffix":""},{"dropping-particle":"","family":"Rosenzweig","given":"Ivana","non-dropping-particle":"","parse-names":false,"suffix":""},{"dropping-particle":"","family":"Akeson","given":"Per","non-dropping-particle":"","parse-names":false,"suffix":""},{"dropping-particle":"","family":"Pedersen","given":"Birthe","non-dropping-particle":"","parse-names":false,"suffix":""},{"dropping-particle":"","family":"Pinborg","given":"Lars H","non-dropping-particle":"","parse-names":false,"suffix":""},{"dropping-particle":"","family":"Ziebell","given":"Morten","non-dropping-particle":"","parse-names":false,"suffix":""},{"dropping-particle":"","family":"Jespersen","given":"Bo","non-dropping-particle":"","parse-names":false,"suffix":""},{"dropping-particle":"","family":"Fuglsang-Frederiksen","given":"Anders","non-dropping-particle":"","parse-names":false,"suffix":""}],"container-title":"Epilepsia","id":"ITEM-2","issue":"10","issued":{"date-parts":[["2013","10"]]},"language":"eng","page":"1743-1752","publisher-place":"United States","title":"Source localization of rhythmic ictal EEG activity: a study of diagnostic accuracy following STARD criteria.","type":"article-journal","volume":"54"},"uris":["http://www.mendeley.com/documents/?uuid=b9fc34a0-672f-4026-8eac-3ef4099db2bf"]},{"id":"ITEM-3","itemData":{"DOI":"10.1016/j.clinph.2018.03.020","ISSN":"1872-8952 (Electronic)","PMID":"29680731","abstract":"OBJECTIVE: To test the diagnostic accuracy of a new automatic algorithm for ictal onset source localization (IOSL) during routine presurgical epilepsy evaluation following STARD (Standards for Reporting of Diagnostic Accuracy) criteria. METHODS: We included 28 consecutive patients with refractory focal epilepsy (25 patients with temporal lobe epilepsy (TLE) and 3 with extratemporal epilepsy) who underwent resective epilepsy surgery. Ictal EEG patterns were analyzed with a novel automatic IOSL algorithm. IOSL source localizations on a sublobar level were validated by comparison with actual resection sites and seizure free outcome 2years after surgery. RESULTS: Sensitivity of IOSL was 92.3% (TLE: 92.3%); specificity 60% (TLE: 50%); positive predictive value 66.7% (TLE: 66.7%); and negative predictive value 90% (TLE: 85.7%). The likelihood ratio was more than ten times higher for concordant IOSL results as compared to discordant results (p=0.013). CONCLUSIONS: We demonstrated the clinical feasibility of our IOSL approach yielding reasonable high performance measures on a sublobar level. SIGNIFICANCE: Our IOSL method may contribute to a correct localization of the seizure onset zone in temporal lobe epilepsy and can readily be used in standard epilepsy monitoring settings. Further studies are needed for validation in extratemporal epilepsy.","author":[{"dropping-particle":"","family":"Koren","given":"Johannes","non-dropping-particle":"","parse-names":false,"suffix":""},{"dropping-particle":"","family":"Gritsch","given":"Gerhard","non-dropping-particle":"","parse-names":false,"suffix":""},{"dropping-particle":"","family":"Pirker","given":"Susanne","non-dropping-particle":"","parse-names":false,"suffix":""},{"dropping-particle":"","family":"Herta","given":"Johannes","non-dropping-particle":"","parse-names":false,"suffix":""},{"dropping-particle":"","family":"Perko","given":"Hannes","non-dropping-particle":"","parse-names":false,"suffix":""},{"dropping-particle":"","family":"Kluge","given":"Tilmann","non-dropping-particle":"","parse-names":false,"suffix":""},{"dropping-particle":"","family":"Baumgartner","given":"Christoph","non-dropping-particle":"","parse-names":false,"suffix":""}],"container-title":"Clinical neurophysiology : official journal of the International Federation of Clinical Neurophysiology","id":"ITEM-3","issue":"6","issued":{"date-parts":[["2018","6"]]},"language":"eng","page":"1291-1299","publisher-place":"Netherlands","title":"Automatic ictal onset source localization in presurgical epilepsy evaluation.","type":"article-journal","volume":"129"},"uris":["http://www.mendeley.com/documents/?uuid=81578706-1ed6-45b3-ab5e-abfa03e17db2"]},{"id":"ITEM-4","itemData":{"DOI":"10.1111/ene.13676","ISSN":"1468-1331 (Electronic)","PMID":"29751364","abstract":"BACKGROUND AND PURPOSE: Accurate localization of the epileptic focus is essential for surgical treatment of patients with drug-resistant epilepsy. Electric source imaging (ESI) is increasingly used in pre-surgical evaluation. However, most previous studies have analysed interictal (II) discharges. Prospective studies comparing the feasibility and accuracy of II and ictal (IC) ESI are lacking. METHODS: We prospectively analysed long-term video-electroencephalography recordings (LTM) of patients admitted for pre-surgical evaluation. We performed ESI of II and IC signals using two methods, i.e. equivalent current dipole (ECD) and a distributed source model (DSM). LTM recordings employed the standard 25-electrode array (including inferior temporal electrodes). An age-matched template head model was used for source analysis. Results were compared with intracranial recordings, conventional neuroimaging methods [magnetic resonance imaging (MRI), positron emission tomography (PET), single-photon emission computed tomography (SPECT)] and outcome at 1 year after surgery. RESULTS: A total of 87 consecutive patients were analysed. ECD gave a significantly higher proportion of patients with localized focal abnormalities (94%) compared with MRI (70%), PET (66%) and SPECT (64%). Agreement between the ESI methods and intracranial recording was moderate to substantial (k = 0.56-0.79). A total of 54 patients were operated (47 patients more than 1 year ago) and 62% of them became seizure-free. The localization accuracy of II-ESI was 51% for DSM and 57% for ECD, and that for IC-ESI was 51% for DSM and 62% for ECD. The differences between the ESI methods were not significant. Differences in localization accuracy between ESI and MRI (55%), PET (33%) and SPECT (40%) were not significant. CONCLUSIONS: The II-ESI and IC-ESI of LTM data have high feasibility and their localization accuracy is similar to that of conventional neuroimaging methods.","author":[{"dropping-particle":"","family":"Sharma","given":"P","non-dropping-particle":"","parse-names":false,"suffix":""},{"dropping-particle":"","family":"Scherg","given":"M","non-dropping-particle":"","parse-names":false,"suffix":""},{"dropping-particle":"","family":"Pinborg","given":"L H","non-dropping-particle":"","parse-names":false,"suffix":""},{"dropping-particle":"","family":"Fabricius","given":"M","non-dropping-particle":"","parse-names":false,"suffix":""},{"dropping-particle":"","family":"Rubboli","given":"G","non-dropping-particle":"","parse-names":false,"suffix":""},{"dropping-particle":"","family":"Pedersen","given":"B","non-dropping-particle":"","parse-names":false,"suffix":""},{"dropping-particle":"","family":"Leffers","given":"A-M","non-dropping-particle":"","parse-names":false,"suffix":""},{"dropping-particle":"","family":"Uldall","given":"P","non-dropping-particle":"","parse-names":false,"suffix":""},{"dropping-particle":"","family":"Jespersen","given":"B","non-dropping-particle":"","parse-names":false,"suffix":""},{"dropping-particle":"","family":"Brennum","given":"J","non-dropping-particle":"","parse-names":false,"suffix":""},{"dropping-particle":"","family":"Henriksen","given":"O M","non-dropping-particle":"","parse-names":false,"suffix":""},{"dropping-particle":"","family":"Beniczky","given":"S","non-dropping-particle":"","parse-names":false,"suffix":""}],"container-title":"European journal of neurology","id":"ITEM-4","issue":"9","issued":{"date-parts":[["2018","9"]]},"language":"eng","page":"1154-1160","publisher-place":"England","title":"Ictal and interictal electric source imaging in pre-surgical evaluation: a prospective study.","type":"article-journal","volume":"25"},"uris":["http://www.mendeley.com/documents/?uuid=cfb305e0-1e33-4b6f-9e39-1e8d5b6d9e95"]}],"mendeley":{"formattedCitation":"[9,11,13,40]","plainTextFormattedCitation":"[9,11,13,40]","previouslyFormattedCitation":"[9,11,13,40]"},"properties":{"noteIndex":0},"schema":"https://github.com/citation-style-language/schema/raw/master/csl-citation.json"}</w:instrText>
      </w:r>
      <w:r w:rsidRPr="00F0434A">
        <w:rPr>
          <w:rFonts w:asciiTheme="minorHAnsi" w:hAnsiTheme="minorHAnsi" w:cstheme="minorHAnsi"/>
          <w:color w:val="auto"/>
          <w:lang w:val="en-US"/>
        </w:rPr>
        <w:fldChar w:fldCharType="separate"/>
      </w:r>
      <w:r w:rsidRPr="00F0434A">
        <w:rPr>
          <w:rFonts w:asciiTheme="minorHAnsi" w:hAnsiTheme="minorHAnsi" w:cstheme="minorHAnsi"/>
          <w:noProof/>
          <w:color w:val="auto"/>
          <w:lang w:val="en-US"/>
        </w:rPr>
        <w:t>[9,11,13,40]</w:t>
      </w:r>
      <w:r w:rsidRPr="00F0434A">
        <w:rPr>
          <w:rFonts w:asciiTheme="minorHAnsi" w:hAnsiTheme="minorHAnsi" w:cstheme="minorHAnsi"/>
          <w:color w:val="auto"/>
          <w:lang w:val="en-US"/>
        </w:rPr>
        <w:fldChar w:fldCharType="end"/>
      </w:r>
      <w:r w:rsidRPr="00F0434A">
        <w:rPr>
          <w:rFonts w:asciiTheme="minorHAnsi" w:hAnsiTheme="minorHAnsi" w:cstheme="minorHAnsi"/>
          <w:color w:val="auto"/>
          <w:lang w:val="en-US"/>
        </w:rPr>
        <w:t xml:space="preserve">: positive localization </w:t>
      </w:r>
      <w:r w:rsidRPr="00F0434A">
        <w:rPr>
          <w:rFonts w:asciiTheme="minorHAnsi" w:hAnsiTheme="minorHAnsi" w:cstheme="minorHAnsi"/>
          <w:color w:val="auto"/>
          <w:lang w:val="en-US"/>
        </w:rPr>
        <w:lastRenderedPageBreak/>
        <w:t>in an ILAE class 1 patient = TP;  negative localization in an ILAE class 2-6 patient = TN; positive localization in ILAE class 2-6 patient = FP; negative localization in ILAE class 1 patient = FN.</w:t>
      </w:r>
    </w:p>
    <w:p w:rsidR="00F0434A" w:rsidRPr="00F0434A" w:rsidRDefault="00F0434A" w:rsidP="00F0434A">
      <w:pPr>
        <w:spacing w:line="360" w:lineRule="auto"/>
        <w:ind w:firstLine="708"/>
        <w:jc w:val="both"/>
        <w:rPr>
          <w:rFonts w:asciiTheme="minorHAnsi" w:hAnsiTheme="minorHAnsi" w:cstheme="minorHAnsi"/>
          <w:color w:val="auto"/>
          <w:lang w:val="en-US"/>
        </w:rPr>
      </w:pPr>
      <w:r w:rsidRPr="00F0434A">
        <w:rPr>
          <w:rFonts w:asciiTheme="minorHAnsi" w:hAnsiTheme="minorHAnsi" w:cstheme="minorHAnsi"/>
          <w:color w:val="auto"/>
          <w:lang w:val="en-US"/>
        </w:rPr>
        <w:t xml:space="preserve">First, we calculated at a </w:t>
      </w:r>
      <w:r w:rsidRPr="00F0434A">
        <w:rPr>
          <w:rFonts w:asciiTheme="minorHAnsi" w:hAnsiTheme="minorHAnsi" w:cstheme="minorHAnsi"/>
          <w:i/>
          <w:color w:val="auto"/>
          <w:lang w:val="en-US"/>
        </w:rPr>
        <w:t>seizure level</w:t>
      </w:r>
      <w:r w:rsidRPr="00F0434A">
        <w:rPr>
          <w:rFonts w:asciiTheme="minorHAnsi" w:hAnsiTheme="minorHAnsi" w:cstheme="minorHAnsi"/>
          <w:color w:val="auto"/>
          <w:lang w:val="en-US"/>
        </w:rPr>
        <w:t xml:space="preserve"> (i.e. considering each S</w:t>
      </w:r>
      <w:r w:rsidRPr="00F0434A">
        <w:rPr>
          <w:rFonts w:asciiTheme="minorHAnsi" w:hAnsiTheme="minorHAnsi" w:cstheme="minorHAnsi"/>
          <w:color w:val="auto"/>
          <w:vertAlign w:val="subscript"/>
          <w:lang w:val="en-US"/>
        </w:rPr>
        <w:t xml:space="preserve">POW </w:t>
      </w:r>
      <w:r w:rsidRPr="00F0434A">
        <w:rPr>
          <w:rFonts w:asciiTheme="minorHAnsi" w:hAnsiTheme="minorHAnsi" w:cstheme="minorHAnsi"/>
          <w:color w:val="auto"/>
          <w:lang w:val="en-US"/>
        </w:rPr>
        <w:t>and S</w:t>
      </w:r>
      <w:r w:rsidRPr="00F0434A">
        <w:rPr>
          <w:rFonts w:asciiTheme="minorHAnsi" w:hAnsiTheme="minorHAnsi" w:cstheme="minorHAnsi"/>
          <w:color w:val="auto"/>
          <w:vertAlign w:val="subscript"/>
          <w:lang w:val="en-US"/>
        </w:rPr>
        <w:t>CONN</w:t>
      </w:r>
      <w:r w:rsidRPr="00F0434A">
        <w:rPr>
          <w:rFonts w:asciiTheme="minorHAnsi" w:hAnsiTheme="minorHAnsi" w:cstheme="minorHAnsi"/>
          <w:color w:val="auto"/>
          <w:lang w:val="en-US"/>
        </w:rPr>
        <w:t>) the sensitivity, specificity, overall accuracy and predictive values of the two index tests (ESI power and ESI+FC).</w:t>
      </w:r>
    </w:p>
    <w:p w:rsidR="00F0434A" w:rsidRPr="00F0434A" w:rsidRDefault="00F0434A" w:rsidP="00F0434A">
      <w:pPr>
        <w:spacing w:line="360" w:lineRule="auto"/>
        <w:ind w:firstLine="708"/>
        <w:jc w:val="both"/>
        <w:rPr>
          <w:rFonts w:asciiTheme="minorHAnsi" w:hAnsiTheme="minorHAnsi" w:cstheme="minorHAnsi"/>
          <w:color w:val="auto"/>
          <w:lang w:val="en-US"/>
        </w:rPr>
      </w:pPr>
      <w:r w:rsidRPr="00F0434A">
        <w:rPr>
          <w:rFonts w:asciiTheme="minorHAnsi" w:hAnsiTheme="minorHAnsi" w:cstheme="minorHAnsi"/>
          <w:color w:val="auto"/>
          <w:lang w:val="en-US"/>
        </w:rPr>
        <w:t xml:space="preserve">In addition, in order to appreciate the intrasubject consistency of single-seizure results, we set out to determine accuracy measures at a </w:t>
      </w:r>
      <w:r w:rsidRPr="00F0434A">
        <w:rPr>
          <w:rFonts w:asciiTheme="minorHAnsi" w:hAnsiTheme="minorHAnsi" w:cstheme="minorHAnsi"/>
          <w:i/>
          <w:color w:val="auto"/>
          <w:lang w:val="en-US"/>
        </w:rPr>
        <w:t>patient level</w:t>
      </w:r>
      <w:r w:rsidRPr="00F0434A">
        <w:rPr>
          <w:rFonts w:asciiTheme="minorHAnsi" w:hAnsiTheme="minorHAnsi" w:cstheme="minorHAnsi"/>
          <w:color w:val="auto"/>
          <w:lang w:val="en-US"/>
        </w:rPr>
        <w:t>. Patients that underwent hemispherotomies were excluded from this sub-analysis. S</w:t>
      </w:r>
      <w:r w:rsidRPr="00F0434A">
        <w:rPr>
          <w:rFonts w:asciiTheme="minorHAnsi" w:hAnsiTheme="minorHAnsi" w:cstheme="minorHAnsi"/>
          <w:color w:val="auto"/>
          <w:vertAlign w:val="subscript"/>
          <w:lang w:val="en-US"/>
        </w:rPr>
        <w:t xml:space="preserve">POW </w:t>
      </w:r>
      <w:r w:rsidRPr="00F0434A">
        <w:rPr>
          <w:rFonts w:asciiTheme="minorHAnsi" w:hAnsiTheme="minorHAnsi" w:cstheme="minorHAnsi"/>
          <w:color w:val="auto"/>
          <w:lang w:val="en-US"/>
        </w:rPr>
        <w:t>and S</w:t>
      </w:r>
      <w:r w:rsidRPr="00F0434A">
        <w:rPr>
          <w:rFonts w:asciiTheme="minorHAnsi" w:hAnsiTheme="minorHAnsi" w:cstheme="minorHAnsi"/>
          <w:color w:val="auto"/>
          <w:vertAlign w:val="subscript"/>
          <w:lang w:val="en-US"/>
        </w:rPr>
        <w:t>CONN</w:t>
      </w:r>
      <w:r w:rsidRPr="00F0434A">
        <w:rPr>
          <w:rFonts w:asciiTheme="minorHAnsi" w:hAnsiTheme="minorHAnsi" w:cstheme="minorHAnsi"/>
          <w:color w:val="auto"/>
          <w:lang w:val="en-US"/>
        </w:rPr>
        <w:t xml:space="preserve"> were presented to two independent reviewers (RET and PV), co-registered to the pre-operative MRI. Clinical information from phase-I evaluation (video-EEG, neurophysiological testing, MRI and PET) was available, but reviewers remained blinded to intracranial EEG (if performed), extent of the RZ and surgical outcome. Reviewers were asked to select, for each patient, the most pertinent sublobar localization proposed by each index test (all S</w:t>
      </w:r>
      <w:r w:rsidRPr="00F0434A">
        <w:rPr>
          <w:rFonts w:asciiTheme="minorHAnsi" w:hAnsiTheme="minorHAnsi" w:cstheme="minorHAnsi"/>
          <w:color w:val="auto"/>
          <w:vertAlign w:val="subscript"/>
          <w:lang w:val="en-US"/>
        </w:rPr>
        <w:t xml:space="preserve">POW </w:t>
      </w:r>
      <w:r w:rsidRPr="00F0434A">
        <w:rPr>
          <w:rFonts w:asciiTheme="minorHAnsi" w:hAnsiTheme="minorHAnsi" w:cstheme="minorHAnsi"/>
          <w:color w:val="auto"/>
          <w:lang w:val="en-US"/>
        </w:rPr>
        <w:t>for ESI power, all S</w:t>
      </w:r>
      <w:r w:rsidRPr="00F0434A">
        <w:rPr>
          <w:rFonts w:asciiTheme="minorHAnsi" w:hAnsiTheme="minorHAnsi" w:cstheme="minorHAnsi"/>
          <w:color w:val="auto"/>
          <w:vertAlign w:val="subscript"/>
          <w:lang w:val="en-US"/>
        </w:rPr>
        <w:t xml:space="preserve">CONN </w:t>
      </w:r>
      <w:r w:rsidRPr="00F0434A">
        <w:rPr>
          <w:rFonts w:asciiTheme="minorHAnsi" w:hAnsiTheme="minorHAnsi" w:cstheme="minorHAnsi"/>
          <w:color w:val="auto"/>
          <w:lang w:val="en-US"/>
        </w:rPr>
        <w:t xml:space="preserve">for ESI+FC). If none of the localizations was considered consistent nor compatible with the clinical background, reviewers could classify the test as inconclusive. The outcome was accepted if both reviewers agreed independently on one sublobar localization or on an inconclusive outcome. If the two primary reviewers disagreed, a third reviewer (SFS) was asked to localize the tests following the same procedure. Agreement of the third reviewer served as final determination: failure to agree with either primary reviewer classified the test as inconclusive </w:t>
      </w:r>
      <w:r w:rsidRPr="00F0434A">
        <w:rPr>
          <w:rFonts w:asciiTheme="minorHAnsi" w:hAnsiTheme="minorHAnsi" w:cstheme="minorHAnsi"/>
          <w:color w:val="auto"/>
          <w:lang w:val="en-US"/>
        </w:rPr>
        <w:fldChar w:fldCharType="begin" w:fldLock="1"/>
      </w:r>
      <w:r w:rsidRPr="00F0434A">
        <w:rPr>
          <w:rFonts w:asciiTheme="minorHAnsi" w:hAnsiTheme="minorHAnsi" w:cstheme="minorHAnsi"/>
          <w:color w:val="auto"/>
          <w:lang w:val="en-US"/>
        </w:rPr>
        <w:instrText>ADDIN CSL_CITATION {"citationItems":[{"id":"ITEM-1","itemData":{"DOI":"10.1212/wnl.50.2.445","ISSN":"0028-3878 (Print)","PMID":"9484370","abstract":"Traditional side-by-side visual interpretation of ictal and interictal single-photon emission computed tomography (SPECT) scans can be difficult in identifying the surgical focus, particularly in patients with extratemporal or otherwise unlocalized intractable epilepsy. Computer-aided subtraction ictal SPECT co-registered to MRI (SISCOM) may improve the clinical usefulness of SPECT in localizing the surgical seizure focus. We studied 51 consecutive intractable partial epilepsy patients who had interictal and ictal scans. The SPECT studies were blindly reviewed and classified as either localizing to 1 of 16 sites in the brain or as nonlocalizing. SISCOM images were localizing in 45 of 51 (88.2%) compared with 20 of 51 (39.2%) for traditional side-by-side inspection of ictal and interictal SPECT images (p &lt; 0.0001). Inter-rater agreement for two independent reviewers was better for SISCOM (84.3% versus 41.2%, kappa = 0.83 versus 0.26; p &lt; 0.0001). Concordance of seizure localization with the more established tests was also higher for SISCOM. Late injection of the radiotracer (&gt; 45 seconds), but not secondary generalization of the seizure, was associated with a falsely localizing or nonlocalizing SISCOM. Epilepsy surgery patients whose SISCOM localization was concordant with a falsely localizing or nonlocalizing SISCOM. Epilepsy surgery patients whose SISCOM localization was concordant with the surgical site were more likely to have excellent outcome than patients with nonconcordant or nonlocalizing findings (62.5% [10/16] versus 20% [2/10]; p &lt; 0.05). On the other hand, seizure localization by the traditional method of SPECT inspection had no significant association with postsurgical outcome. We conclude that SISCOM improves the sensitivity and the specificity of SPECT in localizing the seizure focus for epilepsy surgery. Concordance between SISCOM localization and site of surgery is predictive of postsurgical improvement in seizure outcome.","author":[{"dropping-particle":"","family":"O'Brien","given":"T J","non-dropping-particle":"","parse-names":false,"suffix":""},{"dropping-particle":"","family":"So","given":"E L","non-dropping-particle":"","parse-names":false,"suffix":""},{"dropping-particle":"","family":"Mullan","given":"B P","non-dropping-particle":"","parse-names":false,"suffix":""},{"dropping-particle":"","family":"Hauser","given":"M F","non-dropping-particle":"","parse-names":false,"suffix":""},{"dropping-particle":"","family":"Brinkmann","given":"B H","non-dropping-particle":"","parse-names":false,"suffix":""},{"dropping-particle":"","family":"Bohnen","given":"N I","non-dropping-particle":"","parse-names":false,"suffix":""},{"dropping-particle":"","family":"Hanson","given":"D","non-dropping-particle":"","parse-names":false,"suffix":""},{"dropping-particle":"","family":"Cascino","given":"G D","non-dropping-particle":"","parse-names":false,"suffix":""},{"dropping-particle":"","family":"Jack","given":"C R Jr","non-dropping-particle":"","parse-names":false,"suffix":""},{"dropping-particle":"","family":"Sharbrough","given":"F W","non-dropping-particle":"","parse-names":false,"suffix":""}],"container-title":"Neurology","id":"ITEM-1","issue":"2","issued":{"date-parts":[["1998","2"]]},"language":"eng","page":"445-454","publisher-place":"United States","title":"Subtraction ictal SPECT co-registered to MRI improves clinical usefulness of SPECT in localizing the surgical seizure focus.","type":"article-journal","volume":"50"},"uris":["http://www.mendeley.com/documents/?uuid=3304001f-5a89-4dad-be27-77be33881980"]}],"mendeley":{"formattedCitation":"[49]","plainTextFormattedCitation":"[49]","previouslyFormattedCitation":"[48]"},"properties":{"noteIndex":0},"schema":"https://github.com/citation-style-language/schema/raw/master/csl-citation.json"}</w:instrText>
      </w:r>
      <w:r w:rsidRPr="00F0434A">
        <w:rPr>
          <w:rFonts w:asciiTheme="minorHAnsi" w:hAnsiTheme="minorHAnsi" w:cstheme="minorHAnsi"/>
          <w:color w:val="auto"/>
          <w:lang w:val="en-US"/>
        </w:rPr>
        <w:fldChar w:fldCharType="separate"/>
      </w:r>
      <w:r w:rsidRPr="00F0434A">
        <w:rPr>
          <w:rFonts w:asciiTheme="minorHAnsi" w:hAnsiTheme="minorHAnsi" w:cstheme="minorHAnsi"/>
          <w:noProof/>
          <w:color w:val="auto"/>
          <w:lang w:val="en-US"/>
        </w:rPr>
        <w:t>[49]</w:t>
      </w:r>
      <w:r w:rsidRPr="00F0434A">
        <w:rPr>
          <w:rFonts w:asciiTheme="minorHAnsi" w:hAnsiTheme="minorHAnsi" w:cstheme="minorHAnsi"/>
          <w:color w:val="auto"/>
          <w:lang w:val="en-US"/>
        </w:rPr>
        <w:fldChar w:fldCharType="end"/>
      </w:r>
      <w:r w:rsidRPr="00F0434A">
        <w:rPr>
          <w:rFonts w:asciiTheme="minorHAnsi" w:hAnsiTheme="minorHAnsi" w:cstheme="minorHAnsi"/>
          <w:color w:val="auto"/>
          <w:lang w:val="en-US"/>
        </w:rPr>
        <w:t>. We calculated Cohen’s kappa as a measurement of agreement between the two primary reviewers (§</w:t>
      </w:r>
      <w:r w:rsidRPr="00F0434A">
        <w:rPr>
          <w:rFonts w:asciiTheme="minorHAnsi" w:hAnsiTheme="minorHAnsi" w:cstheme="minorHAnsi"/>
          <w:i/>
          <w:color w:val="auto"/>
          <w:lang w:val="en-US"/>
        </w:rPr>
        <w:t xml:space="preserve"> Statistical analysis</w:t>
      </w:r>
      <w:r w:rsidRPr="00F0434A">
        <w:rPr>
          <w:rFonts w:asciiTheme="minorHAnsi" w:hAnsiTheme="minorHAnsi" w:cstheme="minorHAnsi"/>
          <w:color w:val="auto"/>
          <w:lang w:val="en-US"/>
        </w:rPr>
        <w:t>). Accuracy measures were obtained by performing sublobar concordance as described above, but with the patient as unit of analysis rather than each seizure separately.</w:t>
      </w:r>
    </w:p>
    <w:p w:rsidR="00F0434A" w:rsidRPr="00F0434A" w:rsidRDefault="00F0434A" w:rsidP="00F0434A">
      <w:pPr>
        <w:spacing w:line="360" w:lineRule="auto"/>
        <w:ind w:firstLine="708"/>
        <w:jc w:val="both"/>
        <w:rPr>
          <w:rFonts w:asciiTheme="minorHAnsi" w:hAnsiTheme="minorHAnsi" w:cstheme="minorHAnsi"/>
          <w:color w:val="auto"/>
          <w:lang w:val="en-US"/>
        </w:rPr>
      </w:pPr>
      <w:r w:rsidRPr="00F0434A">
        <w:rPr>
          <w:rFonts w:asciiTheme="minorHAnsi" w:hAnsiTheme="minorHAnsi" w:cstheme="minorHAnsi"/>
          <w:color w:val="auto"/>
          <w:lang w:val="en-US"/>
        </w:rPr>
        <w:t xml:space="preserve">Ictal outcomes were also compared to the most relevant interictal spike cluster given by Epilog PreOp, selected by the clinicians in a similar way as performed by Baroumand et al. </w:t>
      </w:r>
      <w:r w:rsidRPr="00F0434A">
        <w:rPr>
          <w:rFonts w:asciiTheme="minorHAnsi" w:hAnsiTheme="minorHAnsi" w:cstheme="minorHAnsi"/>
          <w:color w:val="auto"/>
          <w:lang w:val="en-US"/>
        </w:rPr>
        <w:fldChar w:fldCharType="begin" w:fldLock="1"/>
      </w:r>
      <w:r w:rsidRPr="00F0434A">
        <w:rPr>
          <w:rFonts w:asciiTheme="minorHAnsi" w:hAnsiTheme="minorHAnsi" w:cstheme="minorHAnsi"/>
          <w:color w:val="auto"/>
          <w:lang w:val="en-US"/>
        </w:rPr>
        <w:instrText>ADDIN CSL_CITATION {"citationItems":[{"id":"ITEM-1","itemData":{"DOI":"10.1016/j.clinph.2018.09.015","ISSN":"1872-8952 (Electronic)","PMID":"30278389","abstract":"OBJECTIVE: To evaluate the accuracy of automated EEG source imaging (ESI) in localizing epileptogenic zone. METHODS: Long-term EEG, recorded with the standard 25-electrode array of the IFCN, from 41 consecutive patients with focal epilepsy who underwent resective surgery, were analyzed blinded to the surgical outcome. The automated analysis comprised spike-detection, clustering and source imaging at the half-rising time and at the peak of each spike-cluster, using individual head-models with six tissue-layers and a distributed source model (sLORETA). The fully automated approach presented ESI of the cluster with the highest number of spikes, at the half-rising time. In addition, a physician involved in the presurgical evaluation of the patients, evaluated the automated ESI results (up to four clusters per patient) in clinical context and selected the dominant cluster and the analysis time-point (semi-automated approach). The reference standard was location of the resected area and outcome one year after operation. RESULTS: Accuracy was 61% (95% CI: 45-76%) for the fully automated approach and 78% (95% CI: 62-89%) for the semi-automated approach. CONCLUSION: Automated ESI has an accuracy similar to previously reported neuroimaging methods. SIGNIFICANCE: Automated ESI will contribute to increased utilization of source imaging in the presurgical evaluation of patients with epilepsy.","author":[{"dropping-particle":"","family":"Baroumand","given":"Amir G","non-dropping-particle":"","parse-names":false,"suffix":""},{"dropping-particle":"","family":"Mierlo","given":"Pieter","non-dropping-particle":"van","parse-names":false,"suffix":""},{"dropping-particle":"","family":"Strobbe","given":"Gregor","non-dropping-particle":"","parse-names":false,"suffix":""},{"dropping-particle":"","family":"Pinborg","given":"Lars H","non-dropping-particle":"","parse-names":false,"suffix":""},{"dropping-particle":"","family":"Fabricius","given":"Martin","non-dropping-particle":"","parse-names":false,"suffix":""},{"dropping-particle":"","family":"Rubboli","given":"Guido","non-dropping-particle":"","parse-names":false,"suffix":""},{"dropping-particle":"","family":"Leffers","given":"Anne-Mette","non-dropping-particle":"","parse-names":false,"suffix":""},{"dropping-particle":"","family":"Uldall","given":"Peter","non-dropping-particle":"","parse-names":false,"suffix":""},{"dropping-particle":"","family":"Jespersen","given":"Bo","non-dropping-particle":"","parse-names":false,"suffix":""},{"dropping-particle":"","family":"Brennum","given":"Jannick","non-dropping-particle":"","parse-names":false,"suffix":""},{"dropping-particle":"","family":"Henriksen","given":"Otto Molby","non-dropping-particle":"","parse-names":false,"suffix":""},{"dropping-particle":"","family":"Beniczky","given":"Sandor","non-dropping-particle":"","parse-names":false,"suffix":""}],"container-title":"Clinical neurophysiology : official journal of the International Federation of Clinical Neurophysiology","id":"ITEM-1","issue":"11","issued":{"date-parts":[["2018","11"]]},"language":"eng","page":"2403-2410","publisher-place":"Netherlands","title":"Automated EEG source imaging: A retrospective, blinded clinical validation study.","type":"article-journal","volume":"129"},"uris":["http://www.mendeley.com/documents/?uuid=33d797c8-2b74-42bd-86a7-9b9cea8e3214","http://www.mendeley.com/documents/?uuid=c5a48fe7-f434-47ff-8203-6d96c0f50b6d"]}],"mendeley":{"formattedCitation":"[12]","plainTextFormattedCitation":"[12]","previouslyFormattedCitation":"[12]"},"properties":{"noteIndex":0},"schema":"https://github.com/citation-style-language/schema/raw/master/csl-citation.json"}</w:instrText>
      </w:r>
      <w:r w:rsidRPr="00F0434A">
        <w:rPr>
          <w:rFonts w:asciiTheme="minorHAnsi" w:hAnsiTheme="minorHAnsi" w:cstheme="minorHAnsi"/>
          <w:color w:val="auto"/>
          <w:lang w:val="en-US"/>
        </w:rPr>
        <w:fldChar w:fldCharType="separate"/>
      </w:r>
      <w:r w:rsidRPr="00F0434A">
        <w:rPr>
          <w:rFonts w:asciiTheme="minorHAnsi" w:hAnsiTheme="minorHAnsi" w:cstheme="minorHAnsi"/>
          <w:noProof/>
          <w:color w:val="auto"/>
          <w:lang w:val="en-US"/>
        </w:rPr>
        <w:t>[12]</w:t>
      </w:r>
      <w:r w:rsidRPr="00F0434A">
        <w:rPr>
          <w:rFonts w:asciiTheme="minorHAnsi" w:hAnsiTheme="minorHAnsi" w:cstheme="minorHAnsi"/>
          <w:color w:val="auto"/>
          <w:lang w:val="en-US"/>
        </w:rPr>
        <w:fldChar w:fldCharType="end"/>
      </w:r>
      <w:r w:rsidRPr="00F0434A">
        <w:rPr>
          <w:rFonts w:asciiTheme="minorHAnsi" w:hAnsiTheme="minorHAnsi" w:cstheme="minorHAnsi"/>
          <w:color w:val="auto"/>
          <w:lang w:val="en-US"/>
        </w:rPr>
        <w:t xml:space="preserve">. Likewise, the most relevant interictal ESI cluster and time point of analysis (half-rising or peak) were chosen based on the clinical context. </w:t>
      </w:r>
    </w:p>
    <w:p w:rsidR="00F0434A" w:rsidRPr="00F0434A" w:rsidRDefault="00F0434A" w:rsidP="00F0434A">
      <w:pPr>
        <w:spacing w:line="360" w:lineRule="auto"/>
        <w:ind w:firstLine="708"/>
        <w:jc w:val="both"/>
        <w:rPr>
          <w:rFonts w:asciiTheme="minorHAnsi" w:hAnsiTheme="minorHAnsi" w:cstheme="minorHAnsi"/>
          <w:color w:val="auto"/>
          <w:lang w:val="en-US"/>
        </w:rPr>
      </w:pPr>
      <w:r w:rsidRPr="00F0434A">
        <w:rPr>
          <w:rFonts w:asciiTheme="minorHAnsi" w:hAnsiTheme="minorHAnsi" w:cstheme="minorHAnsi"/>
          <w:color w:val="auto"/>
          <w:lang w:val="en-US"/>
        </w:rPr>
        <w:t xml:space="preserve">Inconclusive results were reported separately throughout the paper, but still considered as part of the negative group for patient-level accuracy calculations, aiming to reflect their potential use in a clinical setting </w:t>
      </w:r>
      <w:r w:rsidRPr="00F0434A">
        <w:rPr>
          <w:rFonts w:asciiTheme="minorHAnsi" w:hAnsiTheme="minorHAnsi" w:cstheme="minorHAnsi"/>
          <w:color w:val="auto"/>
          <w:lang w:val="en-US"/>
        </w:rPr>
        <w:fldChar w:fldCharType="begin" w:fldLock="1"/>
      </w:r>
      <w:r w:rsidRPr="00F0434A">
        <w:rPr>
          <w:rFonts w:asciiTheme="minorHAnsi" w:hAnsiTheme="minorHAnsi" w:cstheme="minorHAnsi"/>
          <w:color w:val="auto"/>
          <w:lang w:val="en-US"/>
        </w:rPr>
        <w:instrText>ADDIN CSL_CITATION {"citationItems":[{"id":"ITEM-1","itemData":{"DOI":"10.1136/bmjopen-2016-012799","ISSN":"2044-6055 (Electronic)","PMID":"28137831","abstract":"Diagnostic accuracy studies are, like other clinical studies, at risk of bias due to shortcomings in design and conduct, and the results of a diagnostic accuracy study may not apply to other patient groups and settings. Readers of study reports need to be informed about study design and conduct, in sufficient detail to judge the trustworthiness and applicability of the study findings. The STARD statement (Standards for Reporting of Diagnostic Accuracy Studies) was developed to improve the completeness and transparency of reports of diagnostic accuracy studies. STARD contains a list of essential items that can be used as a checklist, by authors, reviewers and other readers, to ensure that a report of a diagnostic accuracy study contains the necessary information. STARD was recently updated. All updated STARD materials, including the checklist, are available at http://www.equator-network.org/reporting-guidelines/stard Here, we present the STARD 2015 explanation and elaboration document. Through commented examples of appropriate reporting, we clarify the rationale for each of the 30 items on the STARD 2015 checklist, and describe what is expected from authors in developing sufficiently informative study reports.","author":[{"dropping-particle":"","family":"Cohen","given":"Jeremie F","non-dropping-particle":"","parse-names":false,"suffix":""},{"dropping-particle":"","family":"Korevaar","given":"Daniel A","non-dropping-particle":"","parse-names":false,"suffix":""},{"dropping-particle":"","family":"Altman","given":"Douglas G","non-dropping-particle":"","parse-names":false,"suffix":""},{"dropping-particle":"","family":"Bruns","given":"David E","non-dropping-particle":"","parse-names":false,"suffix":""},{"dropping-particle":"","family":"Gatsonis","given":"Constantine A","non-dropping-particle":"","parse-names":false,"suffix":""},{"dropping-particle":"","family":"Hooft","given":"Lotty","non-dropping-particle":"","parse-names":false,"suffix":""},{"dropping-particle":"","family":"Irwig","given":"Les","non-dropping-particle":"","parse-names":false,"suffix":""},{"dropping-particle":"","family":"Levine","given":"Deborah","non-dropping-particle":"","parse-names":false,"suffix":""},{"dropping-particle":"","family":"Reitsma","given":"Johannes B","non-dropping-particle":"","parse-names":false,"suffix":""},{"dropping-particle":"","family":"Vet","given":"Henrica C W","non-dropping-particle":"de","parse-names":false,"suffix":""},{"dropping-particle":"","family":"Bossuyt","given":"Patrick M M","non-dropping-particle":"","parse-names":false,"suffix":""}],"container-title":"BMJ open","id":"ITEM-1","issue":"11","issued":{"date-parts":[["2016","11"]]},"language":"eng","page":"e012799","publisher-place":"England","title":"STARD 2015 guidelines for reporting diagnostic accuracy studies: explanation and  elaboration.","type":"article-journal","volume":"6"},"uris":["http://www.mendeley.com/documents/?uuid=6e841c91-259d-4bd5-9507-5056d6743d35"]}],"mendeley":{"formattedCitation":"[50]","plainTextFormattedCitation":"[50]","previouslyFormattedCitation":"[49]"},"properties":{"noteIndex":0},"schema":"https://github.com/citation-style-language/schema/raw/master/csl-citation.json"}</w:instrText>
      </w:r>
      <w:r w:rsidRPr="00F0434A">
        <w:rPr>
          <w:rFonts w:asciiTheme="minorHAnsi" w:hAnsiTheme="minorHAnsi" w:cstheme="minorHAnsi"/>
          <w:color w:val="auto"/>
          <w:lang w:val="en-US"/>
        </w:rPr>
        <w:fldChar w:fldCharType="separate"/>
      </w:r>
      <w:r w:rsidRPr="00F0434A">
        <w:rPr>
          <w:rFonts w:asciiTheme="minorHAnsi" w:hAnsiTheme="minorHAnsi" w:cstheme="minorHAnsi"/>
          <w:noProof/>
          <w:color w:val="auto"/>
          <w:lang w:val="en-US"/>
        </w:rPr>
        <w:t>[50]</w:t>
      </w:r>
      <w:r w:rsidRPr="00F0434A">
        <w:rPr>
          <w:rFonts w:asciiTheme="minorHAnsi" w:hAnsiTheme="minorHAnsi" w:cstheme="minorHAnsi"/>
          <w:color w:val="auto"/>
          <w:lang w:val="en-US"/>
        </w:rPr>
        <w:fldChar w:fldCharType="end"/>
      </w:r>
      <w:r w:rsidRPr="00F0434A">
        <w:rPr>
          <w:rFonts w:asciiTheme="minorHAnsi" w:hAnsiTheme="minorHAnsi" w:cstheme="minorHAnsi"/>
          <w:color w:val="auto"/>
          <w:lang w:val="en-US"/>
        </w:rPr>
        <w:t xml:space="preserve">. </w:t>
      </w:r>
    </w:p>
    <w:p w:rsidR="00F0434A" w:rsidRPr="00F0434A" w:rsidRDefault="00F0434A" w:rsidP="00F0434A">
      <w:pPr>
        <w:spacing w:line="360" w:lineRule="auto"/>
        <w:rPr>
          <w:rFonts w:asciiTheme="minorHAnsi" w:hAnsiTheme="minorHAnsi" w:cstheme="minorHAnsi"/>
          <w:color w:val="auto"/>
          <w:lang w:val="en-US"/>
        </w:rPr>
      </w:pPr>
    </w:p>
    <w:p w:rsidR="00F0434A" w:rsidRPr="00F0434A" w:rsidRDefault="00F0434A" w:rsidP="00F0434A">
      <w:pPr>
        <w:pStyle w:val="Paragraphedeliste"/>
        <w:numPr>
          <w:ilvl w:val="1"/>
          <w:numId w:val="31"/>
        </w:numPr>
        <w:spacing w:line="360" w:lineRule="auto"/>
        <w:jc w:val="both"/>
        <w:rPr>
          <w:rFonts w:asciiTheme="minorHAnsi" w:hAnsiTheme="minorHAnsi" w:cstheme="minorHAnsi"/>
          <w:b/>
          <w:color w:val="auto"/>
          <w:lang w:val="en-US"/>
        </w:rPr>
      </w:pPr>
      <w:r w:rsidRPr="00F0434A">
        <w:rPr>
          <w:rFonts w:asciiTheme="minorHAnsi" w:hAnsiTheme="minorHAnsi" w:cstheme="minorHAnsi"/>
          <w:b/>
          <w:color w:val="auto"/>
          <w:lang w:val="en-US"/>
        </w:rPr>
        <w:lastRenderedPageBreak/>
        <w:t>Secondary outcomes: accuracy with respect to resection type and localizing value of scalp EEG, and comparison with structural MRI.</w:t>
      </w:r>
    </w:p>
    <w:p w:rsidR="00F0434A" w:rsidRPr="00F0434A" w:rsidRDefault="00F0434A" w:rsidP="00F0434A">
      <w:pPr>
        <w:spacing w:line="360" w:lineRule="auto"/>
        <w:ind w:firstLine="708"/>
        <w:jc w:val="both"/>
        <w:rPr>
          <w:rFonts w:asciiTheme="minorHAnsi" w:hAnsiTheme="minorHAnsi" w:cstheme="minorHAnsi"/>
          <w:color w:val="auto"/>
          <w:lang w:val="en-US"/>
        </w:rPr>
      </w:pPr>
      <w:r w:rsidRPr="00F0434A">
        <w:rPr>
          <w:rFonts w:asciiTheme="minorHAnsi" w:hAnsiTheme="minorHAnsi" w:cstheme="minorHAnsi"/>
          <w:color w:val="auto"/>
          <w:lang w:val="en-US"/>
        </w:rPr>
        <w:t xml:space="preserve">Surgical resections were heterogeneous across the study population, with patients who underwent </w:t>
      </w:r>
      <w:r w:rsidRPr="00F0434A">
        <w:rPr>
          <w:rFonts w:asciiTheme="minorHAnsi" w:hAnsiTheme="minorHAnsi" w:cstheme="minorHAnsi"/>
          <w:i/>
          <w:color w:val="auto"/>
          <w:lang w:val="en-US"/>
        </w:rPr>
        <w:t>limited</w:t>
      </w:r>
      <w:r w:rsidRPr="00F0434A">
        <w:rPr>
          <w:rFonts w:asciiTheme="minorHAnsi" w:hAnsiTheme="minorHAnsi" w:cstheme="minorHAnsi"/>
          <w:color w:val="auto"/>
          <w:lang w:val="en-US"/>
        </w:rPr>
        <w:t xml:space="preserve"> resections (lesionectomies, cortectomies or disconnections involving only one lobe) and patients with </w:t>
      </w:r>
      <w:r w:rsidRPr="00F0434A">
        <w:rPr>
          <w:rFonts w:asciiTheme="minorHAnsi" w:hAnsiTheme="minorHAnsi" w:cstheme="minorHAnsi"/>
          <w:i/>
          <w:color w:val="auto"/>
          <w:lang w:val="en-US"/>
        </w:rPr>
        <w:t>extended</w:t>
      </w:r>
      <w:r w:rsidRPr="00F0434A">
        <w:rPr>
          <w:rFonts w:asciiTheme="minorHAnsi" w:hAnsiTheme="minorHAnsi" w:cstheme="minorHAnsi"/>
          <w:color w:val="auto"/>
          <w:lang w:val="en-US"/>
        </w:rPr>
        <w:t xml:space="preserve"> resections (multilobar resections/disconnections, and hemispherotomies). We determined whether there was a between-group (limited vs. extended) difference for ESI power and ESI+FC results. Furthermore, in order to test whether results were influenced by the degree of localization allowed by ictal EEG, we performed a between-group analysis regrouping patients with localizing, lateralized or bilateral/generalized ictal EEG </w:t>
      </w:r>
      <w:r w:rsidRPr="00F0434A">
        <w:rPr>
          <w:rFonts w:asciiTheme="minorHAnsi" w:hAnsiTheme="minorHAnsi" w:cstheme="minorHAnsi"/>
          <w:color w:val="auto"/>
          <w:lang w:val="en-US"/>
        </w:rPr>
        <w:fldChar w:fldCharType="begin" w:fldLock="1"/>
      </w:r>
      <w:r w:rsidRPr="00F0434A">
        <w:rPr>
          <w:rFonts w:asciiTheme="minorHAnsi" w:hAnsiTheme="minorHAnsi" w:cstheme="minorHAnsi"/>
          <w:color w:val="auto"/>
          <w:lang w:val="en-US"/>
        </w:rPr>
        <w:instrText>ADDIN CSL_CITATION {"citationItems":[{"id":"ITEM-1","itemData":{"ISSN":"0028-3878 (Print)","PMID":"11739820","abstract":"OBJECTIVE: To investigate the lateralization and localization of ictal EEG in focal epilepsy. METHODS: A total of 486 ictal EEG of 72 patients with focal epilepsy arising from the mesial temporal, neocortical temporal, mesial frontal, dorsolateral frontal, parietal, and occipital regions were analyzed. RESULTS: Surface ictal EEG was adequately localized in 72% of cases, more often in temporal than extratemporal epilepsy. Localized ictal onsets were seen in 57% of seizures and were most common in mesial temporal lobe epilepsy (MTLE), lateral frontal lobe epilepsy (LFLE), and parietal lobe epilepsy, whereas lateralized onsets predominated in neocortical temporal lobe epilepsy and generalized onsets in mesial frontal lobe epilepsy (MFLE) and occipital lobe epilepsy. Approximately two-thirds of seizures were localized, 22% generalized, 4% lateralized, and 6% mislocalized/lateralized. False localization/lateralization occurred in 28% of occipital and 16% of parietal seizures. Rhythmic temporal theta at ictal onset was seen exclusively in temporal lobe seizures, whereas localized repetitive epileptiform activity was highly predictive of LFLE. Seizures arising from the lateral convexity and mesial regions were differentiated by a high incidence of repetitive epileptiform activity at ictal onset in the former and rhythmic theta activity in the latter. CONCLUSIONS: With the exception of mesial frontal lobe epilepsy, ictal recordings are very useful in the localization/lateralization of focal seizures. Some patterns are highly accurate in localizing the epileptogenic lobe. One limitation of ictal EEG is the potential for false localization/lateralization in occipital and parietal lobe epilepsies.","author":[{"dropping-particle":"","family":"Foldvary","given":"N","non-dropping-particle":"","parse-names":false,"suffix":""},{"dropping-particle":"","family":"Klem","given":"G","non-dropping-particle":"","parse-names":false,"suffix":""},{"dropping-particle":"","family":"Hammel","given":"J","non-dropping-particle":"","parse-names":false,"suffix":""},{"dropping-particle":"","family":"Bingaman","given":"W","non-dropping-particle":"","parse-names":false,"suffix":""},{"dropping-particle":"","family":"Najm","given":"I","non-dropping-particle":"","parse-names":false,"suffix":""},{"dropping-particle":"","family":"Luders","given":"H","non-dropping-particle":"","parse-names":false,"suffix":""}],"container-title":"Neurology","id":"ITEM-1","issue":"11","issued":{"date-parts":[["2001","12"]]},"language":"eng","page":"2022-2028","publisher-place":"United States","title":"The localizing value of ictal EEG in focal epilepsy.","type":"article-journal","volume":"57"},"uris":["http://www.mendeley.com/documents/?uuid=09ba1e2a-c7ca-4994-bdbc-d668c94b5cd3"]}],"mendeley":{"formattedCitation":"[7]","plainTextFormattedCitation":"[7]","previouslyFormattedCitation":"[7]"},"properties":{"noteIndex":0},"schema":"https://github.com/citation-style-language/schema/raw/master/csl-citation.json"}</w:instrText>
      </w:r>
      <w:r w:rsidRPr="00F0434A">
        <w:rPr>
          <w:rFonts w:asciiTheme="minorHAnsi" w:hAnsiTheme="minorHAnsi" w:cstheme="minorHAnsi"/>
          <w:color w:val="auto"/>
          <w:lang w:val="en-US"/>
        </w:rPr>
        <w:fldChar w:fldCharType="separate"/>
      </w:r>
      <w:r w:rsidRPr="00F0434A">
        <w:rPr>
          <w:rFonts w:asciiTheme="minorHAnsi" w:hAnsiTheme="minorHAnsi" w:cstheme="minorHAnsi"/>
          <w:noProof/>
          <w:color w:val="auto"/>
          <w:lang w:val="en-US"/>
        </w:rPr>
        <w:t>[7]</w:t>
      </w:r>
      <w:r w:rsidRPr="00F0434A">
        <w:rPr>
          <w:rFonts w:asciiTheme="minorHAnsi" w:hAnsiTheme="minorHAnsi" w:cstheme="minorHAnsi"/>
          <w:color w:val="auto"/>
          <w:lang w:val="en-US"/>
        </w:rPr>
        <w:fldChar w:fldCharType="end"/>
      </w:r>
      <w:r w:rsidRPr="00F0434A">
        <w:rPr>
          <w:rFonts w:asciiTheme="minorHAnsi" w:hAnsiTheme="minorHAnsi" w:cstheme="minorHAnsi"/>
          <w:color w:val="auto"/>
          <w:lang w:val="en-US"/>
        </w:rPr>
        <w:t>, based on visual interpretation of the analyzed seizures. In addition, we also determined the diagnostic accuracy of structural MRI for the detection of epileptogenic lesions (using the same reference standard described above in section 2.6), and compared the results with those of ESI power and ESI+FC.</w:t>
      </w:r>
    </w:p>
    <w:p w:rsidR="00F0434A" w:rsidRPr="00F0434A" w:rsidRDefault="00F0434A" w:rsidP="00F0434A">
      <w:pPr>
        <w:spacing w:line="360" w:lineRule="auto"/>
        <w:jc w:val="both"/>
        <w:rPr>
          <w:rFonts w:asciiTheme="minorHAnsi" w:hAnsiTheme="minorHAnsi" w:cstheme="minorHAnsi"/>
          <w:color w:val="auto"/>
          <w:lang w:val="en-US"/>
        </w:rPr>
      </w:pPr>
    </w:p>
    <w:p w:rsidR="00F0434A" w:rsidRPr="00F0434A" w:rsidRDefault="00F0434A" w:rsidP="00F0434A">
      <w:pPr>
        <w:pStyle w:val="Paragraphedeliste"/>
        <w:numPr>
          <w:ilvl w:val="1"/>
          <w:numId w:val="31"/>
        </w:numPr>
        <w:spacing w:line="360" w:lineRule="auto"/>
        <w:jc w:val="both"/>
        <w:rPr>
          <w:rFonts w:asciiTheme="minorHAnsi" w:hAnsiTheme="minorHAnsi" w:cstheme="minorHAnsi"/>
          <w:color w:val="auto"/>
          <w:lang w:val="en-US"/>
        </w:rPr>
      </w:pPr>
      <w:r w:rsidRPr="00F0434A">
        <w:rPr>
          <w:rFonts w:asciiTheme="minorHAnsi" w:hAnsiTheme="minorHAnsi" w:cstheme="minorHAnsi"/>
          <w:b/>
          <w:color w:val="auto"/>
          <w:lang w:val="en-US"/>
        </w:rPr>
        <w:t>Statistical analysis</w:t>
      </w:r>
    </w:p>
    <w:p w:rsidR="00F0434A" w:rsidRPr="00F0434A" w:rsidRDefault="00F0434A" w:rsidP="00F0434A">
      <w:pPr>
        <w:spacing w:line="360" w:lineRule="auto"/>
        <w:ind w:firstLine="708"/>
        <w:jc w:val="both"/>
        <w:rPr>
          <w:rFonts w:asciiTheme="minorHAnsi" w:hAnsiTheme="minorHAnsi" w:cstheme="minorHAnsi"/>
          <w:color w:val="auto"/>
          <w:lang w:val="en-US"/>
        </w:rPr>
      </w:pPr>
      <w:r w:rsidRPr="00F0434A">
        <w:rPr>
          <w:rFonts w:asciiTheme="minorHAnsi" w:hAnsiTheme="minorHAnsi" w:cstheme="minorHAnsi"/>
          <w:color w:val="auto"/>
          <w:lang w:val="en-US"/>
        </w:rPr>
        <w:t>Statistical analysis was performed using SPSS Statistics for Windows 2.0 (IBM Corp., Armonk, USA). Sample size was planned based on a previous study by Staljanssens et al.</w:t>
      </w:r>
      <w:r w:rsidRPr="00F0434A">
        <w:rPr>
          <w:rFonts w:asciiTheme="minorHAnsi" w:hAnsiTheme="minorHAnsi" w:cstheme="minorHAnsi"/>
          <w:color w:val="auto"/>
          <w:vertAlign w:val="superscript"/>
          <w:lang w:val="en-US"/>
        </w:rPr>
        <w:t xml:space="preserve"> </w:t>
      </w:r>
      <w:r w:rsidRPr="00F0434A">
        <w:rPr>
          <w:rFonts w:asciiTheme="minorHAnsi" w:hAnsiTheme="minorHAnsi" w:cstheme="minorHAnsi"/>
          <w:color w:val="auto"/>
          <w:vertAlign w:val="superscript"/>
          <w:lang w:val="en-US"/>
        </w:rPr>
        <w:fldChar w:fldCharType="begin" w:fldLock="1"/>
      </w:r>
      <w:r w:rsidRPr="00F0434A">
        <w:rPr>
          <w:rFonts w:asciiTheme="minorHAnsi" w:hAnsiTheme="minorHAnsi" w:cstheme="minorHAnsi"/>
          <w:color w:val="auto"/>
          <w:vertAlign w:val="superscript"/>
          <w:lang w:val="en-US"/>
        </w:rPr>
        <w:instrText>ADDIN CSL_CITATION {"citationItems":[{"id":"ITEM-1","itemData":{"DOI":"10.1016/j.nicl.2017.09.011","ISSN":"2213-1582 (Electronic)","PMID":"29034162","abstract":"Electrical source imaging (ESI) from interictal scalp EEG is increasingly validated and used as a valuable tool in the presurgical evaluation of epilepsy as a reflection of the irritative zone. ESI of ictal scalp EEG to localize the seizure onset zone (SOZ) remains challenging. We investigated the value of an approach for ictal imaging using ESI and functional connectivity analysis (FC). Ictal scalp EEG from 111 seizures in 27 patients who had Engel class I outcome at least 1 year following resective surgery was analyzed. For every seizure, an artifact-free epoch close to the seizure onset was selected and ESI using LORETA was applied. In addition, the reconstructed sources underwent FC using the spectrum-weighted Adaptive Directed Transfer Function. This resulted in the estimation of the SOZ in two ways: (i) the source with maximal power after ESI, (ii) the source with the strongest outgoing connections after combined ESI and FC. Next, we calculated the distance between the estimated SOZ and the border of the resected zone (RZ) for both approaches and called this the localization error ((i) LEpow and (ii) LEconn respectively). By comparing LEpow and LEconn, we assessed the added value of FC. The source with maximal power after ESI was inside the RZ (LEpow = 0 mm) in 31% of the seizures and estimated within 10 mm from the border of the RZ (LEpow &lt;/= 10 mm) in 42%. Using ESI and FC, these numbers increased to 72% for LEconn = 0 mm and 94% for LEconn &lt;/= 10 mm. FC provided a significant added value to ESI alone (p &lt; 0.001). ESI combined with subsequent FC is able to localize the SOZ in a non-invasive way with high accuracy. Therefore it could be a valuable tool in the presurgical evaluation of epilepsy.","author":[{"dropping-particle":"","family":"Staljanssens","given":"Willeke","non-dropping-particle":"","parse-names":false,"suffix":""},{"dropping-particle":"","family":"Strobbe","given":"Gregor","non-dropping-particle":"","parse-names":false,"suffix":""},{"dropping-particle":"","family":"Holen","given":"Roel","non-dropping-particle":"Van","parse-names":false,"suffix":""},{"dropping-particle":"","family":"Keereman","given":"Vincent","non-dropping-particle":"","parse-names":false,"suffix":""},{"dropping-particle":"","family":"Gadeyne","given":"Stefanie","non-dropping-particle":"","parse-names":false,"suffix":""},{"dropping-particle":"","family":"Carrette","given":"Evelien","non-dropping-particle":"","parse-names":false,"suffix":""},{"dropping-particle":"","family":"Meurs","given":"Alfred","non-dropping-particle":"","parse-names":false,"suffix":""},{"dropping-particle":"","family":"Pittau","given":"Francesca","non-dropping-particle":"","parse-names":false,"suffix":""},{"dropping-particle":"","family":"Momjian","given":"Shahan","non-dropping-particle":"","parse-names":false,"suffix":""},{"dropping-particle":"","family":"Seeck","given":"Margitta","non-dropping-particle":"","parse-names":false,"suffix":""},{"dropping-particle":"","family":"Boon","given":"Paul","non-dropping-particle":"","parse-names":false,"suffix":""},{"dropping-particle":"","family":"Vandenberghe","given":"Stefaan","non-dropping-particle":"","parse-names":false,"suffix":""},{"dropping-particle":"","family":"Vulliemoz","given":"Serge","non-dropping-particle":"","parse-names":false,"suffix":""},{"dropping-particle":"","family":"Vonck","given":"Kristl","non-dropping-particle":"","parse-names":false,"suffix":""},{"dropping-particle":"","family":"Mierlo","given":"Pieter","non-dropping-particle":"van","parse-names":false,"suffix":""}],"container-title":"NeuroImage. Clinical","id":"ITEM-1","issued":{"date-parts":[["2017"]]},"language":"eng","page":"689-698","publisher-place":"Netherlands","title":"EEG source connectivity to localize the seizure onset zone in patients with drug  resistant epilepsy.","type":"article-journal","volume":"16"},"uris":["http://www.mendeley.com/documents/?uuid=65b91fef-2806-4dfc-8dca-faaa219310bc"]}],"mendeley":{"formattedCitation":"[35]","plainTextFormattedCitation":"[35]","previouslyFormattedCitation":"[35]"},"properties":{"noteIndex":0},"schema":"https://github.com/citation-style-language/schema/raw/master/csl-citation.json"}</w:instrText>
      </w:r>
      <w:r w:rsidRPr="00F0434A">
        <w:rPr>
          <w:rFonts w:asciiTheme="minorHAnsi" w:hAnsiTheme="minorHAnsi" w:cstheme="minorHAnsi"/>
          <w:color w:val="auto"/>
          <w:vertAlign w:val="superscript"/>
          <w:lang w:val="en-US"/>
        </w:rPr>
        <w:fldChar w:fldCharType="separate"/>
      </w:r>
      <w:r w:rsidRPr="00F0434A">
        <w:rPr>
          <w:rFonts w:asciiTheme="minorHAnsi" w:hAnsiTheme="minorHAnsi" w:cstheme="minorHAnsi"/>
          <w:noProof/>
          <w:color w:val="auto"/>
          <w:lang w:val="en-US"/>
        </w:rPr>
        <w:t>[35]</w:t>
      </w:r>
      <w:r w:rsidRPr="00F0434A">
        <w:rPr>
          <w:rFonts w:asciiTheme="minorHAnsi" w:hAnsiTheme="minorHAnsi" w:cstheme="minorHAnsi"/>
          <w:color w:val="auto"/>
          <w:vertAlign w:val="superscript"/>
          <w:lang w:val="en-US"/>
        </w:rPr>
        <w:fldChar w:fldCharType="end"/>
      </w:r>
      <w:r w:rsidRPr="00F0434A">
        <w:rPr>
          <w:rFonts w:asciiTheme="minorHAnsi" w:hAnsiTheme="minorHAnsi" w:cstheme="minorHAnsi"/>
          <w:color w:val="auto"/>
          <w:lang w:val="en-US"/>
        </w:rPr>
        <w:t>. Confidence intervals (C.I.) are reported for 95%. Chi-square test was used to assess differences between test accuracy measures. Inter-rater agreement between primary reviewers was calculated using Cohen’s kappa (</w:t>
      </w:r>
      <w:r w:rsidRPr="00F0434A">
        <w:rPr>
          <w:rFonts w:asciiTheme="minorHAnsi" w:hAnsiTheme="minorHAnsi" w:cstheme="minorHAnsi"/>
          <w:i/>
          <w:color w:val="auto"/>
          <w:lang w:val="en-US"/>
        </w:rPr>
        <w:t>k</w:t>
      </w:r>
      <w:r w:rsidRPr="00F0434A">
        <w:rPr>
          <w:rFonts w:asciiTheme="minorHAnsi" w:hAnsiTheme="minorHAnsi" w:cstheme="minorHAnsi"/>
          <w:color w:val="auto"/>
          <w:lang w:val="en-US"/>
        </w:rPr>
        <w:t xml:space="preserve">), for 43 possible choices (all sublobes plus the inconclusive outcome). Agreement was considered poor for </w:t>
      </w:r>
      <w:r w:rsidRPr="00F0434A">
        <w:rPr>
          <w:rFonts w:asciiTheme="minorHAnsi" w:hAnsiTheme="minorHAnsi" w:cstheme="minorHAnsi"/>
          <w:i/>
          <w:color w:val="auto"/>
          <w:lang w:val="en-US"/>
        </w:rPr>
        <w:t>k</w:t>
      </w:r>
      <w:r w:rsidRPr="00F0434A">
        <w:rPr>
          <w:rFonts w:asciiTheme="minorHAnsi" w:hAnsiTheme="minorHAnsi" w:cstheme="minorHAnsi"/>
          <w:color w:val="auto"/>
          <w:lang w:val="en-US"/>
        </w:rPr>
        <w:t xml:space="preserve">&lt; 0.2, fair for </w:t>
      </w:r>
      <w:r w:rsidRPr="00F0434A">
        <w:rPr>
          <w:rFonts w:asciiTheme="minorHAnsi" w:hAnsiTheme="minorHAnsi" w:cstheme="minorHAnsi"/>
          <w:i/>
          <w:color w:val="auto"/>
          <w:lang w:val="en-US"/>
        </w:rPr>
        <w:t>k=</w:t>
      </w:r>
      <w:r w:rsidRPr="00F0434A">
        <w:rPr>
          <w:rFonts w:asciiTheme="minorHAnsi" w:hAnsiTheme="minorHAnsi" w:cstheme="minorHAnsi"/>
          <w:color w:val="auto"/>
          <w:lang w:val="en-US"/>
        </w:rPr>
        <w:t xml:space="preserve"> 0.2-0.39, moderate for </w:t>
      </w:r>
      <w:r w:rsidRPr="00F0434A">
        <w:rPr>
          <w:rFonts w:asciiTheme="minorHAnsi" w:hAnsiTheme="minorHAnsi" w:cstheme="minorHAnsi"/>
          <w:i/>
          <w:color w:val="auto"/>
          <w:lang w:val="en-US"/>
        </w:rPr>
        <w:t>k=</w:t>
      </w:r>
      <w:r w:rsidRPr="00F0434A">
        <w:rPr>
          <w:rFonts w:asciiTheme="minorHAnsi" w:hAnsiTheme="minorHAnsi" w:cstheme="minorHAnsi"/>
          <w:color w:val="auto"/>
          <w:lang w:val="en-US"/>
        </w:rPr>
        <w:t xml:space="preserve"> 0.4-0.59, substantial for </w:t>
      </w:r>
      <w:r w:rsidRPr="00F0434A">
        <w:rPr>
          <w:rFonts w:asciiTheme="minorHAnsi" w:hAnsiTheme="minorHAnsi" w:cstheme="minorHAnsi"/>
          <w:i/>
          <w:color w:val="auto"/>
          <w:lang w:val="en-US"/>
        </w:rPr>
        <w:t>k=</w:t>
      </w:r>
      <w:r w:rsidRPr="00F0434A">
        <w:rPr>
          <w:rFonts w:asciiTheme="minorHAnsi" w:hAnsiTheme="minorHAnsi" w:cstheme="minorHAnsi"/>
          <w:color w:val="auto"/>
          <w:lang w:val="en-US"/>
        </w:rPr>
        <w:t xml:space="preserve"> 0.6-0.79 and excellent for </w:t>
      </w:r>
      <w:r w:rsidRPr="00F0434A">
        <w:rPr>
          <w:rFonts w:asciiTheme="minorHAnsi" w:hAnsiTheme="minorHAnsi" w:cstheme="minorHAnsi"/>
          <w:i/>
          <w:color w:val="auto"/>
          <w:lang w:val="en-US"/>
        </w:rPr>
        <w:t xml:space="preserve">k </w:t>
      </w:r>
      <w:r w:rsidRPr="00F0434A">
        <w:rPr>
          <w:rFonts w:asciiTheme="minorHAnsi" w:hAnsiTheme="minorHAnsi" w:cstheme="minorHAnsi"/>
          <w:color w:val="auto"/>
          <w:lang w:val="en-US"/>
        </w:rPr>
        <w:t xml:space="preserve">&gt; 0.8 </w:t>
      </w:r>
      <w:r w:rsidRPr="00F0434A">
        <w:rPr>
          <w:rFonts w:asciiTheme="minorHAnsi" w:hAnsiTheme="minorHAnsi" w:cstheme="minorHAnsi"/>
          <w:color w:val="auto"/>
          <w:lang w:val="en-US"/>
        </w:rPr>
        <w:fldChar w:fldCharType="begin" w:fldLock="1"/>
      </w:r>
      <w:r w:rsidRPr="00F0434A">
        <w:rPr>
          <w:rFonts w:asciiTheme="minorHAnsi" w:hAnsiTheme="minorHAnsi" w:cstheme="minorHAnsi"/>
          <w:color w:val="auto"/>
          <w:lang w:val="en-US"/>
        </w:rPr>
        <w:instrText>ADDIN CSL_CITATION {"citationItems":[{"id":"ITEM-1","itemData":{"ISSN":"0006-341X (Print)","PMID":"843571","abstract":"This paper presents a general statistical methodology for the analysis of multivariate categorical data arising from observer reliability studies. The procedure essentially involves the construction of functions of the observed proportions which are directed at the extent to which the observers agree among themselves and the construction of test statistics for hypotheses involving these functions. Tests for interobserver bias are presented in terms of first-order marginal homogeneity and measures of interobserver agreement are developed as generalized kappa-type statistics. These procedures are illustrated with a clinical diagnosis example from the epidemiological literature.","author":[{"dropping-particle":"","family":"Landis","given":"J R","non-dropping-particle":"","parse-names":false,"suffix":""},{"dropping-particle":"","family":"Koch","given":"G G","non-dropping-particle":"","parse-names":false,"suffix":""}],"container-title":"Biometrics","id":"ITEM-1","issue":"1","issued":{"date-parts":[["1977","3"]]},"language":"eng","page":"159-174","publisher-place":"United States","title":"The measurement of observer agreement for categorical data.","type":"article-journal","volume":"33"},"uris":["http://www.mendeley.com/documents/?uuid=c87d9556-31fc-4078-a71a-ccd4fc8b1544"]}],"mendeley":{"formattedCitation":"[51]","plainTextFormattedCitation":"[51]","previouslyFormattedCitation":"[50]"},"properties":{"noteIndex":0},"schema":"https://github.com/citation-style-language/schema/raw/master/csl-citation.json"}</w:instrText>
      </w:r>
      <w:r w:rsidRPr="00F0434A">
        <w:rPr>
          <w:rFonts w:asciiTheme="minorHAnsi" w:hAnsiTheme="minorHAnsi" w:cstheme="minorHAnsi"/>
          <w:color w:val="auto"/>
          <w:lang w:val="en-US"/>
        </w:rPr>
        <w:fldChar w:fldCharType="separate"/>
      </w:r>
      <w:r w:rsidRPr="00F0434A">
        <w:rPr>
          <w:rFonts w:asciiTheme="minorHAnsi" w:hAnsiTheme="minorHAnsi" w:cstheme="minorHAnsi"/>
          <w:noProof/>
          <w:color w:val="auto"/>
          <w:lang w:val="en-US"/>
        </w:rPr>
        <w:t>[51]</w:t>
      </w:r>
      <w:r w:rsidRPr="00F0434A">
        <w:rPr>
          <w:rFonts w:asciiTheme="minorHAnsi" w:hAnsiTheme="minorHAnsi" w:cstheme="minorHAnsi"/>
          <w:color w:val="auto"/>
          <w:lang w:val="en-US"/>
        </w:rPr>
        <w:fldChar w:fldCharType="end"/>
      </w:r>
      <w:r w:rsidRPr="00F0434A">
        <w:rPr>
          <w:rFonts w:asciiTheme="minorHAnsi" w:hAnsiTheme="minorHAnsi" w:cstheme="minorHAnsi"/>
          <w:color w:val="auto"/>
          <w:lang w:val="en-US"/>
        </w:rPr>
        <w:t xml:space="preserve">. For subgroup analyses, mean diagnostic accuracy values per patient were calculated. Wilcoxon signed-rank test was used for comparing paired samples. Mann-Whitney U test (two subgroups) or Kruskal-Wallis H test (three subgroups) were used to compare between the independent samples. Significant values were set at p &lt; 0.05. </w:t>
      </w:r>
    </w:p>
    <w:p w:rsidR="00F0434A" w:rsidRPr="00F0434A" w:rsidRDefault="00F0434A" w:rsidP="00F0434A">
      <w:pPr>
        <w:spacing w:line="360" w:lineRule="auto"/>
        <w:jc w:val="both"/>
        <w:rPr>
          <w:rFonts w:asciiTheme="minorHAnsi" w:hAnsiTheme="minorHAnsi" w:cstheme="minorHAnsi"/>
          <w:color w:val="auto"/>
          <w:lang w:val="en-US"/>
        </w:rPr>
      </w:pPr>
    </w:p>
    <w:p w:rsidR="00F0434A" w:rsidRPr="00F0434A" w:rsidRDefault="00F0434A" w:rsidP="00F0434A">
      <w:pPr>
        <w:pStyle w:val="Paragraphedeliste"/>
        <w:numPr>
          <w:ilvl w:val="0"/>
          <w:numId w:val="31"/>
        </w:numPr>
        <w:spacing w:line="360" w:lineRule="auto"/>
        <w:rPr>
          <w:rFonts w:asciiTheme="minorHAnsi" w:hAnsiTheme="minorHAnsi" w:cstheme="minorHAnsi"/>
          <w:b/>
          <w:color w:val="auto"/>
          <w:lang w:val="en-US"/>
        </w:rPr>
      </w:pPr>
      <w:r w:rsidRPr="00F0434A">
        <w:rPr>
          <w:rFonts w:asciiTheme="minorHAnsi" w:hAnsiTheme="minorHAnsi" w:cstheme="minorHAnsi"/>
          <w:b/>
          <w:color w:val="auto"/>
          <w:lang w:val="en-US"/>
        </w:rPr>
        <w:t>RESULTS</w:t>
      </w:r>
    </w:p>
    <w:p w:rsidR="00F0434A" w:rsidRPr="00F0434A" w:rsidRDefault="00F0434A" w:rsidP="00F0434A">
      <w:pPr>
        <w:pStyle w:val="Paragraphedeliste"/>
        <w:numPr>
          <w:ilvl w:val="1"/>
          <w:numId w:val="31"/>
        </w:numPr>
        <w:spacing w:line="360" w:lineRule="auto"/>
        <w:rPr>
          <w:rFonts w:asciiTheme="minorHAnsi" w:hAnsiTheme="minorHAnsi" w:cstheme="minorHAnsi"/>
          <w:b/>
          <w:color w:val="auto"/>
          <w:lang w:val="en-US"/>
        </w:rPr>
      </w:pPr>
      <w:r w:rsidRPr="00F0434A">
        <w:rPr>
          <w:rFonts w:asciiTheme="minorHAnsi" w:hAnsiTheme="minorHAnsi" w:cstheme="minorHAnsi"/>
          <w:b/>
          <w:color w:val="auto"/>
          <w:lang w:val="en-US"/>
        </w:rPr>
        <w:t>Inclusion of patients and study flowchart</w:t>
      </w:r>
    </w:p>
    <w:p w:rsidR="00F0434A" w:rsidRPr="00F0434A" w:rsidRDefault="00F0434A" w:rsidP="00F0434A">
      <w:pPr>
        <w:spacing w:line="360" w:lineRule="auto"/>
        <w:ind w:firstLine="708"/>
        <w:jc w:val="both"/>
        <w:rPr>
          <w:rFonts w:asciiTheme="minorHAnsi" w:hAnsiTheme="minorHAnsi" w:cstheme="minorHAnsi"/>
          <w:color w:val="auto"/>
          <w:lang w:val="en-US"/>
        </w:rPr>
      </w:pPr>
      <w:r w:rsidRPr="00F0434A">
        <w:rPr>
          <w:rFonts w:asciiTheme="minorHAnsi" w:hAnsiTheme="minorHAnsi" w:cstheme="minorHAnsi"/>
          <w:color w:val="auto"/>
          <w:lang w:val="en-US"/>
        </w:rPr>
        <w:t xml:space="preserve">Thirty-six patients were considered potentially eligible after revision of clinical database. One patient was excluded due to a concomitance of temporal and extra-temporal resections. In one patient, no seizures in the relevant EEG monitoring were available. Ten </w:t>
      </w:r>
      <w:r w:rsidRPr="00F0434A">
        <w:rPr>
          <w:rFonts w:asciiTheme="minorHAnsi" w:hAnsiTheme="minorHAnsi" w:cstheme="minorHAnsi"/>
          <w:color w:val="auto"/>
          <w:lang w:val="en-US"/>
        </w:rPr>
        <w:lastRenderedPageBreak/>
        <w:t>patients were excluded as the seizure onset was not characterized by clear rhythmical activity. As a result, 24 patients were finally included in the study (</w:t>
      </w:r>
      <w:r w:rsidRPr="00F0434A">
        <w:rPr>
          <w:rFonts w:asciiTheme="minorHAnsi" w:hAnsiTheme="minorHAnsi" w:cstheme="minorHAnsi"/>
          <w:b/>
          <w:color w:val="auto"/>
          <w:lang w:val="en-US"/>
        </w:rPr>
        <w:t>Figure 2</w:t>
      </w:r>
      <w:r w:rsidRPr="00F0434A">
        <w:rPr>
          <w:rFonts w:asciiTheme="minorHAnsi" w:hAnsiTheme="minorHAnsi" w:cstheme="minorHAnsi"/>
          <w:color w:val="auto"/>
          <w:lang w:val="en-US"/>
        </w:rPr>
        <w:t xml:space="preserve">). Clinical records of the study population are available in </w:t>
      </w:r>
      <w:r w:rsidRPr="00F0434A">
        <w:rPr>
          <w:rFonts w:asciiTheme="minorHAnsi" w:hAnsiTheme="minorHAnsi" w:cstheme="minorHAnsi"/>
          <w:b/>
          <w:color w:val="auto"/>
          <w:lang w:val="en-US"/>
        </w:rPr>
        <w:t>Table 1</w:t>
      </w:r>
      <w:r w:rsidRPr="00F0434A">
        <w:rPr>
          <w:rFonts w:asciiTheme="minorHAnsi" w:hAnsiTheme="minorHAnsi" w:cstheme="minorHAnsi"/>
          <w:color w:val="auto"/>
          <w:lang w:val="en-US"/>
        </w:rPr>
        <w:t>.</w:t>
      </w:r>
      <w:r w:rsidRPr="00F0434A">
        <w:rPr>
          <w:rFonts w:asciiTheme="minorHAnsi" w:hAnsiTheme="minorHAnsi" w:cstheme="minorHAnsi"/>
          <w:b/>
          <w:color w:val="auto"/>
          <w:lang w:val="en-US"/>
        </w:rPr>
        <w:t xml:space="preserve"> </w:t>
      </w:r>
      <w:r w:rsidRPr="00F0434A">
        <w:rPr>
          <w:rFonts w:asciiTheme="minorHAnsi" w:hAnsiTheme="minorHAnsi" w:cstheme="minorHAnsi"/>
          <w:color w:val="auto"/>
          <w:lang w:val="en-US"/>
        </w:rPr>
        <w:t xml:space="preserve">Demographics can be found in </w:t>
      </w:r>
      <w:r w:rsidRPr="00F0434A">
        <w:rPr>
          <w:rFonts w:asciiTheme="minorHAnsi" w:hAnsiTheme="minorHAnsi" w:cstheme="minorHAnsi"/>
          <w:b/>
          <w:color w:val="auto"/>
          <w:lang w:val="en-US"/>
        </w:rPr>
        <w:t>Supplementary Material 2</w:t>
      </w:r>
      <w:r w:rsidRPr="00F0434A">
        <w:rPr>
          <w:rFonts w:asciiTheme="minorHAnsi" w:hAnsiTheme="minorHAnsi" w:cstheme="minorHAnsi"/>
          <w:color w:val="auto"/>
          <w:lang w:val="en-US"/>
        </w:rPr>
        <w:t>. From these 24 patients, 100 seizures were identified. However, six</w:t>
      </w:r>
      <w:r w:rsidRPr="00F0434A">
        <w:rPr>
          <w:rStyle w:val="Caratteridinumerazione"/>
          <w:rFonts w:asciiTheme="minorHAnsi" w:hAnsiTheme="minorHAnsi" w:cstheme="minorHAnsi"/>
          <w:color w:val="auto"/>
          <w:lang w:val="en-US"/>
        </w:rPr>
        <w:t xml:space="preserve"> seizures were excluded as the recordings presented three or more bad channels.</w:t>
      </w:r>
    </w:p>
    <w:p w:rsidR="00F0434A" w:rsidRPr="00F0434A" w:rsidRDefault="00F0434A" w:rsidP="00F0434A">
      <w:pPr>
        <w:spacing w:line="360" w:lineRule="auto"/>
        <w:ind w:firstLine="708"/>
        <w:jc w:val="both"/>
        <w:rPr>
          <w:rFonts w:asciiTheme="minorHAnsi" w:hAnsiTheme="minorHAnsi" w:cstheme="minorHAnsi"/>
          <w:color w:val="auto"/>
          <w:lang w:val="en-US"/>
        </w:rPr>
      </w:pPr>
      <w:r w:rsidRPr="00F0434A">
        <w:rPr>
          <w:rStyle w:val="Caratteridinumerazione"/>
          <w:rFonts w:asciiTheme="minorHAnsi" w:hAnsiTheme="minorHAnsi" w:cstheme="minorHAnsi"/>
          <w:color w:val="auto"/>
          <w:lang w:val="en-US"/>
        </w:rPr>
        <w:t xml:space="preserve">Overall, 94 seizures from 24 patients were conclusively analyzed. 17/24 patients seizure free after their surgery were finally included, resulting in 69 seizures analyzed in the ILAE class 1 group, vs. 25 seizures in 7/24 ILAE class 2-6 patients </w:t>
      </w:r>
      <w:r w:rsidRPr="00F0434A">
        <w:rPr>
          <w:rFonts w:asciiTheme="minorHAnsi" w:hAnsiTheme="minorHAnsi" w:cstheme="minorHAnsi"/>
          <w:color w:val="auto"/>
          <w:lang w:val="en-US"/>
        </w:rPr>
        <w:t>(</w:t>
      </w:r>
      <w:r w:rsidRPr="00F0434A">
        <w:rPr>
          <w:rFonts w:asciiTheme="minorHAnsi" w:hAnsiTheme="minorHAnsi" w:cstheme="minorHAnsi"/>
          <w:b/>
          <w:color w:val="auto"/>
          <w:lang w:val="en-US"/>
        </w:rPr>
        <w:t>Figure 2</w:t>
      </w:r>
      <w:r w:rsidRPr="00F0434A">
        <w:rPr>
          <w:rFonts w:asciiTheme="minorHAnsi" w:hAnsiTheme="minorHAnsi" w:cstheme="minorHAnsi"/>
          <w:color w:val="auto"/>
          <w:lang w:val="en-US"/>
        </w:rPr>
        <w:t>)</w:t>
      </w:r>
      <w:r w:rsidRPr="00F0434A">
        <w:rPr>
          <w:rStyle w:val="Caratteridinumerazione"/>
          <w:rFonts w:asciiTheme="minorHAnsi" w:hAnsiTheme="minorHAnsi" w:cstheme="minorHAnsi"/>
          <w:color w:val="auto"/>
          <w:lang w:val="en-US"/>
        </w:rPr>
        <w:t xml:space="preserve"> . Visual interpretation of ictal EEG was localizing in 32/94 seizures (PAT 1, 4, 9, 10, 12, 16, 20, 23), lateralized in 35/94 (PAT 2, 5, 6, 14, 15, 18, 19, 21, 22) and in 27/94 bilateral or generalized (PAT 3, 7, 8, 11, 13, 17, 24). </w:t>
      </w:r>
    </w:p>
    <w:p w:rsidR="00F0434A" w:rsidRPr="00F0434A" w:rsidRDefault="00F0434A" w:rsidP="00F0434A">
      <w:pPr>
        <w:spacing w:line="360" w:lineRule="auto"/>
        <w:ind w:firstLine="708"/>
        <w:jc w:val="both"/>
        <w:rPr>
          <w:rFonts w:asciiTheme="minorHAnsi" w:hAnsiTheme="minorHAnsi" w:cstheme="minorHAnsi"/>
          <w:color w:val="auto"/>
          <w:lang w:val="en-US"/>
        </w:rPr>
      </w:pPr>
    </w:p>
    <w:p w:rsidR="00F0434A" w:rsidRPr="00F0434A" w:rsidRDefault="00F0434A" w:rsidP="00F0434A">
      <w:pPr>
        <w:pStyle w:val="Paragraphedeliste"/>
        <w:numPr>
          <w:ilvl w:val="1"/>
          <w:numId w:val="31"/>
        </w:numPr>
        <w:spacing w:line="360" w:lineRule="auto"/>
        <w:jc w:val="both"/>
        <w:rPr>
          <w:rFonts w:asciiTheme="minorHAnsi" w:hAnsiTheme="minorHAnsi" w:cstheme="minorHAnsi"/>
          <w:b/>
          <w:color w:val="auto"/>
          <w:lang w:val="en-US"/>
        </w:rPr>
      </w:pPr>
      <w:r w:rsidRPr="00F0434A">
        <w:rPr>
          <w:rFonts w:asciiTheme="minorHAnsi" w:hAnsiTheme="minorHAnsi" w:cstheme="minorHAnsi"/>
          <w:b/>
          <w:color w:val="auto"/>
          <w:lang w:val="en-US"/>
        </w:rPr>
        <w:t>Accuracy measures of the index tests</w:t>
      </w:r>
    </w:p>
    <w:p w:rsidR="00F0434A" w:rsidRPr="00F0434A" w:rsidRDefault="00F0434A" w:rsidP="00F0434A">
      <w:pPr>
        <w:spacing w:line="360" w:lineRule="auto"/>
        <w:ind w:firstLine="708"/>
        <w:jc w:val="both"/>
        <w:rPr>
          <w:rFonts w:asciiTheme="minorHAnsi" w:hAnsiTheme="minorHAnsi" w:cstheme="minorHAnsi"/>
          <w:color w:val="auto"/>
          <w:lang w:val="en-US"/>
        </w:rPr>
      </w:pPr>
      <w:r w:rsidRPr="00F0434A">
        <w:rPr>
          <w:rFonts w:asciiTheme="minorHAnsi" w:hAnsiTheme="minorHAnsi" w:cstheme="minorHAnsi"/>
          <w:color w:val="auto"/>
          <w:lang w:val="en-US"/>
        </w:rPr>
        <w:t xml:space="preserve">At a </w:t>
      </w:r>
      <w:r w:rsidRPr="00F0434A">
        <w:rPr>
          <w:rFonts w:asciiTheme="minorHAnsi" w:hAnsiTheme="minorHAnsi" w:cstheme="minorHAnsi"/>
          <w:i/>
          <w:color w:val="auto"/>
          <w:lang w:val="en-US"/>
        </w:rPr>
        <w:t>seizure level</w:t>
      </w:r>
      <w:r w:rsidRPr="00F0434A">
        <w:rPr>
          <w:rFonts w:asciiTheme="minorHAnsi" w:hAnsiTheme="minorHAnsi" w:cstheme="minorHAnsi"/>
          <w:color w:val="auto"/>
          <w:lang w:val="en-US"/>
        </w:rPr>
        <w:t>, ESI power method localized correctly the SOZ (S</w:t>
      </w:r>
      <w:r w:rsidRPr="00F0434A">
        <w:rPr>
          <w:rFonts w:asciiTheme="minorHAnsi" w:hAnsiTheme="minorHAnsi" w:cstheme="minorHAnsi"/>
          <w:color w:val="auto"/>
          <w:vertAlign w:val="subscript"/>
          <w:lang w:val="en-US"/>
        </w:rPr>
        <w:t>POW</w:t>
      </w:r>
      <w:r w:rsidRPr="00F0434A">
        <w:rPr>
          <w:rFonts w:asciiTheme="minorHAnsi" w:hAnsiTheme="minorHAnsi" w:cstheme="minorHAnsi"/>
          <w:color w:val="auto"/>
          <w:lang w:val="en-US"/>
        </w:rPr>
        <w:t>) in 43/94 seizures, with an overall accuracy of 46% (C.I. 35-56%). ESI+FC significantly improved the performance (chi-square test, p= 0.04), with S</w:t>
      </w:r>
      <w:r w:rsidRPr="00F0434A">
        <w:rPr>
          <w:rFonts w:asciiTheme="minorHAnsi" w:hAnsiTheme="minorHAnsi" w:cstheme="minorHAnsi"/>
          <w:color w:val="auto"/>
          <w:vertAlign w:val="subscript"/>
          <w:lang w:val="en-US"/>
        </w:rPr>
        <w:t>CONN</w:t>
      </w:r>
      <w:r w:rsidRPr="00F0434A">
        <w:rPr>
          <w:rFonts w:asciiTheme="minorHAnsi" w:hAnsiTheme="minorHAnsi" w:cstheme="minorHAnsi"/>
          <w:color w:val="auto"/>
          <w:lang w:val="en-US"/>
        </w:rPr>
        <w:t xml:space="preserve"> correctly localized in 57/94 seizures, and an overall accuracy of 61% (C.I. 50-71%). Full measures of accuracy are shown in </w:t>
      </w:r>
      <w:r w:rsidRPr="00F0434A">
        <w:rPr>
          <w:rFonts w:asciiTheme="minorHAnsi" w:hAnsiTheme="minorHAnsi" w:cstheme="minorHAnsi"/>
          <w:b/>
          <w:color w:val="auto"/>
          <w:lang w:val="en-US"/>
        </w:rPr>
        <w:t>Table 2</w:t>
      </w:r>
      <w:r w:rsidRPr="00F0434A">
        <w:rPr>
          <w:rFonts w:asciiTheme="minorHAnsi" w:hAnsiTheme="minorHAnsi" w:cstheme="minorHAnsi"/>
          <w:color w:val="auto"/>
          <w:lang w:val="en-US"/>
        </w:rPr>
        <w:t xml:space="preserve">. Two examples of analyzed seizures are shown in </w:t>
      </w:r>
      <w:r w:rsidRPr="00F0434A">
        <w:rPr>
          <w:rFonts w:asciiTheme="minorHAnsi" w:hAnsiTheme="minorHAnsi" w:cstheme="minorHAnsi"/>
          <w:b/>
          <w:color w:val="auto"/>
          <w:lang w:val="en-US"/>
        </w:rPr>
        <w:t>Figure 3</w:t>
      </w:r>
      <w:r w:rsidRPr="00F0434A">
        <w:rPr>
          <w:rFonts w:asciiTheme="minorHAnsi" w:hAnsiTheme="minorHAnsi" w:cstheme="minorHAnsi"/>
          <w:color w:val="auto"/>
          <w:lang w:val="en-US"/>
        </w:rPr>
        <w:t xml:space="preserve"> and </w:t>
      </w:r>
      <w:r w:rsidRPr="00F0434A">
        <w:rPr>
          <w:rFonts w:asciiTheme="minorHAnsi" w:hAnsiTheme="minorHAnsi" w:cstheme="minorHAnsi"/>
          <w:b/>
          <w:color w:val="auto"/>
          <w:lang w:val="en-US"/>
        </w:rPr>
        <w:t>Figure 4</w:t>
      </w:r>
      <w:bookmarkStart w:id="1" w:name="_Ref10813810"/>
      <w:bookmarkStart w:id="2" w:name="_Ref10813794"/>
      <w:r w:rsidRPr="00F0434A">
        <w:rPr>
          <w:rFonts w:asciiTheme="minorHAnsi" w:hAnsiTheme="minorHAnsi" w:cstheme="minorHAnsi"/>
          <w:color w:val="auto"/>
          <w:lang w:val="en-US"/>
        </w:rPr>
        <w:t>.</w:t>
      </w:r>
      <w:bookmarkEnd w:id="1"/>
      <w:bookmarkEnd w:id="2"/>
    </w:p>
    <w:p w:rsidR="00F0434A" w:rsidRPr="00F0434A" w:rsidRDefault="00F0434A" w:rsidP="00F0434A">
      <w:pPr>
        <w:spacing w:line="360" w:lineRule="auto"/>
        <w:ind w:firstLine="708"/>
        <w:jc w:val="both"/>
        <w:rPr>
          <w:rFonts w:asciiTheme="minorHAnsi" w:hAnsiTheme="minorHAnsi" w:cstheme="minorHAnsi"/>
          <w:b/>
          <w:color w:val="auto"/>
          <w:lang w:val="en-US"/>
        </w:rPr>
      </w:pPr>
      <w:r w:rsidRPr="00F0434A">
        <w:rPr>
          <w:rFonts w:asciiTheme="minorHAnsi" w:hAnsiTheme="minorHAnsi" w:cstheme="minorHAnsi"/>
          <w:color w:val="auto"/>
          <w:lang w:val="en-US"/>
        </w:rPr>
        <w:t xml:space="preserve">At a </w:t>
      </w:r>
      <w:r w:rsidRPr="00F0434A">
        <w:rPr>
          <w:rFonts w:asciiTheme="minorHAnsi" w:hAnsiTheme="minorHAnsi" w:cstheme="minorHAnsi"/>
          <w:i/>
          <w:color w:val="auto"/>
          <w:lang w:val="en-US"/>
        </w:rPr>
        <w:t>patient level</w:t>
      </w:r>
      <w:r w:rsidRPr="00F0434A">
        <w:rPr>
          <w:rFonts w:asciiTheme="minorHAnsi" w:hAnsiTheme="minorHAnsi" w:cstheme="minorHAnsi"/>
          <w:color w:val="auto"/>
          <w:lang w:val="en-US"/>
        </w:rPr>
        <w:t>, 18 out of the total of 24 patients were studied, as six patients who underwent hemispherotomies were excluded. For ESI+FC, correct localization was obtained in 12/18 patients (66%), whereas for ESI power in only 5/18 patients (27%)</w:t>
      </w:r>
      <w:r w:rsidRPr="00F0434A">
        <w:rPr>
          <w:rFonts w:asciiTheme="minorHAnsi" w:hAnsiTheme="minorHAnsi" w:cstheme="minorHAnsi"/>
          <w:b/>
          <w:color w:val="auto"/>
          <w:lang w:val="en-US"/>
        </w:rPr>
        <w:t xml:space="preserve"> </w:t>
      </w:r>
      <w:r w:rsidRPr="00F0434A">
        <w:rPr>
          <w:rFonts w:asciiTheme="minorHAnsi" w:hAnsiTheme="minorHAnsi" w:cstheme="minorHAnsi"/>
          <w:color w:val="auto"/>
          <w:lang w:val="en-US"/>
        </w:rPr>
        <w:t>(</w:t>
      </w:r>
      <w:r w:rsidRPr="00F0434A">
        <w:rPr>
          <w:rFonts w:asciiTheme="minorHAnsi" w:hAnsiTheme="minorHAnsi" w:cstheme="minorHAnsi"/>
          <w:b/>
          <w:color w:val="auto"/>
          <w:lang w:val="en-US"/>
        </w:rPr>
        <w:t>Figure 5, Table 2</w:t>
      </w:r>
      <w:r w:rsidRPr="00F0434A">
        <w:rPr>
          <w:rFonts w:asciiTheme="minorHAnsi" w:hAnsiTheme="minorHAnsi" w:cstheme="minorHAnsi"/>
          <w:color w:val="auto"/>
          <w:lang w:val="en-US"/>
        </w:rPr>
        <w:t xml:space="preserve">). </w:t>
      </w:r>
    </w:p>
    <w:p w:rsidR="00F0434A" w:rsidRPr="00F0434A" w:rsidRDefault="00F0434A" w:rsidP="00F0434A">
      <w:pPr>
        <w:spacing w:line="360" w:lineRule="auto"/>
        <w:ind w:firstLine="708"/>
        <w:jc w:val="both"/>
        <w:rPr>
          <w:rFonts w:asciiTheme="minorHAnsi" w:hAnsiTheme="minorHAnsi" w:cstheme="minorHAnsi"/>
          <w:color w:val="auto"/>
          <w:lang w:val="en-US"/>
        </w:rPr>
      </w:pPr>
      <w:r w:rsidRPr="00F0434A">
        <w:rPr>
          <w:rFonts w:asciiTheme="minorHAnsi" w:hAnsiTheme="minorHAnsi" w:cstheme="minorHAnsi"/>
          <w:color w:val="auto"/>
          <w:lang w:val="en-US"/>
        </w:rPr>
        <w:t>Regarding interictal ESI, in 1/18 patients no interictal spikes were detected (mean hours of EEG analyzed per patient: 54.7, range: 21–97.2; mean n of spikes per cluster: 1992, range: 43–25660). The selected dominant spike-cluster showed correct localization in 11/18 patients (61%). In 4/18 patients, ictal ESI+FC could localize correctly the SOZ despite an erroneous localization of interictal ESI, whereas in 5/18 patients with wrong ESI+FC localization, interictal ESI yielded correct results.</w:t>
      </w:r>
      <w:r w:rsidRPr="00F0434A">
        <w:rPr>
          <w:rFonts w:ascii="Verdana" w:eastAsiaTheme="minorHAnsi" w:hAnsi="Verdana" w:cs="Segoe UI"/>
          <w:color w:val="auto"/>
          <w:kern w:val="0"/>
          <w:sz w:val="22"/>
          <w:szCs w:val="22"/>
          <w:shd w:val="clear" w:color="auto" w:fill="FFFFFF"/>
          <w:lang w:val="en-US" w:eastAsia="en-US" w:bidi="ar-SA"/>
        </w:rPr>
        <w:t xml:space="preserve"> </w:t>
      </w:r>
      <w:r w:rsidRPr="00F0434A">
        <w:rPr>
          <w:rFonts w:asciiTheme="minorHAnsi" w:hAnsiTheme="minorHAnsi" w:cstheme="minorHAnsi"/>
          <w:color w:val="auto"/>
          <w:lang w:val="en-US"/>
        </w:rPr>
        <w:t xml:space="preserve">Only in 2/18 patients (11%; PAT1, PAT2) both ESI+FC and interictal ESI failed to yield a correct localization. In particular,  both PAT1 and PAT2 had post-operative ILAE class 1, and analyses gave inconclusive or discordant results compared to the reference standard. Individual results are detailed in </w:t>
      </w:r>
      <w:r w:rsidRPr="00F0434A">
        <w:rPr>
          <w:rFonts w:asciiTheme="minorHAnsi" w:hAnsiTheme="minorHAnsi" w:cstheme="minorHAnsi"/>
          <w:b/>
          <w:color w:val="auto"/>
          <w:lang w:val="en-US"/>
        </w:rPr>
        <w:t>Supplementary Material 3</w:t>
      </w:r>
      <w:r w:rsidRPr="00F0434A">
        <w:rPr>
          <w:rFonts w:asciiTheme="minorHAnsi" w:hAnsiTheme="minorHAnsi" w:cstheme="minorHAnsi"/>
          <w:color w:val="auto"/>
          <w:lang w:val="en-US"/>
        </w:rPr>
        <w:t>.</w:t>
      </w:r>
    </w:p>
    <w:p w:rsidR="00F0434A" w:rsidRPr="00F0434A" w:rsidRDefault="00F0434A" w:rsidP="00F0434A">
      <w:pPr>
        <w:spacing w:line="360" w:lineRule="auto"/>
        <w:ind w:firstLine="708"/>
        <w:jc w:val="both"/>
        <w:rPr>
          <w:rFonts w:asciiTheme="minorHAnsi" w:eastAsiaTheme="minorHAnsi" w:hAnsiTheme="minorHAnsi" w:cstheme="minorBidi"/>
          <w:color w:val="auto"/>
          <w:kern w:val="0"/>
          <w:sz w:val="22"/>
          <w:szCs w:val="22"/>
          <w:lang w:val="en-US" w:eastAsia="en-US" w:bidi="ar-SA"/>
        </w:rPr>
      </w:pPr>
      <w:r w:rsidRPr="00F0434A">
        <w:rPr>
          <w:rFonts w:asciiTheme="minorHAnsi" w:hAnsiTheme="minorHAnsi" w:cstheme="minorHAnsi"/>
          <w:color w:val="auto"/>
          <w:lang w:val="en-US"/>
        </w:rPr>
        <w:t>Cohen’s kappa analysis (</w:t>
      </w:r>
      <w:r w:rsidRPr="00F0434A">
        <w:rPr>
          <w:rFonts w:asciiTheme="minorHAnsi" w:hAnsiTheme="minorHAnsi" w:cstheme="minorHAnsi"/>
          <w:b/>
          <w:color w:val="auto"/>
          <w:lang w:val="en-US"/>
        </w:rPr>
        <w:t>Table 2</w:t>
      </w:r>
      <w:r w:rsidRPr="00F0434A">
        <w:rPr>
          <w:rFonts w:asciiTheme="minorHAnsi" w:hAnsiTheme="minorHAnsi" w:cstheme="minorHAnsi"/>
          <w:color w:val="auto"/>
          <w:lang w:val="en-US"/>
        </w:rPr>
        <w:t>) resulted in a fair agreement between raters for ESI power (</w:t>
      </w:r>
      <w:r w:rsidRPr="00F0434A">
        <w:rPr>
          <w:rFonts w:asciiTheme="minorHAnsi" w:hAnsiTheme="minorHAnsi" w:cstheme="minorHAnsi"/>
          <w:i/>
          <w:color w:val="auto"/>
          <w:lang w:val="en-US"/>
        </w:rPr>
        <w:t xml:space="preserve">k </w:t>
      </w:r>
      <w:r w:rsidRPr="00F0434A">
        <w:rPr>
          <w:rFonts w:asciiTheme="minorHAnsi" w:hAnsiTheme="minorHAnsi" w:cstheme="minorHAnsi"/>
          <w:color w:val="auto"/>
          <w:lang w:val="en-US"/>
        </w:rPr>
        <w:t>= 0.37, C.I. 0.21-0.53), whereas a substantial agreement was achieved for ESI+FC (</w:t>
      </w:r>
      <w:r w:rsidRPr="00F0434A">
        <w:rPr>
          <w:rFonts w:asciiTheme="minorHAnsi" w:hAnsiTheme="minorHAnsi" w:cstheme="minorHAnsi"/>
          <w:i/>
          <w:color w:val="auto"/>
          <w:lang w:val="en-US"/>
        </w:rPr>
        <w:t>k</w:t>
      </w:r>
      <w:r w:rsidRPr="00F0434A">
        <w:rPr>
          <w:rFonts w:asciiTheme="minorHAnsi" w:hAnsiTheme="minorHAnsi" w:cstheme="minorHAnsi"/>
          <w:color w:val="auto"/>
          <w:lang w:val="en-US"/>
        </w:rPr>
        <w:t>= 0.64, C.I. 0.50-0.78) and interictal ESI (</w:t>
      </w:r>
      <w:r w:rsidRPr="00F0434A">
        <w:rPr>
          <w:rFonts w:asciiTheme="minorHAnsi" w:hAnsiTheme="minorHAnsi" w:cstheme="minorHAnsi"/>
          <w:i/>
          <w:color w:val="auto"/>
          <w:lang w:val="en-US"/>
        </w:rPr>
        <w:t>k</w:t>
      </w:r>
      <w:r w:rsidRPr="00F0434A">
        <w:rPr>
          <w:rFonts w:asciiTheme="minorHAnsi" w:hAnsiTheme="minorHAnsi" w:cstheme="minorHAnsi"/>
          <w:color w:val="auto"/>
          <w:lang w:val="en-US"/>
        </w:rPr>
        <w:t>= 0.75, C.I. 0.64-0.85).</w:t>
      </w:r>
      <w:r w:rsidRPr="00F0434A">
        <w:rPr>
          <w:rFonts w:asciiTheme="minorHAnsi" w:eastAsiaTheme="minorHAnsi" w:hAnsiTheme="minorHAnsi" w:cstheme="minorBidi"/>
          <w:color w:val="auto"/>
          <w:kern w:val="0"/>
          <w:sz w:val="22"/>
          <w:szCs w:val="22"/>
          <w:lang w:val="en-US" w:eastAsia="en-US" w:bidi="ar-SA"/>
        </w:rPr>
        <w:t xml:space="preserve"> </w:t>
      </w:r>
    </w:p>
    <w:p w:rsidR="00F0434A" w:rsidRPr="00F0434A" w:rsidRDefault="00F0434A" w:rsidP="00F0434A">
      <w:pPr>
        <w:spacing w:line="360" w:lineRule="auto"/>
        <w:jc w:val="both"/>
        <w:rPr>
          <w:rFonts w:asciiTheme="minorHAnsi" w:eastAsiaTheme="minorHAnsi" w:hAnsiTheme="minorHAnsi" w:cstheme="minorBidi"/>
          <w:color w:val="auto"/>
          <w:kern w:val="0"/>
          <w:sz w:val="22"/>
          <w:szCs w:val="22"/>
          <w:lang w:val="en-US" w:eastAsia="en-US" w:bidi="ar-SA"/>
        </w:rPr>
      </w:pPr>
    </w:p>
    <w:p w:rsidR="00F0434A" w:rsidRPr="00F0434A" w:rsidRDefault="00F0434A" w:rsidP="00F0434A">
      <w:pPr>
        <w:pStyle w:val="Paragraphedeliste"/>
        <w:numPr>
          <w:ilvl w:val="1"/>
          <w:numId w:val="31"/>
        </w:numPr>
        <w:spacing w:line="360" w:lineRule="auto"/>
        <w:jc w:val="both"/>
        <w:rPr>
          <w:rFonts w:asciiTheme="minorHAnsi" w:hAnsiTheme="minorHAnsi" w:cstheme="minorHAnsi"/>
          <w:b/>
          <w:color w:val="auto"/>
          <w:lang w:val="en-US"/>
        </w:rPr>
      </w:pPr>
      <w:r w:rsidRPr="00F0434A">
        <w:rPr>
          <w:rFonts w:asciiTheme="minorHAnsi" w:hAnsiTheme="minorHAnsi" w:cstheme="minorHAnsi"/>
          <w:b/>
          <w:color w:val="auto"/>
          <w:lang w:val="en-US"/>
        </w:rPr>
        <w:t>Secondary outcomes: accuracy with respect to resection type and localizing value of scalp EEG, and comparison with structural MRI.</w:t>
      </w:r>
    </w:p>
    <w:p w:rsidR="00F0434A" w:rsidRPr="00F0434A" w:rsidRDefault="00F0434A" w:rsidP="00F0434A">
      <w:pPr>
        <w:spacing w:line="360" w:lineRule="auto"/>
        <w:ind w:firstLine="708"/>
        <w:jc w:val="both"/>
        <w:rPr>
          <w:rFonts w:asciiTheme="minorHAnsi" w:hAnsiTheme="minorHAnsi" w:cstheme="minorHAnsi"/>
          <w:color w:val="auto"/>
          <w:lang w:val="en-US"/>
        </w:rPr>
      </w:pPr>
      <w:r w:rsidRPr="00F0434A">
        <w:rPr>
          <w:rFonts w:asciiTheme="minorHAnsi" w:hAnsiTheme="minorHAnsi" w:cstheme="minorHAnsi"/>
          <w:color w:val="auto"/>
          <w:lang w:val="en-US"/>
        </w:rPr>
        <w:t>Results were not statistically different when separating patients who underwent limited (n= 14) or extended (n= 10) resection, neither for ESI power (mean accuracy: limited resection= 34%, extended resection= 41%; p= 0.82) nor for ESI+FC (mean accuracy: limited resection= 60%, extended resection= 69%; p= 0.53).  ESI+FC showed higher accuracy compared to ESI power in both subgroups. In particular, the difference was statistically significant for the limited resection subgroup (p= 0.02), but it did not reach significance in the extended resection subgroup (p= 0.11).</w:t>
      </w:r>
    </w:p>
    <w:p w:rsidR="00F0434A" w:rsidRPr="00F0434A" w:rsidRDefault="00F0434A" w:rsidP="00F0434A">
      <w:pPr>
        <w:spacing w:line="360" w:lineRule="auto"/>
        <w:ind w:firstLine="708"/>
        <w:jc w:val="both"/>
        <w:rPr>
          <w:rFonts w:asciiTheme="minorHAnsi" w:hAnsiTheme="minorHAnsi" w:cstheme="minorHAnsi"/>
          <w:color w:val="auto"/>
          <w:lang w:val="en-US"/>
        </w:rPr>
      </w:pPr>
      <w:r w:rsidRPr="00F0434A">
        <w:rPr>
          <w:rStyle w:val="Caratteridinumerazione"/>
          <w:rFonts w:asciiTheme="minorHAnsi" w:hAnsiTheme="minorHAnsi" w:cstheme="minorHAnsi"/>
          <w:color w:val="auto"/>
          <w:lang w:val="en-US"/>
        </w:rPr>
        <w:t>Visual interpretation of ictal EEG was localizing in 32/94 seizures, lateralized in 35/94, and in 27/94 bilateral/generalized. Mean accuracy r</w:t>
      </w:r>
      <w:r w:rsidRPr="00F0434A">
        <w:rPr>
          <w:rFonts w:asciiTheme="minorHAnsi" w:hAnsiTheme="minorHAnsi" w:cstheme="minorHAnsi"/>
          <w:color w:val="auto"/>
          <w:lang w:val="en-US"/>
        </w:rPr>
        <w:t>esults were not significantly different across the three subgroups (ESI power: localized EEG = 53%, lateralized EEG = 49%, bilateral/generalized EEG = 53%, p= 0.53; ESI+FC: localized EEG = 53%, lateralized EEG = 71%, bilateral/generalized  EEG = 55%, p= 0.85).</w:t>
      </w:r>
    </w:p>
    <w:p w:rsidR="00F0434A" w:rsidRPr="00F0434A" w:rsidRDefault="00F0434A" w:rsidP="00F0434A">
      <w:pPr>
        <w:spacing w:line="360" w:lineRule="auto"/>
        <w:ind w:firstLine="708"/>
        <w:jc w:val="both"/>
        <w:rPr>
          <w:rFonts w:asciiTheme="minorHAnsi" w:hAnsiTheme="minorHAnsi" w:cstheme="minorHAnsi"/>
          <w:color w:val="auto"/>
          <w:lang w:val="en-US"/>
        </w:rPr>
      </w:pPr>
      <w:r w:rsidRPr="00F0434A">
        <w:rPr>
          <w:rFonts w:asciiTheme="minorHAnsi" w:hAnsiTheme="minorHAnsi" w:cstheme="minorHAnsi"/>
          <w:color w:val="auto"/>
          <w:lang w:val="en-US"/>
        </w:rPr>
        <w:t>In the 18 patients considered for the patient level analysis (hemispherotomies excluded), MRI epileptogenic lesions were found in 12/18 cases (signs of focal cortical dysplasia: n= 8, brain tumours: n= 2, angiomatous lesions: n= 1, post-ischemic lesions: n= 1) . Structural MRI yielded a correct localization in 10/18 cases (overall accuracy = 56%). Particularly, MRI abnormalities were concordant with the reference standard in 8/12 ILAE class 1 patients (sensitivity = 67%). False positive results were given in 4/6 ILAE class 2-6 patients (specificity= 33%).</w:t>
      </w:r>
    </w:p>
    <w:p w:rsidR="00F0434A" w:rsidRPr="00F0434A" w:rsidRDefault="00F0434A" w:rsidP="00F0434A">
      <w:pPr>
        <w:spacing w:line="360" w:lineRule="auto"/>
        <w:jc w:val="both"/>
        <w:rPr>
          <w:rFonts w:asciiTheme="minorHAnsi" w:hAnsiTheme="minorHAnsi" w:cstheme="minorHAnsi"/>
          <w:color w:val="auto"/>
          <w:lang w:val="en-US"/>
        </w:rPr>
      </w:pPr>
    </w:p>
    <w:p w:rsidR="00F0434A" w:rsidRPr="00F0434A" w:rsidRDefault="00F0434A" w:rsidP="00F0434A">
      <w:pPr>
        <w:pStyle w:val="Paragraphedeliste"/>
        <w:numPr>
          <w:ilvl w:val="0"/>
          <w:numId w:val="31"/>
        </w:numPr>
        <w:spacing w:line="360" w:lineRule="auto"/>
        <w:rPr>
          <w:rFonts w:asciiTheme="minorHAnsi" w:hAnsiTheme="minorHAnsi" w:cstheme="minorHAnsi"/>
          <w:b/>
          <w:color w:val="auto"/>
          <w:lang w:val="en-US"/>
        </w:rPr>
      </w:pPr>
      <w:r w:rsidRPr="00F0434A">
        <w:rPr>
          <w:rFonts w:asciiTheme="minorHAnsi" w:hAnsiTheme="minorHAnsi" w:cstheme="minorHAnsi"/>
          <w:b/>
          <w:color w:val="auto"/>
          <w:lang w:val="en-US"/>
        </w:rPr>
        <w:t>DISCUSSION</w:t>
      </w:r>
    </w:p>
    <w:p w:rsidR="00F0434A" w:rsidRPr="00F0434A" w:rsidRDefault="00F0434A" w:rsidP="00F0434A">
      <w:pPr>
        <w:spacing w:line="360" w:lineRule="auto"/>
        <w:ind w:firstLine="708"/>
        <w:jc w:val="both"/>
        <w:rPr>
          <w:rFonts w:asciiTheme="minorHAnsi" w:hAnsiTheme="minorHAnsi" w:cstheme="minorHAnsi"/>
          <w:color w:val="auto"/>
          <w:lang w:val="en-US"/>
        </w:rPr>
      </w:pPr>
      <w:r w:rsidRPr="00F0434A">
        <w:rPr>
          <w:rFonts w:asciiTheme="minorHAnsi" w:hAnsiTheme="minorHAnsi" w:cstheme="minorHAnsi"/>
          <w:color w:val="auto"/>
          <w:lang w:val="en-US"/>
        </w:rPr>
        <w:t>Our study provides the first evidence for the application of ictal ESI and subsequent connectivity in a heterogeneous sample of ETLE patients. FC analysis significantly improved SOZ localization, both at seizure and patient level, in comparison to ESI performed solely (</w:t>
      </w:r>
      <w:r w:rsidRPr="00F0434A">
        <w:rPr>
          <w:rStyle w:val="lev"/>
          <w:color w:val="auto"/>
          <w:lang w:val="en-US"/>
        </w:rPr>
        <w:t>Table 2)</w:t>
      </w:r>
      <w:r w:rsidRPr="00F0434A">
        <w:rPr>
          <w:rFonts w:asciiTheme="minorHAnsi" w:hAnsiTheme="minorHAnsi" w:cstheme="minorHAnsi"/>
          <w:b/>
          <w:color w:val="auto"/>
          <w:lang w:val="en-US"/>
        </w:rPr>
        <w:t>.</w:t>
      </w:r>
      <w:r w:rsidRPr="00F0434A">
        <w:rPr>
          <w:rFonts w:asciiTheme="minorHAnsi" w:hAnsiTheme="minorHAnsi" w:cstheme="minorHAnsi"/>
          <w:color w:val="auto"/>
          <w:lang w:val="en-US"/>
        </w:rPr>
        <w:t xml:space="preserve"> Interestingly, our technique showed to be equally effective when analyzing seizure onsets with focal, lateralized or bilateral/generalized modifications. This could aid SOZ localization in cases where visual interpretation of ictal scalp EEG is considered non-informative, and might provide non-redundant information to the clinicians. </w:t>
      </w:r>
    </w:p>
    <w:p w:rsidR="00F0434A" w:rsidRPr="00F0434A" w:rsidRDefault="00F0434A" w:rsidP="00F0434A">
      <w:pPr>
        <w:spacing w:line="360" w:lineRule="auto"/>
        <w:ind w:firstLine="708"/>
        <w:jc w:val="both"/>
        <w:rPr>
          <w:rFonts w:asciiTheme="minorHAnsi" w:hAnsiTheme="minorHAnsi" w:cstheme="minorHAnsi"/>
          <w:color w:val="auto"/>
          <w:lang w:val="en-US"/>
        </w:rPr>
      </w:pPr>
      <w:r w:rsidRPr="00F0434A">
        <w:rPr>
          <w:rFonts w:asciiTheme="minorHAnsi" w:hAnsiTheme="minorHAnsi" w:cstheme="minorHAnsi"/>
          <w:color w:val="auto"/>
          <w:lang w:val="en-US"/>
        </w:rPr>
        <w:lastRenderedPageBreak/>
        <w:t xml:space="preserve">Recent studies emphasized that epilepsy centers may underutilize ESI, despite its potential clinical usefulness, due to a lack of expertise in the required data processing </w:t>
      </w:r>
      <w:r w:rsidRPr="00F0434A">
        <w:rPr>
          <w:rFonts w:asciiTheme="minorHAnsi" w:hAnsiTheme="minorHAnsi" w:cstheme="minorHAnsi"/>
          <w:color w:val="auto"/>
          <w:lang w:val="en-US"/>
        </w:rPr>
        <w:fldChar w:fldCharType="begin" w:fldLock="1"/>
      </w:r>
      <w:r w:rsidRPr="00F0434A">
        <w:rPr>
          <w:rFonts w:asciiTheme="minorHAnsi" w:hAnsiTheme="minorHAnsi" w:cstheme="minorHAnsi"/>
          <w:color w:val="auto"/>
          <w:lang w:val="en-US"/>
        </w:rPr>
        <w:instrText>ADDIN CSL_CITATION {"citationItems":[{"id":"ITEM-1","itemData":{"DOI":"10.1111/epi.13347","ISSN":"1528-1167 (Electronic)","PMID":"27012361","abstract":"OBJECTIVE: In 2014 the European Union-funded E-PILEPSY project was launched to improve awareness of, and accessibility to, epilepsy surgery across Europe. We aimed to investigate the current use of neuroimaging, electromagnetic source localization, and imaging postprocessing procedures in participating centers. METHODS: A survey on the clinical use of imaging, electromagnetic source localization, and postprocessing methods in epilepsy surgery candidates was distributed among the 25 centers of the consortium. A descriptive analysis was performed, and results were compared to existing guidelines and recommendations. RESULTS: Response rate was 96%. Standard epilepsy magnetic resonance imaging (MRI) protocols are acquired at 3 Tesla by 15 centers and at 1.5 Tesla by 9 centers. Three centers perform 3T MRI only if indicated. Twenty-six different MRI sequences were reported. Six centers follow all guideline-recommended MRI sequences with the proposed slice orientation and slice thickness or voxel size. Additional sequences are used by 22 centers. MRI postprocessing methods are used in 16 centers. Interictal positron emission tomography (PET) is available in 22 centers; all using 18F-fluorodeoxyglucose (FDG). Seventeen centers perform PET postprocessing. Single-photon emission computed tomography (SPECT) is used by 19 centers, of which 15 perform postprocessing. Four centers perform neither PET nor SPECT in children. Seven centers apply magnetoencephalography (MEG) source localization, and nine apply electroencephalography (EEG) source localization. Fourteen combinations of inverse methods and volume conduction models are used. SIGNIFICANCE: We report a large variation in the presurgical diagnostic workup among epilepsy surgery centers across Europe. This diversity underscores the need for high-quality systematic reviews, evidence-based recommendations, and harmonization of available diagnostic presurgical methods.","author":[{"dropping-particle":"","family":"Mouthaan","given":"Brian E","non-dropping-particle":"","parse-names":false,"suffix":""},{"dropping-particle":"","family":"Rados","given":"Matea","non-dropping-particle":"","parse-names":false,"suffix":""},{"dropping-particle":"","family":"Barsi","given":"Peter","non-dropping-particle":"","parse-names":false,"suffix":""},{"dropping-particle":"","family":"Boon","given":"Paul","non-dropping-particle":"","parse-names":false,"suffix":""},{"dropping-particle":"","family":"Carmichael","given":"David W","non-dropping-particle":"","parse-names":false,"suffix":""},{"dropping-particle":"","family":"Carrette","given":"Evelien","non-dropping-particle":"","parse-names":false,"suffix":""},{"dropping-particle":"","family":"Craiu","given":"Dana","non-dropping-particle":"","parse-names":false,"suffix":""},{"dropping-particle":"","family":"Cross","given":"J Helen","non-dropping-particle":"","parse-names":false,"suffix":""},{"dropping-particle":"","family":"Diehl","given":"Beate","non-dropping-particle":"","parse-names":false,"suffix":""},{"dropping-particle":"","family":"Dimova","given":"Petia","non-dropping-particle":"","parse-names":false,"suffix":""},{"dropping-particle":"","family":"Fabo","given":"Daniel","non-dropping-particle":"","parse-names":false,"suffix":""},{"dropping-particle":"","family":"Francione","given":"Stefano","non-dropping-particle":"","parse-names":false,"suffix":""},{"dropping-particle":"","family":"Gaskin","given":"Vladislav","non-dropping-particle":"","parse-names":false,"suffix":""},{"dropping-particle":"","family":"Gil-Nagel","given":"Antonio","non-dropping-particle":"","parse-names":false,"suffix":""},{"dropping-particle":"","family":"Grigoreva","given":"Elena","non-dropping-particle":"","parse-names":false,"suffix":""},{"dropping-particle":"","family":"Guekht","given":"Alla","non-dropping-particle":"","parse-names":false,"suffix":""},{"dropping-particle":"","family":"Hirsch","given":"Edouard","non-dropping-particle":"","parse-names":false,"suffix":""},{"dropping-particle":"","family":"Hecimovic","given":"Hrvoje","non-dropping-particle":"","parse-names":false,"suffix":""},{"dropping-particle":"","family":"Helmstaedter","given":"Christoph","non-dropping-particle":"","parse-names":false,"suffix":""},{"dropping-particle":"","family":"Jung","given":"Julien","non-dropping-particle":"","parse-names":false,"suffix":""},{"dropping-particle":"","family":"Kalviainen","given":"Reetta","non-dropping-particle":"","parse-names":false,"suffix":""},{"dropping-particle":"","family":"Kelemen","given":"Anna","non-dropping-particle":"","parse-names":false,"suffix":""},{"dropping-particle":"","family":"Kimiskidis","given":"Vasilios","non-dropping-particle":"","parse-names":false,"suffix":""},{"dropping-particle":"","family":"Kobulashvili","given":"Teia","non-dropping-particle":"","parse-names":false,"suffix":""},{"dropping-particle":"","family":"Krsek","given":"Pavel","non-dropping-particle":"","parse-names":false,"suffix":""},{"dropping-particle":"","family":"Kuchukhidze","given":"Giorgi","non-dropping-particle":"","parse-names":false,"suffix":""},{"dropping-particle":"","family":"Larsson","given":"Pal G","non-dropping-particle":"","parse-names":false,"suffix":""},{"dropping-particle":"","family":"Leitinger","given":"Markus","non-dropping-particle":"","parse-names":false,"suffix":""},{"dropping-particle":"","family":"Lossius","given":"Morten I","non-dropping-particle":"","parse-names":false,"suffix":""},{"dropping-particle":"","family":"Luzin","given":"Roman","non-dropping-particle":"","parse-names":false,"suffix":""},{"dropping-particle":"","family":"Malmgren","given":"Kristina","non-dropping-particle":"","parse-names":false,"suffix":""},{"dropping-particle":"","family":"Mameniskiene","given":"Ruta","non-dropping-particle":"","parse-names":false,"suffix":""},{"dropping-particle":"","family":"Marusic","given":"Petr","non-dropping-particle":"","parse-names":false,"suffix":""},{"dropping-particle":"","family":"Metin","given":"Baris","non-dropping-particle":"","parse-names":false,"suffix":""},{"dropping-particle":"","family":"Ozkara","given":"Cigdem","non-dropping-particle":"","parse-names":false,"suffix":""},{"dropping-particle":"","family":"Pecina","given":"Hrvoje","non-dropping-particle":"","parse-names":false,"suffix":""},{"dropping-particle":"","family":"Quesada","given":"Carlos M","non-dropping-particle":"","parse-names":false,"suffix":""},{"dropping-particle":"","family":"Rugg-Gunn","given":"Fergus","non-dropping-particle":"","parse-names":false,"suffix":""},{"dropping-particle":"","family":"Rydenhag","given":"Bertil","non-dropping-particle":"","parse-names":false,"suffix":""},{"dropping-particle":"","family":"Ryvlin","given":"Philippe","non-dropping-particle":"","parse-names":false,"suffix":""},{"dropping-particle":"","family":"Scholly","given":"Julia","non-dropping-particle":"","parse-names":false,"suffix":""},{"dropping-particle":"","family":"Seeck","given":"Margitta","non-dropping-particle":"","parse-names":false,"suffix":""},{"dropping-particle":"","family":"Staack","given":"Anke M","non-dropping-particle":"","parse-names":false,"suffix":""},{"dropping-particle":"","family":"Steinhoff","given":"Bernhard J","non-dropping-particle":"","parse-names":false,"suffix":""},{"dropping-particle":"","family":"Stepanov","given":"Valentin","non-dropping-particle":"","parse-names":false,"suffix":""},{"dropping-particle":"","family":"Tarta-Arsene","given":"Oana","non-dropping-particle":"","parse-names":false,"suffix":""},{"dropping-particle":"","family":"Trinka","given":"Eugen","non-dropping-particle":"","parse-names":false,"suffix":""},{"dropping-particle":"","family":"Uzan","given":"Mustafa","non-dropping-particle":"","parse-names":false,"suffix":""},{"dropping-particle":"","family":"Vogt","given":"Viola L","non-dropping-particle":"","parse-names":false,"suffix":""},{"dropping-particle":"","family":"Vos","given":"Sjoerd B","non-dropping-particle":"","parse-names":false,"suffix":""},{"dropping-particle":"","family":"Vulliemoz","given":"Serge","non-dropping-particle":"","parse-names":false,"suffix":""},{"dropping-particle":"","family":"Huiskamp","given":"Geertjan","non-dropping-particle":"","parse-names":false,"suffix":""},{"dropping-particle":"","family":"Leijten","given":"Frans S S","non-dropping-particle":"","parse-names":false,"suffix":""},{"dropping-particle":"","family":"Eijsden","given":"Pieter","non-dropping-particle":"Van","parse-names":false,"suffix":""},{"dropping-particle":"","family":"Braun","given":"Kees P J","non-dropping-particle":"","parse-names":false,"suffix":""}],"container-title":"Epilepsia","id":"ITEM-1","issue":"5","issued":{"date-parts":[["2016","5"]]},"language":"eng","page":"770-776","publisher-place":"United States","title":"Current use of imaging and electromagnetic source localization procedures in epilepsy surgery centers across Europe.","type":"article-journal","volume":"57"},"uris":["http://www.mendeley.com/documents/?uuid=46178eaf-e036-4a0c-92c3-ba63cf885fe2","http://www.mendeley.com/documents/?uuid=31866e03-74c9-4a4a-adac-e8ab2709c1cc"]},{"id":"ITEM-2","itemData":{"DOI":"10.1016/j.clinph.2019.07.031","ISSN":"1872-8952 (Electronic)","PMID":"31466846","abstract":"OBJECTIVE: To investigate the diagnostic added value of electrical source imaging (ESI) in presurgical evaluation of patients with drug resistant focal epilepsy. METHODS: Eighty-two consecutive patients were included. We analyzed both low density (LD) and high density (HD) EEG recordings. LD ESI was done on interictal and ictal signals recorded during long-term video-EEG monitoring (LTM), with standard 25 electrodes and age-matched template head models. HD ESI was done on shorter recordings (90-120 min), with 256 electrodes, using individual head model. The multidisciplinary team made decisions first blinded to ESI (based on all other modalities) and then discussed the results of the ESI. We considered that ESI had diagnostic added value, when it provided non-redundant information that changed the patients management plan. RESULTS: ESI had diagnostic added value in 28 patients (34%). In most cases (85.7%), these changes were related to planning of the invasive recordings. In nine out of 13 patients, invasive recordings confirmed the localization. Out of eight patients in whom the ESI source was resected, six became seizure-free. CONCLUSIONS: ESI provides non-redundant information in one third of the patients undergoing presurgical evaluation. SIGNIFICANCE: This study provides evidence for the diagnostic added value of ESI in presurgical evaluation.","author":[{"dropping-particle":"","family":"Foged","given":"Mette Thrane","non-dropping-particle":"","parse-names":false,"suffix":""},{"dropping-particle":"","family":"Martens","given":"Terje","non-dropping-particle":"","parse-names":false,"suffix":""},{"dropping-particle":"","family":"Pinborg","given":"Lars H","non-dropping-particle":"","parse-names":false,"suffix":""},{"dropping-particle":"","family":"Hamrouni","given":"Nizar","non-dropping-particle":"","parse-names":false,"suffix":""},{"dropping-particle":"","family":"Litman","given":"Minna","non-dropping-particle":"","parse-names":false,"suffix":""},{"dropping-particle":"","family":"Rubboli","given":"Guido","non-dropping-particle":"","parse-names":false,"suffix":""},{"dropping-particle":"","family":"Leffers","given":"Anne-Mette","non-dropping-particle":"","parse-names":false,"suffix":""},{"dropping-particle":"","family":"Ryvlin","given":"Philippe","non-dropping-particle":"","parse-names":false,"suffix":""},{"dropping-particle":"","family":"Jespersen","given":"Bo","non-dropping-particle":"","parse-names":false,"suffix":""},{"dropping-particle":"","family":"Paulson","given":"Olaf B","non-dropping-particle":"","parse-names":false,"suffix":""},{"dropping-particle":"","family":"Fabricius","given":"Martin","non-dropping-particle":"","parse-names":false,"suffix":""},{"dropping-particle":"","family":"Beniczky","given":"Sandor","non-dropping-particle":"","parse-names":false,"suffix":""}],"container-title":"Clinical neurophysiology : official journal of the International Federation of Clinical Neurophysiology","id":"ITEM-2","issue":"1","issued":{"date-parts":[["2020","1"]]},"language":"eng","page":"324-329","publisher-place":"Netherlands","title":"Diagnostic added value of electrical source imaging in presurgical evaluation of  patients with epilepsy: A prospective study.","type":"article-journal","volume":"131"},"uris":["http://www.mendeley.com/documents/?uuid=48d2dc9c-cb00-4f9c-8430-dd2bb9c171f9"]}],"mendeley":{"formattedCitation":"[14,52]","plainTextFormattedCitation":"[14,52]","previouslyFormattedCitation":"[14,51]"},"properties":{"noteIndex":0},"schema":"https://github.com/citation-style-language/schema/raw/master/csl-citation.json"}</w:instrText>
      </w:r>
      <w:r w:rsidRPr="00F0434A">
        <w:rPr>
          <w:rFonts w:asciiTheme="minorHAnsi" w:hAnsiTheme="minorHAnsi" w:cstheme="minorHAnsi"/>
          <w:color w:val="auto"/>
          <w:lang w:val="en-US"/>
        </w:rPr>
        <w:fldChar w:fldCharType="separate"/>
      </w:r>
      <w:r w:rsidRPr="00F0434A">
        <w:rPr>
          <w:rFonts w:asciiTheme="minorHAnsi" w:hAnsiTheme="minorHAnsi" w:cstheme="minorHAnsi"/>
          <w:noProof/>
          <w:color w:val="auto"/>
          <w:lang w:val="en-US"/>
        </w:rPr>
        <w:t>[14,52]</w:t>
      </w:r>
      <w:r w:rsidRPr="00F0434A">
        <w:rPr>
          <w:rFonts w:asciiTheme="minorHAnsi" w:hAnsiTheme="minorHAnsi" w:cstheme="minorHAnsi"/>
          <w:color w:val="auto"/>
          <w:lang w:val="en-US"/>
        </w:rPr>
        <w:fldChar w:fldCharType="end"/>
      </w:r>
      <w:r w:rsidRPr="00F0434A">
        <w:rPr>
          <w:rFonts w:asciiTheme="minorHAnsi" w:hAnsiTheme="minorHAnsi" w:cstheme="minorHAnsi"/>
          <w:color w:val="auto"/>
          <w:lang w:val="en-US"/>
        </w:rPr>
        <w:t xml:space="preserve">. (Semi-)automated approaches, potentially applicable also for LD ESI, might offer a solution to this issue. Historically, ESI was primarily applied to interictal epileptiform discharges, and higher standardization of interictal ESI methods has been given, for both manual and automated techniques </w:t>
      </w:r>
      <w:r w:rsidRPr="00F0434A">
        <w:rPr>
          <w:rFonts w:asciiTheme="minorHAnsi" w:hAnsiTheme="minorHAnsi" w:cstheme="minorHAnsi"/>
          <w:color w:val="auto"/>
          <w:lang w:val="en-US"/>
        </w:rPr>
        <w:fldChar w:fldCharType="begin" w:fldLock="1"/>
      </w:r>
      <w:r w:rsidRPr="00F0434A">
        <w:rPr>
          <w:rFonts w:asciiTheme="minorHAnsi" w:hAnsiTheme="minorHAnsi" w:cstheme="minorHAnsi"/>
          <w:color w:val="auto"/>
          <w:lang w:val="en-US"/>
        </w:rPr>
        <w:instrText>ADDIN CSL_CITATION {"citationItems":[{"id":"ITEM-1","itemData":{"DOI":"10.1038/nrneurol.2012.150","ISSN":"1759-4766 (Electronic)","PMID":"22868868","abstract":"EEG source imaging (ESI) is a model-based imaging technique that integrates temporal and spatial components of EEG to identify the generating source of electrical potentials recorded on the scalp. Recent advances in computer technologies have made the analysis of ESI data less time-consuming, and have rekindled interest in this technique as a clinical diagnostic tool. On the basis of the available body of evidence, ESI seems to be a promising tool for epilepsy evaluation; however, the precise clinical value of ESI in presurgical evaluation of epilepsy and in localization of eloquent cortex remains to be investigated. In this Review, we describe two fundamental issues in ESI; namely, the forward and inverse problems, and their solutions. The clinical application of ESI in surgical planning for patients with medically refractory focal epilepsy, and its use in source reconstruction together with invasive recordings, is also discussed. As ESI can be used to map evoked responses, we discuss the clinical utility of this technique in cortical mapping-an essential process when planning resective surgery for brain regions that are in close proximity to eloquent cortex.","author":[{"dropping-particle":"","family":"Kaiboriboon","given":"Kitti","non-dropping-particle":"","parse-names":false,"suffix":""},{"dropping-particle":"","family":"Luders","given":"Hans O","non-dropping-particle":"","parse-names":false,"suffix":""},{"dropping-particle":"","family":"Hamaneh","given":"Mehdi","non-dropping-particle":"","parse-names":false,"suffix":""},{"dropping-particle":"","family":"Turnbull","given":"John","non-dropping-particle":"","parse-names":false,"suffix":""},{"dropping-particle":"","family":"Lhatoo","given":"Samden D","non-dropping-particle":"","parse-names":false,"suffix":""}],"container-title":"Nature reviews. Neurology","id":"ITEM-1","issue":"9","issued":{"date-parts":[["2012","9"]]},"language":"eng","page":"498-507","publisher-place":"England","title":"EEG source imaging in epilepsy--practicalities and pitfalls.","type":"article-journal","volume":"8"},"uris":["http://www.mendeley.com/documents/?uuid=bd384b91-a5b0-4bd3-b625-2cf9668aa31b"]},{"id":"ITEM-2","itemData":{"DOI":"10.1016/j.clinph.2018.09.015","ISSN":"1872-8952 (Electronic)","PMID":"30278389","abstract":"OBJECTIVE: To evaluate the accuracy of automated EEG source imaging (ESI) in localizing epileptogenic zone. METHODS: Long-term EEG, recorded with the standard 25-electrode array of the IFCN, from 41 consecutive patients with focal epilepsy who underwent resective surgery, were analyzed blinded to the surgical outcome. The automated analysis comprised spike-detection, clustering and source imaging at the half-rising time and at the peak of each spike-cluster, using individual head-models with six tissue-layers and a distributed source model (sLORETA). The fully automated approach presented ESI of the cluster with the highest number of spikes, at the half-rising time. In addition, a physician involved in the presurgical evaluation of the patients, evaluated the automated ESI results (up to four clusters per patient) in clinical context and selected the dominant cluster and the analysis time-point (semi-automated approach). The reference standard was location of the resected area and outcome one year after operation. RESULTS: Accuracy was 61% (95% CI: 45-76%) for the fully automated approach and 78% (95% CI: 62-89%) for the semi-automated approach. CONCLUSION: Automated ESI has an accuracy similar to previously reported neuroimaging methods. SIGNIFICANCE: Automated ESI will contribute to increased utilization of source imaging in the presurgical evaluation of patients with epilepsy.","author":[{"dropping-particle":"","family":"Baroumand","given":"Amir G","non-dropping-particle":"","parse-names":false,"suffix":""},{"dropping-particle":"","family":"Mierlo","given":"Pieter","non-dropping-particle":"van","parse-names":false,"suffix":""},{"dropping-particle":"","family":"Strobbe","given":"Gregor","non-dropping-particle":"","parse-names":false,"suffix":""},{"dropping-particle":"","family":"Pinborg","given":"Lars H","non-dropping-particle":"","parse-names":false,"suffix":""},{"dropping-particle":"","family":"Fabricius","given":"Martin","non-dropping-particle":"","parse-names":false,"suffix":""},{"dropping-particle":"","family":"Rubboli","given":"Guido","non-dropping-particle":"","parse-names":false,"suffix":""},{"dropping-particle":"","family":"Leffers","given":"Anne-Mette","non-dropping-particle":"","parse-names":false,"suffix":""},{"dropping-particle":"","family":"Uldall","given":"Peter","non-dropping-particle":"","parse-names":false,"suffix":""},{"dropping-particle":"","family":"Jespersen","given":"Bo","non-dropping-particle":"","parse-names":false,"suffix":""},{"dropping-particle":"","family":"Brennum","given":"Jannick","non-dropping-particle":"","parse-names":false,"suffix":""},{"dropping-particle":"","family":"Henriksen","given":"Otto Molby","non-dropping-particle":"","parse-names":false,"suffix":""},{"dropping-particle":"","family":"Beniczky","given":"Sandor","non-dropping-particle":"","parse-names":false,"suffix":""}],"container-title":"Clinical neurophysiology : official journal of the International Federation of Clinical Neurophysiology","id":"ITEM-2","issue":"11","issued":{"date-parts":[["2018","11"]]},"language":"eng","page":"2403-2410","publisher-place":"Netherlands","title":"Automated EEG source imaging: A retrospective, blinded clinical validation study.","type":"article-journal","volume":"129"},"uris":["http://www.mendeley.com/documents/?uuid=c5a48fe7-f434-47ff-8203-6d96c0f50b6d"]},{"id":"ITEM-3","itemData":{"DOI":"10.1212/WNL.0000000000006877","ISSN":"1526-632X (Electronic)","PMID":"30610090","abstract":"OBJECTIVE: To determine the diagnostic accuracy and clinical utility of electromagnetic source imaging (EMSI) in presurgical evaluation of patients with epilepsy. METHODS: We prospectively recorded magnetoencephalography (MEG) simultaneously with EEG and performed EMSI, comprising electric source imaging, magnetic source imaging, and analysis of combined MEG-EEG datasets, using 2 different software packages. As reference standard for irritative zone (IZ) and seizure onset zone (SOZ), we used intracranial recordings and for localization accuracy, outcome 1 year after operation. RESULTS: We included 141 consecutive patients. EMSI showed localized epileptiform discharges in 94 patients (67%). Most of the epileptiform discharge clusters (72%) were identified by both modalities, 15% only by EEG, and 14% only by MEG. Agreement was substantial between inverse solutions and moderate between software packages. EMSI provided new information that changed the management plan in 34% of the patients, and these changes were useful in 80%. Depending on the method, EMSI had a concordance of 53% to 89% with IZ and 35% to 73% with SOZ. Localization accuracy of EMSI was between 44% and 57%, which was not significantly different from MRI (49%-76%) and PET (54%-85%). Combined EMSI achieved significantly higher odds ratio compared to electric source imaging and magnetic source imaging. CONCLUSION: EMSI has accuracy similar to established imaging methods and provides clinically useful, new information in 34% of the patients. CLASSIFICATION OF EVIDENCE: This study provides Class IV evidence that EMSI had a concordance of 53%-89% and 35%-73% (depending on analysis) for the localization of epileptic focus as compared with intracranial recordings-IZ and SOZ, respectively.","author":[{"dropping-particle":"","family":"Duez","given":"Lene","non-dropping-particle":"","parse-names":false,"suffix":""},{"dropping-particle":"","family":"Tankisi","given":"Hatice","non-dropping-particle":"","parse-names":false,"suffix":""},{"dropping-particle":"","family":"Hansen","given":"Peter Orm","non-dropping-particle":"","parse-names":false,"suffix":""},{"dropping-particle":"","family":"Sidenius","given":"Per","non-dropping-particle":"","parse-names":false,"suffix":""},{"dropping-particle":"","family":"Sabers","given":"Anne","non-dropping-particle":"","parse-names":false,"suffix":""},{"dropping-particle":"","family":"Pinborg","given":"Lars H","non-dropping-particle":"","parse-names":false,"suffix":""},{"dropping-particle":"","family":"Fabricius","given":"Martin","non-dropping-particle":"","parse-names":false,"suffix":""},{"dropping-particle":"","family":"Rasonyi","given":"Gyorgy","non-dropping-particle":"","parse-names":false,"suffix":""},{"dropping-particle":"","family":"Rubboli","given":"Guido","non-dropping-particle":"","parse-names":false,"suffix":""},{"dropping-particle":"","family":"Pedersen","given":"Birthe","non-dropping-particle":"","parse-names":false,"suffix":""},{"dropping-particle":"","family":"Leffers","given":"Anne-Mette","non-dropping-particle":"","parse-names":false,"suffix":""},{"dropping-particle":"","family":"Uldall","given":"Peter","non-dropping-particle":"","parse-names":false,"suffix":""},{"dropping-particle":"","family":"Jespersen","given":"Bo","non-dropping-particle":"","parse-names":false,"suffix":""},{"dropping-particle":"","family":"Brennum","given":"Jannick","non-dropping-particle":"","parse-names":false,"suffix":""},{"dropping-particle":"","family":"Henriksen","given":"Otto Molby","non-dropping-particle":"","parse-names":false,"suffix":""},{"dropping-particle":"","family":"Fuglsang-Frederiksen","given":"Anders","non-dropping-particle":"","parse-names":false,"suffix":""},{"dropping-particle":"","family":"Beniczky","given":"Sandor","non-dropping-particle":"","parse-names":false,"suffix":""}],"container-title":"Neurology","id":"ITEM-3","issue":"6","issued":{"date-parts":[["2019","2"]]},"language":"eng","page":"e576-e586","publisher-place":"United States","title":"Electromagnetic source imaging in presurgical workup of patients with epilepsy: A prospective study.","type":"article-journal","volume":"92"},"uris":["http://www.mendeley.com/documents/?uuid=e7771d42-15f6-492a-9e2c-5a7cdf4aff08"]}],"mendeley":{"formattedCitation":"[4,12,53]","plainTextFormattedCitation":"[4,12,53]","previouslyFormattedCitation":"[4,12,52]"},"properties":{"noteIndex":0},"schema":"https://github.com/citation-style-language/schema/raw/master/csl-citation.json"}</w:instrText>
      </w:r>
      <w:r w:rsidRPr="00F0434A">
        <w:rPr>
          <w:rFonts w:asciiTheme="minorHAnsi" w:hAnsiTheme="minorHAnsi" w:cstheme="minorHAnsi"/>
          <w:color w:val="auto"/>
          <w:lang w:val="en-US"/>
        </w:rPr>
        <w:fldChar w:fldCharType="separate"/>
      </w:r>
      <w:r w:rsidRPr="00F0434A">
        <w:rPr>
          <w:rFonts w:asciiTheme="minorHAnsi" w:hAnsiTheme="minorHAnsi" w:cstheme="minorHAnsi"/>
          <w:noProof/>
          <w:color w:val="auto"/>
          <w:lang w:val="en-US"/>
        </w:rPr>
        <w:t>[4,12,53]</w:t>
      </w:r>
      <w:r w:rsidRPr="00F0434A">
        <w:rPr>
          <w:rFonts w:asciiTheme="minorHAnsi" w:hAnsiTheme="minorHAnsi" w:cstheme="minorHAnsi"/>
          <w:color w:val="auto"/>
          <w:lang w:val="en-US"/>
        </w:rPr>
        <w:fldChar w:fldCharType="end"/>
      </w:r>
      <w:r w:rsidRPr="00F0434A">
        <w:rPr>
          <w:rFonts w:asciiTheme="minorHAnsi" w:hAnsiTheme="minorHAnsi" w:cstheme="minorHAnsi"/>
          <w:color w:val="auto"/>
          <w:lang w:val="en-US"/>
        </w:rPr>
        <w:t xml:space="preserve">. With respect to ictal ESI, new approaches for improving the yield of source imaging of ictal EEG are justified, and connectomics are a promising field for the study of ictal networks </w:t>
      </w:r>
      <w:r w:rsidRPr="00F0434A">
        <w:rPr>
          <w:rFonts w:asciiTheme="minorHAnsi" w:hAnsiTheme="minorHAnsi" w:cstheme="minorHAnsi"/>
          <w:color w:val="auto"/>
          <w:lang w:val="en-US"/>
        </w:rPr>
        <w:fldChar w:fldCharType="begin" w:fldLock="1"/>
      </w:r>
      <w:r w:rsidRPr="00F0434A">
        <w:rPr>
          <w:rFonts w:asciiTheme="minorHAnsi" w:hAnsiTheme="minorHAnsi" w:cstheme="minorHAnsi"/>
          <w:color w:val="auto"/>
          <w:lang w:val="en-US"/>
        </w:rPr>
        <w:instrText>ADDIN CSL_CITATION {"citationItems":[{"id":"ITEM-1","itemData":{"DOI":"10.3389/fneur.2019.00721","ISSN":"1664-2295 (Print)","PMID":"31379703","abstract":"The evolution of EEG/MEG source connectivity is both, a promising, and controversial advance in the characterization of epileptic brain activity. In this narrative review we elucidate the potential of this technology to provide an intuitive view of the epileptic network at its origin, the different brain regions involved in the epilepsy, without the limitation of electrodes at the scalp level. Several studies have confirmed the added value of using source connectivity to localize the seizure onset zone and irritative zone or to quantify the propagation of epileptic activity over time. It has been shown in pilot studies that source connectivity has the potential to obtain prognostic correlates, to assist in the diagnosis of the epilepsy type even in the absence of visually noticeable epileptic activity in the EEG/MEG, and to predict treatment outcome. Nevertheless, prospective validation studies in large and heterogeneous patient cohorts are still lacking and are needed to bring these techniques into clinical use. Moreover, the methodological approach is challenging, with several poorly examined parameters that most likely impact the resulting network patterns. These fundamental challenges affect all potential applications of EEG/MEG source connectivity analysis, be it in a resting, spiking, or ictal state, and also its application to cognitive activation of the eloquent area in presurgical evaluation. However, such method can allow unique insights into physiological and pathological brain functions and have great potential in (clinical) neuroscience.","author":[{"dropping-particle":"","family":"Mierlo","given":"Pieter","non-dropping-particle":"van","parse-names":false,"suffix":""},{"dropping-particle":"","family":"Holler","given":"Yvonne","non-dropping-particle":"","parse-names":false,"suffix":""},{"dropping-particle":"","family":"Focke","given":"Niels K","non-dropping-particle":"","parse-names":false,"suffix":""},{"dropping-particle":"","family":"Vulliemoz","given":"Serge","non-dropping-particle":"","parse-names":false,"suffix":""}],"container-title":"Frontiers in neurology","id":"ITEM-1","issued":{"date-parts":[["2019"]]},"language":"eng","page":"721","publisher-place":"Switzerland","title":"Network Perspectives on Epilepsy Using EEG/MEG Source Connectivity.","type":"article-journal","volume":"10"},"uris":["http://www.mendeley.com/documents/?uuid=604858b6-c43e-443b-b9b0-cfb0f5a4bb17"]}],"mendeley":{"formattedCitation":"[34]","plainTextFormattedCitation":"[34]","previouslyFormattedCitation":"[34]"},"properties":{"noteIndex":0},"schema":"https://github.com/citation-style-language/schema/raw/master/csl-citation.json"}</w:instrText>
      </w:r>
      <w:r w:rsidRPr="00F0434A">
        <w:rPr>
          <w:rFonts w:asciiTheme="minorHAnsi" w:hAnsiTheme="minorHAnsi" w:cstheme="minorHAnsi"/>
          <w:color w:val="auto"/>
          <w:lang w:val="en-US"/>
        </w:rPr>
        <w:fldChar w:fldCharType="separate"/>
      </w:r>
      <w:r w:rsidRPr="00F0434A">
        <w:rPr>
          <w:rFonts w:asciiTheme="minorHAnsi" w:hAnsiTheme="minorHAnsi" w:cstheme="minorHAnsi"/>
          <w:noProof/>
          <w:color w:val="auto"/>
          <w:lang w:val="en-US"/>
        </w:rPr>
        <w:t>[34]</w:t>
      </w:r>
      <w:r w:rsidRPr="00F0434A">
        <w:rPr>
          <w:rFonts w:asciiTheme="minorHAnsi" w:hAnsiTheme="minorHAnsi" w:cstheme="minorHAnsi"/>
          <w:color w:val="auto"/>
          <w:lang w:val="en-US"/>
        </w:rPr>
        <w:fldChar w:fldCharType="end"/>
      </w:r>
      <w:r w:rsidRPr="00F0434A">
        <w:rPr>
          <w:rFonts w:asciiTheme="minorHAnsi" w:hAnsiTheme="minorHAnsi" w:cstheme="minorHAnsi"/>
          <w:color w:val="auto"/>
          <w:lang w:val="en-US"/>
        </w:rPr>
        <w:t xml:space="preserve">. </w:t>
      </w:r>
    </w:p>
    <w:p w:rsidR="00F0434A" w:rsidRPr="00F0434A" w:rsidRDefault="00F0434A" w:rsidP="00F0434A">
      <w:pPr>
        <w:spacing w:line="360" w:lineRule="auto"/>
        <w:ind w:firstLine="708"/>
        <w:jc w:val="both"/>
        <w:rPr>
          <w:rFonts w:asciiTheme="minorHAnsi" w:hAnsiTheme="minorHAnsi" w:cstheme="minorHAnsi"/>
          <w:color w:val="auto"/>
          <w:lang w:val="en-US"/>
        </w:rPr>
      </w:pPr>
      <w:r w:rsidRPr="00F0434A">
        <w:rPr>
          <w:rFonts w:asciiTheme="minorHAnsi" w:hAnsiTheme="minorHAnsi" w:cstheme="minorHAnsi"/>
          <w:color w:val="auto"/>
          <w:lang w:val="en-US"/>
        </w:rPr>
        <w:t xml:space="preserve">Staljanssens et al. recently demonstrated the added value of FC compared to ESI solely in localizing the SOZ from ictal LD scalp EEG </w:t>
      </w:r>
      <w:r w:rsidRPr="00F0434A">
        <w:rPr>
          <w:rFonts w:asciiTheme="minorHAnsi" w:hAnsiTheme="minorHAnsi" w:cstheme="minorHAnsi"/>
          <w:color w:val="auto"/>
          <w:lang w:val="en-US"/>
        </w:rPr>
        <w:fldChar w:fldCharType="begin" w:fldLock="1"/>
      </w:r>
      <w:r w:rsidRPr="00F0434A">
        <w:rPr>
          <w:rFonts w:asciiTheme="minorHAnsi" w:hAnsiTheme="minorHAnsi" w:cstheme="minorHAnsi"/>
          <w:color w:val="auto"/>
          <w:lang w:val="en-US"/>
        </w:rPr>
        <w:instrText>ADDIN CSL_CITATION {"citationItems":[{"id":"ITEM-1","itemData":{"DOI":"10.1007/s10548-016-0537-8","ISSN":"1573-6792 (Electronic)","PMID":"27853892","abstract":"Epilepsy surgery is the most efficient treatment option for patients with refractory epilepsy. Before surgery, it is of utmost importance to accurately delineate the seizure onset zone (SOZ). Non-invasive EEG is the most used neuroimaging technique to diagnose epilepsy, but it is hard to localize the SOZ from EEG due to its low spatial resolution and because epilepsy is a network disease, with several brain regions becoming active during a seizure. In this work, we propose and validate an approach based on EEG source imaging (ESI) combined with functional connectivity analysis to overcome these problems. We considered both simulations and real data of patients. Ictal epochs of 204-channel EEG and subsets down to 32 channels were analyzed. ESI was done using realistic head models and LORETA was used as inverse technique. The connectivity pattern between the reconstructed sources was calculated, and the source with the highest number of outgoing connections was selected as SOZ. We compared this algorithm with a more straightforward approach, i.e. selecting the source with the highest power after ESI as the SOZ. We found that functional connectivity analysis estimated the SOZ consistently closer to the simulated EZ/RZ than localization based on maximal power. Performance, however, decreased when 128 electrodes or less were used, especially in the realistic data. The results show the added value of functional connectivity analysis for SOZ localization, when the EEG is obtained with a high-density setup. Next to this, the method can potentially be used as objective tool in clinical settings.","author":[{"dropping-particle":"","family":"Staljanssens","given":"Willeke","non-dropping-particle":"","parse-names":false,"suffix":""},{"dropping-particle":"","family":"Strobbe","given":"Gregor","non-dropping-particle":"","parse-names":false,"suffix":""},{"dropping-particle":"Van","family":"Holen","given":"Roel","non-dropping-particle":"","parse-names":false,"suffix":""},{"dropping-particle":"","family":"Birot","given":"Gwenael","non-dropping-particle":"","parse-names":false,"suffix":""},{"dropping-particle":"","family":"Gschwind","given":"Markus","non-dropping-particle":"","parse-names":false,"suffix":""},{"dropping-particle":"","family":"Seeck","given":"Margitta","non-dropping-particle":"","parse-names":false,"suffix":""},{"dropping-particle":"","family":"Vandenberghe","given":"Stefaan","non-dropping-particle":"","parse-names":false,"suffix":""},{"dropping-particle":"","family":"Vulliemoz","given":"Serge","non-dropping-particle":"","parse-names":false,"suffix":""},{"dropping-particle":"","family":"Mierlo","given":"Pieter","non-dropping-particle":"van","parse-names":false,"suffix":""}],"container-title":"Brain topography","id":"ITEM-1","issue":"2","issued":{"date-parts":[["2017","3"]]},"language":"eng","page":"257-271","publisher-place":"United States","title":"Seizure Onset Zone Localization from Ictal High-Density EEG in Refractory Focal Epilepsy.","type":"article-journal","volume":"30"},"uris":["http://www.mendeley.com/documents/?uuid=6e89c961-37d7-40fa-88b8-608b8f8d1163"]}],"mendeley":{"formattedCitation":"[33]","plainTextFormattedCitation":"[33]","previouslyFormattedCitation":"[33]"},"properties":{"noteIndex":0},"schema":"https://github.com/citation-style-language/schema/raw/master/csl-citation.json"}</w:instrText>
      </w:r>
      <w:r w:rsidRPr="00F0434A">
        <w:rPr>
          <w:rFonts w:asciiTheme="minorHAnsi" w:hAnsiTheme="minorHAnsi" w:cstheme="minorHAnsi"/>
          <w:color w:val="auto"/>
          <w:lang w:val="en-US"/>
        </w:rPr>
        <w:fldChar w:fldCharType="separate"/>
      </w:r>
      <w:r w:rsidRPr="00F0434A">
        <w:rPr>
          <w:rFonts w:asciiTheme="minorHAnsi" w:hAnsiTheme="minorHAnsi" w:cstheme="minorHAnsi"/>
          <w:noProof/>
          <w:color w:val="auto"/>
          <w:lang w:val="en-US"/>
        </w:rPr>
        <w:t>[33]</w:t>
      </w:r>
      <w:r w:rsidRPr="00F0434A">
        <w:rPr>
          <w:rFonts w:asciiTheme="minorHAnsi" w:hAnsiTheme="minorHAnsi" w:cstheme="minorHAnsi"/>
          <w:color w:val="auto"/>
          <w:lang w:val="en-US"/>
        </w:rPr>
        <w:fldChar w:fldCharType="end"/>
      </w:r>
      <w:r w:rsidRPr="00F0434A">
        <w:rPr>
          <w:rFonts w:asciiTheme="minorHAnsi" w:hAnsiTheme="minorHAnsi" w:cstheme="minorHAnsi"/>
          <w:color w:val="auto"/>
          <w:lang w:val="en-US"/>
        </w:rPr>
        <w:t xml:space="preserve">. In that study, ESI+FC was applied application on mainly TLE (24/27 patients). Indeed, TLE represented the working model of the vast majority of studies on ictal ESI </w:t>
      </w:r>
      <w:r w:rsidRPr="00F0434A">
        <w:rPr>
          <w:rFonts w:asciiTheme="minorHAnsi" w:hAnsiTheme="minorHAnsi" w:cstheme="minorHAnsi"/>
          <w:color w:val="auto"/>
          <w:lang w:val="en-US"/>
        </w:rPr>
        <w:fldChar w:fldCharType="begin" w:fldLock="1"/>
      </w:r>
      <w:r w:rsidRPr="00F0434A">
        <w:rPr>
          <w:rFonts w:asciiTheme="minorHAnsi" w:hAnsiTheme="minorHAnsi" w:cstheme="minorHAnsi"/>
          <w:color w:val="auto"/>
          <w:lang w:val="en-US"/>
        </w:rPr>
        <w:instrText>ADDIN CSL_CITATION {"citationItems":[{"id":"ITEM-1","itemData":{"ISSN":"0013-9580 (Print)","PMID":"9579958","abstract":"PURPOSE: We wished to determine whether continuous EEG source imaging can predict the location of seizure onset with sublobar accuracy in temporal lobe epilepsy (TLE). METHODS: We retrospectively analyzed the earliest scalp ictal rhythms, recorded with 23- to 27-channel EEG, in 40 patients with intractable TLE. A continuous source analysis technique with multiple fixed dipoles (Focus 1.1) decomposed the EEG into source components representing the activity of major cortical sublobar surfaces. For the temporal lobe, these were basal, anterior tip, anterolateral, and posterolateral cortex. Ictal EEG onset was categorized according to its most prominent and leading source component. All patients underwent intracranial EEG studies before epilepsy surgery, and all had a successful surgical outcome (follow-up &gt;1 year). RESULTS: Most patients with ictal rhythms having a predominant basal source component had hippocampal-onset seizures, whereas those with seizures with prominent lateral source activity had predominantly temporal neocortical seizure origins. Seizures with a prominent anterior temporal tip source component mostly had onset in entorhinal cortex. Seizures in some patients had several equally large and nearly synchronous source components. These seizures, which could be modeled equally well by a single oblique dipole, had onset predominantly in either entorhinal or lateral temporal cortex. CONCLUSIONS: Multiple fixed dipole analysis of scalp EEG can provide information about the origin of temporal lobe seizures that is useful in presurgical planning. In particular, it can reliably distinguish seizures of mesial temporal origin from those of lateral temporal origin.","author":[{"dropping-particle":"","family":"Assaf","given":"B A","non-dropping-particle":"","parse-names":false,"suffix":""},{"dropping-particle":"","family":"Ebersole","given":"J S","non-dropping-particle":"","parse-names":false,"suffix":""}],"container-title":"Epilepsia","id":"ITEM-1","issue":"10","issued":{"date-parts":[["1997","10"]]},"language":"eng","page":"1114-1123","publisher-place":"United States","title":"Continuous source imaging of scalp ictal rhythms in temporal lobe epilepsy.","type":"article-journal","volume":"38"},"uris":["http://www.mendeley.com/documents/?uuid=7505a066-e52e-4cc2-a0f4-9d37e34d4787"]},{"id":"ITEM-2","itemData":{"DOI":"10.1016/j.neuroimage.2010.02.067","ISSN":"1095-9572 (Electronic)","PMID":"20206700","abstract":"High resolution electroencephalography (HR-EEG) combined with source localization methods has mainly been used to study interictal spikes and there have been few studies comparing source localization of scalp ictal patterns with depth EEG. To address this issue, 10 patients with four different scalp ictal patterns (ictal spikes, rhythmic activity, paroxysmal fast activity, obscured) were investigated by both HR-EEG and stereoelectroencephalography (SEEG). Sixty-four scalp-EEG sensors and a sampling rate of 1kHz were used to record scalp ictal patterns. Five different source models (moving dipole, rotating dipole, MUSIC, LORETA, and sLORETA) were used in order to perform source localization. Seven to 10 intracerebral electrodes were implanted during SEEG investigations. For each source model, the concordance between ictal source localization and epileptogenic zone defined by SEEG was assessed. Results were considered to agree if they localized in the same sublobar area as defined by a trained epileptologist. Across the study population, the best concordance between source localization methods and SEEG (9/10) was obtained with equivalent current dipole modeling. MUSIC and LORETA had a concordance of 7/10 whereas sLORETA had a concordance of only 5/10. Four of our patients classified into different groups (ictal spikes, paroxysmal fast activity, obscured) had complete concordance between source localization methods and SEEG. A high signal to noise ratio, a short time window of analysis (&lt;1s) and bandpass filtering around the frequency of rhythmic activity allowed improvement of the source localization results. A high level of agreement between source localization methods and SEEG can be obtained for ictal spike patterns and for scalp-EEG paroxysmal fact activities whereas scalp rhythmic discharges can be accurately localized but originated from seizure propagation network.","author":[{"dropping-particle":"","family":"Koessler","given":"Laurent","non-dropping-particle":"","parse-names":false,"suffix":""},{"dropping-particle":"","family":"Benar","given":"Christian","non-dropping-particle":"","parse-names":false,"suffix":""},{"dropping-particle":"","family":"Maillard","given":"Louis","non-dropping-particle":"","parse-names":false,"suffix":""},{"dropping-particle":"","family":"Badier","given":"Jean-Michel","non-dropping-particle":"","parse-names":false,"suffix":""},{"dropping-particle":"","family":"Vignal","given":"Jean Pierre","non-dropping-particle":"","parse-names":false,"suffix":""},{"dropping-particle":"","family":"Bartolomei","given":"Fabrice","non-dropping-particle":"","parse-names":false,"suffix":""},{"dropping-particle":"","family":"Chauvel","given":"Patrick","non-dropping-particle":"","parse-names":false,"suffix":""},{"dropping-particle":"","family":"Gavaret","given":"Martine","non-dropping-particle":"","parse-names":false,"suffix":""}],"container-title":"NeuroImage","id":"ITEM-2","issue":"2","issued":{"date-parts":[["2010","6"]]},"language":"eng","page":"642-653","publisher-place":"United States","title":"Source localization of ictal epileptic activity investigated by high resolution EEG and validated by SEEG.","type":"article-journal","volume":"51"},"uris":["http://www.mendeley.com/documents/?uuid=48ec6828-0195-4331-80c3-8ebfdf9114b5"]},{"id":"ITEM-3","itemData":{"DOI":"10.1371/journal.pone.0078422","ISSN":"1932-6203 (Electronic)","PMID":"24194931","abstract":"The concept of focal epilepsies includes a seizure origin in brain regions with hyper synchronous activity (epileptogenic zone and seizure onset zone) and a complex epileptic network of different brain areas involved in the generation, propagation, and modulation of seizures. The purpose of this work was to study functional and effective connectivity between regions involved in networks of epileptic seizures. The beginning and middle part of focal seizures from ictal surface EEG data were analyzed using dynamic imaging of coherent sources (DICS), an inverse solution in the frequency domain which describes neuronal networks and coherences of oscillatory brain activities. The information flow (effective connectivity) between coherent sources was investigated using the renormalized partial directed coherence (RPDC) method. In 8/11 patients, the first and second source of epileptic activity as found by DICS were concordant with the operative resection site; these patients became seizure free after epilepsy surgery. In the remaining 3 patients, the results of DICS / RPDC calculations and the resection site were discordant; these patients had a poorer post-operative outcome. The first sources as found by DICS were located predominantly in cortical structures; subsequent sources included some subcortical structures: thalamus, Nucl. Subthalamicus and cerebellum. DICS seems to be a powerful tool to define the seizure onset zone and the epileptic networks involved. Seizure generation seems to be related to the propagation of epileptic activity from the primary source in the seizure onset zone, and maintenance of seizures is attributed to the perpetuation of epileptic activity between nodes in the epileptic network. Despite of these promising results, this proof of principle study needs further confirmation prior to the use of the described methods in the clinical praxis.","author":[{"dropping-particle":"","family":"Elshoff","given":"Lydia","non-dropping-particle":"","parse-names":false,"suffix":""},{"dropping-particle":"","family":"Muthuraman","given":"Muthuraman","non-dropping-particle":"","parse-names":false,"suffix":""},{"dropping-particle":"","family":"Anwar","given":"Abdul Rauf","non-dropping-particle":"","parse-names":false,"suffix":""},{"dropping-particle":"","family":"Deuschl","given":"Gunther","non-dropping-particle":"","parse-names":false,"suffix":""},{"dropping-particle":"","family":"Stephani","given":"Ulrich","non-dropping-particle":"","parse-names":false,"suffix":""},{"dropping-particle":"","family":"Raethjen","given":"Jan","non-dropping-particle":"","parse-names":false,"suffix":""},{"dropping-particle":"","family":"Siniatchkin","given":"Michael","non-dropping-particle":"","parse-names":false,"suffix":""}],"container-title":"PloS one","id":"ITEM-3","issue":"10","issued":{"date-parts":[["2013"]]},"language":"eng","page":"e78422","publisher-place":"United States","title":"Dynamic imaging of coherent sources reveals different network connectivity underlying the generation and perpetuation of epileptic seizures.","type":"article-journal","volume":"8"},"uris":["http://www.mendeley.com/documents/?uuid=39c39408-a512-4782-8cdb-4964b4430872"]},{"id":"ITEM-4","itemData":{"DOI":"10.1111/epi.12339","ISSN":"1528-1167 (Electronic)","PMID":"23944234","abstract":"PURPOSE: Although precise identification of the seizure-onset zone is an essential element of presurgical evaluation, source localization of ictal electroencephalography (EEG) signals has received little attention. The aim of our study was to estimate the accuracy of source localization of rhythmic ictal EEG activity using a distributed source model. METHODS: Source localization of rhythmic ictal scalp EEG activity was performed in 42 consecutive cases fulfilling inclusion criteria. The study was designed according to recommendations for studies on diagnostic accuracy (STARD). The initial ictal EEG signals were selected using a standardized method, based on frequency analysis and voltage distribution of the ictal activity. A distributed source model-local autoregressive average (LAURA)-was used for the source localization. Sensitivity, specificity, and measurement of agreement (kappa) were determined based on the reference standard-the consensus conclusion of the multidisciplinary epilepsy surgery team. Predictive values were calculated from the surgical outcome of the operated patients. To estimate the clinical value of the ictal source analysis, we compared the likelihood ratios of concordant and discordant results. Source localization was performed blinded to the clinical data, and before the surgical decision. KEY FINDINGS: Reference standard was available for 33 patients. The ictal source localization had a sensitivity of 70% and a specificity of 76%. The mean measurement of agreement (kappa) was 0.61, corresponding to substantial agreement (95% confidence interval (CI) 0.38-0.84). Twenty patients underwent resective surgery. The positive predictive value (PPV) for seizure freedom was 92% and the negative predictive value (NPV) was 43%. The likelihood ratio was nine times higher for the concordant results, as compared with the discordant ones. SIGNIFICANCE: Source localization of rhythmic ictal activity using a distributed source model (LAURA) for the ictal EEG signals selected with a standardized method is feasible in clinical practice and has a good diagnostic accuracy. Our findings encourage clinical neurophysiologists assessing ictal EEGs to include this method in their armamentarium.","author":[{"dropping-particle":"","family":"Beniczky","given":"Sandor","non-dropping-particle":"","parse-names":false,"suffix":""},{"dropping-particle":"","family":"Lantz","given":"Goran","non-dropping-particle":"","parse-names":false,"suffix":""},{"dropping-particle":"","family":"Rosenzweig","given":"Ivana","non-dropping-particle":"","parse-names":false,"suffix":""},{"dropping-particle":"","family":"Akeson","given":"Per","non-dropping-particle":"","parse-names":false,"suffix":""},{"dropping-particle":"","family":"Pedersen","given":"Birthe","non-dropping-particle":"","parse-names":false,"suffix":""},{"dropping-particle":"","family":"Pinborg","given":"Lars H","non-dropping-particle":"","parse-names":false,"suffix":""},{"dropping-particle":"","family":"Ziebell","given":"Morten","non-dropping-particle":"","parse-names":false,"suffix":""},{"dropping-particle":"","family":"Jespersen","given":"Bo","non-dropping-particle":"","parse-names":false,"suffix":""},{"dropping-particle":"","family":"Fuglsang-Frederiksen","given":"Anders","non-dropping-particle":"","parse-names":false,"suffix":""}],"container-title":"Epilepsia","id":"ITEM-4","issue":"10","issued":{"date-parts":[["2013","10"]]},"language":"eng","page":"1743-1752","publisher-place":"United States","title":"Source localization of rhythmic ictal EEG activity: a study of diagnostic accuracy following STARD criteria.","type":"article-journal","volume":"54"},"uris":["http://www.mendeley.com/documents/?uuid=b9fc34a0-672f-4026-8eac-3ef4099db2bf"]},{"id":"ITEM-5","itemData":{"DOI":"10.1111/epi.12206","ISSN":"1528-1167 (Electronic)","PMID":"23647147","abstract":"PURPOSE: Fifteen percent to 25% of patients with refractory epilepsy require invasive video-electroencephalography (EEG) monitoring (IVEM) to precisely delineate the ictal-onset zone. This delineation based on the recorded intracranial EEG (iEEG) signals occurs visually by the epileptologist and is therefore prone to human mistakes. The purpose of this study is to investigate whether effective connectivity analysis of intracranially recorded EEG during seizures provides an objective method to localize the ictal-onset zone. METHODS: In this study data were analyzed from eight patients who underwent IVEM at Ghent University Hospital in Belgium. All patients had a focal ictal onset and were seizure-free following resective surgery. The effective connectivity pattern was calculated during the first 20 s of ictal rhythmic iEEG activity. The out-degree, which is reflective of the number of outgoing connections, was calculated for each electrode contact for every single seizure during these 20 s. The seizure specific out-degrees were summed per patient to obtain the total out-degree. The electrode contact with the highest total out-degree was considered indicative of localization of the ictal-onset zone. This result was compared to the conclusion of the visual analysis of the epileptologist and the resected brain region segmented from postoperative magnetic resonance imaging (MRI). KEY FINDINGS: In all eight patients the electrode contact with the highest total out-degree was among the contacts identified by the epileptologist as the ictal onset. This contact, that we named \"the driver,\" always laid within the resected brain region. Furthermore, the patient-specific connectivity patterns were consistent over the majority of seizures. SIGNIFICANCE: In this study we demonstrated the feasibility of correctly localizing the ictal-onset zone from iEEG recordings by using effective connectivity analysis during the first 20 s of ictal rhythmic iEEG activity.","author":[{"dropping-particle":"","family":"Mierlo","given":"Pieter","non-dropping-particle":"van","parse-names":false,"suffix":""},{"dropping-particle":"","family":"Carrette","given":"Evelien","non-dropping-particle":"","parse-names":false,"suffix":""},{"dropping-particle":"","family":"Hallez","given":"Hans","non-dropping-particle":"","parse-names":false,"suffix":""},{"dropping-particle":"","family":"Raedt","given":"Robrecht","non-dropping-particle":"","parse-names":false,"suffix":""},{"dropping-particle":"","family":"Meurs","given":"Alfred","non-dropping-particle":"","parse-names":false,"suffix":""},{"dropping-particle":"","family":"Vandenberghe","given":"Stefaan","non-dropping-particle":"","parse-names":false,"suffix":""},{"dropping-particle":"","family":"Roost","given":"Dirk","non-dropping-particle":"Van","parse-names":false,"suffix":""},{"dropping-particle":"","family":"Boon","given":"Paul","non-dropping-particle":"","parse-names":false,"suffix":""},{"dropping-particle":"","family":"Staelens","given":"Steven","non-dropping-particle":"","parse-names":false,"suffix":""},{"dropping-particle":"","family":"Vonck","given":"Kristl","non-dropping-particle":"","parse-names":false,"suffix":""}],"container-title":"Epilepsia","id":"ITEM-5","issue":"8","issued":{"date-parts":[["2013","8"]]},"language":"eng","page":"1409-1418","publisher-place":"United States","title":"Ictal-onset localization through connectivity analysis of intracranial EEG signals in patients with refractory epilepsy.","type":"article-journal","volume":"54"},"uris":["http://www.mendeley.com/documents/?uuid=feb29770-cb43-4008-8823-4ad46cf753e5"]},{"id":"ITEM-6","itemData":{"DOI":"10.1016/j.nicl.2017.09.011","ISSN":"2213-1582 (Electronic)","PMID":"29034162","abstract":"Electrical source imaging (ESI) from interictal scalp EEG is increasingly validated and used as a valuable tool in the presurgical evaluation of epilepsy as a reflection of the irritative zone. ESI of ictal scalp EEG to localize the seizure onset zone (SOZ) remains challenging. We investigated the value of an approach for ictal imaging using ESI and functional connectivity analysis (FC). Ictal scalp EEG from 111 seizures in 27 patients who had Engel class I outcome at least 1 year following resective surgery was analyzed. For every seizure, an artifact-free epoch close to the seizure onset was selected and ESI using LORETA was applied. In addition, the reconstructed sources underwent FC using the spectrum-weighted Adaptive Directed Transfer Function. This resulted in the estimation of the SOZ in two ways: (i) the source with maximal power after ESI, (ii) the source with the strongest outgoing connections after combined ESI and FC. Next, we calculated the distance between the estimated SOZ and the border of the resected zone (RZ) for both approaches and called this the localization error ((i) LEpow and (ii) LEconn respectively). By comparing LEpow and LEconn, we assessed the added value of FC. The source with maximal power after ESI was inside the RZ (LEpow = 0 mm) in 31% of the seizures and estimated within 10 mm from the border of the RZ (LEpow &lt;/= 10 mm) in 42%. Using ESI and FC, these numbers increased to 72% for LEconn = 0 mm and 94% for LEconn &lt;/= 10 mm. FC provided a significant added value to ESI alone (p &lt; 0.001). ESI combined with subsequent FC is able to localize the SOZ in a non-invasive way with high accuracy. Therefore it could be a valuable tool in the presurgical evaluation of epilepsy.","author":[{"dropping-particle":"","family":"Staljanssens","given":"Willeke","non-dropping-particle":"","parse-names":false,"suffix":""},{"dropping-particle":"","family":"Strobbe","given":"Gregor","non-dropping-particle":"","parse-names":false,"suffix":""},{"dropping-particle":"","family":"Holen","given":"Roel","non-dropping-particle":"Van","parse-names":false,"suffix":""},{"dropping-particle":"","family":"Keereman","given":"Vincent","non-dropping-particle":"","parse-names":false,"suffix":""},{"dropping-particle":"","family":"Gadeyne","given":"Stefanie","non-dropping-particle":"","parse-names":false,"suffix":""},{"dropping-particle":"","family":"Carrette","given":"Evelien","non-dropping-particle":"","parse-names":false,"suffix":""},{"dropping-particle":"","family":"Meurs","given":"Alfred","non-dropping-particle":"","parse-names":false,"suffix":""},{"dropping-particle":"","family":"Pittau","given":"Francesca","non-dropping-particle":"","parse-names":false,"suffix":""},{"dropping-particle":"","family":"Momjian","given":"Shahan","non-dropping-particle":"","parse-names":false,"suffix":""},{"dropping-particle":"","family":"Seeck","given":"Margitta","non-dropping-particle":"","parse-names":false,"suffix":""},{"dropping-particle":"","family":"Boon","given":"Paul","non-dropping-particle":"","parse-names":false,"suffix":""},{"dropping-particle":"","family":"Vandenberghe","given":"Stefaan","non-dropping-particle":"","parse-names":false,"suffix":""},{"dropping-particle":"","family":"Vulliemoz","given":"Serge","non-dropping-particle":"","parse-names":false,"suffix":""},{"dropping-particle":"","family":"Vonck","given":"Kristl","non-dropping-particle":"","parse-names":false,"suffix":""},{"dropping-particle":"","family":"Mierlo","given":"Pieter","non-dropping-particle":"van","parse-names":false,"suffix":""}],"container-title":"NeuroImage. Clinical","id":"ITEM-6","issued":{"date-parts":[["2017"]]},"language":"eng","page":"689-698","publisher-place":"Netherlands","title":"EEG source connectivity to localize the seizure onset zone in patients with drug  resistant epilepsy.","type":"article-journal","volume":"16"},"uris":["http://www.mendeley.com/documents/?uuid=65b91fef-2806-4dfc-8dca-faaa219310bc"]}],"mendeley":{"formattedCitation":"[31,32,35,36,39,40]","plainTextFormattedCitation":"[31,32,35,36,39,40]","previouslyFormattedCitation":"[31,32,35,36,39,40]"},"properties":{"noteIndex":0},"schema":"https://github.com/citation-style-language/schema/raw/master/csl-citation.json"}</w:instrText>
      </w:r>
      <w:r w:rsidRPr="00F0434A">
        <w:rPr>
          <w:rFonts w:asciiTheme="minorHAnsi" w:hAnsiTheme="minorHAnsi" w:cstheme="minorHAnsi"/>
          <w:color w:val="auto"/>
          <w:lang w:val="en-US"/>
        </w:rPr>
        <w:fldChar w:fldCharType="separate"/>
      </w:r>
      <w:r w:rsidRPr="00F0434A">
        <w:rPr>
          <w:rFonts w:asciiTheme="minorHAnsi" w:hAnsiTheme="minorHAnsi" w:cstheme="minorHAnsi"/>
          <w:noProof/>
          <w:color w:val="auto"/>
          <w:lang w:val="en-US"/>
        </w:rPr>
        <w:t>[31,32,35,36,39,40]</w:t>
      </w:r>
      <w:r w:rsidRPr="00F0434A">
        <w:rPr>
          <w:rFonts w:asciiTheme="minorHAnsi" w:hAnsiTheme="minorHAnsi" w:cstheme="minorHAnsi"/>
          <w:color w:val="auto"/>
          <w:lang w:val="en-US"/>
        </w:rPr>
        <w:fldChar w:fldCharType="end"/>
      </w:r>
      <w:r w:rsidRPr="00F0434A">
        <w:rPr>
          <w:rFonts w:asciiTheme="minorHAnsi" w:hAnsiTheme="minorHAnsi" w:cstheme="minorHAnsi"/>
          <w:color w:val="auto"/>
          <w:lang w:val="en-US"/>
        </w:rPr>
        <w:t xml:space="preserve">, leaving the unmet need for additional evidence in ETLE patients. Only two studies on ictal ESI have investigated so far a pure group of ETLE cases. Kovac et al. reported that ictal LD ESI can improve lateralization of SOZ compared to visual interpretation of scalp EEG, in eight patients with frontal lobe epilepsy that presented with non-lateralized ictal EEG </w:t>
      </w:r>
      <w:r w:rsidRPr="00F0434A">
        <w:rPr>
          <w:rFonts w:asciiTheme="minorHAnsi" w:hAnsiTheme="minorHAnsi" w:cstheme="minorHAnsi"/>
          <w:color w:val="auto"/>
          <w:lang w:val="en-US"/>
        </w:rPr>
        <w:fldChar w:fldCharType="begin" w:fldLock="1"/>
      </w:r>
      <w:r w:rsidRPr="00F0434A">
        <w:rPr>
          <w:rFonts w:asciiTheme="minorHAnsi" w:hAnsiTheme="minorHAnsi" w:cstheme="minorHAnsi"/>
          <w:color w:val="auto"/>
          <w:lang w:val="en-US"/>
        </w:rPr>
        <w:instrText>ADDIN CSL_CITATION {"citationItems":[{"id":"ITEM-1","itemData":{"DOI":"10.1097/WNP.0000000000000022","ISSN":"1537-1603 (Electronic)","PMID":"24492441","abstract":"PURPOSE: To investigate the utility of EEG source imaging to lateralize ictal patterns in frontal lobe epilepsy, which were nonlateralized by standard EEG analysis. METHODS: Prospective analysis of 17 seizures in 8 patients with unilateral frontal lobe epilepsy MRI lesions and nonlateralizing ictal scalp EEG. We applied four EEG source imaging techniques (phase maps, symmetric dipoles, low-resolution brain electromagnetic tomography analysis, and classical low-resolution brain electromagnetic tomography analysis recursively applied) to the averaged seizure pattern. We tested (1) the ability of these techniques to lateralize seizure patterns, (2) the agreement of the lateralization result with MRI lesion side and subdural EEG recordings, individually for each method and for concordance of all. RESULTS: We found lateralizing results in 5 of 17 seizures when analyzing phase maps, 8 of 17 when analyzing dipoles, and 5 of 17 in both classical low-resolution brain electromagnetic tomography analysis recursively applied and low-resolution brain electromagnetic tomography analysis. No discordance with the MRI lesion side was seen when analyzing phase maps, whereas dipole analysis was discordant to the MRI lesion in two seizures, classical low-resolution brain electromagnetic tomography analysis recursively applied in one, and low-resolution brain electromagnetic tomography analysis in two. Agreement between all imaging methods was found in three seizures (three patients), all in line with the side of the MRI lesion. CONCLUSIONS: Advanced EEG review methods and source localization provide useful lateralizing information in difficult frontal lobe epilepsy seizure patterns.","author":[{"dropping-particle":"","family":"Kovac","given":"Stjepana","non-dropping-particle":"","parse-names":false,"suffix":""},{"dropping-particle":"","family":"Chaudhary","given":"Umair J","non-dropping-particle":"","parse-names":false,"suffix":""},{"dropping-particle":"","family":"Rodionov","given":"Roman","non-dropping-particle":"","parse-names":false,"suffix":""},{"dropping-particle":"","family":"Mantoan","given":"Laura","non-dropping-particle":"","parse-names":false,"suffix":""},{"dropping-particle":"","family":"Scott","given":"Catherine A","non-dropping-particle":"","parse-names":false,"suffix":""},{"dropping-particle":"","family":"Lemieux","given":"Louis","non-dropping-particle":"","parse-names":false,"suffix":""},{"dropping-particle":"","family":"Wehner","given":"Tim","non-dropping-particle":"","parse-names":false,"suffix":""},{"dropping-particle":"","family":"Scherg","given":"Michael","non-dropping-particle":"","parse-names":false,"suffix":""},{"dropping-particle":"","family":"Diehl","given":"Beate","non-dropping-particle":"","parse-names":false,"suffix":""}],"container-title":"Journal of clinical neurophysiology : official publication of the American Electroencephalographic Society","id":"ITEM-1","issue":"1","issued":{"date-parts":[["2014","2"]]},"language":"eng","page":"10-20","publisher-place":"United States","title":"Ictal EEG source imaging in frontal lobe epilepsy leads to improved lateralization compared with visual analysis.","type":"article-journal","volume":"31"},"uris":["http://www.mendeley.com/documents/?uuid=3d6afef4-63a2-42b4-a1bc-b5ae732e64b5","http://www.mendeley.com/documents/?uuid=9d3a2198-2a6e-45c3-b23c-b2c2a6bafdcd"]}],"mendeley":{"formattedCitation":"[54]","plainTextFormattedCitation":"[54]","previouslyFormattedCitation":"[53]"},"properties":{"noteIndex":0},"schema":"https://github.com/citation-style-language/schema/raw/master/csl-citation.json"}</w:instrText>
      </w:r>
      <w:r w:rsidRPr="00F0434A">
        <w:rPr>
          <w:rFonts w:asciiTheme="minorHAnsi" w:hAnsiTheme="minorHAnsi" w:cstheme="minorHAnsi"/>
          <w:color w:val="auto"/>
          <w:lang w:val="en-US"/>
        </w:rPr>
        <w:fldChar w:fldCharType="separate"/>
      </w:r>
      <w:r w:rsidRPr="00F0434A">
        <w:rPr>
          <w:rFonts w:asciiTheme="minorHAnsi" w:hAnsiTheme="minorHAnsi" w:cstheme="minorHAnsi"/>
          <w:noProof/>
          <w:color w:val="auto"/>
          <w:lang w:val="en-US"/>
        </w:rPr>
        <w:t>[54]</w:t>
      </w:r>
      <w:r w:rsidRPr="00F0434A">
        <w:rPr>
          <w:rFonts w:asciiTheme="minorHAnsi" w:hAnsiTheme="minorHAnsi" w:cstheme="minorHAnsi"/>
          <w:color w:val="auto"/>
          <w:lang w:val="en-US"/>
        </w:rPr>
        <w:fldChar w:fldCharType="end"/>
      </w:r>
      <w:r w:rsidRPr="00F0434A">
        <w:rPr>
          <w:rFonts w:asciiTheme="minorHAnsi" w:hAnsiTheme="minorHAnsi" w:cstheme="minorHAnsi"/>
          <w:color w:val="auto"/>
          <w:lang w:val="en-US"/>
        </w:rPr>
        <w:t xml:space="preserve">; however no diagnostic accuracy measures were determined. Pellegrino et al. studied ictal MSI and HD ESI in 31 seizures from 13 ETLE cases, reporting a 75% accuracy for ictal HD ESI using the wavelet-based Maximum-Entropy-on-the-Mean (wMEM) algorithm </w:t>
      </w:r>
      <w:r w:rsidRPr="00F0434A">
        <w:rPr>
          <w:rFonts w:asciiTheme="minorHAnsi" w:hAnsiTheme="minorHAnsi" w:cstheme="minorHAnsi"/>
          <w:color w:val="auto"/>
          <w:lang w:val="en-US"/>
        </w:rPr>
        <w:fldChar w:fldCharType="begin" w:fldLock="1"/>
      </w:r>
      <w:r w:rsidRPr="00F0434A">
        <w:rPr>
          <w:rFonts w:asciiTheme="minorHAnsi" w:hAnsiTheme="minorHAnsi" w:cstheme="minorHAnsi"/>
          <w:color w:val="auto"/>
          <w:lang w:val="en-US"/>
        </w:rPr>
        <w:instrText>ADDIN CSL_CITATION {"citationItems":[{"id":"ITEM-1","itemData":{"DOI":"10.1002/hbm.23191","ISSN":"1097-0193 (Electronic)","PMID":"27059157","abstract":"INTRODUCTION: Surgical treatment of drug-resistant epilepsy relies on the identification of the seizure onset zone (SOZ) and often requires intracranial EEG (iEEG). We have developed a new approach for non-invasive magnetic and electric source imaging of the SOZ (MSI-SOZ and ESI-SOZ) from ictal magnetoencephalography (MEG) and EEG recordings, using wavelet-based Maximum Entropy on the Mean (wMEM) method. We compared the performance of MSI-SOZ and ESI-SOZ with interictal spike source localization (MSI-spikes and ESI-spikes) and clinical localization of the SOZ (i.e., based on iEEG or lesion topography, denoted as clinical-SOZ). METHODS: A total of 46 MEG or EEG seizures from 13 patients were analyzed. wMEM was applied around seizure onset, centered on the frequency band showing the strongest power change. Principal component analysis applied to spatiotemporal reconstructed wMEM sources (0.4-1 s around seizure onset) identified the main spatial pattern of ictal oscillations. Qualitative sublobar concordance and quantitative measures of distance and spatial overlaps were estimated to compare MSI/ESI-SOZ with MSI/ESI-Spikes and clinical-SOZ. RESULTS: MSI/ESI-SOZ were concordant with clinical-SOZ in 81% of seizures (MSI 90%, ESI 64%). MSI-SOZ was more accurate and identified sources closer to the clinical-SOZ (P = 0.012) and to MSI-Spikes (P = 0.040) as compared with ESI-SOZ. MSI/ESI-SOZ and MSI/ESI-Spikes did not differ in terms of concordance and distance from the clinical-SOZ. CONCLUSIONS: wMEM allows non-invasive localization of the SOZ from ictal MEG and EEG. MSI-SOZ performs better than ESI-SOZ. MSI/ESI-SOZ can provide important additional information to MSI/ESI-Spikes during presurgical evaluation. Hum Brain Mapp 37:2528-2546, 2016. (c) 2016 Wiley Periodicals, Inc.","author":[{"dropping-particle":"","family":"Pellegrino","given":"Giovanni","non-dropping-particle":"","parse-names":false,"suffix":""},{"dropping-particle":"","family":"Hedrich","given":"Tanguy","non-dropping-particle":"","parse-names":false,"suffix":""},{"dropping-particle":"","family":"Chowdhury","given":"Rasheda","non-dropping-particle":"","parse-names":false,"suffix":""},{"dropping-particle":"","family":"Hall","given":"Jeffery A","non-dropping-particle":"","parse-names":false,"suffix":""},{"dropping-particle":"","family":"Lina","given":"Jean-Marc","non-dropping-particle":"","parse-names":false,"suffix":""},{"dropping-particle":"","family":"Dubeau","given":"Francois","non-dropping-particle":"","parse-names":false,"suffix":""},{"dropping-particle":"","family":"Kobayashi","given":"Eliane","non-dropping-particle":"","parse-names":false,"suffix":""},{"dropping-particle":"","family":"Grova","given":"Christophe","non-dropping-particle":"","parse-names":false,"suffix":""}],"container-title":"Human brain mapping","id":"ITEM-1","issue":"7","issued":{"date-parts":[["2016","7"]]},"language":"eng","page":"2528-2546","publisher-place":"United States","title":"Source localization of the seizure onset zone from ictal EEG/MEG data.","type":"article-journal","volume":"37"},"uris":["http://www.mendeley.com/documents/?uuid=8b675941-f7d5-4aef-8df5-50b6aca93c44"]}],"mendeley":{"formattedCitation":"[55]","plainTextFormattedCitation":"[55]","previouslyFormattedCitation":"[54]"},"properties":{"noteIndex":0},"schema":"https://github.com/citation-style-language/schema/raw/master/csl-citation.json"}</w:instrText>
      </w:r>
      <w:r w:rsidRPr="00F0434A">
        <w:rPr>
          <w:rFonts w:asciiTheme="minorHAnsi" w:hAnsiTheme="minorHAnsi" w:cstheme="minorHAnsi"/>
          <w:color w:val="auto"/>
          <w:lang w:val="en-US"/>
        </w:rPr>
        <w:fldChar w:fldCharType="separate"/>
      </w:r>
      <w:r w:rsidRPr="00F0434A">
        <w:rPr>
          <w:rFonts w:asciiTheme="minorHAnsi" w:hAnsiTheme="minorHAnsi" w:cstheme="minorHAnsi"/>
          <w:noProof/>
          <w:color w:val="auto"/>
          <w:lang w:val="en-US"/>
        </w:rPr>
        <w:t>[55]</w:t>
      </w:r>
      <w:r w:rsidRPr="00F0434A">
        <w:rPr>
          <w:rFonts w:asciiTheme="minorHAnsi" w:hAnsiTheme="minorHAnsi" w:cstheme="minorHAnsi"/>
          <w:color w:val="auto"/>
          <w:lang w:val="en-US"/>
        </w:rPr>
        <w:fldChar w:fldCharType="end"/>
      </w:r>
      <w:r w:rsidRPr="00F0434A">
        <w:rPr>
          <w:rFonts w:asciiTheme="minorHAnsi" w:hAnsiTheme="minorHAnsi" w:cstheme="minorHAnsi"/>
          <w:color w:val="auto"/>
          <w:lang w:val="en-US"/>
        </w:rPr>
        <w:t xml:space="preserve">. However, in that study only 10 sublobes per hemisphere were used for concordance analysis, limiting its possible application in the presurgical workup. </w:t>
      </w:r>
    </w:p>
    <w:p w:rsidR="00F0434A" w:rsidRPr="00F0434A" w:rsidRDefault="00F0434A" w:rsidP="00F0434A">
      <w:pPr>
        <w:spacing w:line="360" w:lineRule="auto"/>
        <w:ind w:firstLine="708"/>
        <w:jc w:val="both"/>
        <w:rPr>
          <w:rFonts w:asciiTheme="minorHAnsi" w:hAnsiTheme="minorHAnsi" w:cstheme="minorHAnsi"/>
          <w:color w:val="auto"/>
          <w:lang w:val="en-US"/>
        </w:rPr>
      </w:pPr>
      <w:r w:rsidRPr="00F0434A">
        <w:rPr>
          <w:rFonts w:asciiTheme="minorHAnsi" w:hAnsiTheme="minorHAnsi" w:cstheme="minorHAnsi"/>
          <w:color w:val="auto"/>
          <w:lang w:val="en-US"/>
        </w:rPr>
        <w:t>In addition, compared to the work of Staljanssens et al. we provide here a patient-based interpretation performed by the epileptologist, which may reflect the consistency of the results when taken into a clinical context. Although statistical significance was already shown at a seizure level (overall accuracy: ESI power= 46% vs. ESI+FC= 61%, p= 0.04), the added value of FC becomes even more striking at a patient level, where ESI power localized correctly in 28% of patients vs. 67% for ESI+FC. Moreover, ESI+FC showed a substantially higher inter-rater agreement (k= 0.64) compared to ESI power (k= 0.37), proving its higher reliability in a potential clinical setting (</w:t>
      </w:r>
      <w:r w:rsidRPr="00F0434A">
        <w:rPr>
          <w:rFonts w:asciiTheme="minorHAnsi" w:hAnsiTheme="minorHAnsi" w:cstheme="minorHAnsi"/>
          <w:b/>
          <w:color w:val="auto"/>
          <w:lang w:val="en-US"/>
        </w:rPr>
        <w:t>Table 2</w:t>
      </w:r>
      <w:r w:rsidRPr="00F0434A">
        <w:rPr>
          <w:rFonts w:asciiTheme="minorHAnsi" w:hAnsiTheme="minorHAnsi" w:cstheme="minorHAnsi"/>
          <w:color w:val="auto"/>
          <w:lang w:val="en-US"/>
        </w:rPr>
        <w:t xml:space="preserve">). However, interictal ESI remains more reliable (k= 0.75) and with higher final interpretability compared to ictal ESI +FC (ESI+FC yielded 9/18 inconclusive results, whereas automated interictal ESI only 4/18, </w:t>
      </w:r>
      <w:r w:rsidRPr="00F0434A">
        <w:rPr>
          <w:rFonts w:asciiTheme="minorHAnsi" w:hAnsiTheme="minorHAnsi" w:cstheme="minorHAnsi"/>
          <w:b/>
          <w:color w:val="auto"/>
          <w:lang w:val="en-US"/>
        </w:rPr>
        <w:t>Figure 5</w:t>
      </w:r>
      <w:r w:rsidRPr="00F0434A">
        <w:rPr>
          <w:rFonts w:asciiTheme="minorHAnsi" w:hAnsiTheme="minorHAnsi" w:cstheme="minorHAnsi"/>
          <w:color w:val="auto"/>
          <w:lang w:val="en-US"/>
        </w:rPr>
        <w:t xml:space="preserve">). </w:t>
      </w:r>
    </w:p>
    <w:p w:rsidR="00F0434A" w:rsidRPr="00F0434A" w:rsidRDefault="00F0434A" w:rsidP="00F0434A">
      <w:pPr>
        <w:spacing w:line="360" w:lineRule="auto"/>
        <w:ind w:firstLine="708"/>
        <w:jc w:val="both"/>
        <w:rPr>
          <w:rFonts w:asciiTheme="minorHAnsi" w:hAnsiTheme="minorHAnsi" w:cstheme="minorHAnsi"/>
          <w:color w:val="auto"/>
          <w:lang w:val="en-US"/>
        </w:rPr>
      </w:pPr>
      <w:r w:rsidRPr="00F0434A">
        <w:rPr>
          <w:rFonts w:asciiTheme="minorHAnsi" w:hAnsiTheme="minorHAnsi" w:cstheme="minorHAnsi"/>
          <w:color w:val="auto"/>
          <w:lang w:val="en-US"/>
        </w:rPr>
        <w:t>Interestingly, our clinically interpreted results show a complementary value between ictal ESI+FC and interictal ESI in 50% (9/18) of the analyzed patients (</w:t>
      </w:r>
      <w:r w:rsidRPr="00F0434A">
        <w:rPr>
          <w:rFonts w:asciiTheme="minorHAnsi" w:hAnsiTheme="minorHAnsi" w:cstheme="minorHAnsi"/>
          <w:b/>
          <w:color w:val="auto"/>
          <w:lang w:val="en-US"/>
        </w:rPr>
        <w:t xml:space="preserve">Supplementary Material </w:t>
      </w:r>
      <w:r w:rsidRPr="00F0434A">
        <w:rPr>
          <w:rFonts w:asciiTheme="minorHAnsi" w:hAnsiTheme="minorHAnsi" w:cstheme="minorHAnsi"/>
          <w:b/>
          <w:color w:val="auto"/>
          <w:lang w:val="en-US"/>
        </w:rPr>
        <w:lastRenderedPageBreak/>
        <w:t>3</w:t>
      </w:r>
      <w:r w:rsidRPr="00F0434A">
        <w:rPr>
          <w:rFonts w:asciiTheme="minorHAnsi" w:hAnsiTheme="minorHAnsi" w:cstheme="minorHAnsi"/>
          <w:color w:val="auto"/>
          <w:lang w:val="en-US"/>
        </w:rPr>
        <w:t xml:space="preserve">): in 4/18 patients ictal ESI+FC could localize correctly the SOZ despite an erroneous localization of interictal ESI, while 5/18 patients had incorrect ESI+FC localization but interictal ESI yielded correct results. Only in 2/18 patients (11%) both ESI+FC and interictal ESI failed to yield a correct localization. A recent prospective study applied non-automated ictal and interictal ESI from standard scalp EEG (&lt;32 channels) in a mainly TLE population, i.e. &gt;70% of patients </w:t>
      </w:r>
      <w:r w:rsidRPr="00F0434A">
        <w:rPr>
          <w:rFonts w:asciiTheme="minorHAnsi" w:hAnsiTheme="minorHAnsi" w:cstheme="minorHAnsi"/>
          <w:color w:val="auto"/>
          <w:lang w:val="en-US"/>
        </w:rPr>
        <w:fldChar w:fldCharType="begin" w:fldLock="1"/>
      </w:r>
      <w:r w:rsidRPr="00F0434A">
        <w:rPr>
          <w:rFonts w:asciiTheme="minorHAnsi" w:hAnsiTheme="minorHAnsi" w:cstheme="minorHAnsi"/>
          <w:color w:val="auto"/>
          <w:lang w:val="en-US"/>
        </w:rPr>
        <w:instrText>ADDIN CSL_CITATION {"citationItems":[{"id":"ITEM-1","itemData":{"DOI":"10.1111/ene.13676","ISSN":"1468-1331 (Electronic)","PMID":"29751364","abstract":"BACKGROUND AND PURPOSE: Accurate localization of the epileptic focus is essential for surgical treatment of patients with drug-resistant epilepsy. Electric source imaging (ESI) is increasingly used in pre-surgical evaluation. However, most previous studies have analysed interictal (II) discharges. Prospective studies comparing the feasibility and accuracy of II and ictal (IC) ESI are lacking. METHODS: We prospectively analysed long-term video-electroencephalography recordings (LTM) of patients admitted for pre-surgical evaluation. We performed ESI of II and IC signals using two methods, i.e. equivalent current dipole (ECD) and a distributed source model (DSM). LTM recordings employed the standard 25-electrode array (including inferior temporal electrodes). An age-matched template head model was used for source analysis. Results were compared with intracranial recordings, conventional neuroimaging methods [magnetic resonance imaging (MRI), positron emission tomography (PET), single-photon emission computed tomography (SPECT)] and outcome at 1 year after surgery. RESULTS: A total of 87 consecutive patients were analysed. ECD gave a significantly higher proportion of patients with localized focal abnormalities (94%) compared with MRI (70%), PET (66%) and SPECT (64%). Agreement between the ESI methods and intracranial recording was moderate to substantial (k = 0.56-0.79). A total of 54 patients were operated (47 patients more than 1 year ago) and 62% of them became seizure-free. The localization accuracy of II-ESI was 51% for DSM and 57% for ECD, and that for IC-ESI was 51% for DSM and 62% for ECD. The differences between the ESI methods were not significant. Differences in localization accuracy between ESI and MRI (55%), PET (33%) and SPECT (40%) were not significant. CONCLUSIONS: The II-ESI and IC-ESI of LTM data have high feasibility and their localization accuracy is similar to that of conventional neuroimaging methods.","author":[{"dropping-particle":"","family":"Sharma","given":"P","non-dropping-particle":"","parse-names":false,"suffix":""},{"dropping-particle":"","family":"Scherg","given":"M","non-dropping-particle":"","parse-names":false,"suffix":""},{"dropping-particle":"","family":"Pinborg","given":"L H","non-dropping-particle":"","parse-names":false,"suffix":""},{"dropping-particle":"","family":"Fabricius","given":"M","non-dropping-particle":"","parse-names":false,"suffix":""},{"dropping-particle":"","family":"Rubboli","given":"G","non-dropping-particle":"","parse-names":false,"suffix":""},{"dropping-particle":"","family":"Pedersen","given":"B","non-dropping-particle":"","parse-names":false,"suffix":""},{"dropping-particle":"","family":"Leffers","given":"A-M","non-dropping-particle":"","parse-names":false,"suffix":""},{"dropping-particle":"","family":"Uldall","given":"P","non-dropping-particle":"","parse-names":false,"suffix":""},{"dropping-particle":"","family":"Jespersen","given":"B","non-dropping-particle":"","parse-names":false,"suffix":""},{"dropping-particle":"","family":"Brennum","given":"J","non-dropping-particle":"","parse-names":false,"suffix":""},{"dropping-particle":"","family":"Henriksen","given":"O M","non-dropping-particle":"","parse-names":false,"suffix":""},{"dropping-particle":"","family":"Beniczky","given":"S","non-dropping-particle":"","parse-names":false,"suffix":""}],"container-title":"European journal of neurology","id":"ITEM-1","issue":"9","issued":{"date-parts":[["2018","9"]]},"language":"eng","page":"1154-1160","publisher-place":"England","title":"Ictal and interictal electric source imaging in pre-surgical evaluation: a prospective study.","type":"article-journal","volume":"25"},"uris":["http://www.mendeley.com/documents/?uuid=cfb305e0-1e33-4b6f-9e39-1e8d5b6d9e95"]}],"mendeley":{"formattedCitation":"[13]","plainTextFormattedCitation":"[13]","previouslyFormattedCitation":"[13]"},"properties":{"noteIndex":0},"schema":"https://github.com/citation-style-language/schema/raw/master/csl-citation.json"}</w:instrText>
      </w:r>
      <w:r w:rsidRPr="00F0434A">
        <w:rPr>
          <w:rFonts w:asciiTheme="minorHAnsi" w:hAnsiTheme="minorHAnsi" w:cstheme="minorHAnsi"/>
          <w:color w:val="auto"/>
          <w:lang w:val="en-US"/>
        </w:rPr>
        <w:fldChar w:fldCharType="separate"/>
      </w:r>
      <w:r w:rsidRPr="00F0434A">
        <w:rPr>
          <w:rFonts w:asciiTheme="minorHAnsi" w:hAnsiTheme="minorHAnsi" w:cstheme="minorHAnsi"/>
          <w:noProof/>
          <w:color w:val="auto"/>
          <w:lang w:val="en-US"/>
        </w:rPr>
        <w:t>[13]</w:t>
      </w:r>
      <w:r w:rsidRPr="00F0434A">
        <w:rPr>
          <w:rFonts w:asciiTheme="minorHAnsi" w:hAnsiTheme="minorHAnsi" w:cstheme="minorHAnsi"/>
          <w:color w:val="auto"/>
          <w:lang w:val="en-US"/>
        </w:rPr>
        <w:fldChar w:fldCharType="end"/>
      </w:r>
      <w:r w:rsidRPr="00F0434A">
        <w:rPr>
          <w:rFonts w:asciiTheme="minorHAnsi" w:hAnsiTheme="minorHAnsi" w:cstheme="minorHAnsi"/>
          <w:color w:val="auto"/>
          <w:lang w:val="en-US"/>
        </w:rPr>
        <w:t>. Similarly to our study, Sharma et al. also highlighted that in a number cases their value could be complementary, although this complementarity was not quantified. Interestingly, considering patient-level results, ESI+FC achieved higher diagnostic accuracy compared to structural MRI (ESI+FC= 67%, MRI= 56%). In particular, despite a slightly lower sensitivity (ESI+FC= 58%, MRI= 67%), ESI+FC showed considerably higher specificity (ESI+FC= 83%, MRI= 33%).</w:t>
      </w:r>
    </w:p>
    <w:p w:rsidR="00F0434A" w:rsidRPr="00F0434A" w:rsidRDefault="00F0434A" w:rsidP="00F0434A">
      <w:pPr>
        <w:spacing w:line="360" w:lineRule="auto"/>
        <w:ind w:firstLine="708"/>
        <w:jc w:val="both"/>
        <w:rPr>
          <w:rFonts w:asciiTheme="minorHAnsi" w:hAnsiTheme="minorHAnsi" w:cstheme="minorHAnsi"/>
          <w:color w:val="auto"/>
          <w:lang w:val="en-US"/>
        </w:rPr>
      </w:pPr>
      <w:r w:rsidRPr="00F0434A">
        <w:rPr>
          <w:rFonts w:asciiTheme="minorHAnsi" w:hAnsiTheme="minorHAnsi" w:cstheme="minorHAnsi"/>
          <w:color w:val="auto"/>
          <w:lang w:val="en-US"/>
        </w:rPr>
        <w:t xml:space="preserve">On a more technical level, the connectivity-based estimate of SOZ was performed according to the values of out-degree of EEG sources. Out-degree measures the likelihood of a “node” to influence the rest of the network in producing a given signal, and therefore the source with the highest out-degree can be considered as the driving hub of the epileptic network </w:t>
      </w:r>
      <w:r w:rsidRPr="00F0434A">
        <w:rPr>
          <w:rFonts w:asciiTheme="minorHAnsi" w:hAnsiTheme="minorHAnsi" w:cstheme="minorHAnsi"/>
          <w:color w:val="auto"/>
          <w:lang w:val="en-US"/>
        </w:rPr>
        <w:fldChar w:fldCharType="begin" w:fldLock="1"/>
      </w:r>
      <w:r w:rsidRPr="00F0434A">
        <w:rPr>
          <w:rFonts w:asciiTheme="minorHAnsi" w:hAnsiTheme="minorHAnsi" w:cstheme="minorHAnsi"/>
          <w:color w:val="auto"/>
          <w:lang w:val="en-US"/>
        </w:rPr>
        <w:instrText>ADDIN CSL_CITATION {"citationItems":[{"id":"ITEM-1","itemData":{"DOI":"10.1109/IEMBS.2009.5334866","ISSN":"1557-170X (Print)","PMID":"19964953","abstract":"In the present study, we utilize methods from graph theory to analyze epileptogenic network properties during periods of ictal activity. Using these methods, we analyzed the DTF-based causal information flow in nine seizures recorded from two patients undergoing presurgical monitoring for the treatment of medically intractable epilepsy. From the results, we observed a high degree of correlation between the regions with a high amount of information outflow (termed the outdegree) and the cortical areas identified clinically as the generators of the ictal activity. We furthermore observe a frequency-dependent correlation between the co-localization of these \"activated regions\" and the clinical foci. These findings suggest that application of network analysis tools to ictal activity could provide clinically useful information concerning these epileptogenic networks.","author":[{"dropping-particle":"","family":"Wilke","given":"Christopher","non-dropping-particle":"","parse-names":false,"suffix":""},{"dropping-particle":"","family":"Worrell","given":"Gregory A","non-dropping-particle":"","parse-names":false,"suffix":""},{"dropping-particle":"","family":"He","given":"Bin","non-dropping-particle":"","parse-names":false,"suffix":""}],"container-title":"Conference proceedings : ... Annual International Conference of the IEEE Engineering in Medicine and Biology Society. IEEE Engineering in Medicine and Biology Society. Annual Conference","id":"ITEM-1","issued":{"date-parts":[["2009"]]},"language":"eng","page":"2220-2223","publisher-place":"United States","title":"Analysis of epileptogenic network properties during ictal activity.","type":"article-journal","volume":"2009"},"uris":["http://www.mendeley.com/documents/?uuid=31934cab-7506-4300-bf91-5daa76187f47"]},{"id":"ITEM-2","itemData":{"DOI":"10.1111/epi.12206","ISSN":"1528-1167 (Electronic)","PMID":"23647147","abstract":"PURPOSE: Fifteen percent to 25% of patients with refractory epilepsy require invasive video-electroencephalography (EEG) monitoring (IVEM) to precisely delineate the ictal-onset zone. This delineation based on the recorded intracranial EEG (iEEG) signals occurs visually by the epileptologist and is therefore prone to human mistakes. The purpose of this study is to investigate whether effective connectivity analysis of intracranially recorded EEG during seizures provides an objective method to localize the ictal-onset zone. METHODS: In this study data were analyzed from eight patients who underwent IVEM at Ghent University Hospital in Belgium. All patients had a focal ictal onset and were seizure-free following resective surgery. The effective connectivity pattern was calculated during the first 20 s of ictal rhythmic iEEG activity. The out-degree, which is reflective of the number of outgoing connections, was calculated for each electrode contact for every single seizure during these 20 s. The seizure specific out-degrees were summed per patient to obtain the total out-degree. The electrode contact with the highest total out-degree was considered indicative of localization of the ictal-onset zone. This result was compared to the conclusion of the visual analysis of the epileptologist and the resected brain region segmented from postoperative magnetic resonance imaging (MRI). KEY FINDINGS: In all eight patients the electrode contact with the highest total out-degree was among the contacts identified by the epileptologist as the ictal onset. This contact, that we named \"the driver,\" always laid within the resected brain region. Furthermore, the patient-specific connectivity patterns were consistent over the majority of seizures. SIGNIFICANCE: In this study we demonstrated the feasibility of correctly localizing the ictal-onset zone from iEEG recordings by using effective connectivity analysis during the first 20 s of ictal rhythmic iEEG activity.","author":[{"dropping-particle":"","family":"Mierlo","given":"Pieter","non-dropping-particle":"van","parse-names":false,"suffix":""},{"dropping-particle":"","family":"Carrette","given":"Evelien","non-dropping-particle":"","parse-names":false,"suffix":""},{"dropping-particle":"","family":"Hallez","given":"Hans","non-dropping-particle":"","parse-names":false,"suffix":""},{"dropping-particle":"","family":"Raedt","given":"Robrecht","non-dropping-particle":"","parse-names":false,"suffix":""},{"dropping-particle":"","family":"Meurs","given":"Alfred","non-dropping-particle":"","parse-names":false,"suffix":""},{"dropping-particle":"","family":"Vandenberghe","given":"Stefaan","non-dropping-particle":"","parse-names":false,"suffix":""},{"dropping-particle":"","family":"Roost","given":"Dirk","non-dropping-particle":"Van","parse-names":false,"suffix":""},{"dropping-particle":"","family":"Boon","given":"Paul","non-dropping-particle":"","parse-names":false,"suffix":""},{"dropping-particle":"","family":"Staelens","given":"Steven","non-dropping-particle":"","parse-names":false,"suffix":""},{"dropping-particle":"","family":"Vonck","given":"Kristl","non-dropping-particle":"","parse-names":false,"suffix":""}],"container-title":"Epilepsia","id":"ITEM-2","issue":"8","issued":{"date-parts":[["2013","8"]]},"language":"eng","page":"1409-1418","publisher-place":"United States","title":"Ictal-onset localization through connectivity analysis of intracranial EEG signals in patients with refractory epilepsy.","type":"article-journal","volume":"54"},"uris":["http://www.mendeley.com/documents/?uuid=feb29770-cb43-4008-8823-4ad46cf753e5"]},{"id":"ITEM-3","itemData":{"DOI":"10.1002/epi4.12318","ISSN":"2470-9239","author":[{"dropping-particle":"","family":"Coito","given":"Ana","non-dropping-particle":"","parse-names":false,"suffix":""},{"dropping-particle":"","family":"Biethahn","given":"Silke","non-dropping-particle":"","parse-names":false,"suffix":""},{"dropping-particle":"","family":"Tepperberg","given":"Janina","non-dropping-particle":"","parse-names":false,"suffix":""},{"dropping-particle":"","family":"Carboni","given":"Margherita","non-dropping-particle":"","parse-names":false,"suffix":""},{"dropping-particle":"","family":"Roelcke","given":"Ulrich","non-dropping-particle":"","parse-names":false,"suffix":""},{"dropping-particle":"","family":"Seeck","given":"Margitta","non-dropping-particle":"","parse-names":false,"suffix":""},{"dropping-particle":"","family":"Mierlo","given":"Pieter","non-dropping-particle":"","parse-names":false,"suffix":""},{"dropping-particle":"","family":"Gschwind","given":"Markus","non-dropping-particle":"","parse-names":false,"suffix":""},{"dropping-particle":"","family":"Vulliemoz","given":"Serge","non-dropping-particle":"","parse-names":false,"suffix":""}],"container-title":"Epilepsia Open","id":"ITEM-3","</w:instrText>
      </w:r>
      <w:r w:rsidRPr="00F0434A">
        <w:rPr>
          <w:rFonts w:asciiTheme="minorHAnsi" w:hAnsiTheme="minorHAnsi" w:cstheme="minorHAnsi" w:hint="eastAsia"/>
          <w:color w:val="auto"/>
          <w:lang w:val="en-US"/>
        </w:rPr>
        <w:instrText>issue":"February","issued":{"date-parts":[["2019"]]},"page":"1-12","title":" Interictal epileptogenic zone localization in patients with focal epilepsy using electric source imaging and directed functional connectivity from low</w:instrText>
      </w:r>
      <w:r w:rsidRPr="00F0434A">
        <w:rPr>
          <w:rFonts w:asciiTheme="minorHAnsi" w:hAnsiTheme="minorHAnsi" w:cstheme="minorHAnsi" w:hint="eastAsia"/>
          <w:color w:val="auto"/>
          <w:lang w:val="en-US"/>
        </w:rPr>
        <w:instrText>‐</w:instrText>
      </w:r>
      <w:r w:rsidRPr="00F0434A">
        <w:rPr>
          <w:rFonts w:asciiTheme="minorHAnsi" w:hAnsiTheme="minorHAnsi" w:cstheme="minorHAnsi" w:hint="eastAsia"/>
          <w:color w:val="auto"/>
          <w:lang w:val="en-US"/>
        </w:rPr>
        <w:instrText>density EEG ","type":"artic</w:instrText>
      </w:r>
      <w:r w:rsidRPr="00F0434A">
        <w:rPr>
          <w:rFonts w:asciiTheme="minorHAnsi" w:hAnsiTheme="minorHAnsi" w:cstheme="minorHAnsi"/>
          <w:color w:val="auto"/>
          <w:lang w:val="en-US"/>
        </w:rPr>
        <w:instrText>le-journal"},"uris":["http://www.mendeley.com/documents/?uuid=a745e1cf-6a9b-4e4b-91a7-3a1174a7d2b9"]}],"mendeley":{"formattedCitation":"[29,32,56]","plainTextFormattedCitation":"[29,32,56]","previouslyFormattedCitation":"[29,32,55]"},"properties":{"noteIndex":0},"schema":"https://github.com/citation-style-language/schema/raw/master/csl-citation.json"}</w:instrText>
      </w:r>
      <w:r w:rsidRPr="00F0434A">
        <w:rPr>
          <w:rFonts w:asciiTheme="minorHAnsi" w:hAnsiTheme="minorHAnsi" w:cstheme="minorHAnsi"/>
          <w:color w:val="auto"/>
          <w:lang w:val="en-US"/>
        </w:rPr>
        <w:fldChar w:fldCharType="separate"/>
      </w:r>
      <w:r w:rsidRPr="00F0434A">
        <w:rPr>
          <w:rFonts w:asciiTheme="minorHAnsi" w:hAnsiTheme="minorHAnsi" w:cstheme="minorHAnsi"/>
          <w:noProof/>
          <w:color w:val="auto"/>
          <w:lang w:val="en-US"/>
        </w:rPr>
        <w:t>[29,32,56]</w:t>
      </w:r>
      <w:r w:rsidRPr="00F0434A">
        <w:rPr>
          <w:rFonts w:asciiTheme="minorHAnsi" w:hAnsiTheme="minorHAnsi" w:cstheme="minorHAnsi"/>
          <w:color w:val="auto"/>
          <w:lang w:val="en-US"/>
        </w:rPr>
        <w:fldChar w:fldCharType="end"/>
      </w:r>
      <w:r w:rsidRPr="00F0434A">
        <w:rPr>
          <w:rFonts w:asciiTheme="minorHAnsi" w:hAnsiTheme="minorHAnsi" w:cstheme="minorHAnsi"/>
          <w:color w:val="auto"/>
          <w:lang w:val="en-US"/>
        </w:rPr>
        <w:t xml:space="preserve">. Different explanations can be proposed to explain the improved SOZ localization when using connectivity analysis. Granger causality-based FC takes into account the time evolution of EEG seizure modifications, while temporal precedence across signals is not addressed by a solely power-based ESI analysis. Moreover, connectivity analysis is more robust to residual artefact activity and noise in the selected epoch </w:t>
      </w:r>
      <w:r w:rsidRPr="00F0434A">
        <w:rPr>
          <w:rFonts w:asciiTheme="minorHAnsi" w:hAnsiTheme="minorHAnsi" w:cstheme="minorHAnsi"/>
          <w:color w:val="auto"/>
          <w:lang w:val="en-US"/>
        </w:rPr>
        <w:fldChar w:fldCharType="begin" w:fldLock="1"/>
      </w:r>
      <w:r w:rsidRPr="00F0434A">
        <w:rPr>
          <w:rFonts w:asciiTheme="minorHAnsi" w:hAnsiTheme="minorHAnsi" w:cstheme="minorHAnsi"/>
          <w:color w:val="auto"/>
          <w:lang w:val="en-US"/>
        </w:rPr>
        <w:instrText>ADDIN CSL_CITATION {"citationItems":[{"id":"ITEM-1","itemData":{"DOI":"10.1007/s10548-016-0537-8","ISSN":"1573-6792 (Electronic)","PMID":"27853892","abstract":"Epilepsy surgery is the most efficient treatment option for patients with refractory epilepsy. Before surgery, it is of utmost importance to accurately delineate the seizure onset zone (SOZ). Non-invasive EEG is the most used neuroimaging technique to diagnose epilepsy, but it is hard to localize the SOZ from EEG due to its low spatial resolution and because epilepsy is a network disease, with several brain regions becoming active during a seizure. In this work, we propose and validate an approach based on EEG source imaging (ESI) combined with functional connectivity analysis to overcome these problems. We considered both simulations and real data of patients. Ictal epochs of 204-channel EEG and subsets down to 32 channels were analyzed. ESI was done using realistic head models and LORETA was used as inverse technique. The connectivity pattern between the reconstructed sources was calculated, and the source with the highest number of outgoing connections was selected as SOZ. We compared this algorithm with a more straightforward approach, i.e. selecting the source with the highest power after ESI as the SOZ. We found that functional connectivity analysis estimated the SOZ consistently closer to the simulated EZ/RZ than localization based on maximal power. Performance, however, decreased when 128 electrodes or less were used, especially in the realistic data. The results show the added value of functional connectivity analysis for SOZ localization, when the EEG is obtained with a high-density setup. Next to this, the method can potentially be used as objective tool in clinical settings.","author":[{"dropping-particle":"","family":"Staljanssens","given":"Willeke","non-dropping-particle":"","parse-names":false,"suffix":""},{"dropping-particle":"","family":"Strobbe","given":"Gregor","non-dropping-particle":"","parse-names":false,"suffix":""},{"dropping-particle":"Van","family":"Holen","given":"Roel","non-dropping-particle":"","parse-names":false,"suffix":""},{"dropping-particle":"","family":"Birot","given":"Gwenael","non-dropping-particle":"","parse-names":false,"suffix":""},{"dropping-particle":"","family":"Gschwind","given":"Markus","non-dropping-particle":"","parse-names":false,"suffix":""},{"dropping-particle":"","family":"Seeck","given":"Margitta","non-dropping-particle":"","parse-names":false,"suffix":""},{"dropping-particle":"","family":"Vandenberghe","given":"Stefaan","non-dropping-particle":"","parse-names":false,"suffix":""},{"dropping-particle":"","family":"Vulliemoz","given":"Serge","non-dropping-particle":"","parse-names":false,"suffix":""},{"dropping-particle":"","family":"Mierlo","given":"Pieter","non-dropping-particle":"van","parse-names":false,"suffix":""}],"container-title":"Brain topography","id":"ITEM-1","issue":"2","issued":{"date-parts":[["2017","3"]]},"language":"eng","page":"257-271","publisher-place":"United States","title":"Seizure Onset Zone Localization from Ictal High-Density EEG in Refractory Focal Epilepsy.","type":"article-journal","volume":"30"},"uris":["http://www.mendeley.com/documents/?uuid=6e89c961-37d7-40fa-88b8-608b8f8d1163"]}],"mendeley":{"formattedCitation":"[33]","plainTextFormattedCitation":"[33]","previouslyFormattedCitation":"[33]"},"properties":{"noteIndex":0},"schema":"https://github.com/citation-style-language/schema/raw/master/csl-citation.json"}</w:instrText>
      </w:r>
      <w:r w:rsidRPr="00F0434A">
        <w:rPr>
          <w:rFonts w:asciiTheme="minorHAnsi" w:hAnsiTheme="minorHAnsi" w:cstheme="minorHAnsi"/>
          <w:color w:val="auto"/>
          <w:lang w:val="en-US"/>
        </w:rPr>
        <w:fldChar w:fldCharType="separate"/>
      </w:r>
      <w:r w:rsidRPr="00F0434A">
        <w:rPr>
          <w:rFonts w:asciiTheme="minorHAnsi" w:hAnsiTheme="minorHAnsi" w:cstheme="minorHAnsi"/>
          <w:noProof/>
          <w:color w:val="auto"/>
          <w:lang w:val="en-US"/>
        </w:rPr>
        <w:t>[33]</w:t>
      </w:r>
      <w:r w:rsidRPr="00F0434A">
        <w:rPr>
          <w:rFonts w:asciiTheme="minorHAnsi" w:hAnsiTheme="minorHAnsi" w:cstheme="minorHAnsi"/>
          <w:color w:val="auto"/>
          <w:lang w:val="en-US"/>
        </w:rPr>
        <w:fldChar w:fldCharType="end"/>
      </w:r>
      <w:r w:rsidRPr="00F0434A">
        <w:rPr>
          <w:rFonts w:asciiTheme="minorHAnsi" w:hAnsiTheme="minorHAnsi" w:cstheme="minorHAnsi"/>
          <w:color w:val="auto"/>
          <w:lang w:val="en-US"/>
        </w:rPr>
        <w:t xml:space="preserve">, supporting the  improved results in ETLE, especially in frontal seizures, where signal-to-noise ratio is lower compared to TLE (major movements, rapid propagation) </w:t>
      </w:r>
      <w:r w:rsidRPr="00F0434A">
        <w:rPr>
          <w:rFonts w:asciiTheme="minorHAnsi" w:hAnsiTheme="minorHAnsi" w:cstheme="minorHAnsi"/>
          <w:color w:val="auto"/>
          <w:lang w:val="en-US"/>
        </w:rPr>
        <w:fldChar w:fldCharType="begin" w:fldLock="1"/>
      </w:r>
      <w:r w:rsidRPr="00F0434A">
        <w:rPr>
          <w:rFonts w:asciiTheme="minorHAnsi" w:hAnsiTheme="minorHAnsi" w:cstheme="minorHAnsi"/>
          <w:color w:val="auto"/>
          <w:lang w:val="en-US"/>
        </w:rPr>
        <w:instrText>ADDIN CSL_CITATION {"citationItems":[{"id":"ITEM-1","itemData":{"ISSN":"0028-3878 (Print)","PMID":"11739820","abstract":"OBJECTIVE: To investigate the lateralization and localization of ictal EEG in focal epilepsy. METHODS: A total of 486 ictal EEG of 72 patients with focal epilepsy arising from the mesial temporal, neocortical temporal, mesial frontal, dorsolateral frontal, parietal, and occipital regions were analyzed. RESULTS: Surface ictal EEG was adequately localized in 72% of cases, more often in temporal than extratemporal epilepsy. Localized ictal onsets were seen in 57% of seizures and were most common in mesial temporal lobe epilepsy (MTLE), lateral frontal lobe epilepsy (LFLE), and parietal lobe epilepsy, whereas lateralized onsets predominated in neocortical temporal lobe epilepsy and generalized onsets in mesial frontal lobe epilepsy (MFLE) and occipital lobe epilepsy. Approximately two-thirds of seizures were localized, 22% generalized, 4% lateralized, and 6% mislocalized/lateralized. False localization/lateralization occurred in 28% of occipital and 16% of parietal seizures. Rhythmic temporal theta at ictal onset was seen exclusively in temporal lobe seizures, whereas localized repetitive epileptiform activity was highly predictive of LFLE. Seizures arising from the lateral convexity and mesial regions were differentiated by a high incidence of repetitive epileptiform activity at ictal onset in the former and rhythmic theta activity in the latter. CONCLUSIONS: With the exception of mesial frontal lobe epilepsy, ictal recordings are very useful in the localization/lateralization of focal seizures. Some patterns are highly accurate in localizing the epileptogenic lobe. One limitation of ictal EEG is the potential for false localization/lateralization in occipital and parietal lobe epilepsies.","author":[{"dropping-particle":"","family":"Foldvary","given":"N","non-dropping-particle":"","parse-names":false,"suffix":""},{"dropping-particle":"","family":"Klem","given":"G","non-dropping-particle":"","parse-names":false,"suffix":""},{"dropping-particle":"","family":"Hammel","given":"J","non-dropping-particle":"","parse-names":false,"suffix":""},{"dropping-particle":"","family":"Bingaman","given":"W","non-dropping-particle":"","parse-names":false,"suffix":""},{"dropping-particle":"","family":"Najm","given":"I","non-dropping-particle":"","parse-names":false,"suffix":""},{"dropping-particle":"","family":"Luders","given":"H","non-dropping-particle":"","parse-names":false,"suffix":""}],"container-title":"Neurology","id":"ITEM-1","issue":"11","issued":{"date-parts":[["2001","12"]]},"language":"eng","page":"2022-2028","publisher-place":"United States","title":"The localizing value of ictal EEG in focal epilepsy.","type":"article-journal","volume":"57"},"uris":["http://www.mendeley.com/documents/?uuid=09ba1e2a-c7ca-4994-bdbc-d668c94b5cd3"]},{"id":"ITEM-2","itemData":{"DOI":"10.1097/WNP.0000000000000022","ISSN":"1537-1603 (Electronic)","PMID":"24492441","abstract":"PURPOSE: To investigate the utility of EEG source imaging to lateralize ictal patterns in frontal lobe epilepsy, which were nonlateralized by standard EEG analysis. METHODS: Prospective analysis of 17 seizures in 8 patients with unilateral frontal lobe epilepsy MRI lesions and nonlateralizing ictal scalp EEG. We applied four EEG source imaging techniques (phase maps, symmetric dipoles, low-resolution brain electromagnetic tomography analysis, and classical low-resolution brain electromagnetic tomography analysis recursively applied) to the averaged seizure pattern. We tested (1) the ability of these techniques to lateralize seizure patterns, (2) the agreement of the lateralization result with MRI lesion side and subdural EEG recordings, individually for each method and for concordance of all. RESULTS: We found lateralizing results in 5 of 17 seizures when analyzing phase maps, 8 of 17 when analyzing dipoles, and 5 of 17 in both classical low-resolution brain electromagnetic tomography analysis recursively applied and low-resolution brain electromagnetic tomography analysis. No discordance with the MRI lesion side was seen when analyzing phase maps, whereas dipole analysis was discordant to the MRI lesion in two seizures, classical low-resolution brain electromagnetic tomography analysis recursively applied in one, and low-resolution brain electromagnetic tomography analysis in two. Agreement between all imaging methods was found in three seizures (three patients), all in line with the side of the MRI lesion. CONCLUSIONS: Advanced EEG review methods and source localization provide useful lateralizing information in difficult frontal lobe epilepsy seizure patterns.","author":[{"dropping-particle":"","family":"Kovac","given":"Stjepana","non-dropping-particle":"","parse-names":false,"suffix":""},{"dropping-particle":"","family":"Chaudhary","given":"Umair J","non-dropping-particle":"","parse-names":false,"suffix":""},{"dropping-particle":"","family":"Rodionov","given":"Roman","non-dropping-particle":"","parse-names":false,"suffix":""},{"dropping-particle":"","family":"Mantoan","given":"Laura","non-dropping-particle":"","parse-names":false,"suffix":""},{"dropping-particle":"","family":"Scott","given":"Catherine A","non-dropping-particle":"","parse-names":false,"suffix":""},{"dropping-particle":"","family":"Lemieux","given":"Louis","non-dropping-particle":"","parse-names":false,"suffix":""},{"dropping-particle":"","family":"Wehner","given":"Tim","non-dropping-particle":"","parse-names":false,"suffix":""},{"dropping-particle":"","family":"Scherg","given":"Michael","non-dropping-particle":"","parse-names":false,"suffix":""},{"dropping-particle":"","family":"Diehl","given":"Beate","non-dropping-particle":"","parse-names":false,"suffix":""}],"container-title":"Journal of clinical neurophysiology : official publication of the American Electroencephalographic Society","id":"ITEM-2","issue":"1","issued":{"date-parts":[["2014","2"]]},"language":"eng","page":"10-20","publisher-place":"United States","title":"Ictal EEG source imaging in frontal lobe epilepsy leads to improved lateralization compared with visual analysis.","type":"article-journal","volume":"31"},"uris":["http://www.mendeley.com/documents/?uuid=3d6afef4-63a2-42b4-a1bc-b5ae732e64b5"]}],"mendeley":{"formattedCitation":"[7,54]","plainTextFormattedCitation":"[7,54]","previouslyFormattedCitation":"[7,53]"},"properties":{"noteIndex":0},"schema":"https://github.com/citation-style-language/schema/raw/master/csl-citation.json"}</w:instrText>
      </w:r>
      <w:r w:rsidRPr="00F0434A">
        <w:rPr>
          <w:rFonts w:asciiTheme="minorHAnsi" w:hAnsiTheme="minorHAnsi" w:cstheme="minorHAnsi"/>
          <w:color w:val="auto"/>
          <w:lang w:val="en-US"/>
        </w:rPr>
        <w:fldChar w:fldCharType="separate"/>
      </w:r>
      <w:r w:rsidRPr="00F0434A">
        <w:rPr>
          <w:rFonts w:asciiTheme="minorHAnsi" w:hAnsiTheme="minorHAnsi" w:cstheme="minorHAnsi"/>
          <w:noProof/>
          <w:color w:val="auto"/>
          <w:lang w:val="en-US"/>
        </w:rPr>
        <w:t>[7,54]</w:t>
      </w:r>
      <w:r w:rsidRPr="00F0434A">
        <w:rPr>
          <w:rFonts w:asciiTheme="minorHAnsi" w:hAnsiTheme="minorHAnsi" w:cstheme="minorHAnsi"/>
          <w:color w:val="auto"/>
          <w:lang w:val="en-US"/>
        </w:rPr>
        <w:fldChar w:fldCharType="end"/>
      </w:r>
      <w:r w:rsidRPr="00F0434A">
        <w:rPr>
          <w:rFonts w:asciiTheme="minorHAnsi" w:hAnsiTheme="minorHAnsi" w:cstheme="minorHAnsi"/>
          <w:color w:val="auto"/>
          <w:lang w:val="en-US"/>
        </w:rPr>
        <w:t>.</w:t>
      </w:r>
    </w:p>
    <w:p w:rsidR="00F0434A" w:rsidRPr="00F0434A" w:rsidRDefault="00F0434A" w:rsidP="00F0434A">
      <w:pPr>
        <w:spacing w:line="360" w:lineRule="auto"/>
        <w:ind w:firstLine="708"/>
        <w:jc w:val="both"/>
        <w:rPr>
          <w:rFonts w:asciiTheme="minorHAnsi" w:hAnsiTheme="minorHAnsi" w:cstheme="minorHAnsi"/>
          <w:color w:val="auto"/>
          <w:lang w:val="en-US"/>
        </w:rPr>
      </w:pPr>
      <w:r w:rsidRPr="00F0434A">
        <w:rPr>
          <w:rFonts w:asciiTheme="minorHAnsi" w:hAnsiTheme="minorHAnsi" w:cstheme="minorHAnsi"/>
          <w:color w:val="auto"/>
          <w:lang w:val="en-US"/>
        </w:rPr>
        <w:t xml:space="preserve">Previous utilization of ESI+FC was based on a subjective selection of parameters of analysis </w:t>
      </w:r>
      <w:r w:rsidRPr="00F0434A">
        <w:rPr>
          <w:rFonts w:asciiTheme="minorHAnsi" w:hAnsiTheme="minorHAnsi" w:cstheme="minorHAnsi"/>
          <w:color w:val="auto"/>
          <w:lang w:val="en-US"/>
        </w:rPr>
        <w:fldChar w:fldCharType="begin" w:fldLock="1"/>
      </w:r>
      <w:r w:rsidRPr="00F0434A">
        <w:rPr>
          <w:rFonts w:asciiTheme="minorHAnsi" w:hAnsiTheme="minorHAnsi" w:cstheme="minorHAnsi"/>
          <w:color w:val="auto"/>
          <w:lang w:val="en-US"/>
        </w:rPr>
        <w:instrText>ADDIN CSL_CITATION {"citationItems":[{"id":"ITEM-1","itemData":{"DOI":"10.1016/j.nicl.2017.09.011","ISSN":"2213-1582 (Electronic)","PMID":"29034162","abstract":"Electrical source imaging (ESI) from interictal scalp EEG is increasingly validated and used as a valuable tool in the presurgical evaluation of epilepsy as a reflection of the irritative zone. ESI of ictal scalp EEG to localize the seizure onset zone (SOZ) remains challenging. We investigated the value of an approach for ictal imaging using ESI and functional connectivity analysis (FC). Ictal scalp EEG from 111 seizures in 27 patients who had Engel class I outcome at least 1 year following resective surgery was analyzed. For every seizure, an artifact-free epoch close to the seizure onset was selected and ESI using LORETA was applied. In addition, the reconstructed sources underwent FC using the spectrum-weighted Adaptive Directed Transfer Function. This resulted in the estimation of the SOZ in two ways: (i) the source with maximal power after ESI, (ii) the source with the strongest outgoing connections after combined ESI and FC. Next, we calculated the distance between the estimated SOZ and the border of the resected zone (RZ) for both approaches and called this the localization error ((i) LEpow and (ii) LEconn respectively). By comparing LEpow and LEconn, we assessed the added value of FC. The source with maximal power after ESI was inside the RZ (LEpow = 0 mm) in 31% of the seizures and estimated within 10 mm from the border of the RZ (LEpow &lt;/= 10 mm) in 42%. Using ESI and FC, these numbers increased to 72% for LEconn = 0 mm and 94% for LEconn &lt;/= 10 mm. FC provided a significant added value to ESI alone (p &lt; 0.001). ESI combined with subsequent FC is able to localize the SOZ in a non-invasive way with high accuracy. Therefore it could be a valuable tool in the presurgical evaluation of epilepsy.","author":[{"dropping-particle":"","family":"Staljanssens","given":"Willeke","non-dropping-particle":"","parse-names":false,"suffix":""},{"dropping-particle":"","family":"Strobbe","given":"Gregor","non-dropping-particle":"","parse-names":false,"suffix":""},{"dropping-particle":"","family":"Holen","given":"Roel","non-dropping-particle":"Van","parse-names":false,"suffix":""},{"dropping-particle":"","family":"Keereman","given":"Vincent","non-dropping-particle":"","parse-names":false,"suffix":""},{"dropping-particle":"","family":"Gadeyne","given":"Stefanie","non-dropping-particle":"","parse-names":false,"suffix":""},{"dropping-particle":"","family":"Carrette","given":"Evelien","non-dropping-particle":"","parse-names":false,"suffix":""},{"dropping-particle":"","family":"Meurs","given":"Alfred","non-dropping-particle":"","parse-names":false,"suffix":""},{"dropping-particle":"","family":"Pittau","given":"Francesca","non-dropping-particle":"","parse-names":false,"suffix":""},{"dropping-particle":"","family":"Momjian","given":"Shahan","non-dropping-particle":"","parse-names":false,"suffix":""},{"dropping-particle":"","family":"Seeck","given":"Margitta","non-dropping-particle":"","parse-names":false,"suffix":""},{"dropping-particle":"","family":"Boon","given":"Paul","non-dropping-particle":"","parse-names":false,"suffix":""},{"dropping-particle":"","family":"Vandenberghe","given":"Stefaan","non-dropping-particle":"","parse-names":false,"suffix":""},{"dropping-particle":"","family":"Vulliemoz","given":"Serge","non-dropping-particle":"","parse-names":false,"suffix":""},{"dropping-particle":"","family":"Vonck","given":"Kristl","non-dropping-particle":"","parse-names":false,"suffix":""},{"dropping-particle":"","family":"Mierlo","given":"Pieter","non-dropping-particle":"van","parse-names":false,"suffix":""}],"container-title":"NeuroImage. Clinical","id":"ITEM-1","issued":{"date-parts":[["2017"]]},"language":"eng","page":"689-698","publisher-place":"Netherlands","title":"EEG source connectivity to localize the seizure onset zone in patients with drug  resistant epilepsy.","type":"article-journal","volume":"16"},"uris":["http://www.mendeley.com/documents/?uuid=65b91fef-2806-4dfc-8dca-faaa219310bc"]}],"mendeley":{"formattedCitation":"[35]","plainTextFormattedCitation":"[35]","previouslyFormattedCitation":"[35]"},"properties":{"noteIndex":0},"schema":"https://github.com/citation-style-language/schema/raw/master/csl-citation.json"}</w:instrText>
      </w:r>
      <w:r w:rsidRPr="00F0434A">
        <w:rPr>
          <w:rFonts w:asciiTheme="minorHAnsi" w:hAnsiTheme="minorHAnsi" w:cstheme="minorHAnsi"/>
          <w:color w:val="auto"/>
          <w:lang w:val="en-US"/>
        </w:rPr>
        <w:fldChar w:fldCharType="separate"/>
      </w:r>
      <w:r w:rsidRPr="00F0434A">
        <w:rPr>
          <w:rFonts w:asciiTheme="minorHAnsi" w:hAnsiTheme="minorHAnsi" w:cstheme="minorHAnsi"/>
          <w:noProof/>
          <w:color w:val="auto"/>
          <w:lang w:val="en-US"/>
        </w:rPr>
        <w:t>[35]</w:t>
      </w:r>
      <w:r w:rsidRPr="00F0434A">
        <w:rPr>
          <w:rFonts w:asciiTheme="minorHAnsi" w:hAnsiTheme="minorHAnsi" w:cstheme="minorHAnsi"/>
          <w:color w:val="auto"/>
          <w:lang w:val="en-US"/>
        </w:rPr>
        <w:fldChar w:fldCharType="end"/>
      </w:r>
      <w:r w:rsidRPr="00F0434A">
        <w:rPr>
          <w:rFonts w:asciiTheme="minorHAnsi" w:hAnsiTheme="minorHAnsi" w:cstheme="minorHAnsi"/>
          <w:color w:val="auto"/>
          <w:lang w:val="en-US"/>
        </w:rPr>
        <w:t>. We implemented an objective algorithm for an automated, spectrogram-based, selection of parameters for ictal ESI analysis, aiming to localize brain activity in a narrow time-frequency window (</w:t>
      </w:r>
      <w:r w:rsidRPr="00F0434A">
        <w:rPr>
          <w:rFonts w:asciiTheme="minorHAnsi" w:hAnsiTheme="minorHAnsi" w:cstheme="minorHAnsi"/>
          <w:b/>
          <w:color w:val="auto"/>
          <w:lang w:val="en-US"/>
        </w:rPr>
        <w:t>Figure 1</w:t>
      </w:r>
      <w:r w:rsidRPr="00F0434A">
        <w:rPr>
          <w:rFonts w:asciiTheme="minorHAnsi" w:hAnsiTheme="minorHAnsi" w:cstheme="minorHAnsi"/>
          <w:color w:val="auto"/>
          <w:lang w:val="en-US"/>
        </w:rPr>
        <w:t xml:space="preserve">). Recent studies on ictal ESI have developed similar automated pipelines, leading to convincing time-saving results </w:t>
      </w:r>
      <w:r w:rsidRPr="00F0434A">
        <w:rPr>
          <w:rFonts w:asciiTheme="minorHAnsi" w:hAnsiTheme="minorHAnsi" w:cstheme="minorHAnsi"/>
          <w:color w:val="auto"/>
          <w:lang w:val="en-US"/>
        </w:rPr>
        <w:fldChar w:fldCharType="begin" w:fldLock="1"/>
      </w:r>
      <w:r w:rsidRPr="00F0434A">
        <w:rPr>
          <w:rFonts w:asciiTheme="minorHAnsi" w:hAnsiTheme="minorHAnsi" w:cstheme="minorHAnsi"/>
          <w:color w:val="auto"/>
          <w:lang w:val="en-US"/>
        </w:rPr>
        <w:instrText>ADDIN CSL_CITATION {"citationItems":[{"id":"ITEM-1","itemData":{"DOI":"10.1111/epi.12339","ISSN":"1528-1167 (Electronic)","PMID":"23944234","abstract":"PURPOSE: Although precise identification of the seizure-onset zone is an essential element of presurgical evaluation, source localization of ictal electroencephalography (EEG) signals has received little attention. The aim of our study was to estimate the accuracy of source localization of rhythmic ictal EEG activity using a distributed source model. METHODS: Source localization of rhythmic ictal scalp EEG activity was performed in 42 consecutive cases fulfilling inclusion criteria. The study was designed according to recommendations for studies on diagnostic accuracy (STARD). The initial ictal EEG signals were selected using a standardized method, based on frequency analysis and voltage distribution of the ictal activity. A distributed source model-local autoregressive average (LAURA)-was used for the source localization. Sensitivity, specificity, and measurement of agreement (kappa) were determined based on the reference standard-the consensus conclusion of the multidisciplinary epilepsy surgery team. Predictive values were calculated from the surgical outcome of the operated patients. To estimate the clinical value of the ictal source analysis, we compared the likelihood ratios of concordant and discordant results. Source localization was performed blinded to the clinical data, and before the surgical decision. KEY FINDINGS: Reference standard was available for 33 patients. The ictal source localization had a sensitivity of 70% and a specificity of 76%. The mean measurement of agreement (kappa) was 0.61, corresponding to substantial agreement (95% confidence interval (CI) 0.38-0.84). Twenty patients underwent resective surgery. The positive predictive value (PPV) for seizure freedom was 92% and the negative predictive value (NPV) was 43%. The likelihood ratio was nine times higher for the concordant results, as compared with the discordant ones. SIGNIFICANCE: Source localization of rhythmic ictal activity using a distributed source model (LAURA) for the ictal EEG signals selected with a standardized method is feasible in clinical practice and has a good diagnostic accuracy. Our findings encourage clinical neurophysiologists assessing ictal EEGs to include this method in their armamentarium.","author":[{"dropping-particle":"","family":"Beniczky","given":"Sandor","non-dropping-particle":"","parse-names":false,"suffix":""},{"dropping-particle":"","family":"Lantz","given":"Goran","non-dropping-particle":"","parse-names":false,"suffix":""},{"dropping-particle":"","family":"Rosenzweig","given":"Ivana","non-dropping-particle":"","parse-names":false,"suffix":""},{"dropping-particle":"","family":"Akeson","given":"Per","non-dropping-particle":"","parse-names":false,"suffix":""},{"dropping-particle":"","family":"Pedersen","given":"Birthe","non-dropping-particle":"","parse-names":false,"suffix":""},{"dropping-particle":"","family":"Pinborg","given":"Lars H","non-dropping-particle":"","parse-names":false,"suffix":""},{"dropping-particle":"","family":"Ziebell","given":"Morten","non-dropping-particle":"","parse-names":false,"suffix":""},{"dropping-particle":"","family":"Jespersen","given":"Bo","non-dropping-particle":"","parse-names":false,"suffix":""},{"dropping-particle":"","family":"Fuglsang-Frederiksen","given":"Anders","non-dropping-particle":"","parse-names":false,"suffix":""}],"container-title":"Epilepsia","id":"ITEM-1","issue":"10","issued":{"date-parts":[["2013","10"]]},"language":"eng","page":"1743-1752","publisher-place":"United States","title":"Source localization of rhythmic ictal EEG activity: a study of diagnostic accuracy following STARD criteria.","type":"article-journal","volume":"54"},"uris":["http://www.mendeley.com/documents/?uuid=b9fc34a0-672f-4026-8eac-3ef4099db2bf"]},{"id":"ITEM-2","itemData":{"DOI":"10.1016/j.clinph.2018.03.020","ISSN":"1872-8952 (Electronic)","PMID":"29680731","abstract":"OBJECTIVE: To test the diagnostic accuracy of a new automatic algorithm for ictal onset source localization (IOSL) during routine presurgical epilepsy evaluation following STARD (Standards for Reporting of Diagnostic Accuracy) criteria. METHODS: We included 28 consecutive patients with refractory focal epilepsy (25 patients with temporal lobe epilepsy (TLE) and 3 with extratemporal epilepsy) who underwent resective epilepsy surgery. Ictal EEG patterns were analyzed with a novel automatic IOSL algorithm. IOSL source localizations on a sublobar level were validated by comparison with actual resection sites and seizure free outcome 2years after surgery. RESULTS: Sensitivity of IOSL was 92.3% (TLE: 92.3%); specificity 60% (TLE: 50%); positive predictive value 66.7% (TLE: 66.7%); and negative predictive value 90% (TLE: 85.7%). The likelihood ratio was more than ten times higher for concordant IOSL results as compared to discordant results (p=0.013). CONCLUSIONS: We demonstrated the clinical feasibility of our IOSL approach yielding reasonable high performance measures on a sublobar level. SIGNIFICANCE: Our IOSL method may contribute to a correct localization of the seizure onset zone in temporal lobe epilepsy and can readily be used in standard epilepsy monitoring settings. Further studies are needed for validation in extratemporal epilepsy.","author":[{"dropping-particle":"","family":"Koren","given":"Johannes","non-dropping-particle":"","parse-names":false,"suffix":""},{"dropping-particle":"","family":"Gritsch","given":"Gerhard","non-dropping-particle":"","parse-names":false,"suffix":""},{"dropping-particle":"","family":"Pirker","given":"Susanne","non-dropping-particle":"","parse-names":false,"suffix":""},{"dropping-particle":"","family":"Herta","given":"Johannes","non-dropping-particle":"","parse-names":false,"suffix":""},{"dropping-particle":"","family":"Perko","given":"Hannes","non-dropping-particle":"","parse-names":false,"suffix":""},{"dropping-particle":"","family":"Kluge","given":"Tilmann","non-dropping-particle":"","parse-names":false,"suffix":""},{"dropping-particle":"","family":"Baumgartner","given":"Christoph","non-dropping-particle":"","parse-names":false,"suffix":""}],"container-title":"Clinical neurophysiology : official journal of the International Federation of Clinical Neurophysiology","id":"ITEM-2","issue":"6","issued":{"date-parts":[["2018","6"]]},"language":"eng","page":"1291-1299","publisher-place":"Netherlands","title":"Automatic ictal onset source localization in presurgical epilepsy evaluation.","type":"article-journal","volume":"129"},"uris":["http://www.mendeley.com/documents/?uuid=81578706-1ed6-45b3-ab5e-abfa03e17db2"]}],"mendeley":{"formattedCitation":"[11,40]","plainTextFormattedCitation":"[11,40]","previouslyFormattedCitation":"[11,40]"},"properties":{"noteIndex":0},"schema":"https://github.com/citation-style-language/schema/raw/master/csl-citation.json"}</w:instrText>
      </w:r>
      <w:r w:rsidRPr="00F0434A">
        <w:rPr>
          <w:rFonts w:asciiTheme="minorHAnsi" w:hAnsiTheme="minorHAnsi" w:cstheme="minorHAnsi"/>
          <w:color w:val="auto"/>
          <w:lang w:val="en-US"/>
        </w:rPr>
        <w:fldChar w:fldCharType="separate"/>
      </w:r>
      <w:r w:rsidRPr="00F0434A">
        <w:rPr>
          <w:rFonts w:asciiTheme="minorHAnsi" w:hAnsiTheme="minorHAnsi" w:cstheme="minorHAnsi"/>
          <w:noProof/>
          <w:color w:val="auto"/>
          <w:lang w:val="en-US"/>
        </w:rPr>
        <w:t>[11,40]</w:t>
      </w:r>
      <w:r w:rsidRPr="00F0434A">
        <w:rPr>
          <w:rFonts w:asciiTheme="minorHAnsi" w:hAnsiTheme="minorHAnsi" w:cstheme="minorHAnsi"/>
          <w:color w:val="auto"/>
          <w:lang w:val="en-US"/>
        </w:rPr>
        <w:fldChar w:fldCharType="end"/>
      </w:r>
      <w:r w:rsidRPr="00F0434A">
        <w:rPr>
          <w:rFonts w:asciiTheme="minorHAnsi" w:hAnsiTheme="minorHAnsi" w:cstheme="minorHAnsi"/>
          <w:color w:val="auto"/>
          <w:lang w:val="en-US"/>
        </w:rPr>
        <w:t xml:space="preserve">. However, we report for the first time its use combined with a connectivity analysis. The EEG processing used in the present study requires the input of only two elements from the clinician: the seizure onset marking and the band of frequency of the rhythmical ictal activity. Thereafter, the analysis is fully automated, and enables an objective selection of the target ictal activity, provided it is rhythmical. Our method could solve some of the issues related to spike averaging-based ictal </w:t>
      </w:r>
      <w:r w:rsidRPr="00F0434A">
        <w:rPr>
          <w:rFonts w:asciiTheme="minorHAnsi" w:hAnsiTheme="minorHAnsi" w:cstheme="minorHAnsi"/>
          <w:color w:val="auto"/>
          <w:lang w:val="en-US"/>
        </w:rPr>
        <w:lastRenderedPageBreak/>
        <w:t xml:space="preserve">ESI: indeed, when done manually, no clear consensus exists on the number of spikes to average nor on the requested coherence across spikes </w:t>
      </w:r>
      <w:r w:rsidRPr="00F0434A">
        <w:rPr>
          <w:rFonts w:asciiTheme="minorHAnsi" w:hAnsiTheme="minorHAnsi" w:cstheme="minorHAnsi"/>
          <w:color w:val="auto"/>
          <w:lang w:val="en-US"/>
        </w:rPr>
        <w:fldChar w:fldCharType="begin" w:fldLock="1"/>
      </w:r>
      <w:r w:rsidRPr="00F0434A">
        <w:rPr>
          <w:rFonts w:asciiTheme="minorHAnsi" w:hAnsiTheme="minorHAnsi" w:cstheme="minorHAnsi"/>
          <w:color w:val="auto"/>
          <w:lang w:val="en-US"/>
        </w:rPr>
        <w:instrText>ADDIN CSL_CITATION {"citationItems":[{"id":"ITEM-1","itemData":{"DOI":"10.1016/j.nicl.2017.08.009","ISSN":"2213-1582 (Electronic)","PMID":"28856095","abstract":"OBJECTIVE: We aimed to prospectively assess the anatomical concordance of electric source localizations of interictal discharges with the epileptogenic zone (EZ) estimated by stereo-electroencephalography (SEEG) according to different subgroups: the type of epilepsy, the presence of a structural MRI lesion, the aetiology and the depth of the EZ. METHODS: In a prospective multicentric observational study, we enrolled 85 consecutive patients undergoing pre-surgical SEEG investigation for focal drug-resistant epilepsy. Electric source imaging (ESI) was performed before SEEG. Source localizations were obtained from dipolar and distributed source methods. Anatomical concordance between ESI and EZ was defined according to 36 predefined sublobar regions. ESI was interpreted blinded to- and subsequently compared with SEEG estimated EZ. RESULTS: 74 patients were finally analyzed. 38 patients had temporal and 36 extra-temporal lobe epilepsy. MRI was positive in 52. 41 patients had malformation of cortical development (MCD), 33 had another or an unknown aetiology. EZ was medial in 27, lateral in 13, and medio-lateral in 34. In the overall cohort, ESI completely or partly localized the EZ in 85%: full concordance in 13 cases and partial concordance in 50 cases. The rate of ESI full concordance with EZ was significantly higher in (i) frontal lobe epilepsy (46%; p = 0.05), (ii) cases of negative MRI (36%; p = 0.01) and (iii) MCD (27%; p = 0.03). The rate of ESI full concordance with EZ was not statistically different according to the depth of the EZ. SIGNIFICANCE: We prospectively demonstrated that ESI more accurately estimated the EZ in subgroups of patients who are often the most difficult cases in epilepsy surgery: frontal lobe epilepsy, negative MRI and the presence of MCD.","author":[{"dropping-particle":"","family":"Abdallah","given":"Chifaou","non-dropping-particle":"","parse-names":false,"suffix":""},{"dropping-particle":"","family":"Maillard","given":"Louis G","non-dropping-particle":"","parse-names":false,"suffix":""},{"dropping-particle":"","family":"Rikir","given":"Estelle","non-dropping-particle":"","parse-names":false,"suffix":""},{"dropping-particle":"","family":"Jonas","given":"Jacques","non-dropping-particle":"","parse-names":false,"suffix":""},{"dropping-particle":"","family":"Thiriaux","given":"Anne","non-dropping-particle":"","parse-names":false,"suffix":""},{"dropping-particle":"","family":"Gavaret","given":"Martine","non-dropping-particle":"","parse-names":false,"suffix":""},{"dropping-particle":"","family":"Bartolomei","given":"Fabrice","non-dropping-particle":"","parse-names":false,"suffix":""},{"dropping-particle":"","family":"Colnat-Coulbois","given":"Sophie","non-dropping-particle":"","parse-names":false,"suffix":""},{"dropping-particle":"","family":"Vignal","given":"Jean-Pierre","non-dropping-particle":"","parse-names":false,"suffix":""},{"dropping-particle":"","family":"Koessler","given":"Laurent","non-dropping-particle":"","parse-names":false,"suffix":""}],"container-title":"NeuroImage. Clinical","id":"ITEM-1","issued":{"date-parts":[["2017"]]},"language":"eng","page":"319-329","publisher-place":"Netherlands","title":"Localizing value of electrical source imaging: Frontal lobe, malformations of cortical development and negative MRI related epilepsies are the best candidates.","type":"article-journal","volume":"16"},"uris":["http://www.mendeley.com/documents/?uuid=676a9f64-781f-4e6d-87dc-d0bac14d9679"]}],"mendeley":{"formattedCitation":"[57]","plainTextFormattedCitation":"[57]","previouslyFormattedCitation":"[56]"},"properties":{"noteIndex":0},"schema":"https://github.com/citation-style-language/schema/raw/master/csl-citation.json"}</w:instrText>
      </w:r>
      <w:r w:rsidRPr="00F0434A">
        <w:rPr>
          <w:rFonts w:asciiTheme="minorHAnsi" w:hAnsiTheme="minorHAnsi" w:cstheme="minorHAnsi"/>
          <w:color w:val="auto"/>
          <w:lang w:val="en-US"/>
        </w:rPr>
        <w:fldChar w:fldCharType="separate"/>
      </w:r>
      <w:r w:rsidRPr="00F0434A">
        <w:rPr>
          <w:rFonts w:asciiTheme="minorHAnsi" w:hAnsiTheme="minorHAnsi" w:cstheme="minorHAnsi"/>
          <w:noProof/>
          <w:color w:val="auto"/>
          <w:lang w:val="en-US"/>
        </w:rPr>
        <w:t>[57]</w:t>
      </w:r>
      <w:r w:rsidRPr="00F0434A">
        <w:rPr>
          <w:rFonts w:asciiTheme="minorHAnsi" w:hAnsiTheme="minorHAnsi" w:cstheme="minorHAnsi"/>
          <w:color w:val="auto"/>
          <w:lang w:val="en-US"/>
        </w:rPr>
        <w:fldChar w:fldCharType="end"/>
      </w:r>
      <w:r w:rsidRPr="00F0434A">
        <w:rPr>
          <w:rFonts w:asciiTheme="minorHAnsi" w:hAnsiTheme="minorHAnsi" w:cstheme="minorHAnsi"/>
          <w:color w:val="auto"/>
          <w:lang w:val="en-US"/>
        </w:rPr>
        <w:t>.</w:t>
      </w:r>
    </w:p>
    <w:p w:rsidR="00F0434A" w:rsidRPr="00F0434A" w:rsidRDefault="00F0434A" w:rsidP="00F0434A">
      <w:pPr>
        <w:spacing w:line="360" w:lineRule="auto"/>
        <w:ind w:firstLine="708"/>
        <w:jc w:val="both"/>
        <w:rPr>
          <w:rFonts w:asciiTheme="minorHAnsi" w:hAnsiTheme="minorHAnsi" w:cstheme="minorHAnsi"/>
          <w:color w:val="auto"/>
          <w:lang w:val="en-US"/>
        </w:rPr>
      </w:pPr>
      <w:r w:rsidRPr="00F0434A">
        <w:rPr>
          <w:rFonts w:asciiTheme="minorHAnsi" w:hAnsiTheme="minorHAnsi" w:cstheme="minorHAnsi"/>
          <w:color w:val="auto"/>
          <w:lang w:val="en-US"/>
        </w:rPr>
        <w:t xml:space="preserve">Our study faces some important limitations. We are aware of the lower spatial resolution provided by LD ESI, and that in this study we may be missing important anatomical details in source reconstruction. Such details could have been provided by HD ESI, however no HD EEG recordings were available in our study population, and a direct comparison of the yield of FC in addition to LD or HD ESI was not in the scope of the study. Interestingly, a benchmark paper applying non-automated interictal ESI, considering a subanalysis performed on extratemporal cases, showed that the sensitivity of LD-ESI reached 63,6% versus 75% for HD-ESI </w:t>
      </w:r>
      <w:r w:rsidRPr="00F0434A">
        <w:rPr>
          <w:rFonts w:asciiTheme="minorHAnsi" w:hAnsiTheme="minorHAnsi" w:cstheme="minorHAnsi"/>
          <w:color w:val="auto"/>
          <w:lang w:val="en-US"/>
        </w:rPr>
        <w:fldChar w:fldCharType="begin" w:fldLock="1"/>
      </w:r>
      <w:r w:rsidRPr="00F0434A">
        <w:rPr>
          <w:rFonts w:asciiTheme="minorHAnsi" w:hAnsiTheme="minorHAnsi" w:cstheme="minorHAnsi"/>
          <w:color w:val="auto"/>
          <w:lang w:val="en-US"/>
        </w:rPr>
        <w:instrText>ADDIN CSL_CITATION {"citationItems":[{"id":"ITEM-1","itemData":{"DOI":"10.1093/brain/awr243","ISSN":"1460-2156 (Electronic)","PMID":"21975586","abstract":"Electroencephalography is mandatory to determine the epilepsy syndrome. However,  for the precise localization of the irritative zone in patients with focal epilepsy, costly and sometimes cumbersome imaging techniques are used. Recent small studies using electric source imaging suggest that electroencephalography itself could be used to localize the focus. However, a large prospective validation study is missing. This study presents a cohort of 152 operated patients where electric source imaging was applied as part of the pre-surgical work-up allowing a comparison with the results from other methods. Patients (n = 152) with &gt;1 year postoperative follow-up were studied prospectively. The sensitivity and specificity of each imaging method was defined by comparing the localization of the source maximum with the resected zone and surgical outcome. Electric source imaging had a sensitivity of 84% and a specificity of 88% if the electroencephalogram was recorded with a large number of electrodes (128-256 channels) and the individual magnetic resonance image was used as head model. These values compared favourably with those of structural magnetic resonance imaging (76% sensitivity, 53% specificity), positron emission tomography (69% sensitivity, 44% specificity) and ictal/interictal single-photon emission-computed tomography (58% sensitivity, 47% specificity). The sensitivity and specificity of electric source imaging decreased to 57% and 59%, respectively, with low number of electrodes (&lt;32 channels) and a template head model. This study demonstrated the validity and clinical utility of electric source imaging in a large prospective study. Given the low cost and high flexibility of electroencephalographic systems even with high channel counts, we conclude that electric source imaging is a highly valuable tool in pre-surgical epilepsy evaluation.","author":[{"dropping-particle":"","family":"Brodbeck","given":"Verena","non-dropping-particle":"","parse-names":false,"suffix":""},{"dropping-particle":"","family":"Spinelli","given":"Laurent","non-dropping-particle":"","parse-names":false,"suffix":""},{"dropping-particle":"","family":"Lascano","given":"Agustina M","non-dropping-particle":"","parse-names":false,"suffix":""},{"dropping-particle":"","family":"Wissmeier","given":"Michael","non-dropping-particle":"","parse-names":false,"suffix":""},{"dropping-particle":"","family":"Vargas","given":"Maria-Isabel","non-dropping-particle":"","parse-names":false,"suffix":""},{"dropping-particle":"","family":"Vulliemoz","given":"Serge","non-dropping-particle":"","parse-names":false,"suffix":""},{"dropping-particle":"","family":"Pollo","given":"Claudio","non-dropping-particle":"","parse-names":false,"suffix":""},{"dropping-particle":"","family":"Schaller","given":"Karl","non-dropping-particle":"","parse-names":false,"suffix":""},{"dropping-particle":"","family":"Michel","given":"Christoph M","non-dropping-particle":"","parse-names":false,"suffix":""},{"dropping-particle":"","family":"Seeck","given":"Margitta","non-dropping-particle":"","parse-names":false,"suffix":""}],"container-title":"Brain : a journal of neurology","id":"ITEM-1","issue":"Pt 10","issued":{"date-parts":[["2011","10"]]},"language":"eng","page":"2887-2897","publisher-place":"England","title":"Electroencephalographic source imaging: a prospective study of 152 operated epileptic patients.","type":"article-journal","volume":"134"},"uris":["http://www.mendeley.com/documents/?uuid=0b7e3ff3-cb6e-468d-b0b1-5f20f31a6c23"]}],"mendeley":{"formattedCitation":"[9]","plainTextFormattedCitation":"[9]","previouslyFormattedCitation":"[9]"},"properties":{"noteIndex":0},"schema":"https://github.com/citation-style-language/schema/raw/master/csl-citation.json"}</w:instrText>
      </w:r>
      <w:r w:rsidRPr="00F0434A">
        <w:rPr>
          <w:rFonts w:asciiTheme="minorHAnsi" w:hAnsiTheme="minorHAnsi" w:cstheme="minorHAnsi"/>
          <w:color w:val="auto"/>
          <w:lang w:val="en-US"/>
        </w:rPr>
        <w:fldChar w:fldCharType="separate"/>
      </w:r>
      <w:r w:rsidRPr="00F0434A">
        <w:rPr>
          <w:rFonts w:asciiTheme="minorHAnsi" w:hAnsiTheme="minorHAnsi" w:cstheme="minorHAnsi"/>
          <w:noProof/>
          <w:color w:val="auto"/>
          <w:lang w:val="en-US"/>
        </w:rPr>
        <w:t>[9]</w:t>
      </w:r>
      <w:r w:rsidRPr="00F0434A">
        <w:rPr>
          <w:rFonts w:asciiTheme="minorHAnsi" w:hAnsiTheme="minorHAnsi" w:cstheme="minorHAnsi"/>
          <w:color w:val="auto"/>
          <w:lang w:val="en-US"/>
        </w:rPr>
        <w:fldChar w:fldCharType="end"/>
      </w:r>
      <w:r w:rsidRPr="00F0434A">
        <w:rPr>
          <w:rFonts w:asciiTheme="minorHAnsi" w:hAnsiTheme="minorHAnsi" w:cstheme="minorHAnsi"/>
          <w:color w:val="auto"/>
          <w:lang w:val="en-US"/>
        </w:rPr>
        <w:t xml:space="preserve">. The superiority of HD ESI was therefore found to be relatively modest, and the sensitivity of LD ESI was at least comparable to other commonly presurgical evaluation techniques (such as PET: 60%, or ictal SPECT: 47,1%). When considering TLE, the accuracy difference was substantially higher (LD-ESI: 67,3%, HD-ESI: 91,7%). Future prospective studies in ETLE, evaluating the accuracy and clinical yield of LD ESI+FC compared to HD ESI, and/or to other imaging modalities, may be justified. </w:t>
      </w:r>
    </w:p>
    <w:p w:rsidR="00F0434A" w:rsidRPr="00F0434A" w:rsidRDefault="00F0434A" w:rsidP="00F0434A">
      <w:pPr>
        <w:spacing w:line="360" w:lineRule="auto"/>
        <w:ind w:firstLine="708"/>
        <w:jc w:val="both"/>
        <w:rPr>
          <w:rFonts w:asciiTheme="minorHAnsi" w:hAnsiTheme="minorHAnsi" w:cstheme="minorHAnsi"/>
          <w:color w:val="auto"/>
          <w:lang w:val="en-US"/>
        </w:rPr>
      </w:pPr>
      <w:r w:rsidRPr="00F0434A">
        <w:rPr>
          <w:rFonts w:asciiTheme="minorHAnsi" w:hAnsiTheme="minorHAnsi" w:cstheme="minorHAnsi"/>
          <w:color w:val="auto"/>
          <w:lang w:val="en-US"/>
        </w:rPr>
        <w:t xml:space="preserve">Another limitation of our study is that some of our recordings were acquired before the release of the IFCN recommendations on the use of a 25-channel LD EEG array, which includes the inferior temporal chain </w:t>
      </w:r>
      <w:r w:rsidRPr="00F0434A">
        <w:rPr>
          <w:rFonts w:asciiTheme="minorHAnsi" w:hAnsiTheme="minorHAnsi" w:cstheme="minorHAnsi"/>
          <w:color w:val="auto"/>
          <w:lang w:val="en-US"/>
        </w:rPr>
        <w:fldChar w:fldCharType="begin" w:fldLock="1"/>
      </w:r>
      <w:r w:rsidRPr="00F0434A">
        <w:rPr>
          <w:rFonts w:asciiTheme="minorHAnsi" w:hAnsiTheme="minorHAnsi" w:cstheme="minorHAnsi"/>
          <w:color w:val="auto"/>
          <w:lang w:val="en-US"/>
        </w:rPr>
        <w:instrText>ADDIN CSL_CITATION {"citationItems":[{"id":"ITEM-1","itemData":{"DOI":"10.1016/j.clinph.2017.06.254","ISSN":"1872-8952 (Electronic)","PMID":"28778476","abstract":"Standardized EEG electrode positions are essential for both clinical applications and research. The aim of this guideline is to update and expand the unifying nomenclature and standardized positioning for EEG scalp electrodes. Electrode positions were based on 20% and 10% of standardized measurements from anatomical landmarks on the skull. However, standard recordings do not cover the anterior and basal temporal lobes, which is the most frequent source of epileptogenic activity. Here, we propose a basic array of 25 electrodes including the inferior temporal chain, which should be used for all standard clinical recordings. The nomenclature in the basic array is consistent with the 10-10-system. High-density scalp EEG arrays (64-256 electrodes) allow source imaging with even sub-lobar precision. This supplementary exam should be requested whenever necessary, e.g. search for epileptogenic activity in negative standard EEG or for presurgical evaluation. In the near future, nomenclature for high density electrodes arrays beyond the 10-10 system needs to be defined, to allow comparison and standardized recordings across centers. Contrary to the established belief that smaller heads needs less electrodes, in young children at least as many electrodes as in adults should be applied due to smaller skull thickness and the risk of spatial aliasing.","author":[{"dropping-particle":"","family":"Seeck","given":"Margitta","non-dropping-particle":"","parse-names":false,"suffix":""},{"dropping-particle":"","family":"Koessler","given":"Laurent","non-dropping-particle":"","parse-names":false,"suffix":""},{"dropping-particle":"","family":"Bast","given":"Thomas","non-dropping-particle":"","parse-names":false,"suffix":""},{"dropping-particle":"","family":"Leijten","given":"Frans","non-dropping-particle":"","parse-names":false,"suffix":""},{"dropping-particle":"","family":"Michel","given":"Christoph","non-dropping-particle":"","parse-names":false,"suffix":""},{"dropping-particle":"","family":"Baumgartner","given":"Christoph","non-dropping-particle":"","parse-names":false,"suffix":""},{"dropping-particle":"","family":"He","given":"Bin","non-dropping-particle":"","parse-names":false,"suffix":""},{"dropping-particle":"","family":"Beniczky","given":"Sandor","non-dropping-particle":"","parse-names":false,"suffix":""}],"container-title":"Clinical neurophysiology : official journal of the International Federation of Clinical Neurophysiology","id":"ITEM-1","issue":"10","issued":{"date-parts":[["2017","10"]]},"language":"eng","page":"2070-2077","publisher-place":"Netherlands","title":"The standardized EEG electrode array of the IFCN.","type":"article-journal","volume":"128"},"uris":["http://www.mendeley.com/documents/?uuid=f25726a5-cd9f-4715-b5d3-ad229c4a88c7"]}],"mendeley":{"formattedCitation":"[58]","plainTextFormattedCitation":"[58]","previouslyFormattedCitation":"[57]"},"properties":{"noteIndex":0},"schema":"https://github.com/citation-style-language/schema/raw/master/csl-citation.json"}</w:instrText>
      </w:r>
      <w:r w:rsidRPr="00F0434A">
        <w:rPr>
          <w:rFonts w:asciiTheme="minorHAnsi" w:hAnsiTheme="minorHAnsi" w:cstheme="minorHAnsi"/>
          <w:color w:val="auto"/>
          <w:lang w:val="en-US"/>
        </w:rPr>
        <w:fldChar w:fldCharType="separate"/>
      </w:r>
      <w:r w:rsidRPr="00F0434A">
        <w:rPr>
          <w:rFonts w:asciiTheme="minorHAnsi" w:hAnsiTheme="minorHAnsi" w:cstheme="minorHAnsi"/>
          <w:noProof/>
          <w:color w:val="auto"/>
          <w:lang w:val="en-US"/>
        </w:rPr>
        <w:t>[58]</w:t>
      </w:r>
      <w:r w:rsidRPr="00F0434A">
        <w:rPr>
          <w:rFonts w:asciiTheme="minorHAnsi" w:hAnsiTheme="minorHAnsi" w:cstheme="minorHAnsi"/>
          <w:color w:val="auto"/>
          <w:lang w:val="en-US"/>
        </w:rPr>
        <w:fldChar w:fldCharType="end"/>
      </w:r>
      <w:r w:rsidRPr="00F0434A">
        <w:rPr>
          <w:rFonts w:asciiTheme="minorHAnsi" w:hAnsiTheme="minorHAnsi" w:cstheme="minorHAnsi"/>
          <w:color w:val="auto"/>
          <w:lang w:val="en-US"/>
        </w:rPr>
        <w:t xml:space="preserve">,  hence some datasets consisted of a suboptimal 19-electrode coverage. A uniform use of 25 channels for LD ESI might have improved the quality of the inverse problem solution and the final diagnostic accuracy, and it is encouraged for further studies on the topic.  Nonetheless, given that the analyzed ictal EEG epochs pertained to extratemporal seizures, we may expect that the loss of information due to a missing inferior temporal chain was lesser than it would have been in temporal seizures.  </w:t>
      </w:r>
    </w:p>
    <w:p w:rsidR="00F0434A" w:rsidRPr="00F0434A" w:rsidRDefault="00F0434A" w:rsidP="00F0434A">
      <w:pPr>
        <w:spacing w:line="360" w:lineRule="auto"/>
        <w:ind w:firstLine="708"/>
        <w:jc w:val="both"/>
        <w:rPr>
          <w:rFonts w:asciiTheme="minorHAnsi" w:hAnsiTheme="minorHAnsi" w:cstheme="minorHAnsi"/>
          <w:color w:val="auto"/>
          <w:lang w:val="en-US"/>
        </w:rPr>
      </w:pPr>
      <w:r w:rsidRPr="00F0434A">
        <w:rPr>
          <w:rFonts w:asciiTheme="minorHAnsi" w:hAnsiTheme="minorHAnsi" w:cstheme="minorHAnsi"/>
          <w:color w:val="auto"/>
          <w:lang w:val="en-US"/>
        </w:rPr>
        <w:t>In light of the lower resolution of LD ESI, we determined our results at a sublobar level, and this might have led to an overestimation of the accuracy. Nevertheless, recent studies on LD ESI showed an adequate diagnostic accuracy and a clinical added value when results were analyzed on sublobar level</w:t>
      </w:r>
      <w:r w:rsidRPr="00F0434A">
        <w:rPr>
          <w:rFonts w:asciiTheme="minorHAnsi" w:hAnsiTheme="minorHAnsi" w:cstheme="minorHAnsi"/>
          <w:i/>
          <w:color w:val="auto"/>
          <w:lang w:val="en-US"/>
        </w:rPr>
        <w:t xml:space="preserve"> </w:t>
      </w:r>
      <w:r w:rsidRPr="00F0434A">
        <w:rPr>
          <w:rFonts w:asciiTheme="minorHAnsi" w:hAnsiTheme="minorHAnsi" w:cstheme="minorHAnsi"/>
          <w:color w:val="auto"/>
          <w:lang w:val="en-US"/>
        </w:rPr>
        <w:fldChar w:fldCharType="begin" w:fldLock="1"/>
      </w:r>
      <w:r w:rsidRPr="00F0434A">
        <w:rPr>
          <w:rFonts w:asciiTheme="minorHAnsi" w:hAnsiTheme="minorHAnsi" w:cstheme="minorHAnsi"/>
          <w:color w:val="auto"/>
          <w:lang w:val="en-US"/>
        </w:rPr>
        <w:instrText>ADDIN CSL_CITATION {"citationItems":[{"id":"ITEM-1","itemData":{"DOI":"10.1111/ene.13676","ISSN":"1468-1331 (Electronic)","PMID":"29751364","abstract":"BACKGROUND AND PURPOSE: Accurate localization of the epileptic focus is essential for surgical treatment of patients with drug-resistant epilepsy. Electric source imaging (ESI) is increasingly used in pre-surgical evaluation. However, most previous studies have analysed interictal (II) discharges. Prospective studies comparing the feasibility and accuracy of II and ictal (IC) ESI are lacking. METHODS: We prospectively analysed long-term video-electroencephalography recordings (LTM) of patients admitted for pre-surgical evaluation. We performed ESI of II and IC signals using two methods, i.e. equivalent current dipole (ECD) and a distributed source model (DSM). LTM recordings employed the standard 25-electrode array (including inferior temporal electrodes). An age-matched template head model was used for source analysis. Results were compared with intracranial recordings, conventional neuroimaging methods [magnetic resonance imaging (MRI), positron emission tomography (PET), single-photon emission computed tomography (SPECT)] and outcome at 1 year after surgery. RESULTS: A total of 87 consecutive patients were analysed. ECD gave a significantly higher proportion of patients with localized focal abnormalities (94%) compared with MRI (70%), PET (66%) and SPECT (64%). Agreement between the ESI methods and intracranial recording was moderate to substantial (k = 0.56-0.79). A total of 54 patients were operated (47 patients more than 1 year ago) and 62% of them became seizure-free. The localization accuracy of II-ESI was 51% for DSM and 57% for ECD, and that for IC-ESI was 51% for DSM and 62% for ECD. The differences between the ESI methods were not significant. Differences in localization accuracy between ESI and MRI (55%), PET (33%) and SPECT (40%) were not significant. CONCLUSIONS: The II-ESI and IC-ESI of LTM data have high feasibility and their localization accuracy is similar to that of conventional neuroimaging methods.","author":[{"dropping-particle":"","family":"Sharma","given":"P","non-dropping-particle":"","parse-names":false,"suffix":""},{"dropping-particle":"","family":"Scherg","given":"M","non-dropping-particle":"","parse-names":false,"suffix":""},{"dropping-particle":"","family":"Pinborg","given":"L H","non-dropping-particle":"","parse-names":false,"suffix":""},{"dropping-particle":"","family":"Fabricius","given":"M","non-dropping-particle":"","parse-names":false,"suffix":""},{"dropping-particle":"","family":"Rubboli","given":"G","non-dropping-particle":"","parse-names":false,"suffix":""},{"dropping-particle":"","family":"Pedersen","given":"B","non-dropping-particle":"","parse-names":false,"suffix":""},{"dropping-particle":"","family":"Leffers","given":"A-M","non-dropping-particle":"","parse-names":false,"suffix":""},{"dropping-particle":"","family":"Uldall","given":"P","non-dropping-particle":"","parse-names":false,"suffix":""},{"dropping-particle":"","family":"Jespersen","given":"B","non-dropping-particle":"","parse-names":false,"suffix":""},{"dropping-particle":"","family":"Brennum","given":"J","non-dropping-particle":"","parse-names":false,"suffix":""},{"dropping-particle":"","family":"Henriksen","given":"O M","non-dropping-particle":"","parse-names":false,"suffix":""},{"dropping-particle":"","family":"Beniczky","given":"S","non-dropping-particle":"","parse-names":false,"suffix":""}],"container-title":"European journal of neurology","id":"ITEM-1","issue":"9","issued":{"date-parts":[["2018","9"]]},"language":"eng","page":"1154-1160","publisher-place":"England","title":"Ictal and interictal electric source imaging in pre-surgical evaluation: a prospective study.","type":"article-journal","volume":"25"},"uris":["http://www.mendeley.com/documents/?uuid=cfb305e0-1e33-4b6f-9e39-1e8d5b6d9e95"]},{"id":"ITEM-2","itemData":{"DOI":"10.1016/j.clinph.2019.07.031","ISSN":"1872-8952 (Electronic)","PMID":"31466846","abstract":"OBJECTIVE: To investigate the diagnostic added value of electrical source imaging (ESI) in presurgical evaluation of patients with drug resistant focal epilepsy. METHODS: Eighty-two consecutive patients were included. We analyzed both low density (LD) and high density (HD) EEG recordings. LD ESI was done on interictal and ictal signals recorded during long-term video-EEG monitoring (LTM), with standard 25 electrodes and age-matched template head models. HD ESI was done on shorter recordings (90-120 min), with 256 electrodes, using individual head model. The multidisciplinary team made decisions first blinded to ESI (based on all other modalities) and then discussed the results of the ESI. We considered that ESI had diagnostic added value, when it provided non-redundant information that changed the patients management plan. RESULTS: ESI had diagnostic added value in 28 patients (34%). In most cases (85.7%), these changes were related to planning of the invasive recordings. In nine out of 13 patients, invasive recordings confirmed the localization. Out of eight patients in whom the ESI source was resected, six became seizure-free. CONCLUSIONS: ESI provides non-redundant information in one third of the patients undergoing presurgical evaluation. SIGNIFICANCE: This study provides evidence for the diagnostic added value of ESI in presurgical evaluation.","author":[{"dropping-particle":"","family":"Foged","given":"Mette Thrane","non-dropping-particle":"","parse-names":false,"suffix":""},{"dropping-particle":"","family":"Martens","given":"Terje","non-dropping-particle":"","parse-names":false,"suffix":""},{"dropping-particle":"","family":"Pinborg","given":"Lars H","non-dropping-particle":"","parse-names":false,"suffix":""},{"dropping-particle":"","family":"Hamrouni","given":"Nizar","non-dropping-particle":"","parse-names":false,"suffix":""},{"dropping-particle":"","family":"Litman","given":"Minna","non-dropping-particle":"","parse-names":false,"suffix":""},{"dropping-particle":"","family":"Rubboli","given":"Guido","non-dropping-particle":"","parse-names":false,"suffix":""},{"dropping-particle":"","family":"Leffers","given":"Anne-Mette","non-dropping-particle":"","parse-names":false,"suffix":""},{"dropping-particle":"","family":"Ryvlin","given":"Philippe","non-dropping-particle":"","parse-names":false,"suffix":""},{"dropping-particle":"","family":"Jespersen","given":"Bo","non-dropping-particle":"","parse-names":false,"suffix":""},{"dropping-particle":"","family":"Paulson","given":"Olaf B","non-dropping-particle":"","parse-names":false,"suffix":""},{"dropping-particle":"","family":"Fabricius","given":"Martin","non-dropping-particle":"","parse-names":false,"suffix":""},{"dropping-particle":"","family":"Beniczky","given":"Sandor","non-dropping-particle":"","parse-names":false,"suffix":""}],"container-title":"Clinical neurophysiology : official journal of the International Federation of Clinical Neurophysiology","id":"ITEM-2","issue":"1","issued":{"date-parts":[["2020","1"]]},"language":"eng","page":"324-329","publisher-place":"Netherlands","title":"Diagnostic added value of electrical source imaging in presurgical evaluation of  patients with epilepsy: A prospective study.","type":"article-journal","volume":"131"},"uris":["http://www.mendeley.com/documents/?uuid=48d2dc9c-cb00-4f9c-8430-dd2bb9c171f9"]}],"mendeley":{"formattedCitation":"[13,14]","plainTextFormattedCitation":"[13,14]","previouslyFormattedCitation":"[13,14]"},"properties":{"noteIndex":0},"schema":"https://github.com/citation-style-language/schema/raw/master/csl-citation.json"}</w:instrText>
      </w:r>
      <w:r w:rsidRPr="00F0434A">
        <w:rPr>
          <w:rFonts w:asciiTheme="minorHAnsi" w:hAnsiTheme="minorHAnsi" w:cstheme="minorHAnsi"/>
          <w:color w:val="auto"/>
          <w:lang w:val="en-US"/>
        </w:rPr>
        <w:fldChar w:fldCharType="separate"/>
      </w:r>
      <w:r w:rsidRPr="00F0434A">
        <w:rPr>
          <w:rFonts w:asciiTheme="minorHAnsi" w:hAnsiTheme="minorHAnsi" w:cstheme="minorHAnsi"/>
          <w:noProof/>
          <w:color w:val="auto"/>
          <w:lang w:val="en-US"/>
        </w:rPr>
        <w:t>[13,14]</w:t>
      </w:r>
      <w:r w:rsidRPr="00F0434A">
        <w:rPr>
          <w:rFonts w:asciiTheme="minorHAnsi" w:hAnsiTheme="minorHAnsi" w:cstheme="minorHAnsi"/>
          <w:color w:val="auto"/>
          <w:lang w:val="en-US"/>
        </w:rPr>
        <w:fldChar w:fldCharType="end"/>
      </w:r>
      <w:r w:rsidRPr="00F0434A">
        <w:rPr>
          <w:rFonts w:asciiTheme="minorHAnsi" w:hAnsiTheme="minorHAnsi" w:cstheme="minorHAnsi"/>
          <w:color w:val="auto"/>
          <w:lang w:val="en-US"/>
        </w:rPr>
        <w:t>. Indeed, sublobar concordance result may be useful in modifying the scheme of intracranial EEG electrode implantation, which essentially remains the most frequent clinical management change brought by HD-ESI or MSI</w:t>
      </w:r>
      <w:r w:rsidRPr="00F0434A">
        <w:rPr>
          <w:rFonts w:asciiTheme="minorHAnsi" w:hAnsiTheme="minorHAnsi" w:cstheme="minorHAnsi"/>
          <w:color w:val="auto"/>
          <w:lang w:val="en-US"/>
        </w:rPr>
        <w:fldChar w:fldCharType="begin" w:fldLock="1"/>
      </w:r>
      <w:r w:rsidRPr="00F0434A">
        <w:rPr>
          <w:rFonts w:asciiTheme="minorHAnsi" w:hAnsiTheme="minorHAnsi" w:cstheme="minorHAnsi"/>
          <w:color w:val="auto"/>
          <w:lang w:val="en-US"/>
        </w:rPr>
        <w:instrText>ADDIN CSL_CITATION {"citationItems":[{"id":"ITEM-1","itemData":{"DOI":"10.1212/WNL.0000000000006877","ISSN":"1526-632X (Electronic)","PMID":"30610090","abstract":"OBJECTIVE: To determine the diagnostic accuracy and clinical utility of electromagnetic source imaging (EMSI) in presurgical evaluation of patients with epilepsy. METHODS: We prospectively recorded magnetoencephalography (MEG) simultaneously with EEG and performed EMSI, comprising electric source imaging, magnetic source imaging, and analysis of combined MEG-EEG datasets, using 2 different software packages. As reference standard for irritative zone (IZ) and seizure onset zone (SOZ), we used intracranial recordings and for localization accuracy, outcome 1 year after operation. RESULTS: We included 141 consecutive patients. EMSI showed localized epileptiform discharges in 94 patients (67%). Most of the epileptiform discharge clusters (72%) were identified by both modalities, 15% only by EEG, and 14% only by MEG. Agreement was substantial between inverse solutions and moderate between software packages. EMSI provided new information that changed the management plan in 34% of the patients, and these changes were useful in 80%. Depending on the method, EMSI had a concordance of 53% to 89% with IZ and 35% to 73% with SOZ. Localization accuracy of EMSI was between 44% and 57%, which was not significantly different from MRI (49%-76%) and PET (54%-85%). Combined EMSI achieved significantly higher odds ratio compared to electric source imaging and magnetic source imaging. CONCLUSION: EMSI has accuracy similar to established imaging methods and provides clinically useful, new information in 34% of the patients. CLASSIFICATION OF EVIDENCE: This study provides Class IV evidence that EMSI had a concordance of 53%-89% and 35%-73% (depending on analysis) for the localization of epileptic focus as compared with intracranial recordings-IZ and SOZ, respectively.","author":[{"dropping-particle":"","family":"Duez","given":"Lene","non-dropping-particle":"","parse-names":false,"suffix":""},{"dropping-particle":"","family":"Tankisi","given":"Hatice","non-dropping-particle":"","parse-names":false,"suffix":""},{"dropping-particle":"","family":"Hansen","given":"Peter Orm","non-dropping-particle":"","parse-names":false,"suffix":""},{"dropping-particle":"","family":"Sidenius","given":"Per","non-dropping-particle":"","parse-names":false,"suffix":""},{"dropping-particle":"","family":"Sabers","given":"Anne","non-dropping-particle":"","parse-names":false,"suffix":""},{"dropping-particle":"","family":"Pinborg","given":"Lars H","non-dropping-particle":"","parse-names":false,"suffix":""},{"dropping-particle":"","family":"Fabricius","given":"Martin","non-dropping-particle":"","parse-names":false,"suffix":""},{"dropping-particle":"","family":"Rasonyi","given":"Gyorgy","non-dropping-particle":"","parse-names":false,"suffix":""},{"dropping-particle":"","family":"Rubboli","given":"Guido","non-dropping-particle":"","parse-names":false,"suffix":""},{"dropping-particle":"","family":"Pedersen","given":"Birthe","non-dropping-particle":"","parse-names":false,"suffix":""},{"dropping-particle":"","family":"Leffers","given":"Anne-Mette","non-dropping-particle":"","parse-names":false,"suffix":""},{"dropping-particle":"","family":"Uldall","given":"Peter","non-dropping-particle":"","parse-names":false,"suffix":""},{"dropping-particle":"","family":"Jespersen","given":"Bo","non-dropping-particle":"","parse-names":false,"suffix":""},{"dropping-particle":"","family":"Brennum","given":"Jannick","non-dropping-particle":"","parse-names":false,"suffix":""},{"dropping-particle":"","family":"Henriksen","given":"Otto Molby","non-dropping-particle":"","parse-names":false,"suffix":""},{"dropping-particle":"","family":"Fuglsang-Frederiksen","given":"Anders","non-dropping-particle":"","parse-names":false,"suffix":""},{"dropping-particle":"","family":"Beniczky","given":"Sandor","non-dropping-particle":"","parse-names":false,"suffix":""}],"container-title":"Neurology","id":"ITEM-1","issue":"6","issued":{"date-parts":[["2019","2"]]},"language":"eng","page":"e576-e586","publisher-place":"United States","title":"Electromagnetic source imaging in presurgical workup of patients with epilepsy: A prospective study.","type":"article-journal","volume":"92"},"uris":["http://www.mendeley.com/documents/?uuid=e7771d42-15f6-492a-9e2c-5a7cdf4aff08"]}],"mendeley":{"formattedCitation":"[53]","plainTextFormattedCitation":"[53]","previouslyFormattedCitation":"[52]"},"properties":{"noteIndex":0},"schema":"https://github.com/citation-style-language/schema/raw/master/csl-citation.json"}</w:instrText>
      </w:r>
      <w:r w:rsidRPr="00F0434A">
        <w:rPr>
          <w:rFonts w:asciiTheme="minorHAnsi" w:hAnsiTheme="minorHAnsi" w:cstheme="minorHAnsi"/>
          <w:color w:val="auto"/>
          <w:lang w:val="en-US"/>
        </w:rPr>
        <w:fldChar w:fldCharType="separate"/>
      </w:r>
      <w:r w:rsidRPr="00F0434A">
        <w:rPr>
          <w:rFonts w:asciiTheme="minorHAnsi" w:hAnsiTheme="minorHAnsi" w:cstheme="minorHAnsi"/>
          <w:noProof/>
          <w:color w:val="auto"/>
          <w:lang w:val="en-US"/>
        </w:rPr>
        <w:t>[53]</w:t>
      </w:r>
      <w:r w:rsidRPr="00F0434A">
        <w:rPr>
          <w:rFonts w:asciiTheme="minorHAnsi" w:hAnsiTheme="minorHAnsi" w:cstheme="minorHAnsi"/>
          <w:color w:val="auto"/>
          <w:lang w:val="en-US"/>
        </w:rPr>
        <w:fldChar w:fldCharType="end"/>
      </w:r>
      <w:r w:rsidRPr="00F0434A">
        <w:rPr>
          <w:rFonts w:asciiTheme="minorHAnsi" w:hAnsiTheme="minorHAnsi" w:cstheme="minorHAnsi"/>
          <w:color w:val="auto"/>
          <w:lang w:val="en-US"/>
        </w:rPr>
        <w:t xml:space="preserve">. Interestingly, in the work of Foged et al., clinical management changes depending on ESI results were not significantly different whether LD or HD-ESI was used </w:t>
      </w:r>
      <w:r w:rsidRPr="00F0434A">
        <w:rPr>
          <w:rFonts w:asciiTheme="minorHAnsi" w:hAnsiTheme="minorHAnsi" w:cstheme="minorHAnsi"/>
          <w:color w:val="auto"/>
          <w:lang w:val="en-US"/>
        </w:rPr>
        <w:fldChar w:fldCharType="begin" w:fldLock="1"/>
      </w:r>
      <w:r w:rsidRPr="00F0434A">
        <w:rPr>
          <w:rFonts w:asciiTheme="minorHAnsi" w:hAnsiTheme="minorHAnsi" w:cstheme="minorHAnsi"/>
          <w:color w:val="auto"/>
          <w:lang w:val="en-US"/>
        </w:rPr>
        <w:instrText>ADDIN CSL_CITATION {"citationItems":[{"id":"ITEM-1","itemData":{"DOI":"10.1016/j.clinph.2019.07.031","ISSN":"1872-8952 (Electronic)","PMID":"31466846","abstract":"OBJECTIVE: To investigate the diagnostic added value of electrical source imaging (ESI) in presurgical evaluation of patients with drug resistant focal epilepsy. METHODS: Eighty-two consecutive patients were included. We analyzed both low density (LD) and high density (HD) EEG recordings. LD ESI was done on interictal and ictal signals recorded during long-term video-EEG monitoring (LTM), with standard 25 electrodes and age-matched template head models. HD ESI was done on shorter recordings (90-120 min), with 256 electrodes, using individual head model. The multidisciplinary team made decisions first blinded to ESI (based on all other modalities) and then discussed the results of the ESI. We considered that ESI had diagnostic added value, when it provided non-redundant information that changed the patients management plan. RESULTS: ESI had diagnostic added value in 28 patients (34%). In most cases (85.7%), these changes were related to planning of the invasive recordings. In nine out of 13 patients, invasive recordings confirmed the localization. Out of eight patients in whom the ESI source was resected, six became seizure-free. CONCLUSIONS: ESI provides non-redundant information in one third of the patients undergoing presurgical evaluation. SIGNIFICANCE: This study provides evidence for the diagnostic added value of ESI in presurgical evaluation.","author":[{"dropping-particle":"","family":"Foged","given":"Mette Thrane","non-dropping-particle":"","parse-names":false,"suffix":""},{"dropping-particle":"","family":"Martens","given":"Terje","non-dropping-particle":"","parse-names":false,"suffix":""},{"dropping-particle":"","family":"Pinborg","given":"Lars H","non-dropping-particle":"","parse-names":false,"suffix":""},{"dropping-particle":"","family":"Hamrouni","given":"Nizar","non-dropping-particle":"","parse-names":false,"suffix":""},{"dropping-particle":"","family":"Litman","given":"Minna","non-dropping-particle":"","parse-names":false,"suffix":""},{"dropping-particle":"","family":"Rubboli","given":"Guido","non-dropping-particle":"","parse-names":false,"suffix":""},{"dropping-particle":"","family":"Leffers","given":"Anne-Mette","non-dropping-particle":"","parse-names":false,"suffix":""},{"dropping-particle":"","family":"Ryvlin","given":"Philippe","non-dropping-particle":"","parse-names":false,"suffix":""},{"dropping-particle":"","family":"Jespersen","given":"Bo","non-dropping-particle":"","parse-names":false,"suffix":""},{"dropping-particle":"","family":"Paulson","given":"Olaf B","non-dropping-particle":"","parse-names":false,"suffix":""},{"dropping-particle":"","family":"Fabricius","given":"Martin","non-dropping-particle":"","parse-names":false,"suffix":""},{"dropping-particle":"","family":"Beniczky","given":"Sandor","non-dropping-particle":"","parse-names":false,"suffix":""}],"container-title":"Clinical neurophysiology : official journal of the International Federation of Clinical Neurophysiology","id":"ITEM-1","issue":"1","issued":{"date-parts":[["2020","1"]]},"language":"eng","page":"324-329","publisher-place":"Netherlands","title":"Diagnostic added value of electrical source imaging in presurgical evaluation of  patients with epilepsy: A prospective study.","type":"article-journal","volume":"131"},"uris":["http://www.mendeley.com/documents/?uuid=48d2dc9c-cb00-4f9c-8430-dd2bb9c171f9"]}],"mendeley":{"formattedCitation":"[14]","plainTextFormattedCitation":"[14]","previouslyFormattedCitation":"[14]"},"properties":{"noteIndex":0},"schema":"https://github.com/citation-style-language/schema/raw/master/csl-citation.json"}</w:instrText>
      </w:r>
      <w:r w:rsidRPr="00F0434A">
        <w:rPr>
          <w:rFonts w:asciiTheme="minorHAnsi" w:hAnsiTheme="minorHAnsi" w:cstheme="minorHAnsi"/>
          <w:color w:val="auto"/>
          <w:lang w:val="en-US"/>
        </w:rPr>
        <w:fldChar w:fldCharType="separate"/>
      </w:r>
      <w:r w:rsidRPr="00F0434A">
        <w:rPr>
          <w:rFonts w:asciiTheme="minorHAnsi" w:hAnsiTheme="minorHAnsi" w:cstheme="minorHAnsi"/>
          <w:noProof/>
          <w:color w:val="auto"/>
          <w:lang w:val="en-US"/>
        </w:rPr>
        <w:t>[14]</w:t>
      </w:r>
      <w:r w:rsidRPr="00F0434A">
        <w:rPr>
          <w:rFonts w:asciiTheme="minorHAnsi" w:hAnsiTheme="minorHAnsi" w:cstheme="minorHAnsi"/>
          <w:color w:val="auto"/>
          <w:lang w:val="en-US"/>
        </w:rPr>
        <w:fldChar w:fldCharType="end"/>
      </w:r>
      <w:r w:rsidRPr="00F0434A">
        <w:rPr>
          <w:rFonts w:asciiTheme="minorHAnsi" w:hAnsiTheme="minorHAnsi" w:cstheme="minorHAnsi"/>
          <w:color w:val="auto"/>
          <w:lang w:val="en-US"/>
        </w:rPr>
        <w:t xml:space="preserve">.  Finally, one should consider that: i) most epilepsy centers still only perform LD EEG as part of their long-term monitoring; ii) HD </w:t>
      </w:r>
      <w:r w:rsidRPr="00F0434A">
        <w:rPr>
          <w:rFonts w:asciiTheme="minorHAnsi" w:hAnsiTheme="minorHAnsi" w:cstheme="minorHAnsi"/>
          <w:color w:val="auto"/>
          <w:lang w:val="en-US"/>
        </w:rPr>
        <w:lastRenderedPageBreak/>
        <w:t xml:space="preserve">EEG is commonly recorded for shorter periods compared to LD EEG, leading to a recording of a lower number of  seizures. Hence, we believe that it is clinically important to develop new methods applicable to LD ESI, which could encourage the use of source imaging in daily practice. </w:t>
      </w:r>
    </w:p>
    <w:p w:rsidR="00F0434A" w:rsidRPr="00F0434A" w:rsidRDefault="00F0434A" w:rsidP="00F0434A">
      <w:pPr>
        <w:spacing w:line="360" w:lineRule="auto"/>
        <w:ind w:firstLine="708"/>
        <w:jc w:val="both"/>
        <w:rPr>
          <w:rFonts w:asciiTheme="minorHAnsi" w:hAnsiTheme="minorHAnsi" w:cstheme="minorHAnsi"/>
          <w:color w:val="auto"/>
          <w:lang w:val="en-US"/>
        </w:rPr>
      </w:pPr>
      <w:r w:rsidRPr="00F0434A">
        <w:rPr>
          <w:rFonts w:asciiTheme="minorHAnsi" w:hAnsiTheme="minorHAnsi" w:cstheme="minorHAnsi"/>
          <w:color w:val="auto"/>
          <w:lang w:val="en-US"/>
        </w:rPr>
        <w:t xml:space="preserve">We cannot exclude that the earliest rhythmical activity visible at the scalp already reflects a seizure propagation, thus the actual onset of a seizure may not be targeted in some cases by our method. However, our technique is in line with most algorithms of ictal pattern selection developed so far </w:t>
      </w:r>
      <w:r w:rsidRPr="00F0434A">
        <w:rPr>
          <w:rFonts w:asciiTheme="minorHAnsi" w:hAnsiTheme="minorHAnsi" w:cstheme="minorHAnsi"/>
          <w:color w:val="auto"/>
          <w:lang w:val="en-US"/>
        </w:rPr>
        <w:fldChar w:fldCharType="begin" w:fldLock="1"/>
      </w:r>
      <w:r w:rsidRPr="00F0434A">
        <w:rPr>
          <w:rFonts w:asciiTheme="minorHAnsi" w:hAnsiTheme="minorHAnsi" w:cstheme="minorHAnsi"/>
          <w:color w:val="auto"/>
          <w:lang w:val="en-US"/>
        </w:rPr>
        <w:instrText>ADDIN CSL_CITATION {"citationItems":[{"id":"ITEM-1","itemData":{"ISSN":"0013-4694 (Print)","PMID":"7691551","abstract":"In seizures starting gradually, careful examination of the background is required to determine the time and region of onset. We propose a method for displaying EEG variables which characterize seizure onset: changes in amplitude and in average frequency compared to background. These variables are displayed topographically for each EEG channel so that 1 or 2 min of EEG may be viewed on a standard screen, thus representing pre-ictal and ictal periods. We evaluated the ability of this display to indicate seizure onset, by comparing the times and regions of seizure onset indicated by traditional EEG and by the display. The comparison was performed on 30 seizures from scalp recordings and 49 seizures from depth recordings. Seizures were selected for having a gradual onset with no or minimal artefact. Onset times from traditional EEG and the computer method, examined independently, coincided (within 3 sec) in 77% of scalp seizures and 63% of depth seizures. In 14% of seizures the computer display indicated an onset more than 3 sec earlier than visual examination; upon reexamination, however, this onset was thought to be possibly correct. This quantitative display, which in practice should be used with traditional EEG, may thus be useful for computer-assisted seizure interpretation and for a condensed representation of seizures.","author":[{"dropping-particle":"","family":"Gotman","given":"J","non-dropping-particle":"","parse-names":false,"suffix":""},{"dropping-particle":"","family":"Levtova","given":"V","non-dropping-particle":"","parse-names":false,"suffix":""},{"dropping-particle":"","family":"Farine","given":"B","non-dropping-particle":"","parse-names":false,"suffix":""}],"container-title":"Electroencephalography and clinical neurophysiology","id":"ITEM-1","issue":"4","issued":{"date-parts":[["1993","10"]]},"language":"eng","page":"206-214","publisher-place":"Ireland","title":"Graphic representation of the EEG during epileptic seizures.","type":"article-journal","volume":"87"},"uris":["http://www.mendeley.com/documents/?uuid=1f9cf67c-8136-47d3-8680-c954c8aa7359","http://www.mendeley.com/documents/?uuid=ae6f8cb6-5631-4035-b3a7-e84b227e941e"]},{"id":"ITEM-2","itemData":{"DOI":"10.1111/epi.12339","ISSN":"1528-1167 (Electronic)","PMID":"23944234","abstract":"PURPOSE: Although precise identification of the seizure-onset zone is an essential element of presurgical evaluation, source localization of ictal electroencephalography (EEG) signals has received little attention. The aim of our study was to estimate the accuracy of source localization of rhythmic ictal EEG activity using a distributed source model. METHODS: Source localization of rhythmic ictal scalp EEG activity was performed in 42 consecutive cases fulfilling inclusion criteria. The study was designed according to recommendations for studies on diagnostic accuracy (STARD). The initial ictal EEG signals were selected using a standardized method, based on frequency analysis and voltage distribution of the ictal activity. A distributed source model-local autoregressive average (LAURA)-was used for the source localization. Sensitivity, specificity, and measurement of agreement (kappa) were determined based on the reference standard-the consensus conclusion of the multidisciplinary epilepsy surgery team. Predictive values were calculated from the surgical outcome of the operated patients. To estimate the clinical value of the ictal source analysis, we compared the likelihood ratios of concordant and discordant results. Source localization was performed blinded to the clinical data, and before the surgical decision. KEY FINDINGS: Reference standard was available for 33 patients. The ictal source localization had a sensitivity of 70% and a specificity of 76%. The mean measurement of agreement (kappa) was 0.61, corresponding to substantial agreement (95% confidence interval (CI) 0.38-0.84). Twenty patients underwent resective surgery. The positive predictive value (PPV) for seizure freedom was 92% and the negative predictive value (NPV) was 43%. The likelihood ratio was nine times higher for the concordant results, as compared with the discordant ones. SIGNIFICANCE: Source localization of rhythmic ictal activity using a distributed source model (LAURA) for the ictal EEG signals selected with a standardized method is feasible in clinical practice and has a good diagnostic accuracy. Our findings encourage clinical neurophysiologists assessing ictal EEGs to include this method in their armamentarium.","author":[{"dropping-particle":"","family":"Beniczky","given":"Sandor","non-dropping-particle":"","parse-names":false,"suffix":""},{"dropping-particle":"","family":"Lantz","given":"Goran","non-dropping-particle":"","parse-names":false,"suffix":""},{"dropping-particle":"","family":"Rosenzweig","given":"Ivana","non-dropping-particle":"","parse-names":false,"suffix":""},{"dropping-particle":"","family":"Akeson","given":"Per","non-dropping-particle":"","parse-names":false,"suffix":""},{"dropping-particle":"","family":"Pedersen","given":"Birthe","non-dropping-particle":"","parse-names":false,"suffix":""},{"dropping-particle":"","family":"Pinborg","given":"Lars H","non-dropping-particle":"","parse-names":false,"suffix":""},{"dropping-particle":"","family":"Ziebell","given":"Morten","non-dropping-particle":"","parse-names":false,"suffix":""},{"dropping-particle":"","family":"Jespersen","given":"Bo","non-dropping-particle":"","parse-names":false,"suffix":""},{"dropping-particle":"","family":"Fuglsang-Frederiksen","given":"Anders","non-dropping-particle":"","parse-names":false,"suffix":""}],"container-title":"Epilepsia","id":"ITEM-2","issue":"10","issued":{"date-parts":[["2013","10"]]},"language":"eng","page":"1743-1752","publisher-place":"United States","title":"Source localization of rhythmic ictal EEG activity: a study of diagnostic accuracy following STARD criteria.","type":"article-journal","volume":"54"},"uris":["http://www.mendeley.com/documents/?uuid=b9fc34a0-672f-4026-8eac-3ef4099db2bf"]},{"id":"ITEM-3","itemData":{"DOI":"10.1016/j.clinph.2018.03.020","ISSN":"1872-8952 (Electronic)","PMID":"29680731","abstract":"OBJECTIVE: To test the diagnostic accuracy of a new automatic algorithm for ictal onset source localization (IOSL) during routine presurgical epilepsy evaluation following STARD (Standards for Reporting of Diagnostic Accuracy) criteria. METHODS: We included 28 consecutive patients with refractory focal epilepsy (25 patients with temporal lobe epilepsy (TLE) and 3 with extratemporal epilepsy) who underwent resective epilepsy surgery. Ictal EEG patterns were analyzed with a novel automatic IOSL algorithm. IOSL source localizations on a sublobar level were validated by comparison with actual resection sites and seizure free outcome 2years after surgery. RESULTS: Sensitivity of IOSL was 92.3% (TLE: 92.3%); specificity 60% (TLE: 50%); positive predictive value 66.7% (TLE: 66.7%); and negative predictive value 90% (TLE: 85.7%). The likelihood ratio was more than ten times higher for concordant IOSL results as compared to discordant results (p=0.013). CONCLUSIONS: We demonstrated the clinical feasibility of our IOSL approach yielding reasonable high performance measures on a sublobar level. SIGNIFICANCE: Our IOSL method may contribute to a correct localization of the seizure onset zone in temporal lobe epilepsy and can readily be used in standard epilepsy monitoring settings. Further studies are needed for validation in extratemporal epilepsy.","author":[{"dropping-particle":"","family":"Koren","given":"Johannes","non-dropping-particle":"","parse-names":false,"suffix":""},{"dropping-particle":"","family":"Gritsch","given":"Gerhard","non-dropping-particle":"","parse-names":false,"suffix":""},{"dropping-particle":"","family":"Pirker","given":"Susanne","non-dropping-particle":"","parse-names":false,"suffix":""},{"dropping-particle":"","family":"Herta","given":"Johannes","non-dropping-particle":"","parse-names":false,"suffix":""},{"dropping-particle":"","family":"Perko","given":"Hannes","non-dropping-particle":"","parse-names":false,"suffix":""},{"dropping-particle":"","family":"Kluge","given":"Tilmann","non-dropping-particle":"","parse-names":false,"suffix":""},{"dropping-particle":"","family":"Baumgartner","given":"Christoph","non-dropping-particle":"","parse-names":false,"suffix":""}],"container-title":"Clinical neurophysiology : official journal of the International Federation of Clinical Neurophysiology","id":"ITEM-3","issue":"6","issued":{"date-parts":[["2018","6"]]},"language":"eng","page":"1291-1299","publisher-place":"Netherlands","title":"Automatic ictal onset source localization in presurgical epilepsy evaluation.","type":"article-journal","volume":"129"},"uris":["http://www.mendeley.com/documents/?uuid=81578706-1ed6-45b3-ab5e-abfa03e17db2"]}],"mendeley":{"formattedCitation":"[11,40,59]","plainTextFormattedCitation":"[11,40,59]","previouslyFormattedCitation":"[11,40,58]"},"properties":{"noteIndex":0},"schema":"https://github.com/citation-style-language/schema/raw/master/csl-citation.json"}</w:instrText>
      </w:r>
      <w:r w:rsidRPr="00F0434A">
        <w:rPr>
          <w:rFonts w:asciiTheme="minorHAnsi" w:hAnsiTheme="minorHAnsi" w:cstheme="minorHAnsi"/>
          <w:color w:val="auto"/>
          <w:lang w:val="en-US"/>
        </w:rPr>
        <w:fldChar w:fldCharType="separate"/>
      </w:r>
      <w:r w:rsidRPr="00F0434A">
        <w:rPr>
          <w:rFonts w:asciiTheme="minorHAnsi" w:hAnsiTheme="minorHAnsi" w:cstheme="minorHAnsi"/>
          <w:noProof/>
          <w:color w:val="auto"/>
          <w:lang w:val="en-US"/>
        </w:rPr>
        <w:t>[11,40,59]</w:t>
      </w:r>
      <w:r w:rsidRPr="00F0434A">
        <w:rPr>
          <w:rFonts w:asciiTheme="minorHAnsi" w:hAnsiTheme="minorHAnsi" w:cstheme="minorHAnsi"/>
          <w:color w:val="auto"/>
          <w:lang w:val="en-US"/>
        </w:rPr>
        <w:fldChar w:fldCharType="end"/>
      </w:r>
      <w:r w:rsidRPr="00F0434A">
        <w:rPr>
          <w:rFonts w:asciiTheme="minorHAnsi" w:hAnsiTheme="minorHAnsi" w:cstheme="minorHAnsi"/>
          <w:color w:val="auto"/>
          <w:lang w:val="en-US"/>
        </w:rPr>
        <w:t xml:space="preserve">, which applied a spectral analysis approach. Using such algorithms, a dominant ictal rhythm is needed to allow consistent recognition of the target waveform. Thus, a number of seizures not characterized by rhythmical EEG activity (found in 10 out of the 36 eligible patients) could not be included in the analysis. Our data support the previous findings of Foldvary et al. that up to 41% of seizures in ETLE may present with challenging non-rhythmical/obscured patterns </w:t>
      </w:r>
      <w:r w:rsidRPr="00F0434A">
        <w:rPr>
          <w:rFonts w:asciiTheme="minorHAnsi" w:hAnsiTheme="minorHAnsi" w:cstheme="minorHAnsi"/>
          <w:color w:val="auto"/>
          <w:lang w:val="en-US"/>
        </w:rPr>
        <w:fldChar w:fldCharType="begin" w:fldLock="1"/>
      </w:r>
      <w:r w:rsidRPr="00F0434A">
        <w:rPr>
          <w:rFonts w:asciiTheme="minorHAnsi" w:hAnsiTheme="minorHAnsi" w:cstheme="minorHAnsi"/>
          <w:color w:val="auto"/>
          <w:lang w:val="en-US"/>
        </w:rPr>
        <w:instrText>ADDIN CSL_CITATION {"citationItems":[{"id":"ITEM-1","itemData":{"ISSN":"0028-3878 (Print)","PMID":"11739820","abstract":"OBJECTIVE: To investigate the lateralization and localization of ictal EEG in focal epilepsy. METHODS: A total of 486 ictal EEG of 72 patients with focal epilepsy arising from the mesial temporal, neocortical temporal, mesial frontal, dorsolateral frontal, parietal, and occipital regions were analyzed. RESULTS: Surface ictal EEG was adequately localized in 72% of cases, more often in temporal than extratemporal epilepsy. Localized ictal onsets were seen in 57% of seizures and were most common in mesial temporal lobe epilepsy (MTLE), lateral frontal lobe epilepsy (LFLE), and parietal lobe epilepsy, whereas lateralized onsets predominated in neocortical temporal lobe epilepsy and generalized onsets in mesial frontal lobe epilepsy (MFLE) and occipital lobe epilepsy. Approximately two-thirds of seizures were localized, 22% generalized, 4% lateralized, and 6% mislocalized/lateralized. False localization/lateralization occurred in 28% of occipital and 16% of parietal seizures. Rhythmic temporal theta at ictal onset was seen exclusively in temporal lobe seizures, whereas localized repetitive epileptiform activity was highly predictive of LFLE. Seizures arising from the lateral convexity and mesial regions were differentiated by a high incidence of repetitive epileptiform activity at ictal onset in the former and rhythmic theta activity in the latter. CONCLUSIONS: With the exception of mesial frontal lobe epilepsy, ictal recordings are very useful in the localization/lateralization of focal seizures. Some patterns are highly accurate in localizing the epileptogenic lobe. One limitation of ictal EEG is the potential for false localization/lateralization in occipital and parietal lobe epilepsies.","author":[{"dropping-particle":"","family":"Foldvary","given":"N","non-dropping-particle":"","parse-names":false,"suffix":""},{"dropping-particle":"","family":"Klem","given":"G","non-dropping-particle":"","parse-names":false,"suffix":""},{"dropping-particle":"","family":"Hammel","given":"J","non-dropping-particle":"","parse-names":false,"suffix":""},{"dropping-particle":"","family":"Bingaman","given":"W","non-dropping-particle":"","parse-names":false,"suffix":""},{"dropping-particle":"","family":"Najm","given":"I","non-dropping-particle":"","parse-names":false,"suffix":""},{"dropping-particle":"","family":"Luders","given":"H","non-dropping-particle":"","parse-names":false,"suffix":""}],"container-title":"Neurology","id":"ITEM-1","issue":"11","issued":{"date-parts":[["2001","12"]]},"language":"eng","page":"2022-2028","publisher-place":"United States","title":"The localizing value of ictal EEG in focal epilepsy.","type":"article-journal","volume":"57"},"uris":["http://www.mendeley.com/documents/?uuid=09ba1e2a-c7ca-4994-bdbc-d668c94b5cd3"]}],"mendeley":{"formattedCitation":"[7]","plainTextFormattedCitation":"[7]","previouslyFormattedCitation":"[7]"},"properties":{"noteIndex":0},"schema":"https://github.com/citation-style-language/schema/raw/master/csl-citation.json"}</w:instrText>
      </w:r>
      <w:r w:rsidRPr="00F0434A">
        <w:rPr>
          <w:rFonts w:asciiTheme="minorHAnsi" w:hAnsiTheme="minorHAnsi" w:cstheme="minorHAnsi"/>
          <w:color w:val="auto"/>
          <w:lang w:val="en-US"/>
        </w:rPr>
        <w:fldChar w:fldCharType="separate"/>
      </w:r>
      <w:r w:rsidRPr="00F0434A">
        <w:rPr>
          <w:rFonts w:asciiTheme="minorHAnsi" w:hAnsiTheme="minorHAnsi" w:cstheme="minorHAnsi"/>
          <w:noProof/>
          <w:color w:val="auto"/>
          <w:lang w:val="en-US"/>
        </w:rPr>
        <w:t>[7]</w:t>
      </w:r>
      <w:r w:rsidRPr="00F0434A">
        <w:rPr>
          <w:rFonts w:asciiTheme="minorHAnsi" w:hAnsiTheme="minorHAnsi" w:cstheme="minorHAnsi"/>
          <w:color w:val="auto"/>
          <w:lang w:val="en-US"/>
        </w:rPr>
        <w:fldChar w:fldCharType="end"/>
      </w:r>
      <w:r w:rsidRPr="00F0434A">
        <w:rPr>
          <w:rFonts w:asciiTheme="minorHAnsi" w:hAnsiTheme="minorHAnsi" w:cstheme="minorHAnsi"/>
          <w:color w:val="auto"/>
          <w:lang w:val="en-US"/>
        </w:rPr>
        <w:t xml:space="preserve">. Unfortunately, the current methodology could not be used for analyzing non-rhythmical EEG patterns, which marks a shortcoming of our study.  Further studies are needed to: i) develop algorithms for objective parameter selection in absence of dominant ictal rhythmic waveforms; ii) elucidate the potential yield of FC in non-rhythmical EEG patterns in ETLE. We stress the fact that Granger causality-based connectivity does not require spikes as units of source reconstruction, potentially making it a suitable approach to study non-rhythmical patterns (e.g. analyzing the temporal precedence in electrodecremental responses). </w:t>
      </w:r>
    </w:p>
    <w:p w:rsidR="00F0434A" w:rsidRPr="00F0434A" w:rsidRDefault="00F0434A" w:rsidP="00F0434A">
      <w:pPr>
        <w:spacing w:line="360" w:lineRule="auto"/>
        <w:ind w:firstLine="708"/>
        <w:jc w:val="both"/>
        <w:rPr>
          <w:rFonts w:asciiTheme="minorHAnsi" w:hAnsiTheme="minorHAnsi" w:cstheme="minorHAnsi"/>
          <w:color w:val="auto"/>
          <w:lang w:val="en-US"/>
        </w:rPr>
      </w:pPr>
      <w:r w:rsidRPr="00F0434A">
        <w:rPr>
          <w:rFonts w:asciiTheme="minorHAnsi" w:hAnsiTheme="minorHAnsi" w:cstheme="minorHAnsi"/>
          <w:color w:val="auto"/>
          <w:lang w:val="en-US"/>
        </w:rPr>
        <w:t xml:space="preserve">We validated our ESI+FC method using the RZ as reference standard, </w:t>
      </w:r>
      <w:r w:rsidRPr="00F0434A">
        <w:rPr>
          <w:rFonts w:asciiTheme="minorHAnsi" w:hAnsiTheme="minorHAnsi" w:cstheme="minorHAnsi"/>
          <w:color w:val="auto"/>
          <w:lang w:val="en-GB"/>
        </w:rPr>
        <w:t>and considering seizure freedom after surgery as proof of correct localization of the EZ</w:t>
      </w:r>
      <w:r w:rsidRPr="00F0434A">
        <w:rPr>
          <w:rFonts w:asciiTheme="minorHAnsi" w:hAnsiTheme="minorHAnsi" w:cstheme="minorHAnsi"/>
          <w:color w:val="auto"/>
          <w:lang w:val="en-US"/>
        </w:rPr>
        <w:t xml:space="preserve">. This approach is regarded as a reliable approximation of the </w:t>
      </w:r>
      <w:r w:rsidRPr="00F0434A">
        <w:rPr>
          <w:rFonts w:asciiTheme="minorHAnsi" w:hAnsiTheme="minorHAnsi" w:cstheme="minorHAnsi"/>
          <w:i/>
          <w:color w:val="auto"/>
          <w:lang w:val="en-US"/>
        </w:rPr>
        <w:t>ground truth</w:t>
      </w:r>
      <w:r w:rsidRPr="00F0434A">
        <w:rPr>
          <w:rFonts w:asciiTheme="minorHAnsi" w:hAnsiTheme="minorHAnsi" w:cstheme="minorHAnsi"/>
          <w:color w:val="auto"/>
          <w:lang w:val="en-US"/>
        </w:rPr>
        <w:t xml:space="preserve"> of EZ localization </w:t>
      </w:r>
      <w:r w:rsidRPr="00F0434A">
        <w:rPr>
          <w:rFonts w:asciiTheme="minorHAnsi" w:hAnsiTheme="minorHAnsi" w:cstheme="minorHAnsi"/>
          <w:color w:val="auto"/>
          <w:lang w:val="en-US"/>
        </w:rPr>
        <w:fldChar w:fldCharType="begin" w:fldLock="1"/>
      </w:r>
      <w:r w:rsidRPr="00F0434A">
        <w:rPr>
          <w:rFonts w:asciiTheme="minorHAnsi" w:hAnsiTheme="minorHAnsi" w:cstheme="minorHAnsi"/>
          <w:color w:val="auto"/>
          <w:lang w:val="en-US"/>
        </w:rPr>
        <w:instrText>ADDIN CSL_CITATION {"citationItems":[{"id":"ITEM-1","itemData":{"DOI":"10.1093/brain/awr243","ISSN":"1460-2156 (Electronic)","PMID":"21975586","abstract":"Electroencephalography is mandatory to determine the epilepsy syndrome. However,  for the precise localization of the irritative zone in patients with focal epilepsy, costly and sometimes cumbersome imaging techniques are used. Recent small studies using electric source imaging suggest that electroencephalography itself could be used to localize the focus. However, a large prospective validation study is missing. This study presents a cohort of 152 operated patients where electric source imaging was applied as part of the pre-surgical work-up allowing a comparison with the results from other methods. Patients (n = 152) with &gt;1 year postoperative follow-up were studied prospectively. The sensitivity and specificity of each imaging method was defined by comparing the localization of the source maximum with the resected zone and surgical outcome. Electric source imaging had a sensitivity of 84% and a specificity of 88% if the electroencephalogram was recorded with a large number of electrodes (128-256 channels) and the individual magnetic resonance image was used as head model. These values compared favourably with those of structural magnetic resonance imaging (76% sensitivity, 53% specificity), positron emission tomography (69% sensitivity, 44% specificity) and ictal/interictal single-photon emission-computed tomography (58% sensitivity, 47% specificity). The sensitivity and specificity of electric source imaging decreased to 57% and 59%, respectively, with low number of electrodes (&lt;32 channels) and a template head model. This study demonstrated the validity and clinical utility of electric source imaging in a large prospective study. Given the low cost and high flexibility of electroencephalographic systems even with high channel counts, we conclude that electric source imaging is a highly valuable tool in pre-surgical epilepsy evaluation.","author":[{"dropping-particle":"","family":"Brodbeck","given":"Verena","non-dropping-particle":"","parse-names":false,"suffix":""},{"dropping-particle":"","family":"Spinelli","given":"Laurent","non-dropping-particle":"","parse-names":false,"suffix":""},{"dropping-particle":"","family":"Lascano","given":"Agustina M","non-dropping-particle":"","parse-names":false,"suffix":""},{"dropping-particle":"","family":"Wissmeier","given":"Michael","non-dropping-particle":"","parse-names":false,"suffix":""},{"dropping-particle":"","family":"Vargas","given":"Maria-Isabel","non-dropping-particle":"","parse-names":false,"suffix":""},{"dropping-particle":"","family":"Vulliemoz","given":"Serge","non-dropping-particle":"","parse-names":false,"suffix":""},{"dropping-particle":"","family":"Pollo","given":"Claudio","non-dropping-particle":"","parse-names":false,"suffix":""},{"dropping-particle":"","family":"Schaller","given":"Karl","non-dropping-particle":"","parse-names":false,"suffix":""},{"dropping-particle":"","family":"Michel","given":"Christoph M","non-dropping-particle":"","parse-names":false,"suffix":""},{"dropping-particle":"","family":"Seeck","given":"Margitta","non-dropping-particle":"","parse-names":false,"suffix":""}],"container-title":"Brain : a journal of neurology","id":"ITEM-1","issue":"Pt 10","issued":{"date-parts":[["2011","10"]]},"language":"eng","page":"2887-2897","publisher-place":"England","title":"Electroencephalographic source imaging: a prospective study of 152 operated epileptic patients.","type":"article-journal","volume":"134"},"uris":["http://www.mendeley.com/documents/?uuid=0b7e3ff3-cb6e-468d-b0b1-5f20f31a6c23"]}],"mendeley":{"formattedCitation":"[9]","plainTextFormattedCitation":"[9]","previouslyFormattedCitation":"[9]"},"properties":{"noteIndex":0},"schema":"https://github.com/citation-style-language/schema/raw/master/csl-citation.json"}</w:instrText>
      </w:r>
      <w:r w:rsidRPr="00F0434A">
        <w:rPr>
          <w:rFonts w:asciiTheme="minorHAnsi" w:hAnsiTheme="minorHAnsi" w:cstheme="minorHAnsi"/>
          <w:color w:val="auto"/>
          <w:lang w:val="en-US"/>
        </w:rPr>
        <w:fldChar w:fldCharType="separate"/>
      </w:r>
      <w:r w:rsidRPr="00F0434A">
        <w:rPr>
          <w:rFonts w:asciiTheme="minorHAnsi" w:hAnsiTheme="minorHAnsi" w:cstheme="minorHAnsi"/>
          <w:noProof/>
          <w:color w:val="auto"/>
          <w:lang w:val="en-US"/>
        </w:rPr>
        <w:t>[9]</w:t>
      </w:r>
      <w:r w:rsidRPr="00F0434A">
        <w:rPr>
          <w:rFonts w:asciiTheme="minorHAnsi" w:hAnsiTheme="minorHAnsi" w:cstheme="minorHAnsi"/>
          <w:color w:val="auto"/>
          <w:lang w:val="en-US"/>
        </w:rPr>
        <w:fldChar w:fldCharType="end"/>
      </w:r>
      <w:r w:rsidRPr="00F0434A">
        <w:rPr>
          <w:rFonts w:asciiTheme="minorHAnsi" w:hAnsiTheme="minorHAnsi" w:cstheme="minorHAnsi"/>
          <w:color w:val="auto"/>
          <w:lang w:val="en-US"/>
        </w:rPr>
        <w:t xml:space="preserve">. However, the resected/disconnected zone after epilepsy surgery is generally larger than the veritable epileptogenic focus </w:t>
      </w:r>
      <w:r w:rsidRPr="00F0434A">
        <w:rPr>
          <w:rFonts w:asciiTheme="minorHAnsi" w:hAnsiTheme="minorHAnsi" w:cstheme="minorHAnsi"/>
          <w:color w:val="auto"/>
          <w:lang w:val="en-US"/>
        </w:rPr>
        <w:fldChar w:fldCharType="begin" w:fldLock="1"/>
      </w:r>
      <w:r w:rsidRPr="00F0434A">
        <w:rPr>
          <w:rFonts w:asciiTheme="minorHAnsi" w:hAnsiTheme="minorHAnsi" w:cstheme="minorHAnsi"/>
          <w:color w:val="auto"/>
          <w:lang w:val="en-US"/>
        </w:rPr>
        <w:instrText>ADDIN CSL_CITATION {"citationItems":[{"id":"ITEM-1","itemData":{"DOI":"10.1093/brain/124.9.1683","ISSN":"0006-8950 (Print)","PMID":"11522572","abstract":"An overview of the following six cortical zones that have been defined in the presurgical evaluation of candidates for epilepsy surgery is given: the symptomatogenic zone; the irritative zone; the seizure onset zone; the epileptogenic lesion; the epileptogenic zone; and the eloquent cortex. The stepwise historical evolution of these different zones is described. The current diagnostic techniques used in the definition of these cortical zones, such as video-EEG monitoring, MRI and ictal single photon emission computed tomography, are discussed. Established diagnostic tests are set apart from procedures that should still be regarded as experimental, such as magnetoencephalography, dipole source localization and spike-triggered functional MRI. Possible future developments that might lead to a more direct definition of the epileptogenic zone are presented.","author":[{"dropping-particle":"","family":"Rosenow","given":"F","non-dropping-particle":"","parse-names":false,"suffix":""},{"dropping-particle":"","family":"Luders","given":"H","non-dropping-particle":"","parse-names":false,"suffix":""}],"container-title":"Brain : a journal of neurology","id":"ITEM-1","issue":"Pt 9","issued":{"date-parts":[["2001","9"]]},"language":"eng","page":"1683-1700","publisher-place":"England","title":"Presurgical evaluation of epilepsy.","type":"article-journal","volume":"124"},"uris":["http://www.mendeley.com/documents/?uuid=004cdab7-58c5-4027-8d06-95776ff34d8c"]}],"mendeley":{"formattedCitation":"[6]","plainTextFormattedCitation":"[6]","previouslyFormattedCitation":"[6]"},"properties":{"noteIndex":0},"schema":"https://github.com/citation-style-language/schema/raw/master/csl-citation.json"}</w:instrText>
      </w:r>
      <w:r w:rsidRPr="00F0434A">
        <w:rPr>
          <w:rFonts w:asciiTheme="minorHAnsi" w:hAnsiTheme="minorHAnsi" w:cstheme="minorHAnsi"/>
          <w:color w:val="auto"/>
          <w:lang w:val="en-US"/>
        </w:rPr>
        <w:fldChar w:fldCharType="separate"/>
      </w:r>
      <w:r w:rsidRPr="00F0434A">
        <w:rPr>
          <w:rFonts w:asciiTheme="minorHAnsi" w:hAnsiTheme="minorHAnsi" w:cstheme="minorHAnsi"/>
          <w:noProof/>
          <w:color w:val="auto"/>
          <w:lang w:val="en-US"/>
        </w:rPr>
        <w:t>[6]</w:t>
      </w:r>
      <w:r w:rsidRPr="00F0434A">
        <w:rPr>
          <w:rFonts w:asciiTheme="minorHAnsi" w:hAnsiTheme="minorHAnsi" w:cstheme="minorHAnsi"/>
          <w:color w:val="auto"/>
          <w:lang w:val="en-US"/>
        </w:rPr>
        <w:fldChar w:fldCharType="end"/>
      </w:r>
      <w:r w:rsidRPr="00F0434A">
        <w:rPr>
          <w:rFonts w:asciiTheme="minorHAnsi" w:hAnsiTheme="minorHAnsi" w:cstheme="minorHAnsi"/>
          <w:color w:val="auto"/>
          <w:lang w:val="en-US"/>
        </w:rPr>
        <w:t>, and this could have influenced our accuracy results. Besides, S</w:t>
      </w:r>
      <w:r w:rsidRPr="00F0434A">
        <w:rPr>
          <w:rFonts w:asciiTheme="minorHAnsi" w:hAnsiTheme="minorHAnsi" w:cstheme="minorHAnsi"/>
          <w:color w:val="auto"/>
          <w:vertAlign w:val="subscript"/>
          <w:lang w:val="en-US"/>
        </w:rPr>
        <w:t>POW</w:t>
      </w:r>
      <w:r w:rsidRPr="00F0434A">
        <w:rPr>
          <w:rFonts w:asciiTheme="minorHAnsi" w:hAnsiTheme="minorHAnsi" w:cstheme="minorHAnsi"/>
          <w:color w:val="auto"/>
          <w:lang w:val="en-US"/>
        </w:rPr>
        <w:t xml:space="preserve"> and S</w:t>
      </w:r>
      <w:r w:rsidRPr="00F0434A">
        <w:rPr>
          <w:rFonts w:asciiTheme="minorHAnsi" w:hAnsiTheme="minorHAnsi" w:cstheme="minorHAnsi"/>
          <w:color w:val="auto"/>
          <w:vertAlign w:val="subscript"/>
          <w:lang w:val="en-US"/>
        </w:rPr>
        <w:t xml:space="preserve">CONN </w:t>
      </w:r>
      <w:r w:rsidRPr="00F0434A">
        <w:rPr>
          <w:rFonts w:asciiTheme="minorHAnsi" w:hAnsiTheme="minorHAnsi" w:cstheme="minorHAnsi"/>
          <w:color w:val="auto"/>
          <w:lang w:val="en-US"/>
        </w:rPr>
        <w:t>consisted of one grid point with a 3 mm diameter. This allows a straightforward determination of the estimated SOZ location, but does not allow appreciating its spatial extent. It is certainly out of the scope of the study to propose LD ESI+FC as indication of the boundaries of the SOZ.  However, a possible evolution of our methodology could include a spatial extent calculation, based on the out-degree of neighboring sources. Consequently, we did not base accuracy measures on whether S</w:t>
      </w:r>
      <w:r w:rsidRPr="00F0434A">
        <w:rPr>
          <w:rFonts w:asciiTheme="minorHAnsi" w:hAnsiTheme="minorHAnsi" w:cstheme="minorHAnsi"/>
          <w:color w:val="auto"/>
          <w:vertAlign w:val="subscript"/>
          <w:lang w:val="en-US"/>
        </w:rPr>
        <w:t>POW</w:t>
      </w:r>
      <w:r w:rsidRPr="00F0434A">
        <w:rPr>
          <w:rFonts w:asciiTheme="minorHAnsi" w:hAnsiTheme="minorHAnsi" w:cstheme="minorHAnsi"/>
          <w:color w:val="auto"/>
          <w:lang w:val="en-US"/>
        </w:rPr>
        <w:t xml:space="preserve"> and S</w:t>
      </w:r>
      <w:r w:rsidRPr="00F0434A">
        <w:rPr>
          <w:rFonts w:asciiTheme="minorHAnsi" w:hAnsiTheme="minorHAnsi" w:cstheme="minorHAnsi"/>
          <w:color w:val="auto"/>
          <w:vertAlign w:val="subscript"/>
          <w:lang w:val="en-US"/>
        </w:rPr>
        <w:t>CONN</w:t>
      </w:r>
      <w:r w:rsidRPr="00F0434A">
        <w:rPr>
          <w:rFonts w:asciiTheme="minorHAnsi" w:hAnsiTheme="minorHAnsi" w:cstheme="minorHAnsi"/>
          <w:color w:val="auto"/>
          <w:lang w:val="en-US"/>
        </w:rPr>
        <w:t xml:space="preserve"> were exactly located inside or outside the RZ, but on sublobar concordance. In the work of Staljanssens et al. distances were calculated from </w:t>
      </w:r>
      <w:r w:rsidRPr="00F0434A">
        <w:rPr>
          <w:rFonts w:asciiTheme="minorHAnsi" w:hAnsiTheme="minorHAnsi" w:cstheme="minorHAnsi"/>
          <w:color w:val="auto"/>
          <w:lang w:val="en-US"/>
        </w:rPr>
        <w:lastRenderedPageBreak/>
        <w:t xml:space="preserve">the border of RZ to the estimated SOZ. Although the exact distance approach is scientifically rigorous, one should consider that important sulci or lobe distinctions (e.g. temporal pole vs. orbitofrontal area) might lie within small distances (5-10 mm). We opted for sublobar concordance, a clinical-based approach allowing a reasonable spatial approximation, which proved to be useful in the context of a phase-I presurgical evaluation </w:t>
      </w:r>
      <w:r w:rsidRPr="00F0434A">
        <w:rPr>
          <w:rFonts w:asciiTheme="minorHAnsi" w:hAnsiTheme="minorHAnsi" w:cstheme="minorHAnsi"/>
          <w:color w:val="auto"/>
          <w:lang w:val="en-US"/>
        </w:rPr>
        <w:fldChar w:fldCharType="begin" w:fldLock="1"/>
      </w:r>
      <w:r w:rsidRPr="00F0434A">
        <w:rPr>
          <w:rFonts w:asciiTheme="minorHAnsi" w:hAnsiTheme="minorHAnsi" w:cstheme="minorHAnsi"/>
          <w:color w:val="auto"/>
          <w:lang w:val="en-US"/>
        </w:rPr>
        <w:instrText>ADDIN CSL_CITATION {"citationItems":[{"id":"ITEM-1","itemData":{"DOI":"10.1212/WNL.0000000000006877","ISSN":"1526-632X (Electronic)","PMID":"30610090","abstract":"OBJECTIVE: To determine the diagnostic accuracy and clinical utility of electromagnetic source imaging (EMSI) in presurgical evaluation of patients with epilepsy. METHODS: We prospectively recorded magnetoencephalography (MEG) simultaneously with EEG and performed EMSI, comprising electric source imaging, magnetic source imaging, and analysis of combined MEG-EEG datasets, using 2 different software packages. As reference standard for irritative zone (IZ) and seizure onset zone (SOZ), we used intracranial recordings and for localization accuracy, outcome 1 year after operation. RESULTS: We included 141 consecutive patients. EMSI showed localized epileptiform discharges in 94 patients (67%). Most of the epileptiform discharge clusters (72%) were identified by both modalities, 15% only by EEG, and 14% only by MEG. Agreement was substantial between inverse solutions and moderate between software packages. EMSI provided new information that changed the management plan in 34% of the patients, and these changes were useful in 80%. Depending on the method, EMSI had a concordance of 53% to 89% with IZ and 35% to 73% with SOZ. Localization accuracy of EMSI was between 44% and 57%, which was not significantly different from MRI (49%-76%) and PET (54%-85%). Combined EMSI achieved significantly higher odds ratio compared to electric source imaging and magnetic source imaging. CONCLUSION: EMSI has accuracy similar to established imaging methods and provides clinically useful, new information in 34% of the patients. CLASSIFICATION OF EVIDENCE: This study provides Class IV evidence that EMSI had a concordance of 53%-89% and 35%-73% (depending on analysis) for the localization of epileptic focus as compared with intracranial recordings-IZ and SOZ, respectively.","author":[{"dropping-particle":"","family":"Duez","given":"Lene","non-dropping-particle":"","parse-names":false,"suffix":""},{"dropping-particle":"","family":"Tankisi","given":"Hatice","non-dropping-particle":"","parse-names":false,"suffix":""},{"dropping-particle":"","family":"Hansen","given":"Peter Orm","non-dropping-particle":"","parse-names":false,"suffix":""},{"dropping-particle":"","family":"Sidenius","given":"Per","non-dropping-particle":"","parse-names":false,"suffix":""},{"dropping-particle":"","family":"Sabers","given":"Anne","non-dropping-particle":"","parse-names":false,"suffix":""},{"dropping-particle":"","family":"Pinborg","given":"Lars H","non-dropping-particle":"","parse-names":false,"suffix":""},{"dropping-particle":"","family":"Fabricius","given":"Martin","non-dropping-particle":"","parse-names":false,"suffix":""},{"dropping-particle":"","family":"Rasonyi","given":"Gyorgy","non-dropping-particle":"","parse-names":false,"suffix":""},{"dropping-particle":"","family":"Rubboli","given":"Guido","non-dropping-particle":"","parse-names":false,"suffix":""},{"dropping-particle":"","family":"Pedersen","given":"Birthe","non-dropping-particle":"","parse-names":false,"suffix":""},{"dropping-particle":"","family":"Leffers","given":"Anne-Mette","non-dropping-particle":"","parse-names":false,"suffix":""},{"dropping-particle":"","family":"Uldall","given":"Peter","non-dropping-particle":"","parse-names":false,"suffix":""},{"dropping-particle":"","family":"Jespersen","given":"Bo","non-dropping-particle":"","parse-names":false,"suffix":""},{"dropping-particle":"","family":"Brennum","given":"Jannick","non-dropping-particle":"","parse-names":false,"suffix":""},{"dropping-particle":"","family":"Henriksen","given":"Otto Molby","non-dropping-particle":"","parse-names":false,"suffix":""},{"dropping-particle":"","family":"Fuglsang-Frederiksen","given":"Anders","non-dropping-particle":"","parse-names":false,"suffix":""},{"dropping-particle":"","family":"Beniczky","given":"Sandor","non-dropping-particle":"","parse-names":false,"suffix":""}],"container-title":"Neurology","id":"ITEM-1","issue":"6","issued":{"date-parts":[["2019","2"]]},"language":"eng","page":"e576-e586","publisher-place":"United States","title":"Electromagnetic source imaging in presurgical workup of patients with epilepsy: A prospective study.","type":"article-journal","volume":"92"},"uris":["http://www.mendeley.com/documents/?uuid=e7771d42-15f6-492a-9e2c-5a7cdf4aff08"]},{"id":"ITEM-2","itemData":{"DOI":"10.1016/j.clinph.2019.07.031","ISSN":"1872-8952 (Electronic)","PMID":"31466846","abstract":"OBJECTIVE: To investigate the diagnostic added value of electrical source imaging (ESI) in presurgical evaluation of patients with drug resistant focal epilepsy. METHODS: Eighty-two consecutive patients were included. We analyzed both low density (LD) and high density (HD) EEG recordings. LD ESI was done on interictal and ictal signals recorded during long-term video-EEG monitoring (LTM), with standard 25 electrodes and age-matched template head models. HD ESI was done on shorter recordings (90-120 min), with 256 electrodes, using individual head model. The multidisciplinary team made decisions first blinded to ESI (based on all other modalities) and then discussed the results of the ESI. We considered that ESI had diagnostic added value, when it provided non-redundant information that changed the patients management plan. RESULTS: ESI had diagnostic added value in 28 patients (34%). In most cases (85.7%), these changes were related to planning of the invasive recordings. In nine out of 13 patients, invasive recordings confirmed the localization. Out of eight patients in whom the ESI source was resected, six became seizure-free. CONCLUSIONS: ESI provides non-redundant information in one third of the patients undergoing presurgical evaluation. SIGNIFICANCE: This study provides evidence for the diagnostic added value of ESI in presurgical evaluation.","author":[{"dropping-particle":"","family":"Foged","given":"Mette Thrane","non-dropping-particle":"","parse-names":false,"suffix":""},{"dropping-particle":"","family":"Martens","given":"Terje","non-dropping-particle":"","parse-names":false,"suffix":""},{"dropping-particle":"","family":"Pinborg","given":"Lars H","non-dropping-particle":"","parse-names":false,"suffix":""},{"dropping-particle":"","family":"Hamrouni","given":"Nizar","non-dropping-particle":"","parse-names":false,"suffix":""},{"dropping-particle":"","family":"Litman","given":"Minna","non-dropping-particle":"","parse-names":false,"suffix":""},{"dropping-particle":"","family":"Rubboli","given":"Guido","non-dropping-particle":"","parse-names":false,"suffix":""},{"dropping-particle":"","family":"Leffers","given":"Anne-Mette","non-dropping-particle":"","parse-names":false,"suffix":""},{"dropping-particle":"","family":"Ryvlin","given":"Philippe","non-dropping-particle":"","parse-names":false,"suffix":""},{"dropping-particle":"","family":"Jespersen","given":"Bo","non-dropping-particle":"","parse-names":false,"suffix":""},{"dropping-particle":"","family":"Paulson","given":"Olaf B","non-dropping-particle":"","parse-names":false,"suffix":""},{"dropping-particle":"","family":"Fabricius","given":"Martin","non-dropping-particle":"","parse-names":false,"suffix":""},{"dropping-particle":"","family":"Beniczky","given":"Sandor","non-dropping-particle":"","parse-names":false,"suffix":""}],"container-title":"Clinical neurophysiology : official journal of the International Federation of Clinical Neurophysiology","id":"ITEM-2","issue":"1","issued":{"date-parts":[["2020","1"]]},"language":"eng","page":"324-329","publisher-place":"Netherlands","title":"Diagnostic added value of electrical source imaging in presurgical evaluation of  patients with epilepsy: A prospective study.","type":"article-journal","volume":"131"},"uris":["http://www.mendeley.com/documents/?uuid=48d2dc9c-cb00-4f9c-8430-dd2bb9c171f9"]}],"mendeley":{"formattedCitation":"[14,53]","plainTextFormattedCitation":"[14,53]","previouslyFormattedCitation":"[14,52]"},"properties":{"noteIndex":0},"schema":"https://github.com/citation-style-language/schema/raw/master/csl-citation.json"}</w:instrText>
      </w:r>
      <w:r w:rsidRPr="00F0434A">
        <w:rPr>
          <w:rFonts w:asciiTheme="minorHAnsi" w:hAnsiTheme="minorHAnsi" w:cstheme="minorHAnsi"/>
          <w:color w:val="auto"/>
          <w:lang w:val="en-US"/>
        </w:rPr>
        <w:fldChar w:fldCharType="separate"/>
      </w:r>
      <w:r w:rsidRPr="00F0434A">
        <w:rPr>
          <w:rFonts w:asciiTheme="minorHAnsi" w:hAnsiTheme="minorHAnsi" w:cstheme="minorHAnsi"/>
          <w:noProof/>
          <w:color w:val="auto"/>
          <w:lang w:val="en-US"/>
        </w:rPr>
        <w:t>[14,53]</w:t>
      </w:r>
      <w:r w:rsidRPr="00F0434A">
        <w:rPr>
          <w:rFonts w:asciiTheme="minorHAnsi" w:hAnsiTheme="minorHAnsi" w:cstheme="minorHAnsi"/>
          <w:color w:val="auto"/>
          <w:lang w:val="en-US"/>
        </w:rPr>
        <w:fldChar w:fldCharType="end"/>
      </w:r>
      <w:r w:rsidRPr="00F0434A">
        <w:rPr>
          <w:rFonts w:asciiTheme="minorHAnsi" w:hAnsiTheme="minorHAnsi" w:cstheme="minorHAnsi"/>
          <w:color w:val="auto"/>
          <w:lang w:val="en-US"/>
        </w:rPr>
        <w:t xml:space="preserve">. With this respect, another possible solution is to parcellate cortical sources in regions of interest at a sublobar level. Parcellation might lead to a more realistic correspondence between the resolution of the LD EEG and that of the final solution space, and to increase the accuracy of the connectivity estimation </w:t>
      </w:r>
      <w:r w:rsidRPr="00F0434A">
        <w:rPr>
          <w:rFonts w:asciiTheme="minorHAnsi" w:hAnsiTheme="minorHAnsi" w:cstheme="minorHAnsi"/>
          <w:color w:val="auto"/>
          <w:lang w:val="en-US"/>
        </w:rPr>
        <w:fldChar w:fldCharType="begin" w:fldLock="1"/>
      </w:r>
      <w:r w:rsidRPr="00F0434A">
        <w:rPr>
          <w:rFonts w:asciiTheme="minorHAnsi" w:hAnsiTheme="minorHAnsi" w:cstheme="minorHAnsi"/>
          <w:color w:val="auto"/>
          <w:lang w:val="en-US"/>
        </w:rPr>
        <w:instrText>ADDIN CSL_CITATION {"citationItems":[{"id":"ITEM-1","itemData":{"DOI":"10.1016/j.neuroimage.2017.09.009","ISSN":"1095-9572 (Electronic)","PMID":"28893608","abstract":"There is growing interest in the rich temporal and spectral properties of the functional connectome of the brain that are provided by Electro- and Magnetoencephalography (EEG/MEG). However, the problem of leakage between brain sources that arises when reconstructing brain activity from EEG/MEG recordings outside the head makes it difficult to distinguish true connections from spurious connections, even when connections are based on measures that ignore zero-lag dependencies. In particular, standard anatomical parcellations for potential cortical sources tend to over- or under-sample the real spatial resolution of EEG/MEG. By using information from cross-talk functions (CTFs) that objectively describe leakage for a given sensor configuration and distributed source reconstruction method, we introduce methods for optimising the number of parcels while simultaneously minimising the leakage between them. More specifically, we compare two image segmentation algorithms: 1) a split-and-merge (SaM) algorithm based on standard anatomical parcellations and 2) a region growing (RG) algorithm based on all the brain vertices with no prior parcellation. Interestingly, when applied to minimum-norm reconstructions for EEG/MEG configurations from real data, both algorithms yielded approximately 70 parcels despite their different starting points, suggesting that this reflects the resolution limit of this particular sensor configuration and reconstruction method. Importantly, when compared against standard anatomical parcellations, resolution matrices of adaptive parcellations showed notably higher sensitivity and distinguishability of parcels. Furthermore, extensive simulations of realistic networks revealed significant improvements in network reconstruction accuracies, particularly in reducing false leakage-induced connections. Adaptive parcellations therefore allow a more accurate reconstruction of functional EEG/MEG connectomes.","author":[{"dropping-particle":"","family":"Farahibozorg","given":"Seyedeh-Rezvan","non-dropping-particle":"","parse-names":false,"suffix":""},{"dropping-particle":"","family":"Henson","given":"Richard N","non-dropping-particle":"","parse-names":false,"suffix":""},{"dropping-particle":"","family":"Hauk","given":"Olaf","non-dropping-particle":"","parse-names":false,"suffix":""}],"container-title":"NeuroImage","id":"ITEM-1","issued":{"date-parts":[["2018","4"]]},"language":"eng","page":"23-45","publisher-place":"United States","title":"Adaptive cortical parcellations for source reconstructed EEG/MEG connectomes.","type":"article-journal","volume":"169"},"uris":["http://www.mendeley.com/documents/?uuid=ba5d52bf-a4d1-4a88-aae0-ad06f4dcf68f"]}],"mendeley":{"formattedCitation":"[60]","plainTextFormattedCitation":"[60]","previouslyFormattedCitation":"[59]"},"properties":{"noteIndex":0},"schema":"https://github.com/citation-style-language/schema/raw/master/csl-citation.json"}</w:instrText>
      </w:r>
      <w:r w:rsidRPr="00F0434A">
        <w:rPr>
          <w:rFonts w:asciiTheme="minorHAnsi" w:hAnsiTheme="minorHAnsi" w:cstheme="minorHAnsi"/>
          <w:color w:val="auto"/>
          <w:lang w:val="en-US"/>
        </w:rPr>
        <w:fldChar w:fldCharType="separate"/>
      </w:r>
      <w:r w:rsidRPr="00F0434A">
        <w:rPr>
          <w:rFonts w:asciiTheme="minorHAnsi" w:hAnsiTheme="minorHAnsi" w:cstheme="minorHAnsi"/>
          <w:noProof/>
          <w:color w:val="auto"/>
          <w:lang w:val="en-US"/>
        </w:rPr>
        <w:t>[60]</w:t>
      </w:r>
      <w:r w:rsidRPr="00F0434A">
        <w:rPr>
          <w:rFonts w:asciiTheme="minorHAnsi" w:hAnsiTheme="minorHAnsi" w:cstheme="minorHAnsi"/>
          <w:color w:val="auto"/>
          <w:lang w:val="en-US"/>
        </w:rPr>
        <w:fldChar w:fldCharType="end"/>
      </w:r>
      <w:r w:rsidRPr="00F0434A">
        <w:rPr>
          <w:rFonts w:asciiTheme="minorHAnsi" w:hAnsiTheme="minorHAnsi" w:cstheme="minorHAnsi"/>
          <w:color w:val="auto"/>
          <w:lang w:val="en-US"/>
        </w:rPr>
        <w:t>.</w:t>
      </w:r>
    </w:p>
    <w:p w:rsidR="00F0434A" w:rsidRPr="00F0434A" w:rsidRDefault="00F0434A" w:rsidP="00F0434A">
      <w:pPr>
        <w:spacing w:line="360" w:lineRule="auto"/>
        <w:jc w:val="both"/>
        <w:rPr>
          <w:rFonts w:asciiTheme="minorHAnsi" w:hAnsiTheme="minorHAnsi" w:cstheme="minorHAnsi"/>
          <w:color w:val="auto"/>
          <w:lang w:val="en-US"/>
        </w:rPr>
      </w:pPr>
    </w:p>
    <w:p w:rsidR="00F0434A" w:rsidRPr="00F0434A" w:rsidRDefault="00F0434A" w:rsidP="00F0434A">
      <w:pPr>
        <w:pStyle w:val="Paragraphedeliste"/>
        <w:numPr>
          <w:ilvl w:val="0"/>
          <w:numId w:val="31"/>
        </w:numPr>
        <w:spacing w:line="360" w:lineRule="auto"/>
        <w:jc w:val="both"/>
        <w:rPr>
          <w:rFonts w:asciiTheme="minorHAnsi" w:hAnsiTheme="minorHAnsi" w:cstheme="minorHAnsi"/>
          <w:b/>
          <w:color w:val="auto"/>
          <w:lang w:val="en-US"/>
        </w:rPr>
      </w:pPr>
      <w:r w:rsidRPr="00F0434A">
        <w:rPr>
          <w:rFonts w:asciiTheme="minorHAnsi" w:hAnsiTheme="minorHAnsi" w:cstheme="minorHAnsi"/>
          <w:b/>
          <w:color w:val="auto"/>
          <w:lang w:val="en-US"/>
        </w:rPr>
        <w:t>CONCLUSIONS</w:t>
      </w:r>
    </w:p>
    <w:p w:rsidR="00F0434A" w:rsidRPr="00F0434A" w:rsidRDefault="00F0434A" w:rsidP="00F0434A">
      <w:pPr>
        <w:spacing w:line="360" w:lineRule="auto"/>
        <w:ind w:firstLine="708"/>
        <w:jc w:val="both"/>
        <w:rPr>
          <w:rFonts w:asciiTheme="minorHAnsi" w:hAnsiTheme="minorHAnsi" w:cstheme="minorHAnsi"/>
          <w:color w:val="auto"/>
          <w:lang w:val="en-US"/>
        </w:rPr>
      </w:pPr>
      <w:r w:rsidRPr="00F0434A">
        <w:rPr>
          <w:rFonts w:asciiTheme="minorHAnsi" w:hAnsiTheme="minorHAnsi" w:cstheme="minorHAnsi"/>
          <w:color w:val="auto"/>
          <w:lang w:val="en-US"/>
        </w:rPr>
        <w:t>Ictal LD ESI and subsequent connectivity analysis could be a valuable tool in the presurgical evaluation of ETLE. We implemented an automated methodology for ictal ESI and FC, readily applicable on 19-25 channel scalp EEG, especially in centers where HD EEG or MEG are not standardly available. Ictal ESI+FC shows complementarity to automated interictal ESI. Further prospective studies are needed to investigate the clinical added value of automated ictal LD ESI, and to test the potential of FC for SOZ localization in non-rhythmical EEG patterns.</w:t>
      </w:r>
    </w:p>
    <w:p w:rsidR="00F0434A" w:rsidRPr="00F0434A" w:rsidRDefault="00F0434A" w:rsidP="00F0434A">
      <w:pPr>
        <w:rPr>
          <w:rFonts w:asciiTheme="minorHAnsi" w:hAnsiTheme="minorHAnsi" w:cstheme="minorHAnsi"/>
          <w:color w:val="auto"/>
          <w:lang w:val="en-US"/>
        </w:rPr>
      </w:pPr>
    </w:p>
    <w:p w:rsidR="00F0434A" w:rsidRPr="00F0434A" w:rsidRDefault="00F0434A" w:rsidP="00F0434A">
      <w:pPr>
        <w:rPr>
          <w:rFonts w:asciiTheme="minorHAnsi" w:hAnsiTheme="minorHAnsi" w:cstheme="minorHAnsi"/>
          <w:color w:val="auto"/>
          <w:lang w:val="en-US"/>
        </w:rPr>
      </w:pPr>
    </w:p>
    <w:p w:rsidR="00F0434A" w:rsidRPr="00F0434A" w:rsidRDefault="00F0434A" w:rsidP="00F0434A">
      <w:pPr>
        <w:rPr>
          <w:rFonts w:asciiTheme="minorHAnsi" w:hAnsiTheme="minorHAnsi" w:cstheme="minorHAnsi"/>
          <w:color w:val="auto"/>
          <w:lang w:val="en-US"/>
        </w:rPr>
      </w:pPr>
    </w:p>
    <w:p w:rsidR="00F0434A" w:rsidRPr="00F0434A" w:rsidRDefault="00F0434A" w:rsidP="00F0434A">
      <w:pPr>
        <w:rPr>
          <w:rFonts w:asciiTheme="minorHAnsi" w:hAnsiTheme="minorHAnsi" w:cstheme="minorHAnsi"/>
          <w:b/>
          <w:color w:val="auto"/>
          <w:lang w:val="en-US"/>
        </w:rPr>
      </w:pPr>
    </w:p>
    <w:p w:rsidR="00F0434A" w:rsidRPr="00F0434A" w:rsidRDefault="00F0434A" w:rsidP="00F0434A">
      <w:pPr>
        <w:rPr>
          <w:rFonts w:asciiTheme="minorHAnsi" w:hAnsiTheme="minorHAnsi" w:cstheme="minorHAnsi"/>
          <w:b/>
          <w:color w:val="auto"/>
          <w:lang w:val="en-US"/>
        </w:rPr>
      </w:pPr>
      <w:r w:rsidRPr="00F0434A">
        <w:rPr>
          <w:rFonts w:asciiTheme="minorHAnsi" w:hAnsiTheme="minorHAnsi" w:cstheme="minorHAnsi"/>
          <w:b/>
          <w:color w:val="auto"/>
          <w:lang w:val="en-US"/>
        </w:rPr>
        <w:t>ACKNOWLEDGEMENT</w:t>
      </w:r>
    </w:p>
    <w:p w:rsidR="00F0434A" w:rsidRPr="00F0434A" w:rsidRDefault="00F0434A" w:rsidP="00F0434A">
      <w:pPr>
        <w:rPr>
          <w:rFonts w:asciiTheme="minorHAnsi" w:hAnsiTheme="minorHAnsi" w:cstheme="minorHAnsi"/>
          <w:b/>
          <w:color w:val="auto"/>
          <w:lang w:val="en-US"/>
        </w:rPr>
      </w:pPr>
    </w:p>
    <w:p w:rsidR="00F0434A" w:rsidRPr="00F0434A" w:rsidRDefault="00F0434A" w:rsidP="00F0434A">
      <w:pPr>
        <w:spacing w:line="360" w:lineRule="auto"/>
        <w:jc w:val="both"/>
        <w:rPr>
          <w:rFonts w:asciiTheme="minorHAnsi" w:hAnsiTheme="minorHAnsi" w:cstheme="minorHAnsi"/>
          <w:color w:val="auto"/>
          <w:lang w:val="en-GB"/>
        </w:rPr>
      </w:pPr>
      <w:r w:rsidRPr="00F0434A">
        <w:rPr>
          <w:rFonts w:asciiTheme="minorHAnsi" w:hAnsiTheme="minorHAnsi" w:cstheme="minorHAnsi"/>
          <w:color w:val="auto"/>
          <w:lang w:val="en-GB"/>
        </w:rPr>
        <w:t xml:space="preserve">The work was partly supported by </w:t>
      </w:r>
      <w:r w:rsidRPr="00F0434A">
        <w:rPr>
          <w:rFonts w:asciiTheme="minorHAnsi" w:hAnsiTheme="minorHAnsi" w:cstheme="minorHAnsi"/>
          <w:color w:val="auto"/>
          <w:lang w:val="en-US"/>
        </w:rPr>
        <w:t>the Fonds de Recherche Clinique (Cliniques Universitaires Saint-Luc, Brussels, Belgium) and by an</w:t>
      </w:r>
      <w:r w:rsidRPr="00F0434A">
        <w:rPr>
          <w:rFonts w:asciiTheme="minorHAnsi" w:hAnsiTheme="minorHAnsi" w:cstheme="minorHAnsi"/>
          <w:color w:val="auto"/>
          <w:lang w:val="en-GB"/>
        </w:rPr>
        <w:t xml:space="preserve"> Erasmus+ programme mobility grant. </w:t>
      </w:r>
    </w:p>
    <w:p w:rsidR="00F0434A" w:rsidRPr="00F0434A" w:rsidRDefault="00F0434A" w:rsidP="00F0434A">
      <w:pPr>
        <w:rPr>
          <w:rFonts w:asciiTheme="minorHAnsi" w:hAnsiTheme="minorHAnsi" w:cstheme="minorHAnsi"/>
          <w:b/>
          <w:color w:val="auto"/>
          <w:lang w:val="en-GB"/>
        </w:rPr>
      </w:pPr>
    </w:p>
    <w:p w:rsidR="00F0434A" w:rsidRPr="00F0434A" w:rsidRDefault="00F0434A" w:rsidP="00F0434A">
      <w:pPr>
        <w:rPr>
          <w:rFonts w:asciiTheme="minorHAnsi" w:hAnsiTheme="minorHAnsi" w:cstheme="minorHAnsi"/>
          <w:b/>
          <w:color w:val="auto"/>
          <w:lang w:val="en-US"/>
        </w:rPr>
      </w:pPr>
    </w:p>
    <w:p w:rsidR="00F0434A" w:rsidRPr="00F0434A" w:rsidRDefault="00F0434A" w:rsidP="00F0434A">
      <w:pPr>
        <w:rPr>
          <w:rFonts w:asciiTheme="minorHAnsi" w:hAnsiTheme="minorHAnsi" w:cstheme="minorHAnsi"/>
          <w:b/>
          <w:color w:val="auto"/>
          <w:lang w:val="en-US"/>
        </w:rPr>
      </w:pPr>
      <w:r w:rsidRPr="00F0434A">
        <w:rPr>
          <w:rFonts w:asciiTheme="minorHAnsi" w:hAnsiTheme="minorHAnsi" w:cstheme="minorHAnsi"/>
          <w:b/>
          <w:color w:val="auto"/>
          <w:lang w:val="en-US"/>
        </w:rPr>
        <w:t>CONFLICT OF INTEREST</w:t>
      </w:r>
    </w:p>
    <w:p w:rsidR="00F0434A" w:rsidRPr="00F0434A" w:rsidRDefault="00F0434A" w:rsidP="00F0434A">
      <w:pPr>
        <w:rPr>
          <w:rFonts w:asciiTheme="minorHAnsi" w:hAnsiTheme="minorHAnsi" w:cstheme="minorHAnsi"/>
          <w:b/>
          <w:color w:val="auto"/>
          <w:lang w:val="en-US"/>
        </w:rPr>
      </w:pPr>
    </w:p>
    <w:p w:rsidR="00F0434A" w:rsidRPr="00F0434A" w:rsidRDefault="00F0434A" w:rsidP="00F0434A">
      <w:pPr>
        <w:spacing w:line="360" w:lineRule="auto"/>
        <w:jc w:val="both"/>
        <w:rPr>
          <w:rFonts w:asciiTheme="minorHAnsi" w:hAnsiTheme="minorHAnsi" w:cstheme="minorHAnsi"/>
          <w:color w:val="auto"/>
          <w:lang w:val="en-US"/>
        </w:rPr>
      </w:pPr>
      <w:r w:rsidRPr="00F0434A">
        <w:rPr>
          <w:rFonts w:asciiTheme="minorHAnsi" w:hAnsiTheme="minorHAnsi" w:cstheme="minorHAnsi"/>
          <w:color w:val="auto"/>
          <w:lang w:val="en-US"/>
        </w:rPr>
        <w:t xml:space="preserve">PvM and GS are shareholders of Epilog, NV. The remaining authors </w:t>
      </w:r>
      <w:r w:rsidRPr="00F0434A">
        <w:rPr>
          <w:rFonts w:asciiTheme="minorHAnsi" w:hAnsiTheme="minorHAnsi" w:cstheme="minorHAnsi"/>
          <w:color w:val="auto"/>
          <w:lang w:val="en-GB"/>
        </w:rPr>
        <w:t>have no potential conflicts of interest to be disclosed</w:t>
      </w:r>
      <w:r w:rsidRPr="00F0434A">
        <w:rPr>
          <w:rFonts w:asciiTheme="minorHAnsi" w:hAnsiTheme="minorHAnsi" w:cstheme="minorHAnsi"/>
          <w:color w:val="auto"/>
          <w:lang w:val="en-US"/>
        </w:rPr>
        <w:t>.</w:t>
      </w:r>
    </w:p>
    <w:p w:rsidR="00F0434A" w:rsidRPr="00F0434A" w:rsidRDefault="00F0434A" w:rsidP="00F0434A">
      <w:pPr>
        <w:spacing w:after="160" w:line="259" w:lineRule="auto"/>
        <w:rPr>
          <w:rFonts w:asciiTheme="minorHAnsi" w:hAnsiTheme="minorHAnsi" w:cstheme="minorHAnsi"/>
          <w:color w:val="auto"/>
          <w:lang w:val="en-US"/>
        </w:rPr>
      </w:pPr>
    </w:p>
    <w:p w:rsidR="00F0434A" w:rsidRPr="00F0434A" w:rsidRDefault="00F0434A" w:rsidP="00F0434A">
      <w:pPr>
        <w:spacing w:after="160" w:line="259" w:lineRule="auto"/>
        <w:rPr>
          <w:rFonts w:asciiTheme="minorHAnsi" w:hAnsiTheme="minorHAnsi" w:cstheme="minorHAnsi"/>
          <w:color w:val="auto"/>
          <w:lang w:val="en-US"/>
        </w:rPr>
      </w:pPr>
    </w:p>
    <w:p w:rsidR="00F0434A" w:rsidRPr="00F0434A" w:rsidRDefault="00F0434A" w:rsidP="00F0434A">
      <w:pPr>
        <w:spacing w:after="160" w:line="259" w:lineRule="auto"/>
        <w:rPr>
          <w:rFonts w:asciiTheme="minorHAnsi" w:hAnsiTheme="minorHAnsi" w:cstheme="minorHAnsi"/>
          <w:b/>
          <w:color w:val="auto"/>
          <w:lang w:val="en-US"/>
        </w:rPr>
      </w:pPr>
      <w:r w:rsidRPr="00F0434A">
        <w:rPr>
          <w:rFonts w:asciiTheme="minorHAnsi" w:hAnsiTheme="minorHAnsi" w:cstheme="minorHAnsi"/>
          <w:b/>
          <w:color w:val="auto"/>
          <w:lang w:val="en-US"/>
        </w:rPr>
        <w:t>REFERENCES</w:t>
      </w:r>
    </w:p>
    <w:p w:rsidR="00F0434A" w:rsidRPr="00F0434A" w:rsidRDefault="00F0434A" w:rsidP="00F0434A">
      <w:pPr>
        <w:widowControl w:val="0"/>
        <w:autoSpaceDE w:val="0"/>
        <w:autoSpaceDN w:val="0"/>
        <w:adjustRightInd w:val="0"/>
        <w:ind w:left="640" w:hanging="640"/>
        <w:rPr>
          <w:rFonts w:ascii="Calibri" w:hAnsi="Calibri" w:cs="Calibri"/>
          <w:noProof/>
          <w:color w:val="auto"/>
          <w:lang w:val="en-GB"/>
        </w:rPr>
      </w:pPr>
      <w:r w:rsidRPr="00F0434A">
        <w:rPr>
          <w:rFonts w:asciiTheme="minorHAnsi" w:hAnsiTheme="minorHAnsi" w:cstheme="minorHAnsi"/>
          <w:b/>
          <w:color w:val="auto"/>
          <w:lang w:val="en-US"/>
        </w:rPr>
        <w:fldChar w:fldCharType="begin" w:fldLock="1"/>
      </w:r>
      <w:r w:rsidRPr="00F0434A">
        <w:rPr>
          <w:rFonts w:asciiTheme="minorHAnsi" w:hAnsiTheme="minorHAnsi" w:cstheme="minorHAnsi"/>
          <w:b/>
          <w:color w:val="auto"/>
          <w:lang w:val="en-US"/>
        </w:rPr>
        <w:instrText xml:space="preserve">ADDIN Mendeley Bibliography CSL_BIBLIOGRAPHY </w:instrText>
      </w:r>
      <w:r w:rsidRPr="00F0434A">
        <w:rPr>
          <w:rFonts w:asciiTheme="minorHAnsi" w:hAnsiTheme="minorHAnsi" w:cstheme="minorHAnsi"/>
          <w:b/>
          <w:color w:val="auto"/>
          <w:lang w:val="en-US"/>
        </w:rPr>
        <w:fldChar w:fldCharType="separate"/>
      </w:r>
      <w:r w:rsidRPr="00F0434A">
        <w:rPr>
          <w:rFonts w:ascii="Calibri" w:hAnsi="Calibri" w:cs="Calibri"/>
          <w:noProof/>
          <w:color w:val="auto"/>
          <w:lang w:val="en-GB"/>
        </w:rPr>
        <w:t>[1]</w:t>
      </w:r>
      <w:r w:rsidRPr="00F0434A">
        <w:rPr>
          <w:rFonts w:ascii="Calibri" w:hAnsi="Calibri" w:cs="Calibri"/>
          <w:noProof/>
          <w:color w:val="auto"/>
          <w:lang w:val="en-GB"/>
        </w:rPr>
        <w:tab/>
        <w:t xml:space="preserve">Jayakar P, Gotman J, Harvey AS, Palmini A, Tassi L, Schomer D, et al. Diagnostic utility </w:t>
      </w:r>
      <w:r w:rsidRPr="00F0434A">
        <w:rPr>
          <w:rFonts w:ascii="Calibri" w:hAnsi="Calibri" w:cs="Calibri"/>
          <w:noProof/>
          <w:color w:val="auto"/>
          <w:lang w:val="en-GB"/>
        </w:rPr>
        <w:lastRenderedPageBreak/>
        <w:t>of invasive EEG for epilepsy surgery: Indications, modalities, and techniques. Epilepsia 2016;57:1735–47. https://doi.org/10.1111/epi.13515.</w:t>
      </w:r>
    </w:p>
    <w:p w:rsidR="00F0434A" w:rsidRPr="00F0434A" w:rsidRDefault="00F0434A" w:rsidP="00F0434A">
      <w:pPr>
        <w:widowControl w:val="0"/>
        <w:autoSpaceDE w:val="0"/>
        <w:autoSpaceDN w:val="0"/>
        <w:adjustRightInd w:val="0"/>
        <w:ind w:left="640" w:hanging="640"/>
        <w:rPr>
          <w:rFonts w:ascii="Calibri" w:hAnsi="Calibri" w:cs="Calibri"/>
          <w:noProof/>
          <w:color w:val="auto"/>
          <w:lang w:val="en-GB"/>
        </w:rPr>
      </w:pPr>
      <w:r w:rsidRPr="00F0434A">
        <w:rPr>
          <w:rFonts w:ascii="Calibri" w:hAnsi="Calibri" w:cs="Calibri"/>
          <w:noProof/>
          <w:color w:val="auto"/>
          <w:lang w:val="en-GB"/>
        </w:rPr>
        <w:t>[2]</w:t>
      </w:r>
      <w:r w:rsidRPr="00F0434A">
        <w:rPr>
          <w:rFonts w:ascii="Calibri" w:hAnsi="Calibri" w:cs="Calibri"/>
          <w:noProof/>
          <w:color w:val="auto"/>
          <w:lang w:val="en-GB"/>
        </w:rPr>
        <w:tab/>
        <w:t>Kahane P, Landre E, Minotti L, Francione S, Ryvlin P. The Bancaud and Talairach view on the epileptogenic zone: a working hypothesis. Epileptic Disord 2006;8 Suppl 2:S16-26.</w:t>
      </w:r>
    </w:p>
    <w:p w:rsidR="00F0434A" w:rsidRPr="00F0434A" w:rsidRDefault="00F0434A" w:rsidP="00F0434A">
      <w:pPr>
        <w:widowControl w:val="0"/>
        <w:autoSpaceDE w:val="0"/>
        <w:autoSpaceDN w:val="0"/>
        <w:adjustRightInd w:val="0"/>
        <w:ind w:left="640" w:hanging="640"/>
        <w:rPr>
          <w:rFonts w:ascii="Calibri" w:hAnsi="Calibri" w:cs="Calibri"/>
          <w:noProof/>
          <w:color w:val="auto"/>
          <w:lang w:val="en-GB"/>
        </w:rPr>
      </w:pPr>
      <w:r w:rsidRPr="00F0434A">
        <w:rPr>
          <w:rFonts w:ascii="Calibri" w:hAnsi="Calibri" w:cs="Calibri"/>
          <w:noProof/>
          <w:color w:val="auto"/>
          <w:lang w:val="en-GB"/>
        </w:rPr>
        <w:t>[3]</w:t>
      </w:r>
      <w:r w:rsidRPr="00F0434A">
        <w:rPr>
          <w:rFonts w:ascii="Calibri" w:hAnsi="Calibri" w:cs="Calibri"/>
          <w:noProof/>
          <w:color w:val="auto"/>
          <w:lang w:val="en-GB"/>
        </w:rPr>
        <w:tab/>
        <w:t>Jayakar P, Duchowny M, Resnick TJ, Alvarez LA. Localization of seizure foci: pitfalls and caveats. J Clin Neurophysiol 1991;8:414–31.</w:t>
      </w:r>
    </w:p>
    <w:p w:rsidR="00F0434A" w:rsidRPr="00F0434A" w:rsidRDefault="00F0434A" w:rsidP="00F0434A">
      <w:pPr>
        <w:widowControl w:val="0"/>
        <w:autoSpaceDE w:val="0"/>
        <w:autoSpaceDN w:val="0"/>
        <w:adjustRightInd w:val="0"/>
        <w:ind w:left="640" w:hanging="640"/>
        <w:rPr>
          <w:rFonts w:ascii="Calibri" w:hAnsi="Calibri" w:cs="Calibri"/>
          <w:noProof/>
          <w:color w:val="auto"/>
          <w:lang w:val="en-GB"/>
        </w:rPr>
      </w:pPr>
      <w:r w:rsidRPr="00F0434A">
        <w:rPr>
          <w:rFonts w:ascii="Calibri" w:hAnsi="Calibri" w:cs="Calibri"/>
          <w:noProof/>
          <w:color w:val="auto"/>
          <w:lang w:val="en-GB"/>
        </w:rPr>
        <w:t>[4]</w:t>
      </w:r>
      <w:r w:rsidRPr="00F0434A">
        <w:rPr>
          <w:rFonts w:ascii="Calibri" w:hAnsi="Calibri" w:cs="Calibri"/>
          <w:noProof/>
          <w:color w:val="auto"/>
          <w:lang w:val="en-GB"/>
        </w:rPr>
        <w:tab/>
        <w:t>Kaiboriboon K, Luders HO, Hamaneh M, Turnbull J, Lhatoo SD. EEG source imaging in epilepsy--practicalities and pitfalls. Nat Rev Neurol 2012;8:498–507. https://doi.org/10.1038/nrneurol.2012.150.</w:t>
      </w:r>
    </w:p>
    <w:p w:rsidR="00F0434A" w:rsidRPr="00F0434A" w:rsidRDefault="00F0434A" w:rsidP="00F0434A">
      <w:pPr>
        <w:widowControl w:val="0"/>
        <w:autoSpaceDE w:val="0"/>
        <w:autoSpaceDN w:val="0"/>
        <w:adjustRightInd w:val="0"/>
        <w:ind w:left="640" w:hanging="640"/>
        <w:rPr>
          <w:rFonts w:ascii="Calibri" w:hAnsi="Calibri" w:cs="Calibri"/>
          <w:noProof/>
          <w:color w:val="auto"/>
          <w:lang w:val="en-GB"/>
        </w:rPr>
      </w:pPr>
      <w:r w:rsidRPr="00F0434A">
        <w:rPr>
          <w:rFonts w:ascii="Calibri" w:hAnsi="Calibri" w:cs="Calibri"/>
          <w:noProof/>
          <w:color w:val="auto"/>
          <w:lang w:val="en-GB"/>
        </w:rPr>
        <w:t>[5]</w:t>
      </w:r>
      <w:r w:rsidRPr="00F0434A">
        <w:rPr>
          <w:rFonts w:ascii="Calibri" w:hAnsi="Calibri" w:cs="Calibri"/>
          <w:noProof/>
          <w:color w:val="auto"/>
          <w:lang w:val="en-GB"/>
        </w:rPr>
        <w:tab/>
        <w:t>Megevand P, Seeck M. Electroencephalography, magnetoencephalography and source localization: their value in epilepsy. Curr Opin Neurol 2018;31:176–83. https://doi.org/10.1097/WCO.0000000000000545.</w:t>
      </w:r>
    </w:p>
    <w:p w:rsidR="00F0434A" w:rsidRPr="00F0434A" w:rsidRDefault="00F0434A" w:rsidP="00F0434A">
      <w:pPr>
        <w:widowControl w:val="0"/>
        <w:autoSpaceDE w:val="0"/>
        <w:autoSpaceDN w:val="0"/>
        <w:adjustRightInd w:val="0"/>
        <w:ind w:left="640" w:hanging="640"/>
        <w:rPr>
          <w:rFonts w:ascii="Calibri" w:hAnsi="Calibri" w:cs="Calibri"/>
          <w:noProof/>
          <w:color w:val="auto"/>
          <w:lang w:val="fr-BE"/>
        </w:rPr>
      </w:pPr>
      <w:r w:rsidRPr="00F0434A">
        <w:rPr>
          <w:rFonts w:ascii="Calibri" w:hAnsi="Calibri" w:cs="Calibri"/>
          <w:noProof/>
          <w:color w:val="auto"/>
          <w:lang w:val="en-GB"/>
        </w:rPr>
        <w:t>[6]</w:t>
      </w:r>
      <w:r w:rsidRPr="00F0434A">
        <w:rPr>
          <w:rFonts w:ascii="Calibri" w:hAnsi="Calibri" w:cs="Calibri"/>
          <w:noProof/>
          <w:color w:val="auto"/>
          <w:lang w:val="en-GB"/>
        </w:rPr>
        <w:tab/>
        <w:t xml:space="preserve">Rosenow F, Luders H. Presurgical evaluation of epilepsy. </w:t>
      </w:r>
      <w:r w:rsidRPr="00F0434A">
        <w:rPr>
          <w:rFonts w:ascii="Calibri" w:hAnsi="Calibri" w:cs="Calibri"/>
          <w:noProof/>
          <w:color w:val="auto"/>
          <w:lang w:val="fr-BE"/>
        </w:rPr>
        <w:t>Brain 2001;124:1683–700. https://doi.org/10.1093/brain/124.9.1683.</w:t>
      </w:r>
    </w:p>
    <w:p w:rsidR="00F0434A" w:rsidRPr="00F0434A" w:rsidRDefault="00F0434A" w:rsidP="00F0434A">
      <w:pPr>
        <w:widowControl w:val="0"/>
        <w:autoSpaceDE w:val="0"/>
        <w:autoSpaceDN w:val="0"/>
        <w:adjustRightInd w:val="0"/>
        <w:ind w:left="640" w:hanging="640"/>
        <w:rPr>
          <w:rFonts w:ascii="Calibri" w:hAnsi="Calibri" w:cs="Calibri"/>
          <w:noProof/>
          <w:color w:val="auto"/>
        </w:rPr>
      </w:pPr>
      <w:r w:rsidRPr="00F0434A">
        <w:rPr>
          <w:rFonts w:ascii="Calibri" w:hAnsi="Calibri" w:cs="Calibri"/>
          <w:noProof/>
          <w:color w:val="auto"/>
          <w:lang w:val="en-GB"/>
        </w:rPr>
        <w:t>[7]</w:t>
      </w:r>
      <w:r w:rsidRPr="00F0434A">
        <w:rPr>
          <w:rFonts w:ascii="Calibri" w:hAnsi="Calibri" w:cs="Calibri"/>
          <w:noProof/>
          <w:color w:val="auto"/>
          <w:lang w:val="en-GB"/>
        </w:rPr>
        <w:tab/>
        <w:t xml:space="preserve">Foldvary N, Klem G, Hammel J, Bingaman W, Najm I, Luders H. The localizing value of ictal EEG in focal epilepsy. </w:t>
      </w:r>
      <w:r w:rsidRPr="00F0434A">
        <w:rPr>
          <w:rFonts w:ascii="Calibri" w:hAnsi="Calibri" w:cs="Calibri"/>
          <w:noProof/>
          <w:color w:val="auto"/>
        </w:rPr>
        <w:t>Neurology 2001;57:2022–8.</w:t>
      </w:r>
    </w:p>
    <w:p w:rsidR="00F0434A" w:rsidRPr="00F0434A" w:rsidRDefault="00F0434A" w:rsidP="00F0434A">
      <w:pPr>
        <w:widowControl w:val="0"/>
        <w:autoSpaceDE w:val="0"/>
        <w:autoSpaceDN w:val="0"/>
        <w:adjustRightInd w:val="0"/>
        <w:ind w:left="640" w:hanging="640"/>
        <w:rPr>
          <w:rFonts w:ascii="Calibri" w:hAnsi="Calibri" w:cs="Calibri"/>
          <w:noProof/>
          <w:color w:val="auto"/>
        </w:rPr>
      </w:pPr>
      <w:r w:rsidRPr="00F0434A">
        <w:rPr>
          <w:rFonts w:ascii="Calibri" w:hAnsi="Calibri" w:cs="Calibri"/>
          <w:noProof/>
          <w:color w:val="auto"/>
        </w:rPr>
        <w:t>[8]</w:t>
      </w:r>
      <w:r w:rsidRPr="00F0434A">
        <w:rPr>
          <w:rFonts w:ascii="Calibri" w:hAnsi="Calibri" w:cs="Calibri"/>
          <w:noProof/>
          <w:color w:val="auto"/>
        </w:rPr>
        <w:tab/>
        <w:t xml:space="preserve">Lantz G, Grave de Peralta R, Spinelli L, Seeck M, Michel CM. </w:t>
      </w:r>
      <w:r w:rsidRPr="00F0434A">
        <w:rPr>
          <w:rFonts w:ascii="Calibri" w:hAnsi="Calibri" w:cs="Calibri"/>
          <w:noProof/>
          <w:color w:val="auto"/>
          <w:lang w:val="en-GB"/>
        </w:rPr>
        <w:t xml:space="preserve">Epileptic source localization with high density EEG: how many electrodes are needed? </w:t>
      </w:r>
      <w:r w:rsidRPr="00F0434A">
        <w:rPr>
          <w:rFonts w:ascii="Calibri" w:hAnsi="Calibri" w:cs="Calibri"/>
          <w:noProof/>
          <w:color w:val="auto"/>
        </w:rPr>
        <w:t>Clin Neurophysiol 2003;114:63–9. https://doi.org/10.1016/s1388-2457(02)00337-1.</w:t>
      </w:r>
    </w:p>
    <w:p w:rsidR="00F0434A" w:rsidRPr="00F0434A" w:rsidRDefault="00F0434A" w:rsidP="00F0434A">
      <w:pPr>
        <w:widowControl w:val="0"/>
        <w:autoSpaceDE w:val="0"/>
        <w:autoSpaceDN w:val="0"/>
        <w:adjustRightInd w:val="0"/>
        <w:ind w:left="640" w:hanging="640"/>
        <w:rPr>
          <w:rFonts w:ascii="Calibri" w:hAnsi="Calibri" w:cs="Calibri"/>
          <w:noProof/>
          <w:color w:val="auto"/>
          <w:lang w:val="en-GB"/>
        </w:rPr>
      </w:pPr>
      <w:r w:rsidRPr="00F0434A">
        <w:rPr>
          <w:rFonts w:ascii="Calibri" w:hAnsi="Calibri" w:cs="Calibri"/>
          <w:noProof/>
          <w:color w:val="auto"/>
        </w:rPr>
        <w:t>[9]</w:t>
      </w:r>
      <w:r w:rsidRPr="00F0434A">
        <w:rPr>
          <w:rFonts w:ascii="Calibri" w:hAnsi="Calibri" w:cs="Calibri"/>
          <w:noProof/>
          <w:color w:val="auto"/>
        </w:rPr>
        <w:tab/>
        <w:t xml:space="preserve">Brodbeck V, Spinelli L, Lascano AM, Wissmeier M, Vargas M-I, Vulliemoz S, et al. </w:t>
      </w:r>
      <w:r w:rsidRPr="00F0434A">
        <w:rPr>
          <w:rFonts w:ascii="Calibri" w:hAnsi="Calibri" w:cs="Calibri"/>
          <w:noProof/>
          <w:color w:val="auto"/>
          <w:lang w:val="en-GB"/>
        </w:rPr>
        <w:t>Electroencephalographic source imaging: a prospective study of 152 operated epileptic patients. Brain 2011;134:2887–97. https://doi.org/10.1093/brain/awr243.</w:t>
      </w:r>
    </w:p>
    <w:p w:rsidR="00F0434A" w:rsidRPr="00F0434A" w:rsidRDefault="00F0434A" w:rsidP="00F0434A">
      <w:pPr>
        <w:widowControl w:val="0"/>
        <w:autoSpaceDE w:val="0"/>
        <w:autoSpaceDN w:val="0"/>
        <w:adjustRightInd w:val="0"/>
        <w:ind w:left="640" w:hanging="640"/>
        <w:rPr>
          <w:rFonts w:ascii="Calibri" w:hAnsi="Calibri" w:cs="Calibri"/>
          <w:noProof/>
          <w:color w:val="auto"/>
          <w:lang w:val="en-GB"/>
        </w:rPr>
      </w:pPr>
      <w:r w:rsidRPr="00F0434A">
        <w:rPr>
          <w:rFonts w:ascii="Calibri" w:hAnsi="Calibri" w:cs="Calibri"/>
          <w:noProof/>
          <w:color w:val="auto"/>
          <w:lang w:val="en-GB"/>
        </w:rPr>
        <w:t>[10]</w:t>
      </w:r>
      <w:r w:rsidRPr="00F0434A">
        <w:rPr>
          <w:rFonts w:ascii="Calibri" w:hAnsi="Calibri" w:cs="Calibri"/>
          <w:noProof/>
          <w:color w:val="auto"/>
          <w:lang w:val="en-GB"/>
        </w:rPr>
        <w:tab/>
        <w:t>van Mierlo P, Strobbe G, Keereman V, Birot G, Gadeyne S, Gschwind M, et al. Automated long-term EEG analysis to localize the epileptogenic zone. Epilepsia Open 2017;2:322–33. https://doi.org/10.1002/epi4.12066.</w:t>
      </w:r>
    </w:p>
    <w:p w:rsidR="00F0434A" w:rsidRPr="00F0434A" w:rsidRDefault="00F0434A" w:rsidP="00F0434A">
      <w:pPr>
        <w:widowControl w:val="0"/>
        <w:autoSpaceDE w:val="0"/>
        <w:autoSpaceDN w:val="0"/>
        <w:adjustRightInd w:val="0"/>
        <w:ind w:left="640" w:hanging="640"/>
        <w:rPr>
          <w:rFonts w:ascii="Calibri" w:hAnsi="Calibri" w:cs="Calibri"/>
          <w:noProof/>
          <w:color w:val="auto"/>
          <w:lang w:val="en-GB"/>
        </w:rPr>
      </w:pPr>
      <w:r w:rsidRPr="00F0434A">
        <w:rPr>
          <w:rFonts w:ascii="Calibri" w:hAnsi="Calibri" w:cs="Calibri"/>
          <w:noProof/>
          <w:color w:val="auto"/>
          <w:lang w:val="en-GB"/>
        </w:rPr>
        <w:t>[11]</w:t>
      </w:r>
      <w:r w:rsidRPr="00F0434A">
        <w:rPr>
          <w:rFonts w:ascii="Calibri" w:hAnsi="Calibri" w:cs="Calibri"/>
          <w:noProof/>
          <w:color w:val="auto"/>
          <w:lang w:val="en-GB"/>
        </w:rPr>
        <w:tab/>
        <w:t>Koren J, Gritsch G, Pirker S, Herta J, Perko H, Kluge T, et al. Automatic ictal onset source localization in presurgical epilepsy evaluation. Clin Neurophysiol 2018;129:1291–9. https://doi.org/10.1016/j.clinph.2018.03.020.</w:t>
      </w:r>
    </w:p>
    <w:p w:rsidR="00F0434A" w:rsidRPr="00F0434A" w:rsidRDefault="00F0434A" w:rsidP="00F0434A">
      <w:pPr>
        <w:widowControl w:val="0"/>
        <w:autoSpaceDE w:val="0"/>
        <w:autoSpaceDN w:val="0"/>
        <w:adjustRightInd w:val="0"/>
        <w:ind w:left="640" w:hanging="640"/>
        <w:rPr>
          <w:rFonts w:ascii="Calibri" w:hAnsi="Calibri" w:cs="Calibri"/>
          <w:noProof/>
          <w:color w:val="auto"/>
          <w:lang w:val="en-GB"/>
        </w:rPr>
      </w:pPr>
      <w:r w:rsidRPr="00F0434A">
        <w:rPr>
          <w:rFonts w:ascii="Calibri" w:hAnsi="Calibri" w:cs="Calibri"/>
          <w:noProof/>
          <w:color w:val="auto"/>
          <w:lang w:val="en-GB"/>
        </w:rPr>
        <w:t>[12]</w:t>
      </w:r>
      <w:r w:rsidRPr="00F0434A">
        <w:rPr>
          <w:rFonts w:ascii="Calibri" w:hAnsi="Calibri" w:cs="Calibri"/>
          <w:noProof/>
          <w:color w:val="auto"/>
          <w:lang w:val="en-GB"/>
        </w:rPr>
        <w:tab/>
        <w:t>Baroumand AG, van Mierlo P, Strobbe G, Pinborg LH, Fabricius M, Rubboli G, et al. Automated EEG source imaging: A retrospective, blinded clinical validation study. Clin Neurophysiol 2018;129:2403–10. https://doi.org/10.1016/j.clinph.2018.09.015.</w:t>
      </w:r>
    </w:p>
    <w:p w:rsidR="00F0434A" w:rsidRPr="00F0434A" w:rsidRDefault="00F0434A" w:rsidP="00F0434A">
      <w:pPr>
        <w:widowControl w:val="0"/>
        <w:autoSpaceDE w:val="0"/>
        <w:autoSpaceDN w:val="0"/>
        <w:adjustRightInd w:val="0"/>
        <w:ind w:left="640" w:hanging="640"/>
        <w:rPr>
          <w:rFonts w:ascii="Calibri" w:hAnsi="Calibri" w:cs="Calibri"/>
          <w:noProof/>
          <w:color w:val="auto"/>
          <w:lang w:val="fr-BE"/>
        </w:rPr>
      </w:pPr>
      <w:r w:rsidRPr="00F0434A">
        <w:rPr>
          <w:rFonts w:ascii="Calibri" w:hAnsi="Calibri" w:cs="Calibri"/>
          <w:noProof/>
          <w:color w:val="auto"/>
          <w:lang w:val="en-GB"/>
        </w:rPr>
        <w:t>[13]</w:t>
      </w:r>
      <w:r w:rsidRPr="00F0434A">
        <w:rPr>
          <w:rFonts w:ascii="Calibri" w:hAnsi="Calibri" w:cs="Calibri"/>
          <w:noProof/>
          <w:color w:val="auto"/>
          <w:lang w:val="en-GB"/>
        </w:rPr>
        <w:tab/>
        <w:t xml:space="preserve">Sharma P, Scherg M, Pinborg LH, Fabricius M, Rubboli G, Pedersen B, et al. Ictal and interictal electric source imaging in pre-surgical evaluation: a prospective study. </w:t>
      </w:r>
      <w:r w:rsidRPr="00F0434A">
        <w:rPr>
          <w:rFonts w:ascii="Calibri" w:hAnsi="Calibri" w:cs="Calibri"/>
          <w:noProof/>
          <w:color w:val="auto"/>
          <w:lang w:val="fr-BE"/>
        </w:rPr>
        <w:t>Eur J Neurol 2018;25:1154–60. https://doi.org/10.1111/ene.13676.</w:t>
      </w:r>
    </w:p>
    <w:p w:rsidR="00F0434A" w:rsidRPr="00F0434A" w:rsidRDefault="00F0434A" w:rsidP="00F0434A">
      <w:pPr>
        <w:widowControl w:val="0"/>
        <w:autoSpaceDE w:val="0"/>
        <w:autoSpaceDN w:val="0"/>
        <w:adjustRightInd w:val="0"/>
        <w:ind w:left="640" w:hanging="640"/>
        <w:rPr>
          <w:rFonts w:ascii="Calibri" w:hAnsi="Calibri" w:cs="Calibri"/>
          <w:noProof/>
          <w:color w:val="auto"/>
          <w:lang w:val="en-GB"/>
        </w:rPr>
      </w:pPr>
      <w:r w:rsidRPr="00F0434A">
        <w:rPr>
          <w:rFonts w:ascii="Calibri" w:hAnsi="Calibri" w:cs="Calibri"/>
          <w:noProof/>
          <w:color w:val="auto"/>
          <w:lang w:val="fr-BE"/>
        </w:rPr>
        <w:t>[14]</w:t>
      </w:r>
      <w:r w:rsidRPr="00F0434A">
        <w:rPr>
          <w:rFonts w:ascii="Calibri" w:hAnsi="Calibri" w:cs="Calibri"/>
          <w:noProof/>
          <w:color w:val="auto"/>
          <w:lang w:val="fr-BE"/>
        </w:rPr>
        <w:tab/>
        <w:t xml:space="preserve">Foged MT, Martens T, Pinborg LH, Hamrouni N, Litman M, Rubboli G, et al. </w:t>
      </w:r>
      <w:r w:rsidRPr="00F0434A">
        <w:rPr>
          <w:rFonts w:ascii="Calibri" w:hAnsi="Calibri" w:cs="Calibri"/>
          <w:noProof/>
          <w:color w:val="auto"/>
          <w:lang w:val="en-GB"/>
        </w:rPr>
        <w:t>Diagnostic added value of electrical source imaging in presurgical evaluation of  patients with epilepsy: A prospective study. Clin Neurophysiol 2020;131:324–9. https://doi.org/10.1016/j.clinph.2019.07.031.</w:t>
      </w:r>
    </w:p>
    <w:p w:rsidR="00F0434A" w:rsidRPr="00F0434A" w:rsidRDefault="00F0434A" w:rsidP="00F0434A">
      <w:pPr>
        <w:widowControl w:val="0"/>
        <w:autoSpaceDE w:val="0"/>
        <w:autoSpaceDN w:val="0"/>
        <w:adjustRightInd w:val="0"/>
        <w:ind w:left="640" w:hanging="640"/>
        <w:rPr>
          <w:rFonts w:ascii="Calibri" w:hAnsi="Calibri" w:cs="Calibri"/>
          <w:noProof/>
          <w:color w:val="auto"/>
          <w:lang w:val="en-GB"/>
        </w:rPr>
      </w:pPr>
      <w:r w:rsidRPr="00F0434A">
        <w:rPr>
          <w:rFonts w:ascii="Calibri" w:hAnsi="Calibri" w:cs="Calibri"/>
          <w:noProof/>
          <w:color w:val="auto"/>
          <w:lang w:val="en-GB"/>
        </w:rPr>
        <w:t>[15]</w:t>
      </w:r>
      <w:r w:rsidRPr="00F0434A">
        <w:rPr>
          <w:rFonts w:ascii="Calibri" w:hAnsi="Calibri" w:cs="Calibri"/>
          <w:noProof/>
          <w:color w:val="auto"/>
          <w:lang w:val="en-GB"/>
        </w:rPr>
        <w:tab/>
        <w:t>Nemtsas P, Birot G, Pittau F, Michel CM, Schaller K, Vulliemoz S, et al. Source localization of ictal epileptic activity based on high-density scalp EEG data. Epilepsia 2017;58:1027–36. https://doi.org/10.1111/epi.13749.</w:t>
      </w:r>
    </w:p>
    <w:p w:rsidR="00F0434A" w:rsidRPr="00F0434A" w:rsidRDefault="00F0434A" w:rsidP="00F0434A">
      <w:pPr>
        <w:widowControl w:val="0"/>
        <w:autoSpaceDE w:val="0"/>
        <w:autoSpaceDN w:val="0"/>
        <w:adjustRightInd w:val="0"/>
        <w:ind w:left="640" w:hanging="640"/>
        <w:rPr>
          <w:rFonts w:ascii="Calibri" w:hAnsi="Calibri" w:cs="Calibri"/>
          <w:noProof/>
          <w:color w:val="auto"/>
          <w:lang w:val="en-GB"/>
        </w:rPr>
      </w:pPr>
      <w:r w:rsidRPr="00F0434A">
        <w:rPr>
          <w:rFonts w:ascii="Calibri" w:hAnsi="Calibri" w:cs="Calibri"/>
          <w:noProof/>
          <w:color w:val="auto"/>
          <w:lang w:val="en-GB"/>
        </w:rPr>
        <w:t>[16]</w:t>
      </w:r>
      <w:r w:rsidRPr="00F0434A">
        <w:rPr>
          <w:rFonts w:ascii="Calibri" w:hAnsi="Calibri" w:cs="Calibri"/>
          <w:noProof/>
          <w:color w:val="auto"/>
          <w:lang w:val="en-GB"/>
        </w:rPr>
        <w:tab/>
        <w:t>Bach Justesen A, Foged MT, Fabricius M, Skaarup C, Hamrouni N, Martens T, et al. Diagnostic yield of high-density versus low-density EEG: The effect of spatial sampling, timing and duration of recording. Clin Neurophysiol 2019;130:2060–4. https://doi.org/10.1016/j.clinph.2019.08.007.</w:t>
      </w:r>
    </w:p>
    <w:p w:rsidR="00F0434A" w:rsidRPr="00F0434A" w:rsidRDefault="00F0434A" w:rsidP="00F0434A">
      <w:pPr>
        <w:widowControl w:val="0"/>
        <w:autoSpaceDE w:val="0"/>
        <w:autoSpaceDN w:val="0"/>
        <w:adjustRightInd w:val="0"/>
        <w:ind w:left="640" w:hanging="640"/>
        <w:rPr>
          <w:rFonts w:ascii="Calibri" w:hAnsi="Calibri" w:cs="Calibri"/>
          <w:noProof/>
          <w:color w:val="auto"/>
          <w:lang w:val="en-GB"/>
        </w:rPr>
      </w:pPr>
      <w:r w:rsidRPr="00F0434A">
        <w:rPr>
          <w:rFonts w:ascii="Calibri" w:hAnsi="Calibri" w:cs="Calibri"/>
          <w:noProof/>
          <w:color w:val="auto"/>
          <w:lang w:val="en-GB"/>
        </w:rPr>
        <w:t>[17]</w:t>
      </w:r>
      <w:r w:rsidRPr="00F0434A">
        <w:rPr>
          <w:rFonts w:ascii="Calibri" w:hAnsi="Calibri" w:cs="Calibri"/>
          <w:noProof/>
          <w:color w:val="auto"/>
          <w:lang w:val="en-GB"/>
        </w:rPr>
        <w:tab/>
        <w:t>Nair DR, Mohamed A, Burgess R, Luders H. A critical review of the different conceptual hypotheses framing human focal epilepsy. Epileptic Disord 2004;6:77–83.</w:t>
      </w:r>
    </w:p>
    <w:p w:rsidR="00F0434A" w:rsidRPr="00F0434A" w:rsidRDefault="00F0434A" w:rsidP="00F0434A">
      <w:pPr>
        <w:widowControl w:val="0"/>
        <w:autoSpaceDE w:val="0"/>
        <w:autoSpaceDN w:val="0"/>
        <w:adjustRightInd w:val="0"/>
        <w:ind w:left="640" w:hanging="640"/>
        <w:rPr>
          <w:rFonts w:ascii="Calibri" w:hAnsi="Calibri" w:cs="Calibri"/>
          <w:noProof/>
          <w:color w:val="auto"/>
          <w:lang w:val="en-GB"/>
        </w:rPr>
      </w:pPr>
      <w:r w:rsidRPr="00F0434A">
        <w:rPr>
          <w:rFonts w:ascii="Calibri" w:hAnsi="Calibri" w:cs="Calibri"/>
          <w:noProof/>
          <w:color w:val="auto"/>
          <w:lang w:val="en-GB"/>
        </w:rPr>
        <w:lastRenderedPageBreak/>
        <w:t>[18]</w:t>
      </w:r>
      <w:r w:rsidRPr="00F0434A">
        <w:rPr>
          <w:rFonts w:ascii="Calibri" w:hAnsi="Calibri" w:cs="Calibri"/>
          <w:noProof/>
          <w:color w:val="auto"/>
          <w:lang w:val="en-GB"/>
        </w:rPr>
        <w:tab/>
        <w:t>Bartolomei F, Chauvel P, Wendling F. Epileptogenicity of brain structures in human temporal lobe epilepsy: a quantified study from intracerebral EEG. Brain 2008;131:1818–30. https://doi.org/10.1093/brain/awn111.</w:t>
      </w:r>
    </w:p>
    <w:p w:rsidR="00F0434A" w:rsidRPr="00F0434A" w:rsidRDefault="00F0434A" w:rsidP="00F0434A">
      <w:pPr>
        <w:widowControl w:val="0"/>
        <w:autoSpaceDE w:val="0"/>
        <w:autoSpaceDN w:val="0"/>
        <w:adjustRightInd w:val="0"/>
        <w:ind w:left="640" w:hanging="640"/>
        <w:rPr>
          <w:rFonts w:ascii="Calibri" w:hAnsi="Calibri" w:cs="Calibri"/>
          <w:noProof/>
          <w:color w:val="auto"/>
          <w:lang w:val="en-GB"/>
        </w:rPr>
      </w:pPr>
      <w:r w:rsidRPr="00F0434A">
        <w:rPr>
          <w:rFonts w:ascii="Calibri" w:hAnsi="Calibri" w:cs="Calibri"/>
          <w:noProof/>
          <w:color w:val="auto"/>
          <w:lang w:val="en-GB"/>
        </w:rPr>
        <w:t>[19]</w:t>
      </w:r>
      <w:r w:rsidRPr="00F0434A">
        <w:rPr>
          <w:rFonts w:ascii="Calibri" w:hAnsi="Calibri" w:cs="Calibri"/>
          <w:noProof/>
          <w:color w:val="auto"/>
          <w:lang w:val="en-GB"/>
        </w:rPr>
        <w:tab/>
        <w:t>Richardson MP. Large scale brain models of epilepsy: dynamics meets connectomics. J Neurol Neurosurg Psychiatry 2012;83:1238–48. https://doi.org/10.1136/jnnp-2011-301944.</w:t>
      </w:r>
    </w:p>
    <w:p w:rsidR="00F0434A" w:rsidRPr="00F0434A" w:rsidRDefault="00F0434A" w:rsidP="00F0434A">
      <w:pPr>
        <w:widowControl w:val="0"/>
        <w:autoSpaceDE w:val="0"/>
        <w:autoSpaceDN w:val="0"/>
        <w:adjustRightInd w:val="0"/>
        <w:ind w:left="640" w:hanging="640"/>
        <w:rPr>
          <w:rFonts w:ascii="Calibri" w:hAnsi="Calibri" w:cs="Calibri"/>
          <w:noProof/>
          <w:color w:val="auto"/>
          <w:lang w:val="en-GB"/>
        </w:rPr>
      </w:pPr>
      <w:r w:rsidRPr="00F0434A">
        <w:rPr>
          <w:rFonts w:ascii="Calibri" w:hAnsi="Calibri" w:cs="Calibri"/>
          <w:noProof/>
          <w:color w:val="auto"/>
          <w:lang w:val="en-GB"/>
        </w:rPr>
        <w:t>[20]</w:t>
      </w:r>
      <w:r w:rsidRPr="00F0434A">
        <w:rPr>
          <w:rFonts w:ascii="Calibri" w:hAnsi="Calibri" w:cs="Calibri"/>
          <w:noProof/>
          <w:color w:val="auto"/>
          <w:lang w:val="en-GB"/>
        </w:rPr>
        <w:tab/>
        <w:t>Friston K, Moran R, Seth AK. Analysing connectivity with Granger causality and dynamic causal modelling. Curr Opin Neurobiol 2013;23:172–8. https://doi.org/10.1016/j.conb.2012.11.010.</w:t>
      </w:r>
    </w:p>
    <w:p w:rsidR="00F0434A" w:rsidRPr="00F0434A" w:rsidRDefault="00F0434A" w:rsidP="00F0434A">
      <w:pPr>
        <w:widowControl w:val="0"/>
        <w:autoSpaceDE w:val="0"/>
        <w:autoSpaceDN w:val="0"/>
        <w:adjustRightInd w:val="0"/>
        <w:ind w:left="640" w:hanging="640"/>
        <w:rPr>
          <w:rFonts w:ascii="Calibri" w:hAnsi="Calibri" w:cs="Calibri"/>
          <w:noProof/>
          <w:color w:val="auto"/>
          <w:lang w:val="en-GB"/>
        </w:rPr>
      </w:pPr>
      <w:r w:rsidRPr="00F0434A">
        <w:rPr>
          <w:rFonts w:ascii="Calibri" w:hAnsi="Calibri" w:cs="Calibri"/>
          <w:noProof/>
          <w:color w:val="auto"/>
          <w:lang w:val="en-GB"/>
        </w:rPr>
        <w:t>[21]</w:t>
      </w:r>
      <w:r w:rsidRPr="00F0434A">
        <w:rPr>
          <w:rFonts w:ascii="Calibri" w:hAnsi="Calibri" w:cs="Calibri"/>
          <w:noProof/>
          <w:color w:val="auto"/>
          <w:lang w:val="en-GB"/>
        </w:rPr>
        <w:tab/>
        <w:t>Ponten SC, Bartolomei F, Stam CJ. Small-world networks and epilepsy: graph theoretical analysis of intracerebrally  recorded mesial temporal lobe seizures. Clin Neurophysiol 2007;118:918–27. https://doi.org/10.1016/j.clinph.2006.12.002.</w:t>
      </w:r>
    </w:p>
    <w:p w:rsidR="00F0434A" w:rsidRPr="00F0434A" w:rsidRDefault="00F0434A" w:rsidP="00F0434A">
      <w:pPr>
        <w:widowControl w:val="0"/>
        <w:autoSpaceDE w:val="0"/>
        <w:autoSpaceDN w:val="0"/>
        <w:adjustRightInd w:val="0"/>
        <w:ind w:left="640" w:hanging="640"/>
        <w:rPr>
          <w:rFonts w:ascii="Calibri" w:hAnsi="Calibri" w:cs="Calibri"/>
          <w:noProof/>
          <w:color w:val="auto"/>
          <w:lang w:val="en-GB"/>
        </w:rPr>
      </w:pPr>
      <w:r w:rsidRPr="00F0434A">
        <w:rPr>
          <w:rFonts w:ascii="Calibri" w:hAnsi="Calibri" w:cs="Calibri"/>
          <w:noProof/>
          <w:color w:val="auto"/>
          <w:lang w:val="en-GB"/>
        </w:rPr>
        <w:t>[22]</w:t>
      </w:r>
      <w:r w:rsidRPr="00F0434A">
        <w:rPr>
          <w:rFonts w:ascii="Calibri" w:hAnsi="Calibri" w:cs="Calibri"/>
          <w:noProof/>
          <w:color w:val="auto"/>
          <w:lang w:val="en-GB"/>
        </w:rPr>
        <w:tab/>
        <w:t>Wendling F, Chauvel P, Biraben A, Bartolomei F. From intracerebral EEG signals to brain connectivity: identification of epileptogenic networks in partial epilepsy. Front Syst Neurosci 2010;4:154. https://doi.org/10.3389/fnsys.2010.00154.</w:t>
      </w:r>
    </w:p>
    <w:p w:rsidR="00F0434A" w:rsidRPr="00F0434A" w:rsidRDefault="00F0434A" w:rsidP="00F0434A">
      <w:pPr>
        <w:widowControl w:val="0"/>
        <w:autoSpaceDE w:val="0"/>
        <w:autoSpaceDN w:val="0"/>
        <w:adjustRightInd w:val="0"/>
        <w:ind w:left="640" w:hanging="640"/>
        <w:rPr>
          <w:rFonts w:ascii="Calibri" w:hAnsi="Calibri" w:cs="Calibri"/>
          <w:noProof/>
          <w:color w:val="auto"/>
        </w:rPr>
      </w:pPr>
      <w:r w:rsidRPr="00F0434A">
        <w:rPr>
          <w:rFonts w:ascii="Calibri" w:hAnsi="Calibri" w:cs="Calibri"/>
          <w:noProof/>
          <w:color w:val="auto"/>
          <w:lang w:val="en-GB"/>
        </w:rPr>
        <w:t>[23]</w:t>
      </w:r>
      <w:r w:rsidRPr="00F0434A">
        <w:rPr>
          <w:rFonts w:ascii="Calibri" w:hAnsi="Calibri" w:cs="Calibri"/>
          <w:noProof/>
          <w:color w:val="auto"/>
          <w:lang w:val="en-GB"/>
        </w:rPr>
        <w:tab/>
        <w:t xml:space="preserve">Coito A, Plomp G, Genetti M, Abela E, Wiest R, Seeck M, et al. Dynamic directed interictal connectivity in left and right temporal lobe epilepsy. </w:t>
      </w:r>
      <w:r w:rsidRPr="00F0434A">
        <w:rPr>
          <w:rFonts w:ascii="Calibri" w:hAnsi="Calibri" w:cs="Calibri"/>
          <w:noProof/>
          <w:color w:val="auto"/>
        </w:rPr>
        <w:t>Epilepsia 2015;56:207–17. https://doi.org/10.1111/epi.12904.</w:t>
      </w:r>
    </w:p>
    <w:p w:rsidR="00F0434A" w:rsidRPr="00F0434A" w:rsidRDefault="00F0434A" w:rsidP="00F0434A">
      <w:pPr>
        <w:widowControl w:val="0"/>
        <w:autoSpaceDE w:val="0"/>
        <w:autoSpaceDN w:val="0"/>
        <w:adjustRightInd w:val="0"/>
        <w:ind w:left="640" w:hanging="640"/>
        <w:rPr>
          <w:rFonts w:ascii="Calibri" w:hAnsi="Calibri" w:cs="Calibri"/>
          <w:noProof/>
          <w:color w:val="auto"/>
          <w:lang w:val="en-GB"/>
        </w:rPr>
      </w:pPr>
      <w:r w:rsidRPr="00F0434A">
        <w:rPr>
          <w:rFonts w:ascii="Calibri" w:hAnsi="Calibri" w:cs="Calibri"/>
          <w:noProof/>
          <w:color w:val="auto"/>
        </w:rPr>
        <w:t>[24]</w:t>
      </w:r>
      <w:r w:rsidRPr="00F0434A">
        <w:rPr>
          <w:rFonts w:ascii="Calibri" w:hAnsi="Calibri" w:cs="Calibri"/>
          <w:noProof/>
          <w:color w:val="auto"/>
        </w:rPr>
        <w:tab/>
        <w:t xml:space="preserve">Vecchio F, Miraglia F, Curcio G, Della Marca G, Vollono C, Mazzucchi E, et al. </w:t>
      </w:r>
      <w:r w:rsidRPr="00F0434A">
        <w:rPr>
          <w:rFonts w:ascii="Calibri" w:hAnsi="Calibri" w:cs="Calibri"/>
          <w:noProof/>
          <w:color w:val="auto"/>
          <w:lang w:val="en-GB"/>
        </w:rPr>
        <w:t>Cortical connectivity in fronto-temporal focal epilepsy from EEG analysis: A study via graph theory. Clin Neurophysiol 2015;126:1108–16. https://doi.org/10.1016/j.clinph.2014.09.019.</w:t>
      </w:r>
    </w:p>
    <w:p w:rsidR="00F0434A" w:rsidRPr="00F0434A" w:rsidRDefault="00F0434A" w:rsidP="00F0434A">
      <w:pPr>
        <w:widowControl w:val="0"/>
        <w:autoSpaceDE w:val="0"/>
        <w:autoSpaceDN w:val="0"/>
        <w:adjustRightInd w:val="0"/>
        <w:ind w:left="640" w:hanging="640"/>
        <w:rPr>
          <w:rFonts w:ascii="Calibri" w:hAnsi="Calibri" w:cs="Calibri"/>
          <w:noProof/>
          <w:color w:val="auto"/>
          <w:lang w:val="en-GB"/>
        </w:rPr>
      </w:pPr>
      <w:r w:rsidRPr="00F0434A">
        <w:rPr>
          <w:rFonts w:ascii="Calibri" w:hAnsi="Calibri" w:cs="Calibri"/>
          <w:noProof/>
          <w:color w:val="auto"/>
          <w:lang w:val="en-GB"/>
        </w:rPr>
        <w:t>[25]</w:t>
      </w:r>
      <w:r w:rsidRPr="00F0434A">
        <w:rPr>
          <w:rFonts w:ascii="Calibri" w:hAnsi="Calibri" w:cs="Calibri"/>
          <w:noProof/>
          <w:color w:val="auto"/>
          <w:lang w:val="en-GB"/>
        </w:rPr>
        <w:tab/>
        <w:t>Bartolomei F, Lagarde S, Wendling F, McGonigal A, Jirsa V, Guye M, et al. Defining epileptogenic networks: Contribution of SEEG and signal analysis. Epilepsia 2017;58:1131–47. https://doi.org/10.1111/epi.13791.</w:t>
      </w:r>
    </w:p>
    <w:p w:rsidR="00F0434A" w:rsidRPr="00F0434A" w:rsidRDefault="00F0434A" w:rsidP="00F0434A">
      <w:pPr>
        <w:widowControl w:val="0"/>
        <w:autoSpaceDE w:val="0"/>
        <w:autoSpaceDN w:val="0"/>
        <w:adjustRightInd w:val="0"/>
        <w:ind w:left="640" w:hanging="640"/>
        <w:rPr>
          <w:rFonts w:ascii="Calibri" w:hAnsi="Calibri" w:cs="Calibri"/>
          <w:noProof/>
          <w:color w:val="auto"/>
          <w:lang w:val="en-GB"/>
        </w:rPr>
      </w:pPr>
      <w:r w:rsidRPr="00F0434A">
        <w:rPr>
          <w:rFonts w:ascii="Calibri" w:hAnsi="Calibri" w:cs="Calibri"/>
          <w:noProof/>
          <w:color w:val="auto"/>
          <w:lang w:val="en-GB"/>
        </w:rPr>
        <w:t>[26]</w:t>
      </w:r>
      <w:r w:rsidRPr="00F0434A">
        <w:rPr>
          <w:rFonts w:ascii="Calibri" w:hAnsi="Calibri" w:cs="Calibri"/>
          <w:noProof/>
          <w:color w:val="auto"/>
          <w:lang w:val="en-GB"/>
        </w:rPr>
        <w:tab/>
        <w:t>Storti SF, Galazzo IB, Khan S, Manganotti P, Menegaz G. Exploring the Epileptic Brain Network Using Time-Variant Effective Connectivity and Graph Theory. IEEE J Biomed Heal Informatics 2017;21:1411–21. https://doi.org/10.1109/JBHI.2016.2607802.</w:t>
      </w:r>
    </w:p>
    <w:p w:rsidR="00F0434A" w:rsidRPr="00F0434A" w:rsidRDefault="00F0434A" w:rsidP="00F0434A">
      <w:pPr>
        <w:widowControl w:val="0"/>
        <w:autoSpaceDE w:val="0"/>
        <w:autoSpaceDN w:val="0"/>
        <w:adjustRightInd w:val="0"/>
        <w:ind w:left="640" w:hanging="640"/>
        <w:rPr>
          <w:rFonts w:ascii="Calibri" w:hAnsi="Calibri" w:cs="Calibri"/>
          <w:noProof/>
          <w:color w:val="auto"/>
          <w:lang w:val="en-GB"/>
        </w:rPr>
      </w:pPr>
      <w:r w:rsidRPr="00F0434A">
        <w:rPr>
          <w:rFonts w:ascii="Calibri" w:hAnsi="Calibri" w:cs="Calibri"/>
          <w:noProof/>
          <w:color w:val="auto"/>
          <w:lang w:val="en-GB"/>
        </w:rPr>
        <w:t>[27]</w:t>
      </w:r>
      <w:r w:rsidRPr="00F0434A">
        <w:rPr>
          <w:rFonts w:ascii="Calibri" w:hAnsi="Calibri" w:cs="Calibri"/>
          <w:noProof/>
          <w:color w:val="auto"/>
          <w:lang w:val="en-GB"/>
        </w:rPr>
        <w:tab/>
        <w:t>Lagarde S, Roehri N, Lambert I, Trebuchon A, McGonigal A, Carron R, et al. Interictal stereotactic-EEG functional connectivity in refractory focal epilepsies. Brain 2018;141:2966–80. https://doi.org/10.1093/brain/awy214.</w:t>
      </w:r>
    </w:p>
    <w:p w:rsidR="00F0434A" w:rsidRPr="00F0434A" w:rsidRDefault="00F0434A" w:rsidP="00F0434A">
      <w:pPr>
        <w:widowControl w:val="0"/>
        <w:autoSpaceDE w:val="0"/>
        <w:autoSpaceDN w:val="0"/>
        <w:adjustRightInd w:val="0"/>
        <w:ind w:left="640" w:hanging="640"/>
        <w:rPr>
          <w:rFonts w:ascii="Calibri" w:hAnsi="Calibri" w:cs="Calibri"/>
          <w:noProof/>
          <w:color w:val="auto"/>
          <w:lang w:val="en-GB"/>
        </w:rPr>
      </w:pPr>
      <w:r w:rsidRPr="00F0434A">
        <w:rPr>
          <w:rFonts w:ascii="Calibri" w:hAnsi="Calibri" w:cs="Calibri"/>
          <w:noProof/>
          <w:color w:val="auto"/>
          <w:lang w:val="en-GB"/>
        </w:rPr>
        <w:t>[28]</w:t>
      </w:r>
      <w:r w:rsidRPr="00F0434A">
        <w:rPr>
          <w:rFonts w:ascii="Calibri" w:hAnsi="Calibri" w:cs="Calibri"/>
          <w:noProof/>
          <w:color w:val="auto"/>
          <w:lang w:val="en-GB"/>
        </w:rPr>
        <w:tab/>
        <w:t>Ding L, Worrell GA, Lagerlund TD, He B. Ictal source analysis: localization and imaging of causal interactions in humans. Neuroimage 2007;34:575–86. https://doi.org/10.1016/j.neuroimage.2006.09.042.</w:t>
      </w:r>
    </w:p>
    <w:p w:rsidR="00F0434A" w:rsidRPr="00F0434A" w:rsidRDefault="00F0434A" w:rsidP="00F0434A">
      <w:pPr>
        <w:widowControl w:val="0"/>
        <w:autoSpaceDE w:val="0"/>
        <w:autoSpaceDN w:val="0"/>
        <w:adjustRightInd w:val="0"/>
        <w:ind w:left="640" w:hanging="640"/>
        <w:rPr>
          <w:rFonts w:ascii="Calibri" w:hAnsi="Calibri" w:cs="Calibri"/>
          <w:noProof/>
          <w:color w:val="auto"/>
          <w:lang w:val="en-GB"/>
        </w:rPr>
      </w:pPr>
      <w:r w:rsidRPr="00F0434A">
        <w:rPr>
          <w:rFonts w:ascii="Calibri" w:hAnsi="Calibri" w:cs="Calibri"/>
          <w:noProof/>
          <w:color w:val="auto"/>
          <w:lang w:val="en-GB"/>
        </w:rPr>
        <w:t>[29]</w:t>
      </w:r>
      <w:r w:rsidRPr="00F0434A">
        <w:rPr>
          <w:rFonts w:ascii="Calibri" w:hAnsi="Calibri" w:cs="Calibri"/>
          <w:noProof/>
          <w:color w:val="auto"/>
          <w:lang w:val="en-GB"/>
        </w:rPr>
        <w:tab/>
        <w:t>Wilke C, Worrell GA, He B. Analysis of epileptogenic network properties during ictal activity. Conf Proc  . Annu Int Conf IEEE Eng Med Biol Soc IEEE Eng Med Biol Soc Annu Conf 2009;2009:2220–3. https://doi.org/10.1109/IEMBS.2009.5334866.</w:t>
      </w:r>
    </w:p>
    <w:p w:rsidR="00F0434A" w:rsidRPr="00F0434A" w:rsidRDefault="00F0434A" w:rsidP="00F0434A">
      <w:pPr>
        <w:widowControl w:val="0"/>
        <w:autoSpaceDE w:val="0"/>
        <w:autoSpaceDN w:val="0"/>
        <w:adjustRightInd w:val="0"/>
        <w:ind w:left="640" w:hanging="640"/>
        <w:rPr>
          <w:rFonts w:ascii="Calibri" w:hAnsi="Calibri" w:cs="Calibri"/>
          <w:noProof/>
          <w:color w:val="auto"/>
          <w:lang w:val="en-GB"/>
        </w:rPr>
      </w:pPr>
      <w:r w:rsidRPr="00F0434A">
        <w:rPr>
          <w:rFonts w:ascii="Calibri" w:hAnsi="Calibri" w:cs="Calibri"/>
          <w:noProof/>
          <w:color w:val="auto"/>
        </w:rPr>
        <w:t>[30]</w:t>
      </w:r>
      <w:r w:rsidRPr="00F0434A">
        <w:rPr>
          <w:rFonts w:ascii="Calibri" w:hAnsi="Calibri" w:cs="Calibri"/>
          <w:noProof/>
          <w:color w:val="auto"/>
        </w:rPr>
        <w:tab/>
        <w:t xml:space="preserve">van Mierlo P, Papadopoulou M, Carrette E, Boon P, Vandenberghe S, Vonck K, et al. </w:t>
      </w:r>
      <w:r w:rsidRPr="00F0434A">
        <w:rPr>
          <w:rFonts w:ascii="Calibri" w:hAnsi="Calibri" w:cs="Calibri"/>
          <w:noProof/>
          <w:color w:val="auto"/>
          <w:lang w:val="en-GB"/>
        </w:rPr>
        <w:t>Functional brain connectivity from EEG in epilepsy: seizure prediction and epileptogenic focus localization. Prog Neurobiol 2014;121:19–35. https://doi.org/10.1016/j.pneurobio.2014.06.004.</w:t>
      </w:r>
    </w:p>
    <w:p w:rsidR="00F0434A" w:rsidRPr="00F0434A" w:rsidRDefault="00F0434A" w:rsidP="00F0434A">
      <w:pPr>
        <w:widowControl w:val="0"/>
        <w:autoSpaceDE w:val="0"/>
        <w:autoSpaceDN w:val="0"/>
        <w:adjustRightInd w:val="0"/>
        <w:ind w:left="640" w:hanging="640"/>
        <w:rPr>
          <w:rFonts w:ascii="Calibri" w:hAnsi="Calibri" w:cs="Calibri"/>
          <w:noProof/>
          <w:color w:val="auto"/>
        </w:rPr>
      </w:pPr>
      <w:r w:rsidRPr="00F0434A">
        <w:rPr>
          <w:rFonts w:ascii="Calibri" w:hAnsi="Calibri" w:cs="Calibri"/>
          <w:noProof/>
          <w:color w:val="auto"/>
          <w:lang w:val="en-GB"/>
        </w:rPr>
        <w:t>[31]</w:t>
      </w:r>
      <w:r w:rsidRPr="00F0434A">
        <w:rPr>
          <w:rFonts w:ascii="Calibri" w:hAnsi="Calibri" w:cs="Calibri"/>
          <w:noProof/>
          <w:color w:val="auto"/>
          <w:lang w:val="en-GB"/>
        </w:rPr>
        <w:tab/>
        <w:t xml:space="preserve">Elshoff L, Muthuraman M, Anwar AR, Deuschl G, Stephani U, Raethjen J, et al. Dynamic imaging of coherent sources reveals different network connectivity underlying the generation and perpetuation of epileptic seizures. </w:t>
      </w:r>
      <w:r w:rsidRPr="00F0434A">
        <w:rPr>
          <w:rFonts w:ascii="Calibri" w:hAnsi="Calibri" w:cs="Calibri"/>
          <w:noProof/>
          <w:color w:val="auto"/>
        </w:rPr>
        <w:t>PLoS One 2013;8:e78422. https://doi.org/10.1371/journal.pone.0078422.</w:t>
      </w:r>
    </w:p>
    <w:p w:rsidR="00F0434A" w:rsidRPr="00F0434A" w:rsidRDefault="00F0434A" w:rsidP="00F0434A">
      <w:pPr>
        <w:widowControl w:val="0"/>
        <w:autoSpaceDE w:val="0"/>
        <w:autoSpaceDN w:val="0"/>
        <w:adjustRightInd w:val="0"/>
        <w:ind w:left="640" w:hanging="640"/>
        <w:rPr>
          <w:rFonts w:ascii="Calibri" w:hAnsi="Calibri" w:cs="Calibri"/>
          <w:noProof/>
          <w:color w:val="auto"/>
          <w:lang w:val="en-GB"/>
        </w:rPr>
      </w:pPr>
      <w:r w:rsidRPr="00F0434A">
        <w:rPr>
          <w:rFonts w:ascii="Calibri" w:hAnsi="Calibri" w:cs="Calibri"/>
          <w:noProof/>
          <w:color w:val="auto"/>
        </w:rPr>
        <w:t>[32]</w:t>
      </w:r>
      <w:r w:rsidRPr="00F0434A">
        <w:rPr>
          <w:rFonts w:ascii="Calibri" w:hAnsi="Calibri" w:cs="Calibri"/>
          <w:noProof/>
          <w:color w:val="auto"/>
        </w:rPr>
        <w:tab/>
        <w:t xml:space="preserve">van Mierlo P, Carrette E, Hallez H, Raedt R, Meurs A, Vandenberghe S, et al. </w:t>
      </w:r>
      <w:r w:rsidRPr="00F0434A">
        <w:rPr>
          <w:rFonts w:ascii="Calibri" w:hAnsi="Calibri" w:cs="Calibri"/>
          <w:noProof/>
          <w:color w:val="auto"/>
          <w:lang w:val="en-GB"/>
        </w:rPr>
        <w:t xml:space="preserve">Ictal-onset localization through connectivity analysis of intracranial EEG signals in patients with </w:t>
      </w:r>
      <w:r w:rsidRPr="00F0434A">
        <w:rPr>
          <w:rFonts w:ascii="Calibri" w:hAnsi="Calibri" w:cs="Calibri"/>
          <w:noProof/>
          <w:color w:val="auto"/>
          <w:lang w:val="en-GB"/>
        </w:rPr>
        <w:lastRenderedPageBreak/>
        <w:t>refractory epilepsy. Epilepsia 2013;54:1409–18. https://doi.org/10.1111/epi.12206.</w:t>
      </w:r>
    </w:p>
    <w:p w:rsidR="00F0434A" w:rsidRPr="00F0434A" w:rsidRDefault="00F0434A" w:rsidP="00F0434A">
      <w:pPr>
        <w:widowControl w:val="0"/>
        <w:autoSpaceDE w:val="0"/>
        <w:autoSpaceDN w:val="0"/>
        <w:adjustRightInd w:val="0"/>
        <w:ind w:left="640" w:hanging="640"/>
        <w:rPr>
          <w:rFonts w:ascii="Calibri" w:hAnsi="Calibri" w:cs="Calibri"/>
          <w:noProof/>
          <w:color w:val="auto"/>
          <w:lang w:val="en-GB"/>
        </w:rPr>
      </w:pPr>
      <w:r w:rsidRPr="00F0434A">
        <w:rPr>
          <w:rFonts w:ascii="Calibri" w:hAnsi="Calibri" w:cs="Calibri"/>
          <w:noProof/>
          <w:color w:val="auto"/>
          <w:lang w:val="en-GB"/>
        </w:rPr>
        <w:t>[33]</w:t>
      </w:r>
      <w:r w:rsidRPr="00F0434A">
        <w:rPr>
          <w:rFonts w:ascii="Calibri" w:hAnsi="Calibri" w:cs="Calibri"/>
          <w:noProof/>
          <w:color w:val="auto"/>
          <w:lang w:val="en-GB"/>
        </w:rPr>
        <w:tab/>
        <w:t>Staljanssens W, Strobbe G, Holen R Van, Birot G, Gschwind M, Seeck M, et al. Seizure Onset Zone Localization from Ictal High-Density EEG in Refractory Focal Epilepsy. Brain Topogr 2017;30:257–71. https://doi.org/10.1007/s10548-016-0537-8.</w:t>
      </w:r>
    </w:p>
    <w:p w:rsidR="00F0434A" w:rsidRPr="00F0434A" w:rsidRDefault="00F0434A" w:rsidP="00F0434A">
      <w:pPr>
        <w:widowControl w:val="0"/>
        <w:autoSpaceDE w:val="0"/>
        <w:autoSpaceDN w:val="0"/>
        <w:adjustRightInd w:val="0"/>
        <w:ind w:left="640" w:hanging="640"/>
        <w:rPr>
          <w:rFonts w:ascii="Calibri" w:hAnsi="Calibri" w:cs="Calibri"/>
          <w:noProof/>
          <w:color w:val="auto"/>
          <w:lang w:val="en-GB"/>
        </w:rPr>
      </w:pPr>
      <w:r w:rsidRPr="00F0434A">
        <w:rPr>
          <w:rFonts w:ascii="Calibri" w:hAnsi="Calibri" w:cs="Calibri"/>
          <w:noProof/>
          <w:color w:val="auto"/>
          <w:lang w:val="en-GB"/>
        </w:rPr>
        <w:t>[34]</w:t>
      </w:r>
      <w:r w:rsidRPr="00F0434A">
        <w:rPr>
          <w:rFonts w:ascii="Calibri" w:hAnsi="Calibri" w:cs="Calibri"/>
          <w:noProof/>
          <w:color w:val="auto"/>
          <w:lang w:val="en-GB"/>
        </w:rPr>
        <w:tab/>
        <w:t>van Mierlo P, Holler Y, Focke NK, Vulliemoz S. Network Perspectives on Epilepsy Using EEG/MEG Source Connectivity. Front Neurol 2019;10:721. https://doi.org/10.3389/fneur.2019.00721.</w:t>
      </w:r>
    </w:p>
    <w:p w:rsidR="00F0434A" w:rsidRPr="00F0434A" w:rsidRDefault="00F0434A" w:rsidP="00F0434A">
      <w:pPr>
        <w:widowControl w:val="0"/>
        <w:autoSpaceDE w:val="0"/>
        <w:autoSpaceDN w:val="0"/>
        <w:adjustRightInd w:val="0"/>
        <w:ind w:left="640" w:hanging="640"/>
        <w:rPr>
          <w:rFonts w:ascii="Calibri" w:hAnsi="Calibri" w:cs="Calibri"/>
          <w:noProof/>
          <w:color w:val="auto"/>
          <w:lang w:val="fr-BE"/>
        </w:rPr>
      </w:pPr>
      <w:r w:rsidRPr="00F0434A">
        <w:rPr>
          <w:rFonts w:ascii="Calibri" w:hAnsi="Calibri" w:cs="Calibri"/>
          <w:noProof/>
          <w:color w:val="auto"/>
          <w:lang w:val="en-GB"/>
        </w:rPr>
        <w:t>[35]</w:t>
      </w:r>
      <w:r w:rsidRPr="00F0434A">
        <w:rPr>
          <w:rFonts w:ascii="Calibri" w:hAnsi="Calibri" w:cs="Calibri"/>
          <w:noProof/>
          <w:color w:val="auto"/>
          <w:lang w:val="en-GB"/>
        </w:rPr>
        <w:tab/>
        <w:t xml:space="preserve">Staljanssens W, Strobbe G, Van Holen R, Keereman V, Gadeyne S, Carrette E, et al. EEG source connectivity to localize the seizure onset zone in patients with drug  resistant epilepsy. </w:t>
      </w:r>
      <w:r w:rsidRPr="00F0434A">
        <w:rPr>
          <w:rFonts w:ascii="Calibri" w:hAnsi="Calibri" w:cs="Calibri"/>
          <w:noProof/>
          <w:color w:val="auto"/>
          <w:lang w:val="fr-BE"/>
        </w:rPr>
        <w:t>NeuroImage Clin 2017;16:689–98. https://doi.org/10.1016/j.nicl.2017.09.011.</w:t>
      </w:r>
    </w:p>
    <w:p w:rsidR="00F0434A" w:rsidRPr="00F0434A" w:rsidRDefault="00F0434A" w:rsidP="00F0434A">
      <w:pPr>
        <w:widowControl w:val="0"/>
        <w:autoSpaceDE w:val="0"/>
        <w:autoSpaceDN w:val="0"/>
        <w:adjustRightInd w:val="0"/>
        <w:ind w:left="640" w:hanging="640"/>
        <w:rPr>
          <w:rFonts w:ascii="Calibri" w:hAnsi="Calibri" w:cs="Calibri"/>
          <w:noProof/>
          <w:color w:val="auto"/>
          <w:lang w:val="en-GB"/>
        </w:rPr>
      </w:pPr>
      <w:r w:rsidRPr="00F0434A">
        <w:rPr>
          <w:rFonts w:ascii="Calibri" w:hAnsi="Calibri" w:cs="Calibri"/>
          <w:noProof/>
          <w:color w:val="auto"/>
          <w:lang w:val="fr-BE"/>
        </w:rPr>
        <w:t>[36]</w:t>
      </w:r>
      <w:r w:rsidRPr="00F0434A">
        <w:rPr>
          <w:rFonts w:ascii="Calibri" w:hAnsi="Calibri" w:cs="Calibri"/>
          <w:noProof/>
          <w:color w:val="auto"/>
          <w:lang w:val="fr-BE"/>
        </w:rPr>
        <w:tab/>
        <w:t xml:space="preserve">Assaf BA, Ebersole JS. </w:t>
      </w:r>
      <w:r w:rsidRPr="00F0434A">
        <w:rPr>
          <w:rFonts w:ascii="Calibri" w:hAnsi="Calibri" w:cs="Calibri"/>
          <w:noProof/>
          <w:color w:val="auto"/>
          <w:lang w:val="en-GB"/>
        </w:rPr>
        <w:t>Continuous source imaging of scalp ictal rhythms in temporal lobe epilepsy. Epilepsia 1997;38:1114–23.</w:t>
      </w:r>
    </w:p>
    <w:p w:rsidR="00F0434A" w:rsidRPr="00F0434A" w:rsidRDefault="00F0434A" w:rsidP="00F0434A">
      <w:pPr>
        <w:widowControl w:val="0"/>
        <w:autoSpaceDE w:val="0"/>
        <w:autoSpaceDN w:val="0"/>
        <w:adjustRightInd w:val="0"/>
        <w:ind w:left="640" w:hanging="640"/>
        <w:rPr>
          <w:rFonts w:ascii="Calibri" w:hAnsi="Calibri" w:cs="Calibri"/>
          <w:noProof/>
          <w:color w:val="auto"/>
          <w:lang w:val="en-GB"/>
        </w:rPr>
      </w:pPr>
      <w:r w:rsidRPr="00F0434A">
        <w:rPr>
          <w:rFonts w:ascii="Calibri" w:hAnsi="Calibri" w:cs="Calibri"/>
          <w:noProof/>
          <w:color w:val="auto"/>
          <w:lang w:val="en-GB"/>
        </w:rPr>
        <w:t>[37]</w:t>
      </w:r>
      <w:r w:rsidRPr="00F0434A">
        <w:rPr>
          <w:rFonts w:ascii="Calibri" w:hAnsi="Calibri" w:cs="Calibri"/>
          <w:noProof/>
          <w:color w:val="auto"/>
          <w:lang w:val="en-GB"/>
        </w:rPr>
        <w:tab/>
        <w:t>Lantz G, Michel CM, Seeck M, Blanke O, Landis T, Rosen I. Frequency domain EEG source localization of ictal epileptiform activity in patients with partial complex epilepsy of temporal lobe origin. Clin Neurophysiol 1999;110:176–84.</w:t>
      </w:r>
    </w:p>
    <w:p w:rsidR="00F0434A" w:rsidRPr="00F0434A" w:rsidRDefault="00F0434A" w:rsidP="00F0434A">
      <w:pPr>
        <w:widowControl w:val="0"/>
        <w:autoSpaceDE w:val="0"/>
        <w:autoSpaceDN w:val="0"/>
        <w:adjustRightInd w:val="0"/>
        <w:ind w:left="640" w:hanging="640"/>
        <w:rPr>
          <w:rFonts w:ascii="Calibri" w:hAnsi="Calibri" w:cs="Calibri"/>
          <w:noProof/>
          <w:color w:val="auto"/>
          <w:lang w:val="en-GB"/>
        </w:rPr>
      </w:pPr>
      <w:r w:rsidRPr="00F0434A">
        <w:rPr>
          <w:rFonts w:ascii="Calibri" w:hAnsi="Calibri" w:cs="Calibri"/>
          <w:noProof/>
          <w:color w:val="auto"/>
          <w:lang w:val="en-GB"/>
        </w:rPr>
        <w:t>[38]</w:t>
      </w:r>
      <w:r w:rsidRPr="00F0434A">
        <w:rPr>
          <w:rFonts w:ascii="Calibri" w:hAnsi="Calibri" w:cs="Calibri"/>
          <w:noProof/>
          <w:color w:val="auto"/>
          <w:lang w:val="en-GB"/>
        </w:rPr>
        <w:tab/>
        <w:t>Boon P, D’Have M, Vanrumste B, Van Hoey G, Vonck K, Van Walleghem P, et al. Ictal source localization in presurgical patients with refractory epilepsy. J Clin Neurophysiol 2002;19:461–8.</w:t>
      </w:r>
    </w:p>
    <w:p w:rsidR="00F0434A" w:rsidRPr="00F0434A" w:rsidRDefault="00F0434A" w:rsidP="00F0434A">
      <w:pPr>
        <w:widowControl w:val="0"/>
        <w:autoSpaceDE w:val="0"/>
        <w:autoSpaceDN w:val="0"/>
        <w:adjustRightInd w:val="0"/>
        <w:ind w:left="640" w:hanging="640"/>
        <w:rPr>
          <w:rFonts w:ascii="Calibri" w:hAnsi="Calibri" w:cs="Calibri"/>
          <w:noProof/>
          <w:color w:val="auto"/>
          <w:lang w:val="en-GB"/>
        </w:rPr>
      </w:pPr>
      <w:r w:rsidRPr="00F0434A">
        <w:rPr>
          <w:rFonts w:ascii="Calibri" w:hAnsi="Calibri" w:cs="Calibri"/>
          <w:noProof/>
          <w:color w:val="auto"/>
          <w:lang w:val="fr-BE"/>
        </w:rPr>
        <w:t>[39]</w:t>
      </w:r>
      <w:r w:rsidRPr="00F0434A">
        <w:rPr>
          <w:rFonts w:ascii="Calibri" w:hAnsi="Calibri" w:cs="Calibri"/>
          <w:noProof/>
          <w:color w:val="auto"/>
          <w:lang w:val="fr-BE"/>
        </w:rPr>
        <w:tab/>
        <w:t xml:space="preserve">Koessler L, Benar C, Maillard L, Badier J-M, Vignal JP, Bartolomei F, et al. </w:t>
      </w:r>
      <w:r w:rsidRPr="00F0434A">
        <w:rPr>
          <w:rFonts w:ascii="Calibri" w:hAnsi="Calibri" w:cs="Calibri"/>
          <w:noProof/>
          <w:color w:val="auto"/>
          <w:lang w:val="en-GB"/>
        </w:rPr>
        <w:t>Source localization of ictal epileptic activity investigated by high resolution EEG and validated by SEEG. Neuroimage 2010;51:642–53. https://doi.org/10.1016/j.neuroimage.2010.02.067.</w:t>
      </w:r>
    </w:p>
    <w:p w:rsidR="00F0434A" w:rsidRPr="00F0434A" w:rsidRDefault="00F0434A" w:rsidP="00F0434A">
      <w:pPr>
        <w:widowControl w:val="0"/>
        <w:autoSpaceDE w:val="0"/>
        <w:autoSpaceDN w:val="0"/>
        <w:adjustRightInd w:val="0"/>
        <w:ind w:left="640" w:hanging="640"/>
        <w:rPr>
          <w:rFonts w:ascii="Calibri" w:hAnsi="Calibri" w:cs="Calibri"/>
          <w:noProof/>
          <w:color w:val="auto"/>
          <w:lang w:val="en-GB"/>
        </w:rPr>
      </w:pPr>
      <w:r w:rsidRPr="00F0434A">
        <w:rPr>
          <w:rFonts w:ascii="Calibri" w:hAnsi="Calibri" w:cs="Calibri"/>
          <w:noProof/>
          <w:color w:val="auto"/>
          <w:lang w:val="en-GB"/>
        </w:rPr>
        <w:t>[40]</w:t>
      </w:r>
      <w:r w:rsidRPr="00F0434A">
        <w:rPr>
          <w:rFonts w:ascii="Calibri" w:hAnsi="Calibri" w:cs="Calibri"/>
          <w:noProof/>
          <w:color w:val="auto"/>
          <w:lang w:val="en-GB"/>
        </w:rPr>
        <w:tab/>
        <w:t>Beniczky S, Lantz G, Rosenzweig I, Akeson P, Pedersen B, Pinborg LH, et al. Source localization of rhythmic ictal EEG activity: a study of diagnostic accuracy following STARD criteria. Epilepsia 2013;54:1743–52. https://doi.org/10.1111/epi.12339.</w:t>
      </w:r>
    </w:p>
    <w:p w:rsidR="00F0434A" w:rsidRPr="00F0434A" w:rsidRDefault="00F0434A" w:rsidP="00F0434A">
      <w:pPr>
        <w:widowControl w:val="0"/>
        <w:autoSpaceDE w:val="0"/>
        <w:autoSpaceDN w:val="0"/>
        <w:adjustRightInd w:val="0"/>
        <w:ind w:left="640" w:hanging="640"/>
        <w:rPr>
          <w:rFonts w:ascii="Calibri" w:hAnsi="Calibri" w:cs="Calibri"/>
          <w:noProof/>
          <w:color w:val="auto"/>
          <w:lang w:val="en-GB"/>
        </w:rPr>
      </w:pPr>
      <w:r w:rsidRPr="00F0434A">
        <w:rPr>
          <w:rFonts w:ascii="Calibri" w:hAnsi="Calibri" w:cs="Calibri"/>
          <w:noProof/>
          <w:color w:val="auto"/>
          <w:lang w:val="en-GB"/>
        </w:rPr>
        <w:t>[41]</w:t>
      </w:r>
      <w:r w:rsidRPr="00F0434A">
        <w:rPr>
          <w:rFonts w:ascii="Calibri" w:hAnsi="Calibri" w:cs="Calibri"/>
          <w:noProof/>
          <w:color w:val="auto"/>
          <w:lang w:val="en-GB"/>
        </w:rPr>
        <w:tab/>
        <w:t>Bartolomei F, Wendling F, Bellanger JJ, Regis J, Chauvel P. Neural networks involving the medial temporal structures in temporal lobe epilepsy. Clin Neurophysiol 2001;112:1746–60.</w:t>
      </w:r>
    </w:p>
    <w:p w:rsidR="00F0434A" w:rsidRPr="00F0434A" w:rsidRDefault="00F0434A" w:rsidP="00F0434A">
      <w:pPr>
        <w:widowControl w:val="0"/>
        <w:autoSpaceDE w:val="0"/>
        <w:autoSpaceDN w:val="0"/>
        <w:adjustRightInd w:val="0"/>
        <w:ind w:left="640" w:hanging="640"/>
        <w:rPr>
          <w:rFonts w:ascii="Calibri" w:hAnsi="Calibri" w:cs="Calibri"/>
          <w:noProof/>
          <w:color w:val="auto"/>
          <w:lang w:val="fr-BE"/>
        </w:rPr>
      </w:pPr>
      <w:r w:rsidRPr="00F0434A">
        <w:rPr>
          <w:rFonts w:ascii="Calibri" w:hAnsi="Calibri" w:cs="Calibri"/>
          <w:noProof/>
          <w:color w:val="auto"/>
          <w:lang w:val="en-GB"/>
        </w:rPr>
        <w:t>[42]</w:t>
      </w:r>
      <w:r w:rsidRPr="00F0434A">
        <w:rPr>
          <w:rFonts w:ascii="Calibri" w:hAnsi="Calibri" w:cs="Calibri"/>
          <w:noProof/>
          <w:color w:val="auto"/>
          <w:lang w:val="en-GB"/>
        </w:rPr>
        <w:tab/>
        <w:t xml:space="preserve">Englot DJ, Chang EF. Rates and predictors of seizure freedom in resective epilepsy surgery: an update. </w:t>
      </w:r>
      <w:r w:rsidRPr="00F0434A">
        <w:rPr>
          <w:rFonts w:ascii="Calibri" w:hAnsi="Calibri" w:cs="Calibri"/>
          <w:noProof/>
          <w:color w:val="auto"/>
          <w:lang w:val="fr-BE"/>
        </w:rPr>
        <w:t>Neurosurg Rev 2014;37:385–9. https://doi.org/10.1007/s10143-014-0527-9.</w:t>
      </w:r>
    </w:p>
    <w:p w:rsidR="00F0434A" w:rsidRPr="00F0434A" w:rsidRDefault="00F0434A" w:rsidP="00F0434A">
      <w:pPr>
        <w:widowControl w:val="0"/>
        <w:autoSpaceDE w:val="0"/>
        <w:autoSpaceDN w:val="0"/>
        <w:adjustRightInd w:val="0"/>
        <w:ind w:left="640" w:hanging="640"/>
        <w:rPr>
          <w:rFonts w:ascii="Calibri" w:hAnsi="Calibri" w:cs="Calibri"/>
          <w:noProof/>
          <w:color w:val="auto"/>
          <w:lang w:val="en-GB"/>
        </w:rPr>
      </w:pPr>
      <w:r w:rsidRPr="00F0434A">
        <w:rPr>
          <w:rFonts w:ascii="Calibri" w:hAnsi="Calibri" w:cs="Calibri"/>
          <w:noProof/>
          <w:color w:val="auto"/>
          <w:lang w:val="fr-BE"/>
        </w:rPr>
        <w:t>[43]</w:t>
      </w:r>
      <w:r w:rsidRPr="00F0434A">
        <w:rPr>
          <w:rFonts w:ascii="Calibri" w:hAnsi="Calibri" w:cs="Calibri"/>
          <w:noProof/>
          <w:color w:val="auto"/>
          <w:lang w:val="fr-BE"/>
        </w:rPr>
        <w:tab/>
        <w:t xml:space="preserve">Massager N, Tugendhaft P, Depondt C, Coppens T, Drogba L, Benmebarek N, et al. </w:t>
      </w:r>
      <w:r w:rsidRPr="00F0434A">
        <w:rPr>
          <w:rFonts w:ascii="Calibri" w:hAnsi="Calibri" w:cs="Calibri"/>
          <w:noProof/>
          <w:color w:val="auto"/>
          <w:lang w:val="en-GB"/>
        </w:rPr>
        <w:t>Long-term outcome of surgical disconnection of the epileptic zone as an alternative to resection for nonlesional mesial temporal epilepsy. J Neurol Neurosurg Psychiatry 2013;84:1378–83. https://doi.org/10.1136/jnnp-2012-304083.</w:t>
      </w:r>
    </w:p>
    <w:p w:rsidR="00F0434A" w:rsidRPr="00F0434A" w:rsidRDefault="00F0434A" w:rsidP="00F0434A">
      <w:pPr>
        <w:widowControl w:val="0"/>
        <w:autoSpaceDE w:val="0"/>
        <w:autoSpaceDN w:val="0"/>
        <w:adjustRightInd w:val="0"/>
        <w:ind w:left="640" w:hanging="640"/>
        <w:rPr>
          <w:rFonts w:ascii="Calibri" w:hAnsi="Calibri" w:cs="Calibri"/>
          <w:noProof/>
          <w:color w:val="auto"/>
          <w:lang w:val="en-GB"/>
        </w:rPr>
      </w:pPr>
      <w:r w:rsidRPr="00F0434A">
        <w:rPr>
          <w:rFonts w:ascii="Calibri" w:hAnsi="Calibri" w:cs="Calibri"/>
          <w:noProof/>
          <w:color w:val="auto"/>
          <w:lang w:val="en-GB"/>
        </w:rPr>
        <w:t>[44]</w:t>
      </w:r>
      <w:r w:rsidRPr="00F0434A">
        <w:rPr>
          <w:rFonts w:ascii="Calibri" w:hAnsi="Calibri" w:cs="Calibri"/>
          <w:noProof/>
          <w:color w:val="auto"/>
          <w:lang w:val="en-GB"/>
        </w:rPr>
        <w:tab/>
        <w:t>Montes-Restrepo V, Carrette E, Strobbe G, Gadeyne S, Vandenberghe S, Boon P, et al. The Role of Skull Modeling in EEG Source Imaging for Patients with Refractory Temporal Lobe Epilepsy. Brain Topogr 2016;29:572–89. https://doi.org/10.1007/s10548-016-0482-6.</w:t>
      </w:r>
    </w:p>
    <w:p w:rsidR="00F0434A" w:rsidRPr="00F0434A" w:rsidRDefault="00F0434A" w:rsidP="00F0434A">
      <w:pPr>
        <w:widowControl w:val="0"/>
        <w:autoSpaceDE w:val="0"/>
        <w:autoSpaceDN w:val="0"/>
        <w:adjustRightInd w:val="0"/>
        <w:ind w:left="640" w:hanging="640"/>
        <w:rPr>
          <w:rFonts w:ascii="Calibri" w:hAnsi="Calibri" w:cs="Calibri"/>
          <w:noProof/>
          <w:color w:val="auto"/>
          <w:lang w:val="en-GB"/>
        </w:rPr>
      </w:pPr>
      <w:r w:rsidRPr="00F0434A">
        <w:rPr>
          <w:rFonts w:ascii="Calibri" w:hAnsi="Calibri" w:cs="Calibri"/>
          <w:noProof/>
          <w:color w:val="auto"/>
          <w:lang w:val="en-GB"/>
        </w:rPr>
        <w:t>[45]</w:t>
      </w:r>
      <w:r w:rsidRPr="00F0434A">
        <w:rPr>
          <w:rFonts w:ascii="Calibri" w:hAnsi="Calibri" w:cs="Calibri"/>
          <w:noProof/>
          <w:color w:val="auto"/>
          <w:lang w:val="en-GB"/>
        </w:rPr>
        <w:tab/>
        <w:t>Pascual-Marqui RD, Michel CM, Lehmann D. Low resolution electromagnetic tomography: a new method for localizing electrical activity in the brain. Int J Psychophysiol 1994;18:49–65.</w:t>
      </w:r>
    </w:p>
    <w:p w:rsidR="00F0434A" w:rsidRPr="00F0434A" w:rsidRDefault="00F0434A" w:rsidP="00F0434A">
      <w:pPr>
        <w:widowControl w:val="0"/>
        <w:autoSpaceDE w:val="0"/>
        <w:autoSpaceDN w:val="0"/>
        <w:adjustRightInd w:val="0"/>
        <w:ind w:left="640" w:hanging="640"/>
        <w:rPr>
          <w:rFonts w:ascii="Calibri" w:hAnsi="Calibri" w:cs="Calibri"/>
          <w:noProof/>
          <w:color w:val="auto"/>
          <w:lang w:val="fr-BE"/>
        </w:rPr>
      </w:pPr>
      <w:r w:rsidRPr="00F0434A">
        <w:rPr>
          <w:rFonts w:ascii="Calibri" w:hAnsi="Calibri" w:cs="Calibri"/>
          <w:noProof/>
          <w:color w:val="auto"/>
          <w:lang w:val="en-GB"/>
        </w:rPr>
        <w:t>[46]</w:t>
      </w:r>
      <w:r w:rsidRPr="00F0434A">
        <w:rPr>
          <w:rFonts w:ascii="Calibri" w:hAnsi="Calibri" w:cs="Calibri"/>
          <w:noProof/>
          <w:color w:val="auto"/>
          <w:lang w:val="en-GB"/>
        </w:rPr>
        <w:tab/>
        <w:t xml:space="preserve">van Mierlo P, Carrette E, Hallez H, Vonck K, Van Roost D, Boon P, et al. Accurate epileptogenic focus localization through time-variant functional connectivity analysis of intracranial electroencephalographic signals. </w:t>
      </w:r>
      <w:r w:rsidRPr="00F0434A">
        <w:rPr>
          <w:rFonts w:ascii="Calibri" w:hAnsi="Calibri" w:cs="Calibri"/>
          <w:noProof/>
          <w:color w:val="auto"/>
          <w:lang w:val="fr-BE"/>
        </w:rPr>
        <w:t>Neuroimage 2011;56:1122–33. https://doi.org/10.1016/j.neuroimage.2011.02.009.</w:t>
      </w:r>
    </w:p>
    <w:p w:rsidR="00F0434A" w:rsidRPr="00F0434A" w:rsidRDefault="00F0434A" w:rsidP="00F0434A">
      <w:pPr>
        <w:widowControl w:val="0"/>
        <w:autoSpaceDE w:val="0"/>
        <w:autoSpaceDN w:val="0"/>
        <w:adjustRightInd w:val="0"/>
        <w:ind w:left="640" w:hanging="640"/>
        <w:rPr>
          <w:rFonts w:ascii="Calibri" w:hAnsi="Calibri" w:cs="Calibri"/>
          <w:noProof/>
          <w:color w:val="auto"/>
          <w:lang w:val="en-GB"/>
        </w:rPr>
      </w:pPr>
      <w:r w:rsidRPr="00F0434A">
        <w:rPr>
          <w:rFonts w:ascii="Calibri" w:hAnsi="Calibri" w:cs="Calibri"/>
          <w:noProof/>
          <w:color w:val="auto"/>
          <w:lang w:val="fr-BE"/>
        </w:rPr>
        <w:lastRenderedPageBreak/>
        <w:t>[47]</w:t>
      </w:r>
      <w:r w:rsidRPr="00F0434A">
        <w:rPr>
          <w:rFonts w:ascii="Calibri" w:hAnsi="Calibri" w:cs="Calibri"/>
          <w:noProof/>
          <w:color w:val="auto"/>
          <w:lang w:val="fr-BE"/>
        </w:rPr>
        <w:tab/>
        <w:t xml:space="preserve">Bossuyt PM, Reitsma JB, Bruns DE, Gatsonis CA, Glasziou PP, Irwig L, et al. </w:t>
      </w:r>
      <w:r w:rsidRPr="00F0434A">
        <w:rPr>
          <w:rFonts w:ascii="Calibri" w:hAnsi="Calibri" w:cs="Calibri"/>
          <w:noProof/>
          <w:color w:val="auto"/>
          <w:lang w:val="en-GB"/>
        </w:rPr>
        <w:t>STARD 2015: an updated list of essential items for reporting diagnostic accuracy  studies. BMJ 2015;351:h5527. https://doi.org/10.1136/bmj.h5527.</w:t>
      </w:r>
    </w:p>
    <w:p w:rsidR="00F0434A" w:rsidRPr="00F0434A" w:rsidRDefault="00F0434A" w:rsidP="00F0434A">
      <w:pPr>
        <w:widowControl w:val="0"/>
        <w:autoSpaceDE w:val="0"/>
        <w:autoSpaceDN w:val="0"/>
        <w:adjustRightInd w:val="0"/>
        <w:ind w:left="640" w:hanging="640"/>
        <w:rPr>
          <w:rFonts w:ascii="Calibri" w:hAnsi="Calibri" w:cs="Calibri"/>
          <w:noProof/>
          <w:color w:val="auto"/>
          <w:lang w:val="de-DE"/>
        </w:rPr>
      </w:pPr>
      <w:r w:rsidRPr="00F0434A">
        <w:rPr>
          <w:rFonts w:ascii="Calibri" w:hAnsi="Calibri" w:cs="Calibri"/>
          <w:noProof/>
          <w:color w:val="auto"/>
          <w:lang w:val="en-GB"/>
        </w:rPr>
        <w:t>[48]</w:t>
      </w:r>
      <w:r w:rsidRPr="00F0434A">
        <w:rPr>
          <w:rFonts w:ascii="Calibri" w:hAnsi="Calibri" w:cs="Calibri"/>
          <w:noProof/>
          <w:color w:val="auto"/>
          <w:lang w:val="en-GB"/>
        </w:rPr>
        <w:tab/>
        <w:t xml:space="preserve">El Tahry R, Wang ZI, Thandar A, Podkorytova I, Krishnan B, Tousseyn S, et al. Magnetoencephalography and ictal SPECT in patients with failed epilepsy surgery. </w:t>
      </w:r>
      <w:r w:rsidRPr="00F0434A">
        <w:rPr>
          <w:rFonts w:ascii="Calibri" w:hAnsi="Calibri" w:cs="Calibri"/>
          <w:noProof/>
          <w:color w:val="auto"/>
          <w:lang w:val="de-DE"/>
        </w:rPr>
        <w:t>Clin Neurophysiol 2018;129:1651–7. https://doi.org/10.1016/j.clinph.2018.05.010.</w:t>
      </w:r>
    </w:p>
    <w:p w:rsidR="00F0434A" w:rsidRPr="00F0434A" w:rsidRDefault="00F0434A" w:rsidP="00F0434A">
      <w:pPr>
        <w:widowControl w:val="0"/>
        <w:autoSpaceDE w:val="0"/>
        <w:autoSpaceDN w:val="0"/>
        <w:adjustRightInd w:val="0"/>
        <w:ind w:left="640" w:hanging="640"/>
        <w:rPr>
          <w:rFonts w:ascii="Calibri" w:hAnsi="Calibri" w:cs="Calibri"/>
          <w:noProof/>
          <w:color w:val="auto"/>
          <w:lang w:val="fr-BE"/>
        </w:rPr>
      </w:pPr>
      <w:r w:rsidRPr="00F0434A">
        <w:rPr>
          <w:rFonts w:ascii="Calibri" w:hAnsi="Calibri" w:cs="Calibri"/>
          <w:noProof/>
          <w:color w:val="auto"/>
          <w:lang w:val="de-DE"/>
        </w:rPr>
        <w:t>[49]</w:t>
      </w:r>
      <w:r w:rsidRPr="00F0434A">
        <w:rPr>
          <w:rFonts w:ascii="Calibri" w:hAnsi="Calibri" w:cs="Calibri"/>
          <w:noProof/>
          <w:color w:val="auto"/>
          <w:lang w:val="de-DE"/>
        </w:rPr>
        <w:tab/>
        <w:t xml:space="preserve">O’Brien TJ, So EL, Mullan BP, Hauser MF, Brinkmann BH, Bohnen NI, et al. </w:t>
      </w:r>
      <w:r w:rsidRPr="00F0434A">
        <w:rPr>
          <w:rFonts w:ascii="Calibri" w:hAnsi="Calibri" w:cs="Calibri"/>
          <w:noProof/>
          <w:color w:val="auto"/>
          <w:lang w:val="en-GB"/>
        </w:rPr>
        <w:t xml:space="preserve">Subtraction ictal SPECT co-registered to MRI improves clinical usefulness of SPECT in localizing the surgical seizure focus. </w:t>
      </w:r>
      <w:r w:rsidRPr="00F0434A">
        <w:rPr>
          <w:rFonts w:ascii="Calibri" w:hAnsi="Calibri" w:cs="Calibri"/>
          <w:noProof/>
          <w:color w:val="auto"/>
          <w:lang w:val="fr-BE"/>
        </w:rPr>
        <w:t>Neurology 1998;50:445–54. https://doi.org/10.1212/wnl.50.2.445.</w:t>
      </w:r>
    </w:p>
    <w:p w:rsidR="00F0434A" w:rsidRPr="00F0434A" w:rsidRDefault="00F0434A" w:rsidP="00F0434A">
      <w:pPr>
        <w:widowControl w:val="0"/>
        <w:autoSpaceDE w:val="0"/>
        <w:autoSpaceDN w:val="0"/>
        <w:adjustRightInd w:val="0"/>
        <w:ind w:left="640" w:hanging="640"/>
        <w:rPr>
          <w:rFonts w:ascii="Calibri" w:hAnsi="Calibri" w:cs="Calibri"/>
          <w:noProof/>
          <w:color w:val="auto"/>
          <w:lang w:val="de-DE"/>
        </w:rPr>
      </w:pPr>
      <w:r w:rsidRPr="00F0434A">
        <w:rPr>
          <w:rFonts w:ascii="Calibri" w:hAnsi="Calibri" w:cs="Calibri"/>
          <w:noProof/>
          <w:color w:val="auto"/>
          <w:lang w:val="fr-BE"/>
        </w:rPr>
        <w:t>[50]</w:t>
      </w:r>
      <w:r w:rsidRPr="00F0434A">
        <w:rPr>
          <w:rFonts w:ascii="Calibri" w:hAnsi="Calibri" w:cs="Calibri"/>
          <w:noProof/>
          <w:color w:val="auto"/>
          <w:lang w:val="fr-BE"/>
        </w:rPr>
        <w:tab/>
        <w:t xml:space="preserve">Cohen JF, Korevaar DA, Altman DG, Bruns DE, Gatsonis CA, Hooft L, et al. </w:t>
      </w:r>
      <w:r w:rsidRPr="00F0434A">
        <w:rPr>
          <w:rFonts w:ascii="Calibri" w:hAnsi="Calibri" w:cs="Calibri"/>
          <w:noProof/>
          <w:color w:val="auto"/>
          <w:lang w:val="en-GB"/>
        </w:rPr>
        <w:t xml:space="preserve">STARD 2015 guidelines for reporting diagnostic accuracy studies: explanation and  elaboration. </w:t>
      </w:r>
      <w:r w:rsidRPr="00F0434A">
        <w:rPr>
          <w:rFonts w:ascii="Calibri" w:hAnsi="Calibri" w:cs="Calibri"/>
          <w:noProof/>
          <w:color w:val="auto"/>
          <w:lang w:val="de-DE"/>
        </w:rPr>
        <w:t>BMJ Open 2016;6:e012799. https://doi.org/10.1136/bmjopen-2016-012799.</w:t>
      </w:r>
    </w:p>
    <w:p w:rsidR="00F0434A" w:rsidRPr="00F0434A" w:rsidRDefault="00F0434A" w:rsidP="00F0434A">
      <w:pPr>
        <w:widowControl w:val="0"/>
        <w:autoSpaceDE w:val="0"/>
        <w:autoSpaceDN w:val="0"/>
        <w:adjustRightInd w:val="0"/>
        <w:ind w:left="640" w:hanging="640"/>
        <w:rPr>
          <w:rFonts w:ascii="Calibri" w:hAnsi="Calibri" w:cs="Calibri"/>
          <w:noProof/>
          <w:color w:val="auto"/>
          <w:lang w:val="en-GB"/>
        </w:rPr>
      </w:pPr>
      <w:r w:rsidRPr="00F0434A">
        <w:rPr>
          <w:rFonts w:ascii="Calibri" w:hAnsi="Calibri" w:cs="Calibri"/>
          <w:noProof/>
          <w:color w:val="auto"/>
          <w:lang w:val="de-DE"/>
        </w:rPr>
        <w:t>[51]</w:t>
      </w:r>
      <w:r w:rsidRPr="00F0434A">
        <w:rPr>
          <w:rFonts w:ascii="Calibri" w:hAnsi="Calibri" w:cs="Calibri"/>
          <w:noProof/>
          <w:color w:val="auto"/>
          <w:lang w:val="de-DE"/>
        </w:rPr>
        <w:tab/>
        <w:t xml:space="preserve">Landis JR, Koch GG. </w:t>
      </w:r>
      <w:r w:rsidRPr="00F0434A">
        <w:rPr>
          <w:rFonts w:ascii="Calibri" w:hAnsi="Calibri" w:cs="Calibri"/>
          <w:noProof/>
          <w:color w:val="auto"/>
          <w:lang w:val="en-GB"/>
        </w:rPr>
        <w:t>The measurement of observer agreement for categorical data. Biometrics 1977;33:159–74.</w:t>
      </w:r>
    </w:p>
    <w:p w:rsidR="00F0434A" w:rsidRPr="00F0434A" w:rsidRDefault="00F0434A" w:rsidP="00F0434A">
      <w:pPr>
        <w:widowControl w:val="0"/>
        <w:autoSpaceDE w:val="0"/>
        <w:autoSpaceDN w:val="0"/>
        <w:adjustRightInd w:val="0"/>
        <w:ind w:left="640" w:hanging="640"/>
        <w:rPr>
          <w:rFonts w:ascii="Calibri" w:hAnsi="Calibri" w:cs="Calibri"/>
          <w:noProof/>
          <w:color w:val="auto"/>
        </w:rPr>
      </w:pPr>
      <w:r w:rsidRPr="00F0434A">
        <w:rPr>
          <w:rFonts w:ascii="Calibri" w:hAnsi="Calibri" w:cs="Calibri"/>
          <w:noProof/>
          <w:color w:val="auto"/>
          <w:lang w:val="en-GB"/>
        </w:rPr>
        <w:t>[52]</w:t>
      </w:r>
      <w:r w:rsidRPr="00F0434A">
        <w:rPr>
          <w:rFonts w:ascii="Calibri" w:hAnsi="Calibri" w:cs="Calibri"/>
          <w:noProof/>
          <w:color w:val="auto"/>
          <w:lang w:val="en-GB"/>
        </w:rPr>
        <w:tab/>
        <w:t xml:space="preserve">Mouthaan BE, Rados M, Barsi P, Boon P, Carmichael DW, Carrette E, et al. Current use of imaging and electromagnetic source localization procedures in epilepsy surgery centers across Europe. </w:t>
      </w:r>
      <w:r w:rsidRPr="00F0434A">
        <w:rPr>
          <w:rFonts w:ascii="Calibri" w:hAnsi="Calibri" w:cs="Calibri"/>
          <w:noProof/>
          <w:color w:val="auto"/>
        </w:rPr>
        <w:t>Epilepsia 2016;57:770–6. https://doi.org/10.1111/epi.13347.</w:t>
      </w:r>
    </w:p>
    <w:p w:rsidR="00F0434A" w:rsidRPr="00F0434A" w:rsidRDefault="00F0434A" w:rsidP="00F0434A">
      <w:pPr>
        <w:widowControl w:val="0"/>
        <w:autoSpaceDE w:val="0"/>
        <w:autoSpaceDN w:val="0"/>
        <w:adjustRightInd w:val="0"/>
        <w:ind w:left="640" w:hanging="640"/>
        <w:rPr>
          <w:rFonts w:ascii="Calibri" w:hAnsi="Calibri" w:cs="Calibri"/>
          <w:noProof/>
          <w:color w:val="auto"/>
          <w:lang w:val="en-GB"/>
        </w:rPr>
      </w:pPr>
      <w:r w:rsidRPr="00F0434A">
        <w:rPr>
          <w:rFonts w:ascii="Calibri" w:hAnsi="Calibri" w:cs="Calibri"/>
          <w:noProof/>
          <w:color w:val="auto"/>
        </w:rPr>
        <w:t>[53]</w:t>
      </w:r>
      <w:r w:rsidRPr="00F0434A">
        <w:rPr>
          <w:rFonts w:ascii="Calibri" w:hAnsi="Calibri" w:cs="Calibri"/>
          <w:noProof/>
          <w:color w:val="auto"/>
        </w:rPr>
        <w:tab/>
        <w:t xml:space="preserve">Duez L, Tankisi H, Hansen PO, Sidenius P, Sabers A, Pinborg LH, et al. </w:t>
      </w:r>
      <w:r w:rsidRPr="00F0434A">
        <w:rPr>
          <w:rFonts w:ascii="Calibri" w:hAnsi="Calibri" w:cs="Calibri"/>
          <w:noProof/>
          <w:color w:val="auto"/>
          <w:lang w:val="en-GB"/>
        </w:rPr>
        <w:t>Electromagnetic source imaging in presurgical workup of patients with epilepsy: A prospective study. Neurology 2019;92:e576–86. https://doi.org/10.1212/WNL.0000000000006877.</w:t>
      </w:r>
    </w:p>
    <w:p w:rsidR="00F0434A" w:rsidRPr="00F0434A" w:rsidRDefault="00F0434A" w:rsidP="00F0434A">
      <w:pPr>
        <w:widowControl w:val="0"/>
        <w:autoSpaceDE w:val="0"/>
        <w:autoSpaceDN w:val="0"/>
        <w:adjustRightInd w:val="0"/>
        <w:ind w:left="640" w:hanging="640"/>
        <w:rPr>
          <w:rFonts w:ascii="Calibri" w:hAnsi="Calibri" w:cs="Calibri"/>
          <w:noProof/>
          <w:color w:val="auto"/>
          <w:lang w:val="en-GB"/>
        </w:rPr>
      </w:pPr>
      <w:r w:rsidRPr="00F0434A">
        <w:rPr>
          <w:rFonts w:ascii="Calibri" w:hAnsi="Calibri" w:cs="Calibri"/>
          <w:noProof/>
          <w:color w:val="auto"/>
          <w:lang w:val="en-GB"/>
        </w:rPr>
        <w:t>[54]</w:t>
      </w:r>
      <w:r w:rsidRPr="00F0434A">
        <w:rPr>
          <w:rFonts w:ascii="Calibri" w:hAnsi="Calibri" w:cs="Calibri"/>
          <w:noProof/>
          <w:color w:val="auto"/>
          <w:lang w:val="en-GB"/>
        </w:rPr>
        <w:tab/>
        <w:t>Kovac S, Chaudhary UJ, Rodionov R, Mantoan L, Scott CA, Lemieux L, et al. Ictal EEG source imaging in frontal lobe epilepsy leads to improved lateralization compared with visual analysis. J Clin Neurophysiol 2014;31:10–20. https://doi.org/10.1097/WNP.0000000000000022.</w:t>
      </w:r>
    </w:p>
    <w:p w:rsidR="00F0434A" w:rsidRPr="00F0434A" w:rsidRDefault="00F0434A" w:rsidP="00F0434A">
      <w:pPr>
        <w:widowControl w:val="0"/>
        <w:autoSpaceDE w:val="0"/>
        <w:autoSpaceDN w:val="0"/>
        <w:adjustRightInd w:val="0"/>
        <w:ind w:left="640" w:hanging="640"/>
        <w:rPr>
          <w:rFonts w:ascii="Calibri" w:hAnsi="Calibri" w:cs="Calibri"/>
          <w:noProof/>
          <w:color w:val="auto"/>
          <w:lang w:val="en-GB"/>
        </w:rPr>
      </w:pPr>
      <w:r w:rsidRPr="00F0434A">
        <w:rPr>
          <w:rFonts w:ascii="Calibri" w:hAnsi="Calibri" w:cs="Calibri"/>
          <w:noProof/>
          <w:color w:val="auto"/>
          <w:lang w:val="en-GB"/>
        </w:rPr>
        <w:t>[55]</w:t>
      </w:r>
      <w:r w:rsidRPr="00F0434A">
        <w:rPr>
          <w:rFonts w:ascii="Calibri" w:hAnsi="Calibri" w:cs="Calibri"/>
          <w:noProof/>
          <w:color w:val="auto"/>
          <w:lang w:val="en-GB"/>
        </w:rPr>
        <w:tab/>
        <w:t>Pellegrino G, Hedrich T, Chowdhury R, Hall JA, Lina J-M, Dubeau F, et al. Source localization of the seizure onset zone from ictal EEG/MEG data. Hum Brain Mapp 2016;37:2528–46. https://doi.org/10.1002/hbm.23191.</w:t>
      </w:r>
    </w:p>
    <w:p w:rsidR="00F0434A" w:rsidRPr="00F0434A" w:rsidRDefault="00F0434A" w:rsidP="00F0434A">
      <w:pPr>
        <w:widowControl w:val="0"/>
        <w:autoSpaceDE w:val="0"/>
        <w:autoSpaceDN w:val="0"/>
        <w:adjustRightInd w:val="0"/>
        <w:ind w:left="640" w:hanging="640"/>
        <w:rPr>
          <w:rFonts w:ascii="Calibri" w:hAnsi="Calibri" w:cs="Calibri"/>
          <w:noProof/>
          <w:color w:val="auto"/>
          <w:lang w:val="en-GB"/>
        </w:rPr>
      </w:pPr>
      <w:r w:rsidRPr="00F0434A">
        <w:rPr>
          <w:rFonts w:ascii="Calibri" w:hAnsi="Calibri" w:cs="Calibri"/>
          <w:noProof/>
          <w:color w:val="auto"/>
          <w:lang w:val="en-GB"/>
        </w:rPr>
        <w:t>[56]</w:t>
      </w:r>
      <w:r w:rsidRPr="00F0434A">
        <w:rPr>
          <w:rFonts w:ascii="Calibri" w:hAnsi="Calibri" w:cs="Calibri"/>
          <w:noProof/>
          <w:color w:val="auto"/>
          <w:lang w:val="en-GB"/>
        </w:rPr>
        <w:tab/>
        <w:t>Coito A, Biethahn S, Tepperberg J, Carboni M, Roelcke U, Seeck M, et al.  Interictal epileptogenic zone localization in patients with focal epilepsy using electric source imaging and directed functional connectivity from low‐density EEG . Epilepsia Open 2019:1–12. https://doi.org/10.1002/epi4.12318.</w:t>
      </w:r>
    </w:p>
    <w:p w:rsidR="00F0434A" w:rsidRPr="00F0434A" w:rsidRDefault="00F0434A" w:rsidP="00F0434A">
      <w:pPr>
        <w:widowControl w:val="0"/>
        <w:autoSpaceDE w:val="0"/>
        <w:autoSpaceDN w:val="0"/>
        <w:adjustRightInd w:val="0"/>
        <w:ind w:left="640" w:hanging="640"/>
        <w:rPr>
          <w:rFonts w:ascii="Calibri" w:hAnsi="Calibri" w:cs="Calibri"/>
          <w:noProof/>
          <w:color w:val="auto"/>
          <w:lang w:val="de-DE"/>
        </w:rPr>
      </w:pPr>
      <w:r w:rsidRPr="00F0434A">
        <w:rPr>
          <w:rFonts w:ascii="Calibri" w:hAnsi="Calibri" w:cs="Calibri"/>
          <w:noProof/>
          <w:color w:val="auto"/>
          <w:lang w:val="en-GB"/>
        </w:rPr>
        <w:t>[57]</w:t>
      </w:r>
      <w:r w:rsidRPr="00F0434A">
        <w:rPr>
          <w:rFonts w:ascii="Calibri" w:hAnsi="Calibri" w:cs="Calibri"/>
          <w:noProof/>
          <w:color w:val="auto"/>
          <w:lang w:val="en-GB"/>
        </w:rPr>
        <w:tab/>
        <w:t xml:space="preserve">Abdallah C, Maillard LG, Rikir E, Jonas J, Thiriaux A, Gavaret M, et al. Localizing value of electrical source imaging: Frontal lobe, malformations of cortical development and negative MRI related epilepsies are the best candidates. </w:t>
      </w:r>
      <w:r w:rsidRPr="00F0434A">
        <w:rPr>
          <w:rFonts w:ascii="Calibri" w:hAnsi="Calibri" w:cs="Calibri"/>
          <w:noProof/>
          <w:color w:val="auto"/>
          <w:lang w:val="de-DE"/>
        </w:rPr>
        <w:t>NeuroImage Clin 2017;16:319–29. https://doi.org/10.1016/j.nicl.2017.08.009.</w:t>
      </w:r>
    </w:p>
    <w:p w:rsidR="00F0434A" w:rsidRPr="00F0434A" w:rsidRDefault="00F0434A" w:rsidP="00F0434A">
      <w:pPr>
        <w:widowControl w:val="0"/>
        <w:autoSpaceDE w:val="0"/>
        <w:autoSpaceDN w:val="0"/>
        <w:adjustRightInd w:val="0"/>
        <w:ind w:left="640" w:hanging="640"/>
        <w:rPr>
          <w:rFonts w:ascii="Calibri" w:hAnsi="Calibri" w:cs="Calibri"/>
          <w:noProof/>
          <w:color w:val="auto"/>
          <w:lang w:val="en-GB"/>
        </w:rPr>
      </w:pPr>
      <w:r w:rsidRPr="00F0434A">
        <w:rPr>
          <w:rFonts w:ascii="Calibri" w:hAnsi="Calibri" w:cs="Calibri"/>
          <w:noProof/>
          <w:color w:val="auto"/>
          <w:lang w:val="de-DE"/>
        </w:rPr>
        <w:t>[58]</w:t>
      </w:r>
      <w:r w:rsidRPr="00F0434A">
        <w:rPr>
          <w:rFonts w:ascii="Calibri" w:hAnsi="Calibri" w:cs="Calibri"/>
          <w:noProof/>
          <w:color w:val="auto"/>
          <w:lang w:val="de-DE"/>
        </w:rPr>
        <w:tab/>
        <w:t xml:space="preserve">Seeck M, Koessler L, Bast T, Leijten F, Michel C, Baumgartner C, et al. </w:t>
      </w:r>
      <w:r w:rsidRPr="00F0434A">
        <w:rPr>
          <w:rFonts w:ascii="Calibri" w:hAnsi="Calibri" w:cs="Calibri"/>
          <w:noProof/>
          <w:color w:val="auto"/>
          <w:lang w:val="en-GB"/>
        </w:rPr>
        <w:t>The standardized EEG electrode array of the IFCN. Clin Neurophysiol 2017;128:2070–7. https://doi.org/10.1016/j.clinph.2017.06.254.</w:t>
      </w:r>
    </w:p>
    <w:p w:rsidR="00F0434A" w:rsidRPr="00F0434A" w:rsidRDefault="00F0434A" w:rsidP="00F0434A">
      <w:pPr>
        <w:widowControl w:val="0"/>
        <w:autoSpaceDE w:val="0"/>
        <w:autoSpaceDN w:val="0"/>
        <w:adjustRightInd w:val="0"/>
        <w:ind w:left="640" w:hanging="640"/>
        <w:rPr>
          <w:rFonts w:ascii="Calibri" w:hAnsi="Calibri" w:cs="Calibri"/>
          <w:noProof/>
          <w:color w:val="auto"/>
          <w:lang w:val="en-GB"/>
        </w:rPr>
      </w:pPr>
      <w:r w:rsidRPr="00F0434A">
        <w:rPr>
          <w:rFonts w:ascii="Calibri" w:hAnsi="Calibri" w:cs="Calibri"/>
          <w:noProof/>
          <w:color w:val="auto"/>
          <w:lang w:val="en-GB"/>
        </w:rPr>
        <w:t>[59]</w:t>
      </w:r>
      <w:r w:rsidRPr="00F0434A">
        <w:rPr>
          <w:rFonts w:ascii="Calibri" w:hAnsi="Calibri" w:cs="Calibri"/>
          <w:noProof/>
          <w:color w:val="auto"/>
          <w:lang w:val="en-GB"/>
        </w:rPr>
        <w:tab/>
        <w:t>Gotman J, Levtova V, Farine B. Graphic representation of the EEG during epileptic seizures. Electroencephalogr Clin Neurophysiol 1993;87:206–14.</w:t>
      </w:r>
    </w:p>
    <w:p w:rsidR="00F0434A" w:rsidRPr="00F0434A" w:rsidRDefault="00F0434A" w:rsidP="00F0434A">
      <w:pPr>
        <w:widowControl w:val="0"/>
        <w:autoSpaceDE w:val="0"/>
        <w:autoSpaceDN w:val="0"/>
        <w:adjustRightInd w:val="0"/>
        <w:ind w:left="640" w:hanging="640"/>
        <w:rPr>
          <w:rFonts w:ascii="Calibri" w:hAnsi="Calibri" w:cs="Calibri"/>
          <w:noProof/>
          <w:color w:val="auto"/>
          <w:lang w:val="en-GB"/>
        </w:rPr>
      </w:pPr>
      <w:r w:rsidRPr="00F0434A">
        <w:rPr>
          <w:rFonts w:ascii="Calibri" w:hAnsi="Calibri" w:cs="Calibri"/>
          <w:noProof/>
          <w:color w:val="auto"/>
          <w:lang w:val="en-GB"/>
        </w:rPr>
        <w:t>[60]</w:t>
      </w:r>
      <w:r w:rsidRPr="00F0434A">
        <w:rPr>
          <w:rFonts w:ascii="Calibri" w:hAnsi="Calibri" w:cs="Calibri"/>
          <w:noProof/>
          <w:color w:val="auto"/>
          <w:lang w:val="en-GB"/>
        </w:rPr>
        <w:tab/>
        <w:t>Farahibozorg S-R, Henson RN, Hauk O. Adaptive cortical parcellations for source reconstructed EEG/MEG connectomes. Neuroimage 2018;169:23–45. https://doi.org/10.1016/j.neuroimage.2017.09.009.</w:t>
      </w:r>
    </w:p>
    <w:p w:rsidR="00F0434A" w:rsidRPr="00F0434A" w:rsidRDefault="00F0434A" w:rsidP="00F0434A">
      <w:pPr>
        <w:rPr>
          <w:rFonts w:asciiTheme="minorHAnsi" w:hAnsiTheme="minorHAnsi" w:cstheme="minorHAnsi"/>
          <w:color w:val="auto"/>
          <w:lang w:val="en-GB"/>
        </w:rPr>
      </w:pPr>
      <w:r w:rsidRPr="00F0434A">
        <w:rPr>
          <w:rFonts w:asciiTheme="minorHAnsi" w:hAnsiTheme="minorHAnsi" w:cstheme="minorHAnsi"/>
          <w:b/>
          <w:color w:val="auto"/>
          <w:lang w:val="en-US"/>
        </w:rPr>
        <w:fldChar w:fldCharType="end"/>
      </w:r>
    </w:p>
    <w:p w:rsidR="00F0434A" w:rsidRPr="00F0434A" w:rsidRDefault="00F0434A" w:rsidP="00F0434A">
      <w:pPr>
        <w:rPr>
          <w:rFonts w:asciiTheme="minorHAnsi" w:hAnsiTheme="minorHAnsi" w:cstheme="minorHAnsi"/>
          <w:color w:val="auto"/>
          <w:lang w:val="en-GB"/>
        </w:rPr>
      </w:pPr>
    </w:p>
    <w:p w:rsidR="00F0434A" w:rsidRPr="00F0434A" w:rsidRDefault="00F0434A" w:rsidP="00F0434A">
      <w:pPr>
        <w:rPr>
          <w:rFonts w:asciiTheme="minorHAnsi" w:hAnsiTheme="minorHAnsi" w:cstheme="minorHAnsi"/>
          <w:color w:val="auto"/>
          <w:lang w:val="en-GB"/>
        </w:rPr>
      </w:pPr>
    </w:p>
    <w:p w:rsidR="00F0434A" w:rsidRPr="00F0434A" w:rsidRDefault="00F0434A" w:rsidP="00F0434A">
      <w:pPr>
        <w:rPr>
          <w:rFonts w:asciiTheme="minorHAnsi" w:hAnsiTheme="minorHAnsi" w:cstheme="minorHAnsi"/>
          <w:color w:val="auto"/>
          <w:lang w:val="en-GB"/>
        </w:rPr>
      </w:pPr>
    </w:p>
    <w:p w:rsidR="00F0434A" w:rsidRPr="00F0434A" w:rsidRDefault="00F0434A" w:rsidP="00F0434A">
      <w:pPr>
        <w:rPr>
          <w:rFonts w:asciiTheme="minorHAnsi" w:hAnsiTheme="minorHAnsi" w:cstheme="minorHAnsi"/>
          <w:color w:val="auto"/>
          <w:lang w:val="en-GB"/>
        </w:rPr>
      </w:pPr>
    </w:p>
    <w:p w:rsidR="00F0434A" w:rsidRPr="00F0434A" w:rsidRDefault="00F0434A" w:rsidP="00F0434A">
      <w:pPr>
        <w:rPr>
          <w:rFonts w:asciiTheme="minorHAnsi" w:hAnsiTheme="minorHAnsi" w:cstheme="minorHAnsi"/>
          <w:color w:val="auto"/>
          <w:lang w:val="en-GB"/>
        </w:rPr>
      </w:pPr>
    </w:p>
    <w:p w:rsidR="00F0434A" w:rsidRPr="00F0434A" w:rsidRDefault="00F0434A" w:rsidP="00F0434A">
      <w:pPr>
        <w:rPr>
          <w:rFonts w:asciiTheme="minorHAnsi" w:hAnsiTheme="minorHAnsi" w:cstheme="minorHAnsi"/>
          <w:color w:val="auto"/>
          <w:lang w:val="en-GB"/>
        </w:rPr>
      </w:pPr>
    </w:p>
    <w:p w:rsidR="00F0434A" w:rsidRPr="00F0434A" w:rsidRDefault="00F0434A" w:rsidP="00F0434A">
      <w:pPr>
        <w:rPr>
          <w:rFonts w:asciiTheme="minorHAnsi" w:hAnsiTheme="minorHAnsi" w:cstheme="minorHAnsi"/>
          <w:color w:val="auto"/>
          <w:lang w:val="en-GB"/>
        </w:rPr>
      </w:pPr>
    </w:p>
    <w:p w:rsidR="00F0434A" w:rsidRPr="00F0434A" w:rsidRDefault="00F0434A" w:rsidP="00F0434A">
      <w:pPr>
        <w:rPr>
          <w:rFonts w:asciiTheme="minorHAnsi" w:hAnsiTheme="minorHAnsi" w:cstheme="minorHAnsi"/>
          <w:color w:val="auto"/>
          <w:lang w:val="en-GB"/>
        </w:rPr>
      </w:pPr>
    </w:p>
    <w:p w:rsidR="00F0434A" w:rsidRPr="00F0434A" w:rsidRDefault="00F0434A" w:rsidP="00F0434A">
      <w:pPr>
        <w:rPr>
          <w:rFonts w:asciiTheme="minorHAnsi" w:hAnsiTheme="minorHAnsi" w:cstheme="minorHAnsi"/>
          <w:color w:val="auto"/>
          <w:lang w:val="en-GB"/>
        </w:rPr>
      </w:pPr>
    </w:p>
    <w:p w:rsidR="00F0434A" w:rsidRPr="00F0434A" w:rsidRDefault="00F0434A" w:rsidP="00F0434A">
      <w:pPr>
        <w:rPr>
          <w:rFonts w:asciiTheme="minorHAnsi" w:hAnsiTheme="minorHAnsi" w:cstheme="minorHAnsi"/>
          <w:color w:val="auto"/>
          <w:lang w:val="en-GB"/>
        </w:rPr>
      </w:pPr>
    </w:p>
    <w:p w:rsidR="00F0434A" w:rsidRPr="00F0434A" w:rsidRDefault="00F0434A" w:rsidP="00F0434A">
      <w:pPr>
        <w:rPr>
          <w:rFonts w:asciiTheme="minorHAnsi" w:hAnsiTheme="minorHAnsi" w:cstheme="minorHAnsi"/>
          <w:color w:val="auto"/>
          <w:lang w:val="en-GB"/>
        </w:rPr>
      </w:pPr>
    </w:p>
    <w:p w:rsidR="00F0434A" w:rsidRPr="00F0434A" w:rsidRDefault="00F0434A" w:rsidP="00F0434A">
      <w:pPr>
        <w:spacing w:after="160" w:line="259" w:lineRule="auto"/>
        <w:rPr>
          <w:rFonts w:asciiTheme="minorHAnsi" w:hAnsiTheme="minorHAnsi" w:cstheme="minorHAnsi"/>
          <w:b/>
          <w:color w:val="auto"/>
          <w:lang w:val="en-US"/>
        </w:rPr>
      </w:pPr>
      <w:r w:rsidRPr="00F0434A">
        <w:rPr>
          <w:rFonts w:asciiTheme="minorHAnsi" w:hAnsiTheme="minorHAnsi" w:cstheme="minorHAnsi"/>
          <w:b/>
          <w:color w:val="auto"/>
          <w:lang w:val="en-US"/>
        </w:rPr>
        <w:br w:type="page"/>
      </w:r>
    </w:p>
    <w:p w:rsidR="00F0434A" w:rsidRPr="00F0434A" w:rsidRDefault="00F0434A" w:rsidP="00F0434A">
      <w:pPr>
        <w:rPr>
          <w:rFonts w:asciiTheme="minorHAnsi" w:hAnsiTheme="minorHAnsi" w:cstheme="minorHAnsi"/>
          <w:b/>
          <w:color w:val="auto"/>
          <w:lang w:val="en-US"/>
        </w:rPr>
      </w:pPr>
      <w:r w:rsidRPr="00F0434A">
        <w:rPr>
          <w:rFonts w:asciiTheme="minorHAnsi" w:hAnsiTheme="minorHAnsi" w:cstheme="minorHAnsi"/>
          <w:b/>
          <w:color w:val="auto"/>
          <w:lang w:val="en-US"/>
        </w:rPr>
        <w:lastRenderedPageBreak/>
        <w:t>LEGENDS</w:t>
      </w:r>
    </w:p>
    <w:p w:rsidR="00F0434A" w:rsidRPr="00F0434A" w:rsidRDefault="00F0434A" w:rsidP="00F0434A">
      <w:pPr>
        <w:rPr>
          <w:rFonts w:asciiTheme="minorHAnsi" w:hAnsiTheme="minorHAnsi" w:cstheme="minorHAnsi"/>
          <w:color w:val="auto"/>
          <w:lang w:val="en-US"/>
        </w:rPr>
      </w:pPr>
    </w:p>
    <w:p w:rsidR="00F0434A" w:rsidRPr="00F0434A" w:rsidRDefault="00F0434A" w:rsidP="00F0434A">
      <w:pPr>
        <w:pStyle w:val="Lgende"/>
        <w:suppressLineNumbers w:val="0"/>
        <w:jc w:val="both"/>
        <w:rPr>
          <w:b w:val="0"/>
          <w:color w:val="auto"/>
          <w:sz w:val="22"/>
          <w:szCs w:val="22"/>
          <w:lang w:val="en-US"/>
        </w:rPr>
      </w:pPr>
      <w:r w:rsidRPr="00F0434A">
        <w:rPr>
          <w:color w:val="auto"/>
          <w:sz w:val="22"/>
          <w:szCs w:val="22"/>
          <w:lang w:val="en-US"/>
        </w:rPr>
        <w:t xml:space="preserve">Figure </w:t>
      </w:r>
      <w:r w:rsidRPr="00F0434A">
        <w:rPr>
          <w:color w:val="auto"/>
          <w:sz w:val="22"/>
          <w:szCs w:val="22"/>
          <w:lang w:val="en-US"/>
        </w:rPr>
        <w:fldChar w:fldCharType="begin"/>
      </w:r>
      <w:r w:rsidRPr="00F0434A">
        <w:rPr>
          <w:color w:val="auto"/>
          <w:sz w:val="22"/>
          <w:szCs w:val="22"/>
          <w:lang w:val="en-US"/>
        </w:rPr>
        <w:instrText xml:space="preserve"> SEQ Figure \* ARABIC </w:instrText>
      </w:r>
      <w:r w:rsidRPr="00F0434A">
        <w:rPr>
          <w:color w:val="auto"/>
          <w:sz w:val="22"/>
          <w:szCs w:val="22"/>
          <w:lang w:val="en-US"/>
        </w:rPr>
        <w:fldChar w:fldCharType="separate"/>
      </w:r>
      <w:r w:rsidRPr="00F0434A">
        <w:rPr>
          <w:noProof/>
          <w:color w:val="auto"/>
          <w:sz w:val="22"/>
          <w:szCs w:val="22"/>
          <w:lang w:val="en-US"/>
        </w:rPr>
        <w:t>1</w:t>
      </w:r>
      <w:r w:rsidRPr="00F0434A">
        <w:rPr>
          <w:color w:val="auto"/>
          <w:sz w:val="22"/>
          <w:szCs w:val="22"/>
          <w:lang w:val="en-US"/>
        </w:rPr>
        <w:fldChar w:fldCharType="end"/>
      </w:r>
      <w:r w:rsidRPr="00F0434A">
        <w:rPr>
          <w:color w:val="auto"/>
          <w:sz w:val="22"/>
          <w:szCs w:val="22"/>
          <w:lang w:val="en-US"/>
        </w:rPr>
        <w:t xml:space="preserve"> </w:t>
      </w:r>
      <w:r w:rsidRPr="00F0434A">
        <w:rPr>
          <w:b w:val="0"/>
          <w:color w:val="auto"/>
          <w:sz w:val="22"/>
          <w:szCs w:val="22"/>
          <w:lang w:val="en-US"/>
        </w:rPr>
        <w:t>Pipeline of EEG processing for ictal ESI and FC. Epileptologists marked seizure onset characterized by a rhythmical ictal activity in at least one EEG channel, and provided the band of frequency of interest (1). The automated algorithm consisted of a spectrogram of all channels with sliding window of 1 s, from -0.5 second before to +3.5 second after the marker. In the band of interest, the peak (maximum) of the spectrogram including all channels is searched, and it allows identifying the main channel, i.e. the channel containing the maximal FFT peak (2). In the main channel, the epoch length to analyze was defined based on the stability of the FFT peak (3a). The FFT peak value needed to be stable for at least 1 s (not falling below 50% of the maximal value), but never exceeded 3 seconds (4a). In turn, the exact frequency of interest is chosen based on the FFT peak ±0.5 Hz (3b, 4b).  Afterwards, ESI was performed by using LORETA to obtain the more active sources in the FOI (5) and the relative time series are reconstructed (6). In turn, the sources are classified according to their absolute power in the FOI, for the ESI power method: S</w:t>
      </w:r>
      <w:r w:rsidRPr="00F0434A">
        <w:rPr>
          <w:b w:val="0"/>
          <w:color w:val="auto"/>
          <w:sz w:val="22"/>
          <w:szCs w:val="22"/>
          <w:vertAlign w:val="subscript"/>
          <w:lang w:val="en-US"/>
        </w:rPr>
        <w:t>POW</w:t>
      </w:r>
      <w:r w:rsidRPr="00F0434A">
        <w:rPr>
          <w:b w:val="0"/>
          <w:color w:val="auto"/>
          <w:sz w:val="22"/>
          <w:szCs w:val="22"/>
          <w:lang w:val="en-US"/>
        </w:rPr>
        <w:t xml:space="preserve"> corresponds to the highest ESI power and is considered to correspond with the SOZ (7).  Sources are also sorted based on the values of out-degree, which results of the subsequent source-space functional connectivity analysis in the FOI:  S</w:t>
      </w:r>
      <w:r w:rsidRPr="00F0434A">
        <w:rPr>
          <w:b w:val="0"/>
          <w:color w:val="auto"/>
          <w:sz w:val="22"/>
          <w:szCs w:val="22"/>
          <w:vertAlign w:val="subscript"/>
          <w:lang w:val="en-US"/>
        </w:rPr>
        <w:t>CONN</w:t>
      </w:r>
      <w:r w:rsidRPr="00F0434A">
        <w:rPr>
          <w:b w:val="0"/>
          <w:color w:val="auto"/>
          <w:sz w:val="22"/>
          <w:szCs w:val="22"/>
          <w:lang w:val="en-US"/>
        </w:rPr>
        <w:t xml:space="preserve"> is the source with the highest out-degree, and is considered the SOZ localization for the ESI+FC method (8). Outcome measures are calculated based on concordance with the resection zone, after co-registration with the post-operative MRI (9). FFT, fast fourier transform. FOI, frequency of interest. ESI, electrical source imaging. SOZ, seizure onset zone. </w:t>
      </w:r>
    </w:p>
    <w:p w:rsidR="00F0434A" w:rsidRPr="00F0434A" w:rsidRDefault="00F0434A" w:rsidP="00F0434A">
      <w:pPr>
        <w:pStyle w:val="Lgende"/>
        <w:suppressLineNumbers w:val="0"/>
        <w:jc w:val="both"/>
        <w:rPr>
          <w:color w:val="auto"/>
          <w:sz w:val="22"/>
          <w:szCs w:val="22"/>
          <w:lang w:val="en-GB"/>
        </w:rPr>
      </w:pPr>
    </w:p>
    <w:p w:rsidR="00F0434A" w:rsidRPr="00F0434A" w:rsidRDefault="00F0434A" w:rsidP="00F0434A">
      <w:pPr>
        <w:pStyle w:val="Lgende"/>
        <w:suppressLineNumbers w:val="0"/>
        <w:jc w:val="both"/>
        <w:rPr>
          <w:b w:val="0"/>
          <w:color w:val="auto"/>
          <w:sz w:val="22"/>
          <w:szCs w:val="22"/>
          <w:lang w:val="en-GB"/>
        </w:rPr>
      </w:pPr>
      <w:r w:rsidRPr="00F0434A">
        <w:rPr>
          <w:color w:val="auto"/>
          <w:sz w:val="22"/>
          <w:szCs w:val="22"/>
          <w:lang w:val="en-GB"/>
        </w:rPr>
        <w:t xml:space="preserve">Figure </w:t>
      </w:r>
      <w:r w:rsidRPr="00F0434A">
        <w:rPr>
          <w:color w:val="auto"/>
          <w:sz w:val="22"/>
          <w:szCs w:val="22"/>
        </w:rPr>
        <w:fldChar w:fldCharType="begin"/>
      </w:r>
      <w:r w:rsidRPr="00F0434A">
        <w:rPr>
          <w:color w:val="auto"/>
          <w:sz w:val="22"/>
          <w:szCs w:val="22"/>
          <w:lang w:val="en-GB"/>
        </w:rPr>
        <w:instrText xml:space="preserve"> SEQ Figure \* ARABIC </w:instrText>
      </w:r>
      <w:r w:rsidRPr="00F0434A">
        <w:rPr>
          <w:color w:val="auto"/>
          <w:sz w:val="22"/>
          <w:szCs w:val="22"/>
        </w:rPr>
        <w:fldChar w:fldCharType="separate"/>
      </w:r>
      <w:r w:rsidRPr="00F0434A">
        <w:rPr>
          <w:noProof/>
          <w:color w:val="auto"/>
          <w:sz w:val="22"/>
          <w:szCs w:val="22"/>
          <w:lang w:val="en-GB"/>
        </w:rPr>
        <w:t>2</w:t>
      </w:r>
      <w:r w:rsidRPr="00F0434A">
        <w:rPr>
          <w:color w:val="auto"/>
          <w:sz w:val="22"/>
          <w:szCs w:val="22"/>
          <w:lang w:val="en-US"/>
        </w:rPr>
        <w:fldChar w:fldCharType="end"/>
      </w:r>
      <w:r w:rsidRPr="00F0434A">
        <w:rPr>
          <w:color w:val="auto"/>
          <w:sz w:val="22"/>
          <w:szCs w:val="22"/>
          <w:lang w:val="en-GB"/>
        </w:rPr>
        <w:t xml:space="preserve"> </w:t>
      </w:r>
      <w:r w:rsidRPr="00F0434A">
        <w:rPr>
          <w:b w:val="0"/>
          <w:color w:val="auto"/>
          <w:sz w:val="22"/>
          <w:szCs w:val="22"/>
          <w:lang w:val="en-GB"/>
        </w:rPr>
        <w:t>Flowchart of the study population, for the seizure-level analysis.</w:t>
      </w:r>
    </w:p>
    <w:p w:rsidR="00F0434A" w:rsidRPr="00F0434A" w:rsidRDefault="00F0434A" w:rsidP="00F0434A">
      <w:pPr>
        <w:pStyle w:val="Lgende"/>
        <w:suppressLineNumbers w:val="0"/>
        <w:jc w:val="both"/>
        <w:rPr>
          <w:b w:val="0"/>
          <w:color w:val="auto"/>
          <w:sz w:val="22"/>
          <w:szCs w:val="22"/>
          <w:lang w:val="en-GB"/>
        </w:rPr>
      </w:pPr>
    </w:p>
    <w:p w:rsidR="00F0434A" w:rsidRPr="00F0434A" w:rsidRDefault="00F0434A" w:rsidP="00F0434A">
      <w:pPr>
        <w:pStyle w:val="Lgende"/>
        <w:suppressLineNumbers w:val="0"/>
        <w:jc w:val="both"/>
        <w:rPr>
          <w:b w:val="0"/>
          <w:color w:val="auto"/>
          <w:sz w:val="22"/>
          <w:szCs w:val="22"/>
          <w:u w:val="single"/>
          <w:lang w:val="en-GB"/>
        </w:rPr>
      </w:pPr>
      <w:r w:rsidRPr="00F0434A">
        <w:rPr>
          <w:color w:val="auto"/>
          <w:sz w:val="22"/>
          <w:szCs w:val="22"/>
          <w:lang w:val="en-GB"/>
        </w:rPr>
        <w:t xml:space="preserve">Figure </w:t>
      </w:r>
      <w:r w:rsidRPr="00F0434A">
        <w:rPr>
          <w:color w:val="auto"/>
          <w:sz w:val="22"/>
          <w:szCs w:val="22"/>
        </w:rPr>
        <w:fldChar w:fldCharType="begin"/>
      </w:r>
      <w:r w:rsidRPr="00F0434A">
        <w:rPr>
          <w:color w:val="auto"/>
          <w:sz w:val="22"/>
          <w:szCs w:val="22"/>
          <w:lang w:val="en-GB"/>
        </w:rPr>
        <w:instrText xml:space="preserve"> SEQ Figure \* ARABIC </w:instrText>
      </w:r>
      <w:r w:rsidRPr="00F0434A">
        <w:rPr>
          <w:color w:val="auto"/>
          <w:sz w:val="22"/>
          <w:szCs w:val="22"/>
        </w:rPr>
        <w:fldChar w:fldCharType="separate"/>
      </w:r>
      <w:r w:rsidRPr="00F0434A">
        <w:rPr>
          <w:noProof/>
          <w:color w:val="auto"/>
          <w:sz w:val="22"/>
          <w:szCs w:val="22"/>
          <w:lang w:val="en-GB"/>
        </w:rPr>
        <w:t>3</w:t>
      </w:r>
      <w:r w:rsidRPr="00F0434A">
        <w:rPr>
          <w:color w:val="auto"/>
          <w:sz w:val="22"/>
          <w:szCs w:val="22"/>
          <w:lang w:val="en-GB"/>
        </w:rPr>
        <w:fldChar w:fldCharType="end"/>
      </w:r>
      <w:r w:rsidRPr="00F0434A">
        <w:rPr>
          <w:color w:val="auto"/>
          <w:sz w:val="22"/>
          <w:szCs w:val="22"/>
          <w:lang w:val="en-US"/>
        </w:rPr>
        <w:t xml:space="preserve"> </w:t>
      </w:r>
      <w:r w:rsidRPr="00F0434A">
        <w:rPr>
          <w:b w:val="0"/>
          <w:color w:val="auto"/>
          <w:sz w:val="22"/>
          <w:szCs w:val="22"/>
          <w:lang w:val="en-GB"/>
        </w:rPr>
        <w:t>Example an ictal report for one seizure in an ILAE class 1 patient (PAT 5). Despite an ictal EEG showing a left lateralization, the source with the highest out-degree using ESI+FC (S</w:t>
      </w:r>
      <w:r w:rsidRPr="00F0434A">
        <w:rPr>
          <w:b w:val="0"/>
          <w:color w:val="auto"/>
          <w:sz w:val="22"/>
          <w:szCs w:val="22"/>
          <w:vertAlign w:val="subscript"/>
          <w:lang w:val="en-GB"/>
        </w:rPr>
        <w:t>CONN</w:t>
      </w:r>
      <w:r w:rsidRPr="00F0434A">
        <w:rPr>
          <w:b w:val="0"/>
          <w:color w:val="auto"/>
          <w:sz w:val="22"/>
          <w:szCs w:val="22"/>
          <w:lang w:val="en-GB"/>
        </w:rPr>
        <w:t>) is correctly localized inside the resection zone in the right frontal lobe, after co-registration with the post-operative MRI. The source with the highest power (S</w:t>
      </w:r>
      <w:r w:rsidRPr="00F0434A">
        <w:rPr>
          <w:b w:val="0"/>
          <w:color w:val="auto"/>
          <w:sz w:val="22"/>
          <w:szCs w:val="22"/>
          <w:vertAlign w:val="subscript"/>
          <w:lang w:val="en-GB"/>
        </w:rPr>
        <w:t>POW</w:t>
      </w:r>
      <w:r w:rsidRPr="00F0434A">
        <w:rPr>
          <w:b w:val="0"/>
          <w:color w:val="auto"/>
          <w:sz w:val="22"/>
          <w:szCs w:val="22"/>
          <w:lang w:val="en-GB"/>
        </w:rPr>
        <w:t>), according to the ESI power method, is wrongly localized in the left temporal lobe. Below, an example of S</w:t>
      </w:r>
      <w:r w:rsidRPr="00F0434A">
        <w:rPr>
          <w:b w:val="0"/>
          <w:color w:val="auto"/>
          <w:sz w:val="22"/>
          <w:szCs w:val="22"/>
          <w:vertAlign w:val="subscript"/>
          <w:lang w:val="en-GB"/>
        </w:rPr>
        <w:t>CONN</w:t>
      </w:r>
      <w:r w:rsidRPr="00F0434A">
        <w:rPr>
          <w:b w:val="0"/>
          <w:color w:val="auto"/>
          <w:sz w:val="22"/>
          <w:szCs w:val="22"/>
          <w:lang w:val="en-GB"/>
        </w:rPr>
        <w:t xml:space="preserve"> and the out-going connections between the potential hubs of the seizure network are displayed, and the sources are sorted by the levels of out-degree. ESI, Electrical Source Imaging. FC, functional connectivity.</w:t>
      </w:r>
    </w:p>
    <w:p w:rsidR="00F0434A" w:rsidRPr="00F0434A" w:rsidRDefault="00F0434A" w:rsidP="00F0434A">
      <w:pPr>
        <w:pStyle w:val="Lgende"/>
        <w:suppressLineNumbers w:val="0"/>
        <w:rPr>
          <w:color w:val="auto"/>
          <w:sz w:val="22"/>
          <w:szCs w:val="22"/>
          <w:lang w:val="en-GB"/>
        </w:rPr>
      </w:pPr>
    </w:p>
    <w:p w:rsidR="00F0434A" w:rsidRPr="00F0434A" w:rsidRDefault="00F0434A" w:rsidP="00F0434A">
      <w:pPr>
        <w:pStyle w:val="Lgende"/>
        <w:suppressLineNumbers w:val="0"/>
        <w:rPr>
          <w:b w:val="0"/>
          <w:color w:val="auto"/>
          <w:sz w:val="22"/>
          <w:szCs w:val="22"/>
          <w:u w:val="single"/>
          <w:lang w:val="en-GB"/>
        </w:rPr>
      </w:pPr>
      <w:r w:rsidRPr="00F0434A">
        <w:rPr>
          <w:color w:val="auto"/>
          <w:sz w:val="22"/>
          <w:szCs w:val="22"/>
          <w:lang w:val="en-GB"/>
        </w:rPr>
        <w:t xml:space="preserve">Figure </w:t>
      </w:r>
      <w:r w:rsidRPr="00F0434A">
        <w:rPr>
          <w:color w:val="auto"/>
          <w:sz w:val="22"/>
          <w:szCs w:val="22"/>
        </w:rPr>
        <w:fldChar w:fldCharType="begin"/>
      </w:r>
      <w:r w:rsidRPr="00F0434A">
        <w:rPr>
          <w:color w:val="auto"/>
          <w:sz w:val="22"/>
          <w:szCs w:val="22"/>
          <w:lang w:val="en-GB"/>
        </w:rPr>
        <w:instrText xml:space="preserve"> SEQ Figure \* ARABIC </w:instrText>
      </w:r>
      <w:r w:rsidRPr="00F0434A">
        <w:rPr>
          <w:color w:val="auto"/>
          <w:sz w:val="22"/>
          <w:szCs w:val="22"/>
        </w:rPr>
        <w:fldChar w:fldCharType="separate"/>
      </w:r>
      <w:r w:rsidRPr="00F0434A">
        <w:rPr>
          <w:noProof/>
          <w:color w:val="auto"/>
          <w:sz w:val="22"/>
          <w:szCs w:val="22"/>
          <w:lang w:val="en-GB"/>
        </w:rPr>
        <w:t>4</w:t>
      </w:r>
      <w:r w:rsidRPr="00F0434A">
        <w:rPr>
          <w:color w:val="auto"/>
          <w:sz w:val="22"/>
          <w:szCs w:val="22"/>
          <w:lang w:val="en-GB"/>
        </w:rPr>
        <w:fldChar w:fldCharType="end"/>
      </w:r>
      <w:r w:rsidRPr="00F0434A">
        <w:rPr>
          <w:color w:val="auto"/>
          <w:sz w:val="22"/>
          <w:szCs w:val="22"/>
          <w:lang w:val="en-GB"/>
        </w:rPr>
        <w:t xml:space="preserve"> </w:t>
      </w:r>
      <w:r w:rsidRPr="00F0434A">
        <w:rPr>
          <w:b w:val="0"/>
          <w:color w:val="auto"/>
          <w:sz w:val="22"/>
          <w:szCs w:val="22"/>
          <w:lang w:val="en-GB"/>
        </w:rPr>
        <w:t>Example of ictal report for one seizure in an ILAE class 1 patient (PAT 13). This patient suffered from a Lennox-Gastaut Syndrome symptomatic of a right frontal focal cortical dysplasia, and presented with generalized tonic seizures. Ictal EEG was qualified as generalized by the epileptologist. The SOZ determined by the ESI power method (S</w:t>
      </w:r>
      <w:r w:rsidRPr="00F0434A">
        <w:rPr>
          <w:b w:val="0"/>
          <w:color w:val="auto"/>
          <w:sz w:val="22"/>
          <w:szCs w:val="22"/>
          <w:vertAlign w:val="subscript"/>
          <w:lang w:val="en-GB"/>
        </w:rPr>
        <w:t>POW</w:t>
      </w:r>
      <w:r w:rsidRPr="00F0434A">
        <w:rPr>
          <w:b w:val="0"/>
          <w:color w:val="auto"/>
          <w:sz w:val="22"/>
          <w:szCs w:val="22"/>
          <w:lang w:val="en-GB"/>
        </w:rPr>
        <w:t>), showed a seizure onset localized in the right temporal lobe, while for the ESI+FC method (S</w:t>
      </w:r>
      <w:r w:rsidRPr="00F0434A">
        <w:rPr>
          <w:b w:val="0"/>
          <w:color w:val="auto"/>
          <w:sz w:val="22"/>
          <w:szCs w:val="22"/>
          <w:vertAlign w:val="subscript"/>
          <w:lang w:val="en-GB"/>
        </w:rPr>
        <w:t>CONN</w:t>
      </w:r>
      <w:r w:rsidRPr="00F0434A">
        <w:rPr>
          <w:b w:val="0"/>
          <w:color w:val="auto"/>
          <w:sz w:val="22"/>
          <w:szCs w:val="22"/>
          <w:lang w:val="en-GB"/>
        </w:rPr>
        <w:t>) the SOZ was localized inside the resection zone in the right frontal lobe (disconnected area masked in green), after co-registration with the post-operative MRI. In the graph-below, the ESI+FC sources are sorted by the relative out-degree. Both S</w:t>
      </w:r>
      <w:r w:rsidRPr="00F0434A">
        <w:rPr>
          <w:b w:val="0"/>
          <w:color w:val="auto"/>
          <w:sz w:val="22"/>
          <w:szCs w:val="22"/>
          <w:vertAlign w:val="subscript"/>
          <w:lang w:val="en-GB"/>
        </w:rPr>
        <w:t xml:space="preserve">CONN </w:t>
      </w:r>
      <w:r w:rsidRPr="00F0434A">
        <w:rPr>
          <w:b w:val="0"/>
          <w:color w:val="auto"/>
          <w:sz w:val="22"/>
          <w:szCs w:val="22"/>
          <w:lang w:val="en-GB"/>
        </w:rPr>
        <w:t>and the second most active source were located in the right frontal lobe. SOZ, seizure onset zone. ESI, Electrical Source Imaging. FC, functional connectivity.</w:t>
      </w:r>
    </w:p>
    <w:p w:rsidR="00F0434A" w:rsidRPr="00F0434A" w:rsidRDefault="00F0434A" w:rsidP="00F0434A">
      <w:pPr>
        <w:pStyle w:val="Lgende"/>
        <w:suppressLineNumbers w:val="0"/>
        <w:jc w:val="both"/>
        <w:rPr>
          <w:color w:val="auto"/>
          <w:sz w:val="22"/>
          <w:szCs w:val="22"/>
          <w:lang w:val="en-GB"/>
        </w:rPr>
      </w:pPr>
    </w:p>
    <w:p w:rsidR="00F0434A" w:rsidRPr="00F0434A" w:rsidRDefault="00F0434A" w:rsidP="00F0434A">
      <w:pPr>
        <w:pStyle w:val="Lgende"/>
        <w:suppressLineNumbers w:val="0"/>
        <w:jc w:val="both"/>
        <w:rPr>
          <w:color w:val="auto"/>
          <w:lang w:val="en-US"/>
        </w:rPr>
      </w:pPr>
      <w:r w:rsidRPr="00F0434A">
        <w:rPr>
          <w:color w:val="auto"/>
          <w:sz w:val="22"/>
          <w:szCs w:val="22"/>
          <w:lang w:val="en-GB"/>
        </w:rPr>
        <w:t xml:space="preserve">Figure </w:t>
      </w:r>
      <w:r w:rsidRPr="00F0434A">
        <w:rPr>
          <w:color w:val="auto"/>
          <w:sz w:val="22"/>
          <w:szCs w:val="22"/>
        </w:rPr>
        <w:fldChar w:fldCharType="begin"/>
      </w:r>
      <w:r w:rsidRPr="00F0434A">
        <w:rPr>
          <w:color w:val="auto"/>
          <w:sz w:val="22"/>
          <w:szCs w:val="22"/>
          <w:lang w:val="en-GB"/>
        </w:rPr>
        <w:instrText xml:space="preserve"> SEQ Figure \* ARABIC </w:instrText>
      </w:r>
      <w:r w:rsidRPr="00F0434A">
        <w:rPr>
          <w:color w:val="auto"/>
          <w:sz w:val="22"/>
          <w:szCs w:val="22"/>
        </w:rPr>
        <w:fldChar w:fldCharType="separate"/>
      </w:r>
      <w:r w:rsidRPr="00F0434A">
        <w:rPr>
          <w:noProof/>
          <w:color w:val="auto"/>
          <w:sz w:val="22"/>
          <w:szCs w:val="22"/>
          <w:lang w:val="en-GB"/>
        </w:rPr>
        <w:t>5</w:t>
      </w:r>
      <w:r w:rsidRPr="00F0434A">
        <w:rPr>
          <w:color w:val="auto"/>
          <w:sz w:val="22"/>
          <w:szCs w:val="22"/>
          <w:lang w:val="en-GB"/>
        </w:rPr>
        <w:fldChar w:fldCharType="end"/>
      </w:r>
      <w:r w:rsidRPr="00F0434A">
        <w:rPr>
          <w:color w:val="auto"/>
          <w:sz w:val="22"/>
          <w:szCs w:val="22"/>
          <w:lang w:val="en-GB"/>
        </w:rPr>
        <w:t xml:space="preserve"> </w:t>
      </w:r>
      <w:r w:rsidRPr="00F0434A">
        <w:rPr>
          <w:b w:val="0"/>
          <w:color w:val="auto"/>
          <w:sz w:val="22"/>
          <w:szCs w:val="22"/>
          <w:lang w:val="en-GB"/>
        </w:rPr>
        <w:t>Study flowchart leading to ESI+FC, ESI power, and interictal ESI results, at a patient level. Reference standard: resection zone in relation to surgical outcome at 1 year follow-up</w:t>
      </w:r>
    </w:p>
    <w:p w:rsidR="00F0434A" w:rsidRPr="00F0434A" w:rsidRDefault="00F0434A" w:rsidP="00F0434A">
      <w:pPr>
        <w:pStyle w:val="Lgende"/>
        <w:suppressLineNumbers w:val="0"/>
        <w:jc w:val="both"/>
        <w:rPr>
          <w:b w:val="0"/>
          <w:color w:val="auto"/>
          <w:sz w:val="22"/>
          <w:szCs w:val="22"/>
          <w:lang w:val="en-GB"/>
        </w:rPr>
      </w:pPr>
      <w:r w:rsidRPr="00F0434A">
        <w:rPr>
          <w:b w:val="0"/>
          <w:color w:val="auto"/>
          <w:sz w:val="22"/>
          <w:szCs w:val="22"/>
          <w:lang w:val="en-GB"/>
        </w:rPr>
        <w:t xml:space="preserve"> </w:t>
      </w:r>
    </w:p>
    <w:p w:rsidR="00F0434A" w:rsidRPr="00F0434A" w:rsidRDefault="00F0434A" w:rsidP="00F0434A">
      <w:pPr>
        <w:rPr>
          <w:rFonts w:asciiTheme="minorHAnsi" w:hAnsiTheme="minorHAnsi" w:cstheme="minorHAnsi"/>
          <w:b/>
          <w:color w:val="auto"/>
          <w:lang w:val="en-US"/>
        </w:rPr>
      </w:pPr>
      <w:r w:rsidRPr="00F0434A">
        <w:rPr>
          <w:rFonts w:asciiTheme="minorHAnsi" w:hAnsiTheme="minorHAnsi" w:cstheme="minorHAnsi"/>
          <w:b/>
          <w:color w:val="auto"/>
          <w:lang w:val="en-US"/>
        </w:rPr>
        <w:t>TABLES</w:t>
      </w:r>
    </w:p>
    <w:p w:rsidR="00F0434A" w:rsidRPr="00F0434A" w:rsidRDefault="00F0434A" w:rsidP="00F0434A">
      <w:pPr>
        <w:rPr>
          <w:rFonts w:asciiTheme="minorHAnsi" w:hAnsiTheme="minorHAnsi" w:cstheme="minorHAnsi"/>
          <w:color w:val="auto"/>
          <w:lang w:val="en-US"/>
        </w:rPr>
        <w:sectPr w:rsidR="00F0434A" w:rsidRPr="00F0434A" w:rsidSect="008D45DD">
          <w:headerReference w:type="default" r:id="rId6"/>
          <w:footerReference w:type="default" r:id="rId7"/>
          <w:pgSz w:w="11906" w:h="16838" w:code="9"/>
          <w:pgMar w:top="1418" w:right="1418" w:bottom="1418" w:left="1418" w:header="709" w:footer="709" w:gutter="0"/>
          <w:lnNumType w:countBy="1" w:restart="continuous"/>
          <w:cols w:space="708"/>
          <w:vAlign w:val="center"/>
          <w:docGrid w:linePitch="360"/>
        </w:sectPr>
      </w:pPr>
    </w:p>
    <w:tbl>
      <w:tblPr>
        <w:tblStyle w:val="Grilledetableauclaire2"/>
        <w:tblpPr w:leftFromText="141" w:rightFromText="141" w:vertAnchor="page" w:horzAnchor="page" w:tblpX="138" w:tblpY="1"/>
        <w:tblW w:w="5321" w:type="pct"/>
        <w:tblLook w:val="0600" w:firstRow="0" w:lastRow="0" w:firstColumn="0" w:lastColumn="0" w:noHBand="1" w:noVBand="1"/>
      </w:tblPr>
      <w:tblGrid>
        <w:gridCol w:w="545"/>
        <w:gridCol w:w="1015"/>
        <w:gridCol w:w="446"/>
        <w:gridCol w:w="765"/>
        <w:gridCol w:w="724"/>
        <w:gridCol w:w="1551"/>
        <w:gridCol w:w="964"/>
        <w:gridCol w:w="1639"/>
        <w:gridCol w:w="1447"/>
        <w:gridCol w:w="1404"/>
        <w:gridCol w:w="1683"/>
        <w:gridCol w:w="1683"/>
        <w:gridCol w:w="1505"/>
        <w:gridCol w:w="1005"/>
      </w:tblGrid>
      <w:tr w:rsidR="00F0434A" w:rsidRPr="00F0434A" w:rsidTr="005C2537">
        <w:trPr>
          <w:trHeight w:val="456"/>
        </w:trPr>
        <w:tc>
          <w:tcPr>
            <w:tcW w:w="171" w:type="pct"/>
            <w:shd w:val="clear" w:color="auto" w:fill="D9D9D9" w:themeFill="background1" w:themeFillShade="D9"/>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b/>
                <w:bCs/>
                <w:color w:val="auto"/>
                <w:kern w:val="24"/>
                <w:sz w:val="16"/>
                <w:szCs w:val="16"/>
                <w:lang w:val="en-US" w:eastAsia="fr-BE"/>
              </w:rPr>
              <w:lastRenderedPageBreak/>
              <w:t>Pt n°</w:t>
            </w:r>
          </w:p>
        </w:tc>
        <w:tc>
          <w:tcPr>
            <w:tcW w:w="304" w:type="pct"/>
            <w:shd w:val="clear" w:color="auto" w:fill="D9D9D9" w:themeFill="background1" w:themeFillShade="D9"/>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eastAsia="Times New Roman" w:hAnsi="Calibri" w:cs="Arial"/>
                <w:b/>
                <w:bCs/>
                <w:color w:val="auto"/>
                <w:kern w:val="24"/>
                <w:sz w:val="16"/>
                <w:szCs w:val="16"/>
                <w:lang w:val="en-US" w:eastAsia="fr-BE"/>
              </w:rPr>
              <w:t>Epilepsy localization</w:t>
            </w:r>
          </w:p>
        </w:tc>
        <w:tc>
          <w:tcPr>
            <w:tcW w:w="124" w:type="pct"/>
            <w:shd w:val="clear" w:color="auto" w:fill="D9D9D9" w:themeFill="background1" w:themeFillShade="D9"/>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b/>
                <w:bCs/>
                <w:color w:val="auto"/>
                <w:kern w:val="24"/>
                <w:sz w:val="16"/>
                <w:szCs w:val="16"/>
                <w:lang w:val="en-US" w:eastAsia="fr-BE"/>
              </w:rPr>
              <w:t>Sex</w:t>
            </w:r>
          </w:p>
        </w:tc>
        <w:tc>
          <w:tcPr>
            <w:tcW w:w="230" w:type="pct"/>
            <w:shd w:val="clear" w:color="auto" w:fill="D9D9D9" w:themeFill="background1" w:themeFillShade="D9"/>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b/>
                <w:bCs/>
                <w:color w:val="auto"/>
                <w:kern w:val="24"/>
                <w:sz w:val="16"/>
                <w:szCs w:val="16"/>
                <w:lang w:val="en-US" w:eastAsia="fr-BE"/>
              </w:rPr>
              <w:t>Epilepsy onset age</w:t>
            </w:r>
          </w:p>
        </w:tc>
        <w:tc>
          <w:tcPr>
            <w:tcW w:w="218" w:type="pct"/>
            <w:shd w:val="clear" w:color="auto" w:fill="D9D9D9" w:themeFill="background1" w:themeFillShade="D9"/>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b/>
                <w:bCs/>
                <w:color w:val="auto"/>
                <w:kern w:val="24"/>
                <w:sz w:val="16"/>
                <w:szCs w:val="16"/>
                <w:lang w:val="en-US" w:eastAsia="fr-BE"/>
              </w:rPr>
              <w:t>Surgery age</w:t>
            </w:r>
          </w:p>
        </w:tc>
        <w:tc>
          <w:tcPr>
            <w:tcW w:w="478" w:type="pct"/>
            <w:shd w:val="clear" w:color="auto" w:fill="D9D9D9" w:themeFill="background1" w:themeFillShade="D9"/>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b/>
                <w:bCs/>
                <w:color w:val="auto"/>
                <w:kern w:val="24"/>
                <w:sz w:val="16"/>
                <w:szCs w:val="16"/>
                <w:lang w:val="en-US" w:eastAsia="fr-BE"/>
              </w:rPr>
              <w:t>Type of surgery</w:t>
            </w:r>
          </w:p>
        </w:tc>
        <w:tc>
          <w:tcPr>
            <w:tcW w:w="299" w:type="pct"/>
            <w:shd w:val="clear" w:color="auto" w:fill="D9D9D9" w:themeFill="background1" w:themeFillShade="D9"/>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b/>
                <w:bCs/>
                <w:color w:val="auto"/>
                <w:kern w:val="24"/>
                <w:sz w:val="16"/>
                <w:szCs w:val="16"/>
                <w:lang w:val="en-US" w:eastAsia="fr-BE"/>
              </w:rPr>
              <w:t>ILAE class at 1 year</w:t>
            </w:r>
          </w:p>
        </w:tc>
        <w:tc>
          <w:tcPr>
            <w:tcW w:w="505" w:type="pct"/>
            <w:shd w:val="clear" w:color="auto" w:fill="D9D9D9" w:themeFill="background1" w:themeFillShade="D9"/>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b/>
                <w:bCs/>
                <w:color w:val="auto"/>
                <w:kern w:val="24"/>
                <w:sz w:val="16"/>
                <w:szCs w:val="16"/>
                <w:lang w:val="en-US" w:eastAsia="fr-BE"/>
              </w:rPr>
              <w:t>Ictal EEG</w:t>
            </w:r>
          </w:p>
        </w:tc>
        <w:tc>
          <w:tcPr>
            <w:tcW w:w="446" w:type="pct"/>
            <w:shd w:val="clear" w:color="auto" w:fill="D9D9D9" w:themeFill="background1" w:themeFillShade="D9"/>
          </w:tcPr>
          <w:p w:rsidR="00F0434A" w:rsidRPr="00F0434A" w:rsidRDefault="00F0434A" w:rsidP="005C2537">
            <w:pPr>
              <w:textAlignment w:val="bottom"/>
              <w:rPr>
                <w:rFonts w:ascii="Calibri" w:eastAsia="Times New Roman" w:hAnsi="Calibri" w:cs="Arial"/>
                <w:b/>
                <w:bCs/>
                <w:color w:val="auto"/>
                <w:kern w:val="24"/>
                <w:sz w:val="16"/>
                <w:szCs w:val="16"/>
                <w:lang w:val="en-US" w:eastAsia="fr-BE"/>
              </w:rPr>
            </w:pPr>
            <w:r w:rsidRPr="00F0434A">
              <w:rPr>
                <w:rFonts w:ascii="Calibri" w:eastAsia="Times New Roman" w:hAnsi="Calibri" w:cs="Arial"/>
                <w:b/>
                <w:bCs/>
                <w:color w:val="auto"/>
                <w:kern w:val="24"/>
                <w:sz w:val="16"/>
                <w:szCs w:val="16"/>
                <w:lang w:val="en-US" w:eastAsia="fr-BE"/>
              </w:rPr>
              <w:t>Dominant rhythm</w:t>
            </w:r>
          </w:p>
        </w:tc>
        <w:tc>
          <w:tcPr>
            <w:tcW w:w="433" w:type="pct"/>
            <w:shd w:val="clear" w:color="auto" w:fill="D9D9D9" w:themeFill="background1" w:themeFillShade="D9"/>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b/>
                <w:bCs/>
                <w:color w:val="auto"/>
                <w:kern w:val="24"/>
                <w:sz w:val="16"/>
                <w:szCs w:val="16"/>
                <w:lang w:val="en-US" w:eastAsia="fr-BE"/>
              </w:rPr>
              <w:t>Interictal EEG</w:t>
            </w:r>
          </w:p>
        </w:tc>
        <w:tc>
          <w:tcPr>
            <w:tcW w:w="518" w:type="pct"/>
            <w:shd w:val="clear" w:color="auto" w:fill="D9D9D9" w:themeFill="background1" w:themeFillShade="D9"/>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b/>
                <w:bCs/>
                <w:color w:val="auto"/>
                <w:kern w:val="24"/>
                <w:sz w:val="16"/>
                <w:szCs w:val="16"/>
                <w:lang w:val="en-US" w:eastAsia="fr-BE"/>
              </w:rPr>
              <w:t>MRI findings</w:t>
            </w:r>
          </w:p>
        </w:tc>
        <w:tc>
          <w:tcPr>
            <w:tcW w:w="518" w:type="pct"/>
            <w:shd w:val="clear" w:color="auto" w:fill="D9D9D9" w:themeFill="background1" w:themeFillShade="D9"/>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b/>
                <w:bCs/>
                <w:color w:val="auto"/>
                <w:kern w:val="24"/>
                <w:sz w:val="16"/>
                <w:szCs w:val="16"/>
                <w:lang w:val="en-US" w:eastAsia="fr-BE"/>
              </w:rPr>
              <w:t>FDG-PET findings</w:t>
            </w:r>
          </w:p>
        </w:tc>
        <w:tc>
          <w:tcPr>
            <w:tcW w:w="445" w:type="pct"/>
            <w:shd w:val="clear" w:color="auto" w:fill="D9D9D9" w:themeFill="background1" w:themeFillShade="D9"/>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b/>
                <w:bCs/>
                <w:color w:val="auto"/>
                <w:kern w:val="24"/>
                <w:sz w:val="16"/>
                <w:szCs w:val="16"/>
                <w:lang w:val="en-US" w:eastAsia="fr-BE"/>
              </w:rPr>
              <w:t>Anatomopathology</w:t>
            </w:r>
          </w:p>
        </w:tc>
        <w:tc>
          <w:tcPr>
            <w:tcW w:w="311" w:type="pct"/>
            <w:shd w:val="clear" w:color="auto" w:fill="D9D9D9" w:themeFill="background1" w:themeFillShade="D9"/>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b/>
                <w:bCs/>
                <w:color w:val="auto"/>
                <w:kern w:val="24"/>
                <w:sz w:val="16"/>
                <w:szCs w:val="16"/>
                <w:lang w:val="en-US" w:eastAsia="fr-BE"/>
              </w:rPr>
              <w:t>Follow-up in months</w:t>
            </w:r>
          </w:p>
        </w:tc>
      </w:tr>
      <w:tr w:rsidR="00F0434A" w:rsidRPr="00F0434A" w:rsidTr="005C2537">
        <w:trPr>
          <w:trHeight w:val="160"/>
        </w:trPr>
        <w:tc>
          <w:tcPr>
            <w:tcW w:w="171" w:type="pct"/>
            <w:hideMark/>
          </w:tcPr>
          <w:p w:rsidR="00F0434A" w:rsidRPr="00F0434A" w:rsidRDefault="00F0434A" w:rsidP="005C2537">
            <w:pPr>
              <w:jc w:val="right"/>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1</w:t>
            </w:r>
          </w:p>
        </w:tc>
        <w:tc>
          <w:tcPr>
            <w:tcW w:w="304"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RFLE</w:t>
            </w:r>
          </w:p>
        </w:tc>
        <w:tc>
          <w:tcPr>
            <w:tcW w:w="124"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F</w:t>
            </w:r>
          </w:p>
        </w:tc>
        <w:tc>
          <w:tcPr>
            <w:tcW w:w="230"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4</w:t>
            </w:r>
          </w:p>
        </w:tc>
        <w:tc>
          <w:tcPr>
            <w:tcW w:w="218"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11</w:t>
            </w:r>
          </w:p>
        </w:tc>
        <w:tc>
          <w:tcPr>
            <w:tcW w:w="478"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Lesionectomy R F</w:t>
            </w:r>
          </w:p>
        </w:tc>
        <w:tc>
          <w:tcPr>
            <w:tcW w:w="299"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1</w:t>
            </w:r>
          </w:p>
        </w:tc>
        <w:tc>
          <w:tcPr>
            <w:tcW w:w="505"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R F and pre F fast low voltage paroxysms</w:t>
            </w:r>
          </w:p>
        </w:tc>
        <w:tc>
          <w:tcPr>
            <w:tcW w:w="446" w:type="pct"/>
          </w:tcPr>
          <w:p w:rsidR="00F0434A" w:rsidRPr="00F0434A" w:rsidRDefault="00F0434A" w:rsidP="005C2537">
            <w:pPr>
              <w:textAlignment w:val="bottom"/>
              <w:rPr>
                <w:rFonts w:ascii="Calibri" w:eastAsia="Times New Roman" w:hAnsi="Calibri" w:cs="Arial"/>
                <w:color w:val="auto"/>
                <w:kern w:val="24"/>
                <w:sz w:val="16"/>
                <w:szCs w:val="16"/>
                <w:lang w:val="en-US" w:eastAsia="fr-BE"/>
              </w:rPr>
            </w:pPr>
            <w:r w:rsidRPr="00F0434A">
              <w:rPr>
                <w:rFonts w:ascii="Calibri" w:eastAsia="Times New Roman" w:hAnsi="Calibri" w:cs="Arial"/>
                <w:color w:val="auto"/>
                <w:kern w:val="24"/>
                <w:sz w:val="16"/>
                <w:szCs w:val="16"/>
                <w:lang w:val="en-US" w:eastAsia="fr-BE"/>
              </w:rPr>
              <w:t>Fast paroxysmal activity (beta band)</w:t>
            </w:r>
          </w:p>
        </w:tc>
        <w:tc>
          <w:tcPr>
            <w:tcW w:w="433"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R F S and SW</w:t>
            </w:r>
          </w:p>
        </w:tc>
        <w:tc>
          <w:tcPr>
            <w:tcW w:w="518"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R F FCD</w:t>
            </w:r>
          </w:p>
        </w:tc>
        <w:tc>
          <w:tcPr>
            <w:tcW w:w="518"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hypometabolism R F, small hypemetabolic area at lesion border</w:t>
            </w:r>
          </w:p>
        </w:tc>
        <w:tc>
          <w:tcPr>
            <w:tcW w:w="445"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FCD type I R F</w:t>
            </w:r>
          </w:p>
        </w:tc>
        <w:tc>
          <w:tcPr>
            <w:tcW w:w="311"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40</w:t>
            </w:r>
          </w:p>
        </w:tc>
      </w:tr>
      <w:tr w:rsidR="00F0434A" w:rsidRPr="00F0434A" w:rsidTr="005C2537">
        <w:trPr>
          <w:trHeight w:val="160"/>
        </w:trPr>
        <w:tc>
          <w:tcPr>
            <w:tcW w:w="171" w:type="pct"/>
            <w:hideMark/>
          </w:tcPr>
          <w:p w:rsidR="00F0434A" w:rsidRPr="00F0434A" w:rsidRDefault="00F0434A" w:rsidP="005C2537">
            <w:pPr>
              <w:jc w:val="right"/>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2</w:t>
            </w:r>
          </w:p>
        </w:tc>
        <w:tc>
          <w:tcPr>
            <w:tcW w:w="304"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LFILE</w:t>
            </w:r>
          </w:p>
        </w:tc>
        <w:tc>
          <w:tcPr>
            <w:tcW w:w="124"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M</w:t>
            </w:r>
          </w:p>
        </w:tc>
        <w:tc>
          <w:tcPr>
            <w:tcW w:w="230"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2</w:t>
            </w:r>
          </w:p>
        </w:tc>
        <w:tc>
          <w:tcPr>
            <w:tcW w:w="218"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13</w:t>
            </w:r>
          </w:p>
        </w:tc>
        <w:tc>
          <w:tcPr>
            <w:tcW w:w="478"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Lesionectomy L F and operculo-Insular (2nd surgery)</w:t>
            </w:r>
          </w:p>
        </w:tc>
        <w:tc>
          <w:tcPr>
            <w:tcW w:w="299"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1</w:t>
            </w:r>
          </w:p>
        </w:tc>
        <w:tc>
          <w:tcPr>
            <w:tcW w:w="505"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L hemispheric slowing in delta/theta</w:t>
            </w:r>
          </w:p>
        </w:tc>
        <w:tc>
          <w:tcPr>
            <w:tcW w:w="446" w:type="pct"/>
          </w:tcPr>
          <w:p w:rsidR="00F0434A" w:rsidRPr="00F0434A" w:rsidRDefault="00F0434A" w:rsidP="005C2537">
            <w:pPr>
              <w:textAlignment w:val="bottom"/>
              <w:rPr>
                <w:rFonts w:ascii="Calibri" w:eastAsia="Times New Roman" w:hAnsi="Calibri" w:cs="Arial"/>
                <w:color w:val="auto"/>
                <w:kern w:val="24"/>
                <w:sz w:val="16"/>
                <w:szCs w:val="16"/>
                <w:lang w:val="en-US" w:eastAsia="fr-BE"/>
              </w:rPr>
            </w:pPr>
            <w:r w:rsidRPr="00F0434A">
              <w:rPr>
                <w:rFonts w:ascii="Calibri" w:eastAsia="Times New Roman" w:hAnsi="Calibri" w:cs="Arial"/>
                <w:color w:val="auto"/>
                <w:kern w:val="24"/>
                <w:sz w:val="16"/>
                <w:szCs w:val="16"/>
                <w:lang w:val="en-US" w:eastAsia="fr-BE"/>
              </w:rPr>
              <w:t>Rhythmical evolving discharge in delta/theta band.</w:t>
            </w:r>
          </w:p>
        </w:tc>
        <w:tc>
          <w:tcPr>
            <w:tcW w:w="433"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L F SW and L T ant  S</w:t>
            </w:r>
          </w:p>
        </w:tc>
        <w:tc>
          <w:tcPr>
            <w:tcW w:w="518"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L F insular tumour</w:t>
            </w:r>
          </w:p>
        </w:tc>
        <w:tc>
          <w:tcPr>
            <w:tcW w:w="518"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hypometabolism R F</w:t>
            </w:r>
          </w:p>
        </w:tc>
        <w:tc>
          <w:tcPr>
            <w:tcW w:w="445"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DNET L F</w:t>
            </w:r>
          </w:p>
        </w:tc>
        <w:tc>
          <w:tcPr>
            <w:tcW w:w="311"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38</w:t>
            </w:r>
          </w:p>
        </w:tc>
      </w:tr>
      <w:tr w:rsidR="00F0434A" w:rsidRPr="00F0434A" w:rsidTr="005C2537">
        <w:trPr>
          <w:trHeight w:val="160"/>
        </w:trPr>
        <w:tc>
          <w:tcPr>
            <w:tcW w:w="171" w:type="pct"/>
            <w:hideMark/>
          </w:tcPr>
          <w:p w:rsidR="00F0434A" w:rsidRPr="00F0434A" w:rsidRDefault="00F0434A" w:rsidP="005C2537">
            <w:pPr>
              <w:jc w:val="right"/>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3</w:t>
            </w:r>
          </w:p>
        </w:tc>
        <w:tc>
          <w:tcPr>
            <w:tcW w:w="304"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multilobar right hemispheric</w:t>
            </w:r>
          </w:p>
        </w:tc>
        <w:tc>
          <w:tcPr>
            <w:tcW w:w="124"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M</w:t>
            </w:r>
          </w:p>
        </w:tc>
        <w:tc>
          <w:tcPr>
            <w:tcW w:w="230"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1</w:t>
            </w:r>
          </w:p>
        </w:tc>
        <w:tc>
          <w:tcPr>
            <w:tcW w:w="218"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9</w:t>
            </w:r>
          </w:p>
        </w:tc>
        <w:tc>
          <w:tcPr>
            <w:tcW w:w="478"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 xml:space="preserve">Hemispherotomy R </w:t>
            </w:r>
          </w:p>
        </w:tc>
        <w:tc>
          <w:tcPr>
            <w:tcW w:w="299"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1</w:t>
            </w:r>
          </w:p>
        </w:tc>
        <w:tc>
          <w:tcPr>
            <w:tcW w:w="505"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bilateral fast paroxysms</w:t>
            </w:r>
          </w:p>
        </w:tc>
        <w:tc>
          <w:tcPr>
            <w:tcW w:w="446" w:type="pct"/>
          </w:tcPr>
          <w:p w:rsidR="00F0434A" w:rsidRPr="00F0434A" w:rsidRDefault="00F0434A" w:rsidP="005C2537">
            <w:pPr>
              <w:textAlignment w:val="bottom"/>
              <w:rPr>
                <w:rFonts w:ascii="Calibri" w:eastAsia="Times New Roman" w:hAnsi="Calibri" w:cs="Arial"/>
                <w:color w:val="auto"/>
                <w:kern w:val="24"/>
                <w:sz w:val="16"/>
                <w:szCs w:val="16"/>
                <w:lang w:val="en-US" w:eastAsia="fr-BE"/>
              </w:rPr>
            </w:pPr>
            <w:r w:rsidRPr="00F0434A">
              <w:rPr>
                <w:rFonts w:ascii="Calibri" w:eastAsia="Times New Roman" w:hAnsi="Calibri" w:cs="Arial"/>
                <w:color w:val="auto"/>
                <w:kern w:val="24"/>
                <w:sz w:val="16"/>
                <w:szCs w:val="16"/>
                <w:lang w:val="en-US" w:eastAsia="fr-BE"/>
              </w:rPr>
              <w:t>Fast paroxysmal activity (alpha)</w:t>
            </w:r>
          </w:p>
        </w:tc>
        <w:tc>
          <w:tcPr>
            <w:tcW w:w="433"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bilateral F S</w:t>
            </w:r>
          </w:p>
        </w:tc>
        <w:tc>
          <w:tcPr>
            <w:tcW w:w="518"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R F insular post-ischemic lesions</w:t>
            </w:r>
          </w:p>
        </w:tc>
        <w:tc>
          <w:tcPr>
            <w:tcW w:w="518"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hypometabolism R diffuse</w:t>
            </w:r>
          </w:p>
        </w:tc>
        <w:tc>
          <w:tcPr>
            <w:tcW w:w="445"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n/a</w:t>
            </w:r>
          </w:p>
        </w:tc>
        <w:tc>
          <w:tcPr>
            <w:tcW w:w="311"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33</w:t>
            </w:r>
          </w:p>
        </w:tc>
      </w:tr>
      <w:tr w:rsidR="00F0434A" w:rsidRPr="00F0434A" w:rsidTr="005C2537">
        <w:trPr>
          <w:trHeight w:val="160"/>
        </w:trPr>
        <w:tc>
          <w:tcPr>
            <w:tcW w:w="171" w:type="pct"/>
            <w:hideMark/>
          </w:tcPr>
          <w:p w:rsidR="00F0434A" w:rsidRPr="00F0434A" w:rsidRDefault="00F0434A" w:rsidP="005C2537">
            <w:pPr>
              <w:jc w:val="right"/>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4</w:t>
            </w:r>
          </w:p>
        </w:tc>
        <w:tc>
          <w:tcPr>
            <w:tcW w:w="304"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RFLE</w:t>
            </w:r>
          </w:p>
        </w:tc>
        <w:tc>
          <w:tcPr>
            <w:tcW w:w="124"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M</w:t>
            </w:r>
          </w:p>
        </w:tc>
        <w:tc>
          <w:tcPr>
            <w:tcW w:w="230"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6</w:t>
            </w:r>
          </w:p>
        </w:tc>
        <w:tc>
          <w:tcPr>
            <w:tcW w:w="218"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8</w:t>
            </w:r>
          </w:p>
        </w:tc>
        <w:tc>
          <w:tcPr>
            <w:tcW w:w="478"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Cortectomy R F</w:t>
            </w:r>
          </w:p>
        </w:tc>
        <w:tc>
          <w:tcPr>
            <w:tcW w:w="299"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1</w:t>
            </w:r>
          </w:p>
        </w:tc>
        <w:tc>
          <w:tcPr>
            <w:tcW w:w="505"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C fast paroxysms, right diffusion</w:t>
            </w:r>
          </w:p>
        </w:tc>
        <w:tc>
          <w:tcPr>
            <w:tcW w:w="446" w:type="pct"/>
          </w:tcPr>
          <w:p w:rsidR="00F0434A" w:rsidRPr="00F0434A" w:rsidRDefault="00F0434A" w:rsidP="005C2537">
            <w:pPr>
              <w:textAlignment w:val="bottom"/>
              <w:rPr>
                <w:rFonts w:ascii="Calibri" w:eastAsia="Times New Roman" w:hAnsi="Calibri" w:cs="Arial"/>
                <w:color w:val="auto"/>
                <w:kern w:val="24"/>
                <w:sz w:val="16"/>
                <w:szCs w:val="16"/>
                <w:lang w:val="en-US" w:eastAsia="fr-BE"/>
              </w:rPr>
            </w:pPr>
            <w:r w:rsidRPr="00F0434A">
              <w:rPr>
                <w:rFonts w:ascii="Calibri" w:eastAsia="Times New Roman" w:hAnsi="Calibri" w:cs="Arial"/>
                <w:color w:val="auto"/>
                <w:kern w:val="24"/>
                <w:sz w:val="16"/>
                <w:szCs w:val="16"/>
                <w:lang w:val="en-US" w:eastAsia="fr-BE"/>
              </w:rPr>
              <w:t>Rhythmical evolving discharge in theta/alpha band</w:t>
            </w:r>
          </w:p>
        </w:tc>
        <w:tc>
          <w:tcPr>
            <w:tcW w:w="433"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C S and slow waves</w:t>
            </w:r>
          </w:p>
        </w:tc>
        <w:tc>
          <w:tcPr>
            <w:tcW w:w="518"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R F uncertain abnormality</w:t>
            </w:r>
          </w:p>
        </w:tc>
        <w:tc>
          <w:tcPr>
            <w:tcW w:w="518"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negative</w:t>
            </w:r>
          </w:p>
        </w:tc>
        <w:tc>
          <w:tcPr>
            <w:tcW w:w="445"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FCD type IIb R F</w:t>
            </w:r>
          </w:p>
        </w:tc>
        <w:tc>
          <w:tcPr>
            <w:tcW w:w="311"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42</w:t>
            </w:r>
          </w:p>
        </w:tc>
      </w:tr>
      <w:tr w:rsidR="00F0434A" w:rsidRPr="00F0434A" w:rsidTr="005C2537">
        <w:trPr>
          <w:trHeight w:val="160"/>
        </w:trPr>
        <w:tc>
          <w:tcPr>
            <w:tcW w:w="171" w:type="pct"/>
            <w:hideMark/>
          </w:tcPr>
          <w:p w:rsidR="00F0434A" w:rsidRPr="00F0434A" w:rsidRDefault="00F0434A" w:rsidP="005C2537">
            <w:pPr>
              <w:jc w:val="right"/>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5</w:t>
            </w:r>
          </w:p>
        </w:tc>
        <w:tc>
          <w:tcPr>
            <w:tcW w:w="304"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RFLE</w:t>
            </w:r>
          </w:p>
        </w:tc>
        <w:tc>
          <w:tcPr>
            <w:tcW w:w="124"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F</w:t>
            </w:r>
          </w:p>
        </w:tc>
        <w:tc>
          <w:tcPr>
            <w:tcW w:w="230"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3</w:t>
            </w:r>
          </w:p>
        </w:tc>
        <w:tc>
          <w:tcPr>
            <w:tcW w:w="218"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21</w:t>
            </w:r>
          </w:p>
        </w:tc>
        <w:tc>
          <w:tcPr>
            <w:tcW w:w="478"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Lesionectomy + cortectomy R F</w:t>
            </w:r>
          </w:p>
        </w:tc>
        <w:tc>
          <w:tcPr>
            <w:tcW w:w="299"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1</w:t>
            </w:r>
          </w:p>
        </w:tc>
        <w:tc>
          <w:tcPr>
            <w:tcW w:w="505"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L slowing, R anterior slow waves</w:t>
            </w:r>
          </w:p>
        </w:tc>
        <w:tc>
          <w:tcPr>
            <w:tcW w:w="446" w:type="pct"/>
          </w:tcPr>
          <w:p w:rsidR="00F0434A" w:rsidRPr="00F0434A" w:rsidRDefault="00F0434A" w:rsidP="005C2537">
            <w:pPr>
              <w:textAlignment w:val="bottom"/>
              <w:rPr>
                <w:rFonts w:ascii="Calibri" w:eastAsia="Times New Roman" w:hAnsi="Calibri" w:cs="Arial"/>
                <w:color w:val="auto"/>
                <w:kern w:val="24"/>
                <w:sz w:val="16"/>
                <w:szCs w:val="16"/>
                <w:lang w:val="en-US" w:eastAsia="fr-BE"/>
              </w:rPr>
            </w:pPr>
            <w:r w:rsidRPr="00F0434A">
              <w:rPr>
                <w:rFonts w:ascii="Calibri" w:eastAsia="Times New Roman" w:hAnsi="Calibri" w:cs="Arial"/>
                <w:color w:val="auto"/>
                <w:kern w:val="24"/>
                <w:sz w:val="16"/>
                <w:szCs w:val="16"/>
                <w:lang w:val="en-US" w:eastAsia="fr-BE"/>
              </w:rPr>
              <w:t>Rhythmical evolving discharge in theta/alpha band</w:t>
            </w:r>
          </w:p>
        </w:tc>
        <w:tc>
          <w:tcPr>
            <w:tcW w:w="433"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R prefrontal</w:t>
            </w:r>
          </w:p>
        </w:tc>
        <w:tc>
          <w:tcPr>
            <w:tcW w:w="518"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R F FCD</w:t>
            </w:r>
          </w:p>
        </w:tc>
        <w:tc>
          <w:tcPr>
            <w:tcW w:w="518"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negative</w:t>
            </w:r>
          </w:p>
        </w:tc>
        <w:tc>
          <w:tcPr>
            <w:tcW w:w="445"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FCD type IIb R F</w:t>
            </w:r>
          </w:p>
        </w:tc>
        <w:tc>
          <w:tcPr>
            <w:tcW w:w="311"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40</w:t>
            </w:r>
          </w:p>
        </w:tc>
      </w:tr>
      <w:tr w:rsidR="00F0434A" w:rsidRPr="00F0434A" w:rsidTr="005C2537">
        <w:trPr>
          <w:trHeight w:val="160"/>
        </w:trPr>
        <w:tc>
          <w:tcPr>
            <w:tcW w:w="171" w:type="pct"/>
            <w:hideMark/>
          </w:tcPr>
          <w:p w:rsidR="00F0434A" w:rsidRPr="00F0434A" w:rsidRDefault="00F0434A" w:rsidP="005C2537">
            <w:pPr>
              <w:jc w:val="right"/>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6</w:t>
            </w:r>
          </w:p>
        </w:tc>
        <w:tc>
          <w:tcPr>
            <w:tcW w:w="304"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multilobar left hemispheric</w:t>
            </w:r>
          </w:p>
        </w:tc>
        <w:tc>
          <w:tcPr>
            <w:tcW w:w="124"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F</w:t>
            </w:r>
          </w:p>
        </w:tc>
        <w:tc>
          <w:tcPr>
            <w:tcW w:w="230"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3</w:t>
            </w:r>
          </w:p>
        </w:tc>
        <w:tc>
          <w:tcPr>
            <w:tcW w:w="218"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15</w:t>
            </w:r>
          </w:p>
        </w:tc>
        <w:tc>
          <w:tcPr>
            <w:tcW w:w="478"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Hemispherotomy L</w:t>
            </w:r>
          </w:p>
        </w:tc>
        <w:tc>
          <w:tcPr>
            <w:tcW w:w="299"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4</w:t>
            </w:r>
          </w:p>
        </w:tc>
        <w:tc>
          <w:tcPr>
            <w:tcW w:w="505"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L anterior discharge</w:t>
            </w:r>
          </w:p>
        </w:tc>
        <w:tc>
          <w:tcPr>
            <w:tcW w:w="446" w:type="pct"/>
          </w:tcPr>
          <w:p w:rsidR="00F0434A" w:rsidRPr="00F0434A" w:rsidRDefault="00F0434A" w:rsidP="005C2537">
            <w:pPr>
              <w:textAlignment w:val="bottom"/>
              <w:rPr>
                <w:rFonts w:ascii="Calibri" w:eastAsia="Times New Roman" w:hAnsi="Calibri" w:cs="Arial"/>
                <w:color w:val="auto"/>
                <w:kern w:val="24"/>
                <w:sz w:val="16"/>
                <w:szCs w:val="16"/>
                <w:lang w:val="en-US" w:eastAsia="fr-BE"/>
              </w:rPr>
            </w:pPr>
            <w:r w:rsidRPr="00F0434A">
              <w:rPr>
                <w:rFonts w:ascii="Calibri" w:eastAsia="Times New Roman" w:hAnsi="Calibri" w:cs="Arial"/>
                <w:color w:val="auto"/>
                <w:kern w:val="24"/>
                <w:sz w:val="16"/>
                <w:szCs w:val="16"/>
                <w:lang w:val="en-US" w:eastAsia="fr-BE"/>
              </w:rPr>
              <w:t>Fast paroxysmal activity (beta)</w:t>
            </w:r>
          </w:p>
        </w:tc>
        <w:tc>
          <w:tcPr>
            <w:tcW w:w="433"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L diffuse SW</w:t>
            </w:r>
          </w:p>
        </w:tc>
        <w:tc>
          <w:tcPr>
            <w:tcW w:w="518"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large L porencephalic cavity</w:t>
            </w:r>
          </w:p>
        </w:tc>
        <w:tc>
          <w:tcPr>
            <w:tcW w:w="518"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hypometabolism L</w:t>
            </w:r>
          </w:p>
        </w:tc>
        <w:tc>
          <w:tcPr>
            <w:tcW w:w="445"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nonspecific findings</w:t>
            </w:r>
          </w:p>
        </w:tc>
        <w:tc>
          <w:tcPr>
            <w:tcW w:w="311"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33</w:t>
            </w:r>
          </w:p>
        </w:tc>
      </w:tr>
      <w:tr w:rsidR="00F0434A" w:rsidRPr="00F0434A" w:rsidTr="005C2537">
        <w:trPr>
          <w:trHeight w:val="160"/>
        </w:trPr>
        <w:tc>
          <w:tcPr>
            <w:tcW w:w="171" w:type="pct"/>
            <w:hideMark/>
          </w:tcPr>
          <w:p w:rsidR="00F0434A" w:rsidRPr="00F0434A" w:rsidRDefault="00F0434A" w:rsidP="005C2537">
            <w:pPr>
              <w:jc w:val="right"/>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7</w:t>
            </w:r>
          </w:p>
        </w:tc>
        <w:tc>
          <w:tcPr>
            <w:tcW w:w="304"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RFLE</w:t>
            </w:r>
          </w:p>
        </w:tc>
        <w:tc>
          <w:tcPr>
            <w:tcW w:w="124"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M</w:t>
            </w:r>
          </w:p>
        </w:tc>
        <w:tc>
          <w:tcPr>
            <w:tcW w:w="230"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2</w:t>
            </w:r>
          </w:p>
        </w:tc>
        <w:tc>
          <w:tcPr>
            <w:tcW w:w="218"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8</w:t>
            </w:r>
          </w:p>
        </w:tc>
        <w:tc>
          <w:tcPr>
            <w:tcW w:w="478"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Disconnection R F</w:t>
            </w:r>
          </w:p>
        </w:tc>
        <w:tc>
          <w:tcPr>
            <w:tcW w:w="299"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1</w:t>
            </w:r>
          </w:p>
        </w:tc>
        <w:tc>
          <w:tcPr>
            <w:tcW w:w="505"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bifrontal fast paroxysms</w:t>
            </w:r>
          </w:p>
        </w:tc>
        <w:tc>
          <w:tcPr>
            <w:tcW w:w="446" w:type="pct"/>
          </w:tcPr>
          <w:p w:rsidR="00F0434A" w:rsidRPr="00F0434A" w:rsidRDefault="00F0434A" w:rsidP="005C2537">
            <w:pPr>
              <w:textAlignment w:val="bottom"/>
              <w:rPr>
                <w:rFonts w:ascii="Calibri" w:eastAsia="Times New Roman" w:hAnsi="Calibri" w:cs="Arial"/>
                <w:color w:val="auto"/>
                <w:kern w:val="24"/>
                <w:sz w:val="16"/>
                <w:szCs w:val="16"/>
                <w:lang w:val="en-US" w:eastAsia="fr-BE"/>
              </w:rPr>
            </w:pPr>
            <w:r w:rsidRPr="00F0434A">
              <w:rPr>
                <w:rFonts w:ascii="Calibri" w:eastAsia="Times New Roman" w:hAnsi="Calibri" w:cs="Arial"/>
                <w:color w:val="auto"/>
                <w:kern w:val="24"/>
                <w:sz w:val="16"/>
                <w:szCs w:val="16"/>
                <w:lang w:val="en-US" w:eastAsia="fr-BE"/>
              </w:rPr>
              <w:t>1</w:t>
            </w:r>
            <w:r w:rsidRPr="00F0434A">
              <w:rPr>
                <w:rFonts w:ascii="Calibri" w:eastAsia="Times New Roman" w:hAnsi="Calibri" w:cs="Arial"/>
                <w:color w:val="auto"/>
                <w:kern w:val="24"/>
                <w:sz w:val="16"/>
                <w:szCs w:val="16"/>
                <w:vertAlign w:val="superscript"/>
                <w:lang w:val="en-US" w:eastAsia="fr-BE"/>
              </w:rPr>
              <w:t>st</w:t>
            </w:r>
            <w:r w:rsidRPr="00F0434A">
              <w:rPr>
                <w:rFonts w:ascii="Calibri" w:eastAsia="Times New Roman" w:hAnsi="Calibri" w:cs="Arial"/>
                <w:color w:val="auto"/>
                <w:kern w:val="24"/>
                <w:sz w:val="16"/>
                <w:szCs w:val="16"/>
                <w:lang w:val="en-US" w:eastAsia="fr-BE"/>
              </w:rPr>
              <w:t xml:space="preserve"> type: Fast paroxysmal activity</w:t>
            </w:r>
          </w:p>
          <w:p w:rsidR="00F0434A" w:rsidRPr="00F0434A" w:rsidRDefault="00F0434A" w:rsidP="005C2537">
            <w:pPr>
              <w:textAlignment w:val="bottom"/>
              <w:rPr>
                <w:rFonts w:ascii="Calibri" w:eastAsia="Times New Roman" w:hAnsi="Calibri" w:cs="Arial"/>
                <w:color w:val="auto"/>
                <w:kern w:val="24"/>
                <w:sz w:val="16"/>
                <w:szCs w:val="16"/>
                <w:lang w:val="en-US" w:eastAsia="fr-BE"/>
              </w:rPr>
            </w:pPr>
            <w:r w:rsidRPr="00F0434A">
              <w:rPr>
                <w:rFonts w:ascii="Calibri" w:eastAsia="Times New Roman" w:hAnsi="Calibri" w:cs="Arial"/>
                <w:color w:val="auto"/>
                <w:kern w:val="24"/>
                <w:sz w:val="16"/>
                <w:szCs w:val="16"/>
                <w:lang w:val="en-US" w:eastAsia="fr-BE"/>
              </w:rPr>
              <w:t>2</w:t>
            </w:r>
            <w:r w:rsidRPr="00F0434A">
              <w:rPr>
                <w:rFonts w:ascii="Calibri" w:eastAsia="Times New Roman" w:hAnsi="Calibri" w:cs="Arial"/>
                <w:color w:val="auto"/>
                <w:kern w:val="24"/>
                <w:sz w:val="16"/>
                <w:szCs w:val="16"/>
                <w:vertAlign w:val="superscript"/>
                <w:lang w:val="en-US" w:eastAsia="fr-BE"/>
              </w:rPr>
              <w:t>nd</w:t>
            </w:r>
            <w:r w:rsidRPr="00F0434A">
              <w:rPr>
                <w:rFonts w:ascii="Calibri" w:eastAsia="Times New Roman" w:hAnsi="Calibri" w:cs="Arial"/>
                <w:color w:val="auto"/>
                <w:kern w:val="24"/>
                <w:sz w:val="16"/>
                <w:szCs w:val="16"/>
                <w:lang w:val="en-US" w:eastAsia="fr-BE"/>
              </w:rPr>
              <w:t xml:space="preserve"> type:  Rhythmical evolving discharge in theta/alpha band</w:t>
            </w:r>
          </w:p>
        </w:tc>
        <w:tc>
          <w:tcPr>
            <w:tcW w:w="433"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R F lateral S</w:t>
            </w:r>
          </w:p>
        </w:tc>
        <w:tc>
          <w:tcPr>
            <w:tcW w:w="518"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no epileptogenic lesion</w:t>
            </w:r>
          </w:p>
        </w:tc>
        <w:tc>
          <w:tcPr>
            <w:tcW w:w="518"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slight hypometabolism R F lateral and mesial</w:t>
            </w:r>
          </w:p>
        </w:tc>
        <w:tc>
          <w:tcPr>
            <w:tcW w:w="445"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non significant</w:t>
            </w:r>
          </w:p>
        </w:tc>
        <w:tc>
          <w:tcPr>
            <w:tcW w:w="311"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30</w:t>
            </w:r>
          </w:p>
        </w:tc>
      </w:tr>
      <w:tr w:rsidR="00F0434A" w:rsidRPr="00F0434A" w:rsidTr="005C2537">
        <w:trPr>
          <w:trHeight w:val="160"/>
        </w:trPr>
        <w:tc>
          <w:tcPr>
            <w:tcW w:w="171" w:type="pct"/>
            <w:hideMark/>
          </w:tcPr>
          <w:p w:rsidR="00F0434A" w:rsidRPr="00F0434A" w:rsidRDefault="00F0434A" w:rsidP="005C2537">
            <w:pPr>
              <w:jc w:val="right"/>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8</w:t>
            </w:r>
          </w:p>
        </w:tc>
        <w:tc>
          <w:tcPr>
            <w:tcW w:w="304"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RFLE</w:t>
            </w:r>
          </w:p>
        </w:tc>
        <w:tc>
          <w:tcPr>
            <w:tcW w:w="124"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F</w:t>
            </w:r>
          </w:p>
        </w:tc>
        <w:tc>
          <w:tcPr>
            <w:tcW w:w="230"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0</w:t>
            </w:r>
          </w:p>
        </w:tc>
        <w:tc>
          <w:tcPr>
            <w:tcW w:w="218"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14</w:t>
            </w:r>
          </w:p>
        </w:tc>
        <w:tc>
          <w:tcPr>
            <w:tcW w:w="478"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Disconnection R F</w:t>
            </w:r>
          </w:p>
        </w:tc>
        <w:tc>
          <w:tcPr>
            <w:tcW w:w="299"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1</w:t>
            </w:r>
          </w:p>
        </w:tc>
        <w:tc>
          <w:tcPr>
            <w:tcW w:w="505"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R FT low voltage fast paroxysms; anterior fast bilateral discharges</w:t>
            </w:r>
          </w:p>
        </w:tc>
        <w:tc>
          <w:tcPr>
            <w:tcW w:w="446" w:type="pct"/>
          </w:tcPr>
          <w:p w:rsidR="00F0434A" w:rsidRPr="00F0434A" w:rsidRDefault="00F0434A" w:rsidP="005C2537">
            <w:pPr>
              <w:textAlignment w:val="bottom"/>
              <w:rPr>
                <w:rFonts w:ascii="Calibri" w:eastAsia="Times New Roman" w:hAnsi="Calibri" w:cs="Arial"/>
                <w:color w:val="auto"/>
                <w:kern w:val="24"/>
                <w:sz w:val="16"/>
                <w:szCs w:val="16"/>
                <w:lang w:val="en-US" w:eastAsia="fr-BE"/>
              </w:rPr>
            </w:pPr>
            <w:r w:rsidRPr="00F0434A">
              <w:rPr>
                <w:rFonts w:ascii="Calibri" w:eastAsia="Times New Roman" w:hAnsi="Calibri" w:cs="Arial"/>
                <w:color w:val="auto"/>
                <w:kern w:val="24"/>
                <w:sz w:val="16"/>
                <w:szCs w:val="16"/>
                <w:lang w:val="en-US" w:eastAsia="fr-BE"/>
              </w:rPr>
              <w:t>Rhythmical evolving discharge in theta/alpha band</w:t>
            </w:r>
          </w:p>
        </w:tc>
        <w:tc>
          <w:tcPr>
            <w:tcW w:w="433"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R FT S, slow SW, slow waves</w:t>
            </w:r>
          </w:p>
        </w:tc>
        <w:tc>
          <w:tcPr>
            <w:tcW w:w="518"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no epileptogenic lesion</w:t>
            </w:r>
          </w:p>
        </w:tc>
        <w:tc>
          <w:tcPr>
            <w:tcW w:w="518" w:type="pct"/>
            <w:hideMark/>
          </w:tcPr>
          <w:p w:rsidR="00F0434A" w:rsidRPr="00F0434A" w:rsidRDefault="00F0434A" w:rsidP="005C2537">
            <w:pPr>
              <w:textAlignment w:val="bottom"/>
              <w:rPr>
                <w:rFonts w:ascii="Calibri" w:eastAsia="Times New Roman" w:hAnsi="Calibri" w:cs="Arial"/>
                <w:color w:val="auto"/>
                <w:kern w:val="24"/>
                <w:sz w:val="16"/>
                <w:szCs w:val="16"/>
                <w:lang w:val="en-US" w:eastAsia="fr-BE"/>
              </w:rPr>
            </w:pPr>
            <w:r w:rsidRPr="00F0434A">
              <w:rPr>
                <w:rFonts w:ascii="Calibri" w:eastAsia="Times New Roman" w:hAnsi="Calibri" w:cs="Arial"/>
                <w:color w:val="auto"/>
                <w:kern w:val="24"/>
                <w:sz w:val="16"/>
                <w:szCs w:val="16"/>
                <w:lang w:val="en-US" w:eastAsia="fr-BE"/>
              </w:rPr>
              <w:t>Negative</w:t>
            </w:r>
          </w:p>
          <w:p w:rsidR="00F0434A" w:rsidRPr="00F0434A" w:rsidRDefault="00F0434A" w:rsidP="005C2537">
            <w:pPr>
              <w:textAlignment w:val="bottom"/>
              <w:rPr>
                <w:rFonts w:ascii="Arial" w:eastAsia="Times New Roman" w:hAnsi="Arial" w:cs="Arial"/>
                <w:color w:val="auto"/>
                <w:sz w:val="16"/>
                <w:szCs w:val="16"/>
                <w:lang w:val="en-US" w:eastAsia="fr-BE"/>
              </w:rPr>
            </w:pPr>
          </w:p>
        </w:tc>
        <w:tc>
          <w:tcPr>
            <w:tcW w:w="445"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non significant</w:t>
            </w:r>
          </w:p>
        </w:tc>
        <w:tc>
          <w:tcPr>
            <w:tcW w:w="311"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24</w:t>
            </w:r>
          </w:p>
        </w:tc>
      </w:tr>
      <w:tr w:rsidR="00F0434A" w:rsidRPr="00F0434A" w:rsidTr="005C2537">
        <w:trPr>
          <w:trHeight w:val="160"/>
        </w:trPr>
        <w:tc>
          <w:tcPr>
            <w:tcW w:w="171" w:type="pct"/>
            <w:hideMark/>
          </w:tcPr>
          <w:p w:rsidR="00F0434A" w:rsidRPr="00F0434A" w:rsidRDefault="00F0434A" w:rsidP="005C2537">
            <w:pPr>
              <w:jc w:val="right"/>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9</w:t>
            </w:r>
          </w:p>
        </w:tc>
        <w:tc>
          <w:tcPr>
            <w:tcW w:w="304"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right posterior quadrant</w:t>
            </w:r>
          </w:p>
        </w:tc>
        <w:tc>
          <w:tcPr>
            <w:tcW w:w="124"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M</w:t>
            </w:r>
          </w:p>
        </w:tc>
        <w:tc>
          <w:tcPr>
            <w:tcW w:w="230"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1</w:t>
            </w:r>
          </w:p>
        </w:tc>
        <w:tc>
          <w:tcPr>
            <w:tcW w:w="218"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4</w:t>
            </w:r>
          </w:p>
        </w:tc>
        <w:tc>
          <w:tcPr>
            <w:tcW w:w="478"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Disconnection R TPO</w:t>
            </w:r>
          </w:p>
        </w:tc>
        <w:tc>
          <w:tcPr>
            <w:tcW w:w="299"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1</w:t>
            </w:r>
          </w:p>
        </w:tc>
        <w:tc>
          <w:tcPr>
            <w:tcW w:w="505"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L temporo-occipital fast evolving to theta discharge</w:t>
            </w:r>
          </w:p>
        </w:tc>
        <w:tc>
          <w:tcPr>
            <w:tcW w:w="446" w:type="pct"/>
          </w:tcPr>
          <w:p w:rsidR="00F0434A" w:rsidRPr="00F0434A" w:rsidRDefault="00F0434A" w:rsidP="005C2537">
            <w:pPr>
              <w:textAlignment w:val="bottom"/>
              <w:rPr>
                <w:rFonts w:ascii="Calibri" w:eastAsia="Times New Roman" w:hAnsi="Calibri" w:cs="Arial"/>
                <w:color w:val="auto"/>
                <w:kern w:val="24"/>
                <w:sz w:val="16"/>
                <w:szCs w:val="16"/>
                <w:lang w:val="en-US" w:eastAsia="fr-BE"/>
              </w:rPr>
            </w:pPr>
            <w:r w:rsidRPr="00F0434A">
              <w:rPr>
                <w:rFonts w:ascii="Calibri" w:eastAsia="Times New Roman" w:hAnsi="Calibri" w:cs="Arial"/>
                <w:color w:val="auto"/>
                <w:kern w:val="24"/>
                <w:sz w:val="16"/>
                <w:szCs w:val="16"/>
                <w:lang w:val="en-US" w:eastAsia="fr-BE"/>
              </w:rPr>
              <w:t>Rhythmical evolving discharge in alpha band</w:t>
            </w:r>
          </w:p>
        </w:tc>
        <w:tc>
          <w:tcPr>
            <w:tcW w:w="433"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L TPO</w:t>
            </w:r>
          </w:p>
        </w:tc>
        <w:tc>
          <w:tcPr>
            <w:tcW w:w="518"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L TPO angiome lesion</w:t>
            </w:r>
          </w:p>
        </w:tc>
        <w:tc>
          <w:tcPr>
            <w:tcW w:w="518"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hypometabolism R TO</w:t>
            </w:r>
          </w:p>
        </w:tc>
        <w:tc>
          <w:tcPr>
            <w:tcW w:w="445"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hemangiome</w:t>
            </w:r>
          </w:p>
        </w:tc>
        <w:tc>
          <w:tcPr>
            <w:tcW w:w="311"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30</w:t>
            </w:r>
          </w:p>
        </w:tc>
      </w:tr>
      <w:tr w:rsidR="00F0434A" w:rsidRPr="00F0434A" w:rsidTr="005C2537">
        <w:trPr>
          <w:trHeight w:val="160"/>
        </w:trPr>
        <w:tc>
          <w:tcPr>
            <w:tcW w:w="171" w:type="pct"/>
            <w:hideMark/>
          </w:tcPr>
          <w:p w:rsidR="00F0434A" w:rsidRPr="00F0434A" w:rsidRDefault="00F0434A" w:rsidP="005C2537">
            <w:pPr>
              <w:jc w:val="right"/>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10</w:t>
            </w:r>
          </w:p>
        </w:tc>
        <w:tc>
          <w:tcPr>
            <w:tcW w:w="304"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 xml:space="preserve">multilobar left hemispheric </w:t>
            </w:r>
          </w:p>
        </w:tc>
        <w:tc>
          <w:tcPr>
            <w:tcW w:w="124"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F</w:t>
            </w:r>
          </w:p>
        </w:tc>
        <w:tc>
          <w:tcPr>
            <w:tcW w:w="230"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1</w:t>
            </w:r>
          </w:p>
        </w:tc>
        <w:tc>
          <w:tcPr>
            <w:tcW w:w="218"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4</w:t>
            </w:r>
          </w:p>
        </w:tc>
        <w:tc>
          <w:tcPr>
            <w:tcW w:w="478"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Hemispherotomy L</w:t>
            </w:r>
          </w:p>
        </w:tc>
        <w:tc>
          <w:tcPr>
            <w:tcW w:w="299"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1</w:t>
            </w:r>
          </w:p>
        </w:tc>
        <w:tc>
          <w:tcPr>
            <w:tcW w:w="505" w:type="pct"/>
            <w:hideMark/>
          </w:tcPr>
          <w:p w:rsidR="00F0434A" w:rsidRPr="00F0434A" w:rsidRDefault="00F0434A" w:rsidP="005C2537">
            <w:pPr>
              <w:textAlignment w:val="bottom"/>
              <w:rPr>
                <w:rFonts w:ascii="Arial" w:eastAsia="Times New Roman" w:hAnsi="Arial" w:cs="Arial"/>
                <w:color w:val="auto"/>
                <w:sz w:val="16"/>
                <w:szCs w:val="16"/>
                <w:lang w:eastAsia="fr-BE"/>
              </w:rPr>
            </w:pPr>
            <w:r w:rsidRPr="00F0434A">
              <w:rPr>
                <w:rFonts w:ascii="Calibri" w:eastAsia="Times New Roman" w:hAnsi="Calibri" w:cs="Arial"/>
                <w:color w:val="auto"/>
                <w:kern w:val="24"/>
                <w:sz w:val="16"/>
                <w:szCs w:val="16"/>
                <w:lang w:eastAsia="fr-BE"/>
              </w:rPr>
              <w:t>R temporal theta-delta discharge</w:t>
            </w:r>
          </w:p>
        </w:tc>
        <w:tc>
          <w:tcPr>
            <w:tcW w:w="446" w:type="pct"/>
          </w:tcPr>
          <w:p w:rsidR="00F0434A" w:rsidRPr="00F0434A" w:rsidRDefault="00F0434A" w:rsidP="005C2537">
            <w:pPr>
              <w:textAlignment w:val="bottom"/>
              <w:rPr>
                <w:rFonts w:ascii="Calibri" w:eastAsia="Times New Roman" w:hAnsi="Calibri" w:cs="Arial"/>
                <w:color w:val="auto"/>
                <w:kern w:val="24"/>
                <w:sz w:val="16"/>
                <w:szCs w:val="16"/>
                <w:lang w:val="en-US" w:eastAsia="fr-BE"/>
              </w:rPr>
            </w:pPr>
            <w:r w:rsidRPr="00F0434A">
              <w:rPr>
                <w:rFonts w:ascii="Calibri" w:eastAsia="Times New Roman" w:hAnsi="Calibri" w:cs="Arial"/>
                <w:color w:val="auto"/>
                <w:kern w:val="24"/>
                <w:sz w:val="16"/>
                <w:szCs w:val="16"/>
                <w:lang w:val="en-US" w:eastAsia="fr-BE"/>
              </w:rPr>
              <w:t>Rhythmical evolving discharge in theta band</w:t>
            </w:r>
          </w:p>
        </w:tc>
        <w:tc>
          <w:tcPr>
            <w:tcW w:w="433"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L FC SW</w:t>
            </w:r>
          </w:p>
        </w:tc>
        <w:tc>
          <w:tcPr>
            <w:tcW w:w="518"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L FTP atrophy sequel</w:t>
            </w:r>
          </w:p>
        </w:tc>
        <w:tc>
          <w:tcPr>
            <w:tcW w:w="518"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hypometabolism L</w:t>
            </w:r>
          </w:p>
        </w:tc>
        <w:tc>
          <w:tcPr>
            <w:tcW w:w="445"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n/a</w:t>
            </w:r>
          </w:p>
        </w:tc>
        <w:tc>
          <w:tcPr>
            <w:tcW w:w="311"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26</w:t>
            </w:r>
          </w:p>
        </w:tc>
      </w:tr>
      <w:tr w:rsidR="00F0434A" w:rsidRPr="00F0434A" w:rsidTr="005C2537">
        <w:trPr>
          <w:trHeight w:val="160"/>
        </w:trPr>
        <w:tc>
          <w:tcPr>
            <w:tcW w:w="171" w:type="pct"/>
            <w:hideMark/>
          </w:tcPr>
          <w:p w:rsidR="00F0434A" w:rsidRPr="00F0434A" w:rsidRDefault="00F0434A" w:rsidP="005C2537">
            <w:pPr>
              <w:jc w:val="right"/>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11</w:t>
            </w:r>
          </w:p>
        </w:tc>
        <w:tc>
          <w:tcPr>
            <w:tcW w:w="304"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 xml:space="preserve">multilobar left hemispheric </w:t>
            </w:r>
          </w:p>
        </w:tc>
        <w:tc>
          <w:tcPr>
            <w:tcW w:w="124"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M</w:t>
            </w:r>
          </w:p>
        </w:tc>
        <w:tc>
          <w:tcPr>
            <w:tcW w:w="230"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3</w:t>
            </w:r>
          </w:p>
        </w:tc>
        <w:tc>
          <w:tcPr>
            <w:tcW w:w="218"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5</w:t>
            </w:r>
          </w:p>
        </w:tc>
        <w:tc>
          <w:tcPr>
            <w:tcW w:w="478"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Hemispherotomy L</w:t>
            </w:r>
          </w:p>
        </w:tc>
        <w:tc>
          <w:tcPr>
            <w:tcW w:w="299"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1</w:t>
            </w:r>
          </w:p>
        </w:tc>
        <w:tc>
          <w:tcPr>
            <w:tcW w:w="505"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bilateral F spike-waves, R fast paroxysms</w:t>
            </w:r>
          </w:p>
        </w:tc>
        <w:tc>
          <w:tcPr>
            <w:tcW w:w="446" w:type="pct"/>
          </w:tcPr>
          <w:p w:rsidR="00F0434A" w:rsidRPr="00F0434A" w:rsidRDefault="00F0434A" w:rsidP="005C2537">
            <w:pPr>
              <w:textAlignment w:val="bottom"/>
              <w:rPr>
                <w:rFonts w:ascii="Calibri" w:eastAsia="Times New Roman" w:hAnsi="Calibri" w:cs="Arial"/>
                <w:color w:val="auto"/>
                <w:kern w:val="24"/>
                <w:sz w:val="16"/>
                <w:szCs w:val="16"/>
                <w:lang w:val="en-US" w:eastAsia="fr-BE"/>
              </w:rPr>
            </w:pPr>
            <w:r w:rsidRPr="00F0434A">
              <w:rPr>
                <w:rFonts w:ascii="Calibri" w:eastAsia="Times New Roman" w:hAnsi="Calibri" w:cs="Arial"/>
                <w:color w:val="auto"/>
                <w:kern w:val="24"/>
                <w:sz w:val="16"/>
                <w:szCs w:val="16"/>
                <w:lang w:val="en-US" w:eastAsia="fr-BE"/>
              </w:rPr>
              <w:t>Rhythmical spiking</w:t>
            </w:r>
          </w:p>
        </w:tc>
        <w:tc>
          <w:tcPr>
            <w:tcW w:w="433"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L FC or bilateral SW and fast paroxysms</w:t>
            </w:r>
          </w:p>
        </w:tc>
        <w:tc>
          <w:tcPr>
            <w:tcW w:w="518"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L FTP post-ischemic atrophy</w:t>
            </w:r>
          </w:p>
        </w:tc>
        <w:tc>
          <w:tcPr>
            <w:tcW w:w="518"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hypometabolism L FT</w:t>
            </w:r>
          </w:p>
        </w:tc>
        <w:tc>
          <w:tcPr>
            <w:tcW w:w="445"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n/a</w:t>
            </w:r>
          </w:p>
        </w:tc>
        <w:tc>
          <w:tcPr>
            <w:tcW w:w="311"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27</w:t>
            </w:r>
          </w:p>
        </w:tc>
      </w:tr>
      <w:tr w:rsidR="00F0434A" w:rsidRPr="00F0434A" w:rsidTr="005C2537">
        <w:trPr>
          <w:trHeight w:val="160"/>
        </w:trPr>
        <w:tc>
          <w:tcPr>
            <w:tcW w:w="171" w:type="pct"/>
            <w:hideMark/>
          </w:tcPr>
          <w:p w:rsidR="00F0434A" w:rsidRPr="00F0434A" w:rsidRDefault="00F0434A" w:rsidP="005C2537">
            <w:pPr>
              <w:jc w:val="right"/>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12</w:t>
            </w:r>
          </w:p>
        </w:tc>
        <w:tc>
          <w:tcPr>
            <w:tcW w:w="304"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 xml:space="preserve">multilobar right hemispheric </w:t>
            </w:r>
          </w:p>
        </w:tc>
        <w:tc>
          <w:tcPr>
            <w:tcW w:w="124"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F</w:t>
            </w:r>
          </w:p>
        </w:tc>
        <w:tc>
          <w:tcPr>
            <w:tcW w:w="230"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4</w:t>
            </w:r>
          </w:p>
        </w:tc>
        <w:tc>
          <w:tcPr>
            <w:tcW w:w="218"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4</w:t>
            </w:r>
          </w:p>
        </w:tc>
        <w:tc>
          <w:tcPr>
            <w:tcW w:w="478"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Hemispherotomy R</w:t>
            </w:r>
          </w:p>
        </w:tc>
        <w:tc>
          <w:tcPr>
            <w:tcW w:w="299"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1</w:t>
            </w:r>
          </w:p>
        </w:tc>
        <w:tc>
          <w:tcPr>
            <w:tcW w:w="505"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R FT theta discharges</w:t>
            </w:r>
          </w:p>
        </w:tc>
        <w:tc>
          <w:tcPr>
            <w:tcW w:w="446" w:type="pct"/>
          </w:tcPr>
          <w:p w:rsidR="00F0434A" w:rsidRPr="00F0434A" w:rsidRDefault="00F0434A" w:rsidP="005C2537">
            <w:pPr>
              <w:textAlignment w:val="bottom"/>
              <w:rPr>
                <w:rFonts w:ascii="Calibri" w:eastAsia="Times New Roman" w:hAnsi="Calibri" w:cs="Arial"/>
                <w:color w:val="auto"/>
                <w:kern w:val="24"/>
                <w:sz w:val="16"/>
                <w:szCs w:val="16"/>
                <w:lang w:val="en-US" w:eastAsia="fr-BE"/>
              </w:rPr>
            </w:pPr>
            <w:r w:rsidRPr="00F0434A">
              <w:rPr>
                <w:rFonts w:ascii="Calibri" w:eastAsia="Times New Roman" w:hAnsi="Calibri" w:cs="Arial"/>
                <w:color w:val="auto"/>
                <w:kern w:val="24"/>
                <w:sz w:val="16"/>
                <w:szCs w:val="16"/>
                <w:lang w:val="en-US" w:eastAsia="fr-BE"/>
              </w:rPr>
              <w:t>Rhythmical evolving discharge in delta/theta band</w:t>
            </w:r>
          </w:p>
        </w:tc>
        <w:tc>
          <w:tcPr>
            <w:tcW w:w="433"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R TO S</w:t>
            </w:r>
          </w:p>
        </w:tc>
        <w:tc>
          <w:tcPr>
            <w:tcW w:w="518"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R FT and C atrophic lesions</w:t>
            </w:r>
          </w:p>
        </w:tc>
        <w:tc>
          <w:tcPr>
            <w:tcW w:w="518"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hypermetabolism FT-insular</w:t>
            </w:r>
          </w:p>
        </w:tc>
        <w:tc>
          <w:tcPr>
            <w:tcW w:w="445"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Rasmussen encephalitis</w:t>
            </w:r>
          </w:p>
        </w:tc>
        <w:tc>
          <w:tcPr>
            <w:tcW w:w="311"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20</w:t>
            </w:r>
          </w:p>
        </w:tc>
      </w:tr>
      <w:tr w:rsidR="00F0434A" w:rsidRPr="00F0434A" w:rsidTr="005C2537">
        <w:trPr>
          <w:trHeight w:val="160"/>
        </w:trPr>
        <w:tc>
          <w:tcPr>
            <w:tcW w:w="171" w:type="pct"/>
            <w:hideMark/>
          </w:tcPr>
          <w:p w:rsidR="00F0434A" w:rsidRPr="00F0434A" w:rsidRDefault="00F0434A" w:rsidP="005C2537">
            <w:pPr>
              <w:jc w:val="right"/>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lastRenderedPageBreak/>
              <w:t>13</w:t>
            </w:r>
          </w:p>
        </w:tc>
        <w:tc>
          <w:tcPr>
            <w:tcW w:w="304"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RFLE</w:t>
            </w:r>
          </w:p>
        </w:tc>
        <w:tc>
          <w:tcPr>
            <w:tcW w:w="124"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F</w:t>
            </w:r>
          </w:p>
        </w:tc>
        <w:tc>
          <w:tcPr>
            <w:tcW w:w="230"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6</w:t>
            </w:r>
          </w:p>
        </w:tc>
        <w:tc>
          <w:tcPr>
            <w:tcW w:w="218"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7</w:t>
            </w:r>
          </w:p>
        </w:tc>
        <w:tc>
          <w:tcPr>
            <w:tcW w:w="478"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Disconnection R F</w:t>
            </w:r>
          </w:p>
        </w:tc>
        <w:tc>
          <w:tcPr>
            <w:tcW w:w="299"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1</w:t>
            </w:r>
          </w:p>
        </w:tc>
        <w:tc>
          <w:tcPr>
            <w:tcW w:w="505"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bilateral F SW, R fast paroxysms</w:t>
            </w:r>
          </w:p>
        </w:tc>
        <w:tc>
          <w:tcPr>
            <w:tcW w:w="446" w:type="pct"/>
          </w:tcPr>
          <w:p w:rsidR="00F0434A" w:rsidRPr="00F0434A" w:rsidRDefault="00F0434A" w:rsidP="005C2537">
            <w:pPr>
              <w:textAlignment w:val="bottom"/>
              <w:rPr>
                <w:rFonts w:ascii="Calibri" w:eastAsia="Times New Roman" w:hAnsi="Calibri" w:cs="Arial"/>
                <w:color w:val="auto"/>
                <w:kern w:val="24"/>
                <w:sz w:val="16"/>
                <w:szCs w:val="16"/>
                <w:lang w:val="en-US" w:eastAsia="fr-BE"/>
              </w:rPr>
            </w:pPr>
            <w:r w:rsidRPr="00F0434A">
              <w:rPr>
                <w:rFonts w:ascii="Calibri" w:eastAsia="Times New Roman" w:hAnsi="Calibri" w:cs="Arial"/>
                <w:color w:val="auto"/>
                <w:kern w:val="24"/>
                <w:sz w:val="16"/>
                <w:szCs w:val="16"/>
                <w:lang w:val="en-US" w:eastAsia="fr-BE"/>
              </w:rPr>
              <w:t>Rhythmical spiking</w:t>
            </w:r>
          </w:p>
        </w:tc>
        <w:tc>
          <w:tcPr>
            <w:tcW w:w="433"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slow GSWD</w:t>
            </w:r>
          </w:p>
        </w:tc>
        <w:tc>
          <w:tcPr>
            <w:tcW w:w="518"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inconclusive</w:t>
            </w:r>
          </w:p>
        </w:tc>
        <w:tc>
          <w:tcPr>
            <w:tcW w:w="518"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hypometabolism temporal L and R F mesial</w:t>
            </w:r>
          </w:p>
        </w:tc>
        <w:tc>
          <w:tcPr>
            <w:tcW w:w="445"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non significant</w:t>
            </w:r>
          </w:p>
        </w:tc>
        <w:tc>
          <w:tcPr>
            <w:tcW w:w="311"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18</w:t>
            </w:r>
          </w:p>
        </w:tc>
      </w:tr>
      <w:tr w:rsidR="00F0434A" w:rsidRPr="00F0434A" w:rsidTr="005C2537">
        <w:trPr>
          <w:trHeight w:val="160"/>
        </w:trPr>
        <w:tc>
          <w:tcPr>
            <w:tcW w:w="171" w:type="pct"/>
            <w:hideMark/>
          </w:tcPr>
          <w:p w:rsidR="00F0434A" w:rsidRPr="00F0434A" w:rsidRDefault="00F0434A" w:rsidP="005C2537">
            <w:pPr>
              <w:jc w:val="right"/>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14</w:t>
            </w:r>
          </w:p>
        </w:tc>
        <w:tc>
          <w:tcPr>
            <w:tcW w:w="304"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left posterior quadrant</w:t>
            </w:r>
          </w:p>
        </w:tc>
        <w:tc>
          <w:tcPr>
            <w:tcW w:w="124"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M</w:t>
            </w:r>
          </w:p>
        </w:tc>
        <w:tc>
          <w:tcPr>
            <w:tcW w:w="230"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0</w:t>
            </w:r>
          </w:p>
        </w:tc>
        <w:tc>
          <w:tcPr>
            <w:tcW w:w="218"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25</w:t>
            </w:r>
          </w:p>
        </w:tc>
        <w:tc>
          <w:tcPr>
            <w:tcW w:w="478"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Disconnection L TPO</w:t>
            </w:r>
          </w:p>
        </w:tc>
        <w:tc>
          <w:tcPr>
            <w:tcW w:w="299"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1</w:t>
            </w:r>
          </w:p>
        </w:tc>
        <w:tc>
          <w:tcPr>
            <w:tcW w:w="505"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L fronto-central late rythmic slow waves</w:t>
            </w:r>
          </w:p>
        </w:tc>
        <w:tc>
          <w:tcPr>
            <w:tcW w:w="446" w:type="pct"/>
          </w:tcPr>
          <w:p w:rsidR="00F0434A" w:rsidRPr="00F0434A" w:rsidRDefault="00F0434A" w:rsidP="005C2537">
            <w:pPr>
              <w:textAlignment w:val="bottom"/>
              <w:rPr>
                <w:rFonts w:ascii="Calibri" w:eastAsia="Times New Roman" w:hAnsi="Calibri" w:cs="Arial"/>
                <w:color w:val="auto"/>
                <w:kern w:val="24"/>
                <w:sz w:val="16"/>
                <w:szCs w:val="16"/>
                <w:lang w:val="en-US" w:eastAsia="fr-BE"/>
              </w:rPr>
            </w:pPr>
            <w:r w:rsidRPr="00F0434A">
              <w:rPr>
                <w:rFonts w:ascii="Calibri" w:eastAsia="Times New Roman" w:hAnsi="Calibri" w:cs="Arial"/>
                <w:color w:val="auto"/>
                <w:kern w:val="24"/>
                <w:sz w:val="16"/>
                <w:szCs w:val="16"/>
                <w:lang w:val="en-US" w:eastAsia="fr-BE"/>
              </w:rPr>
              <w:t>Rhythmical spiking</w:t>
            </w:r>
          </w:p>
        </w:tc>
        <w:tc>
          <w:tcPr>
            <w:tcW w:w="433"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R TO S, SW, delta rhythms</w:t>
            </w:r>
          </w:p>
        </w:tc>
        <w:tc>
          <w:tcPr>
            <w:tcW w:w="518"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L TO large FCD</w:t>
            </w:r>
          </w:p>
        </w:tc>
        <w:tc>
          <w:tcPr>
            <w:tcW w:w="518"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hypometabolism L TO</w:t>
            </w:r>
          </w:p>
        </w:tc>
        <w:tc>
          <w:tcPr>
            <w:tcW w:w="445"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n/a</w:t>
            </w:r>
          </w:p>
        </w:tc>
        <w:tc>
          <w:tcPr>
            <w:tcW w:w="311"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18</w:t>
            </w:r>
          </w:p>
        </w:tc>
      </w:tr>
      <w:tr w:rsidR="00F0434A" w:rsidRPr="00F0434A" w:rsidTr="005C2537">
        <w:trPr>
          <w:trHeight w:val="160"/>
        </w:trPr>
        <w:tc>
          <w:tcPr>
            <w:tcW w:w="171" w:type="pct"/>
            <w:hideMark/>
          </w:tcPr>
          <w:p w:rsidR="00F0434A" w:rsidRPr="00F0434A" w:rsidRDefault="00F0434A" w:rsidP="005C2537">
            <w:pPr>
              <w:jc w:val="right"/>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15</w:t>
            </w:r>
          </w:p>
        </w:tc>
        <w:tc>
          <w:tcPr>
            <w:tcW w:w="304"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multilobar right hemisphere</w:t>
            </w:r>
          </w:p>
        </w:tc>
        <w:tc>
          <w:tcPr>
            <w:tcW w:w="124"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M</w:t>
            </w:r>
          </w:p>
        </w:tc>
        <w:tc>
          <w:tcPr>
            <w:tcW w:w="230"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1</w:t>
            </w:r>
          </w:p>
        </w:tc>
        <w:tc>
          <w:tcPr>
            <w:tcW w:w="218"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6</w:t>
            </w:r>
          </w:p>
        </w:tc>
        <w:tc>
          <w:tcPr>
            <w:tcW w:w="478"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Hemispherotomy R (2nd surgery after callosotomy)</w:t>
            </w:r>
          </w:p>
        </w:tc>
        <w:tc>
          <w:tcPr>
            <w:tcW w:w="299"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1</w:t>
            </w:r>
          </w:p>
        </w:tc>
        <w:tc>
          <w:tcPr>
            <w:tcW w:w="505"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R hemispheric fast activity, predominance fronto-temporal</w:t>
            </w:r>
          </w:p>
        </w:tc>
        <w:tc>
          <w:tcPr>
            <w:tcW w:w="446" w:type="pct"/>
          </w:tcPr>
          <w:p w:rsidR="00F0434A" w:rsidRPr="00F0434A" w:rsidRDefault="00F0434A" w:rsidP="005C2537">
            <w:pPr>
              <w:textAlignment w:val="bottom"/>
              <w:rPr>
                <w:rFonts w:ascii="Calibri" w:eastAsia="Times New Roman" w:hAnsi="Calibri" w:cs="Arial"/>
                <w:color w:val="auto"/>
                <w:kern w:val="24"/>
                <w:sz w:val="16"/>
                <w:szCs w:val="16"/>
                <w:lang w:val="en-US" w:eastAsia="fr-BE"/>
              </w:rPr>
            </w:pPr>
            <w:r w:rsidRPr="00F0434A">
              <w:rPr>
                <w:rFonts w:ascii="Calibri" w:eastAsia="Times New Roman" w:hAnsi="Calibri" w:cs="Arial"/>
                <w:color w:val="auto"/>
                <w:kern w:val="24"/>
                <w:sz w:val="16"/>
                <w:szCs w:val="16"/>
                <w:lang w:val="en-US" w:eastAsia="fr-BE"/>
              </w:rPr>
              <w:t>Fast paroxysmal activity (beta)</w:t>
            </w:r>
          </w:p>
        </w:tc>
        <w:tc>
          <w:tcPr>
            <w:tcW w:w="433"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R hemispheric SW, PSW</w:t>
            </w:r>
          </w:p>
        </w:tc>
        <w:tc>
          <w:tcPr>
            <w:tcW w:w="518"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R hemispheric post-ischemic lesions</w:t>
            </w:r>
          </w:p>
        </w:tc>
        <w:tc>
          <w:tcPr>
            <w:tcW w:w="518"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hypometabolism R peri-sylvian</w:t>
            </w:r>
          </w:p>
        </w:tc>
        <w:tc>
          <w:tcPr>
            <w:tcW w:w="445"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n/a</w:t>
            </w:r>
          </w:p>
        </w:tc>
        <w:tc>
          <w:tcPr>
            <w:tcW w:w="311"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12</w:t>
            </w:r>
          </w:p>
        </w:tc>
      </w:tr>
      <w:tr w:rsidR="00F0434A" w:rsidRPr="00F0434A" w:rsidTr="005C2537">
        <w:trPr>
          <w:trHeight w:val="160"/>
        </w:trPr>
        <w:tc>
          <w:tcPr>
            <w:tcW w:w="171" w:type="pct"/>
            <w:hideMark/>
          </w:tcPr>
          <w:p w:rsidR="00F0434A" w:rsidRPr="00F0434A" w:rsidRDefault="00F0434A" w:rsidP="005C2537">
            <w:pPr>
              <w:jc w:val="right"/>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16</w:t>
            </w:r>
          </w:p>
        </w:tc>
        <w:tc>
          <w:tcPr>
            <w:tcW w:w="304"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right posterior quadrant</w:t>
            </w:r>
          </w:p>
        </w:tc>
        <w:tc>
          <w:tcPr>
            <w:tcW w:w="124"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F</w:t>
            </w:r>
          </w:p>
        </w:tc>
        <w:tc>
          <w:tcPr>
            <w:tcW w:w="230"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4</w:t>
            </w:r>
          </w:p>
        </w:tc>
        <w:tc>
          <w:tcPr>
            <w:tcW w:w="218"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21</w:t>
            </w:r>
          </w:p>
        </w:tc>
        <w:tc>
          <w:tcPr>
            <w:tcW w:w="478"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Cortectomy R TPO</w:t>
            </w:r>
          </w:p>
        </w:tc>
        <w:tc>
          <w:tcPr>
            <w:tcW w:w="299"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eastAsia="Times New Roman" w:hAnsi="Calibri" w:cs="Arial"/>
                <w:color w:val="auto"/>
                <w:kern w:val="24"/>
                <w:sz w:val="16"/>
                <w:szCs w:val="16"/>
                <w:lang w:val="en-US" w:eastAsia="fr-BE"/>
              </w:rPr>
              <w:t>1</w:t>
            </w:r>
          </w:p>
        </w:tc>
        <w:tc>
          <w:tcPr>
            <w:tcW w:w="505" w:type="pct"/>
            <w:hideMark/>
          </w:tcPr>
          <w:p w:rsidR="00F0434A" w:rsidRPr="00F0434A" w:rsidRDefault="00F0434A" w:rsidP="005C2537">
            <w:pPr>
              <w:textAlignment w:val="bottom"/>
              <w:rPr>
                <w:rFonts w:ascii="Arial" w:eastAsia="Times New Roman" w:hAnsi="Arial" w:cs="Arial"/>
                <w:color w:val="auto"/>
                <w:sz w:val="16"/>
                <w:szCs w:val="16"/>
                <w:lang w:val="fr-BE" w:eastAsia="fr-BE"/>
              </w:rPr>
            </w:pPr>
            <w:r w:rsidRPr="00F0434A">
              <w:rPr>
                <w:rFonts w:ascii="Calibri" w:eastAsia="Times New Roman" w:hAnsi="Calibri" w:cs="Arial"/>
                <w:color w:val="auto"/>
                <w:kern w:val="24"/>
                <w:sz w:val="16"/>
                <w:szCs w:val="16"/>
                <w:lang w:val="fr-BE" w:eastAsia="fr-BE"/>
              </w:rPr>
              <w:t>R temporo-occipital theta discharge plus spikes</w:t>
            </w:r>
          </w:p>
        </w:tc>
        <w:tc>
          <w:tcPr>
            <w:tcW w:w="446" w:type="pct"/>
          </w:tcPr>
          <w:p w:rsidR="00F0434A" w:rsidRPr="00F0434A" w:rsidRDefault="00F0434A" w:rsidP="005C2537">
            <w:pPr>
              <w:textAlignment w:val="bottom"/>
              <w:rPr>
                <w:rFonts w:ascii="Calibri" w:eastAsia="Times New Roman" w:hAnsi="Calibri" w:cs="Arial"/>
                <w:color w:val="auto"/>
                <w:kern w:val="24"/>
                <w:sz w:val="16"/>
                <w:szCs w:val="16"/>
                <w:lang w:val="en-US" w:eastAsia="fr-BE"/>
              </w:rPr>
            </w:pPr>
            <w:r w:rsidRPr="00F0434A">
              <w:rPr>
                <w:rFonts w:ascii="Calibri" w:eastAsia="Times New Roman" w:hAnsi="Calibri" w:cs="Arial"/>
                <w:color w:val="auto"/>
                <w:kern w:val="24"/>
                <w:sz w:val="16"/>
                <w:szCs w:val="16"/>
                <w:lang w:val="en-US" w:eastAsia="fr-BE"/>
              </w:rPr>
              <w:t>Rhythmical evolving discharge in theta band</w:t>
            </w:r>
          </w:p>
        </w:tc>
        <w:tc>
          <w:tcPr>
            <w:tcW w:w="433"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R TO S, SW,PSW</w:t>
            </w:r>
          </w:p>
        </w:tc>
        <w:tc>
          <w:tcPr>
            <w:tcW w:w="518"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R posterior post-ischemic lesions</w:t>
            </w:r>
          </w:p>
        </w:tc>
        <w:tc>
          <w:tcPr>
            <w:tcW w:w="518"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hypometabolism R TP</w:t>
            </w:r>
          </w:p>
        </w:tc>
        <w:tc>
          <w:tcPr>
            <w:tcW w:w="445"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n/a</w:t>
            </w:r>
          </w:p>
        </w:tc>
        <w:tc>
          <w:tcPr>
            <w:tcW w:w="311"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12</w:t>
            </w:r>
          </w:p>
        </w:tc>
      </w:tr>
      <w:tr w:rsidR="00F0434A" w:rsidRPr="00F0434A" w:rsidTr="005C2537">
        <w:trPr>
          <w:trHeight w:val="160"/>
        </w:trPr>
        <w:tc>
          <w:tcPr>
            <w:tcW w:w="171" w:type="pct"/>
            <w:hideMark/>
          </w:tcPr>
          <w:p w:rsidR="00F0434A" w:rsidRPr="00F0434A" w:rsidRDefault="00F0434A" w:rsidP="005C2537">
            <w:pPr>
              <w:jc w:val="right"/>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17</w:t>
            </w:r>
          </w:p>
        </w:tc>
        <w:tc>
          <w:tcPr>
            <w:tcW w:w="304"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LFLE</w:t>
            </w:r>
          </w:p>
        </w:tc>
        <w:tc>
          <w:tcPr>
            <w:tcW w:w="124"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M</w:t>
            </w:r>
          </w:p>
        </w:tc>
        <w:tc>
          <w:tcPr>
            <w:tcW w:w="230"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29</w:t>
            </w:r>
          </w:p>
        </w:tc>
        <w:tc>
          <w:tcPr>
            <w:tcW w:w="218"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43</w:t>
            </w:r>
          </w:p>
        </w:tc>
        <w:tc>
          <w:tcPr>
            <w:tcW w:w="478"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Lesionectomy L F (3rd surgery)</w:t>
            </w:r>
          </w:p>
        </w:tc>
        <w:tc>
          <w:tcPr>
            <w:tcW w:w="299"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5</w:t>
            </w:r>
          </w:p>
        </w:tc>
        <w:tc>
          <w:tcPr>
            <w:tcW w:w="505"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Bilateral FT theta/alpha discharge</w:t>
            </w:r>
          </w:p>
        </w:tc>
        <w:tc>
          <w:tcPr>
            <w:tcW w:w="446" w:type="pct"/>
          </w:tcPr>
          <w:p w:rsidR="00F0434A" w:rsidRPr="00F0434A" w:rsidRDefault="00F0434A" w:rsidP="005C2537">
            <w:pPr>
              <w:textAlignment w:val="bottom"/>
              <w:rPr>
                <w:rFonts w:ascii="Calibri" w:eastAsia="Times New Roman" w:hAnsi="Calibri" w:cs="Arial"/>
                <w:color w:val="auto"/>
                <w:kern w:val="24"/>
                <w:sz w:val="16"/>
                <w:szCs w:val="16"/>
                <w:lang w:val="en-US" w:eastAsia="fr-BE"/>
              </w:rPr>
            </w:pPr>
            <w:r w:rsidRPr="00F0434A">
              <w:rPr>
                <w:rFonts w:ascii="Calibri" w:eastAsia="Times New Roman" w:hAnsi="Calibri" w:cs="Arial"/>
                <w:color w:val="auto"/>
                <w:kern w:val="24"/>
                <w:sz w:val="16"/>
                <w:szCs w:val="16"/>
                <w:lang w:val="en-US" w:eastAsia="fr-BE"/>
              </w:rPr>
              <w:t>Rhythmical spiking</w:t>
            </w:r>
          </w:p>
        </w:tc>
        <w:tc>
          <w:tcPr>
            <w:tcW w:w="433"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R FT and L F S and slow waves</w:t>
            </w:r>
          </w:p>
        </w:tc>
        <w:tc>
          <w:tcPr>
            <w:tcW w:w="518"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L F tumour</w:t>
            </w:r>
          </w:p>
        </w:tc>
        <w:tc>
          <w:tcPr>
            <w:tcW w:w="518"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n/a</w:t>
            </w:r>
          </w:p>
        </w:tc>
        <w:tc>
          <w:tcPr>
            <w:tcW w:w="445"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oligoastrocytome</w:t>
            </w:r>
          </w:p>
        </w:tc>
        <w:tc>
          <w:tcPr>
            <w:tcW w:w="311"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18</w:t>
            </w:r>
          </w:p>
        </w:tc>
      </w:tr>
      <w:tr w:rsidR="00F0434A" w:rsidRPr="00F0434A" w:rsidTr="005C2537">
        <w:trPr>
          <w:trHeight w:val="160"/>
        </w:trPr>
        <w:tc>
          <w:tcPr>
            <w:tcW w:w="171" w:type="pct"/>
            <w:hideMark/>
          </w:tcPr>
          <w:p w:rsidR="00F0434A" w:rsidRPr="00F0434A" w:rsidRDefault="00F0434A" w:rsidP="005C2537">
            <w:pPr>
              <w:jc w:val="right"/>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18</w:t>
            </w:r>
          </w:p>
        </w:tc>
        <w:tc>
          <w:tcPr>
            <w:tcW w:w="304"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RFLE</w:t>
            </w:r>
          </w:p>
        </w:tc>
        <w:tc>
          <w:tcPr>
            <w:tcW w:w="124"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M</w:t>
            </w:r>
          </w:p>
        </w:tc>
        <w:tc>
          <w:tcPr>
            <w:tcW w:w="230"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28</w:t>
            </w:r>
          </w:p>
        </w:tc>
        <w:tc>
          <w:tcPr>
            <w:tcW w:w="218"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54</w:t>
            </w:r>
          </w:p>
        </w:tc>
        <w:tc>
          <w:tcPr>
            <w:tcW w:w="478"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Lesionectomy R F</w:t>
            </w:r>
          </w:p>
        </w:tc>
        <w:tc>
          <w:tcPr>
            <w:tcW w:w="299"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4</w:t>
            </w:r>
          </w:p>
        </w:tc>
        <w:tc>
          <w:tcPr>
            <w:tcW w:w="505"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R and central F early fast paroxysms</w:t>
            </w:r>
          </w:p>
        </w:tc>
        <w:tc>
          <w:tcPr>
            <w:tcW w:w="446" w:type="pct"/>
          </w:tcPr>
          <w:p w:rsidR="00F0434A" w:rsidRPr="00F0434A" w:rsidRDefault="00F0434A" w:rsidP="005C2537">
            <w:pPr>
              <w:textAlignment w:val="bottom"/>
              <w:rPr>
                <w:rFonts w:ascii="Calibri" w:eastAsia="Times New Roman" w:hAnsi="Calibri" w:cs="Arial"/>
                <w:color w:val="auto"/>
                <w:kern w:val="24"/>
                <w:sz w:val="16"/>
                <w:szCs w:val="16"/>
                <w:lang w:val="en-US" w:eastAsia="fr-BE"/>
              </w:rPr>
            </w:pPr>
            <w:r w:rsidRPr="00F0434A">
              <w:rPr>
                <w:rFonts w:ascii="Calibri" w:eastAsia="Times New Roman" w:hAnsi="Calibri" w:cs="Arial"/>
                <w:color w:val="auto"/>
                <w:kern w:val="24"/>
                <w:sz w:val="16"/>
                <w:szCs w:val="16"/>
                <w:lang w:val="en-US" w:eastAsia="fr-BE"/>
              </w:rPr>
              <w:t>Fast paroxysmal activity (alpha)</w:t>
            </w:r>
          </w:p>
        </w:tc>
        <w:tc>
          <w:tcPr>
            <w:tcW w:w="433"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No IED</w:t>
            </w:r>
          </w:p>
        </w:tc>
        <w:tc>
          <w:tcPr>
            <w:tcW w:w="518"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R  F probably dysplasic lesion</w:t>
            </w:r>
          </w:p>
        </w:tc>
        <w:tc>
          <w:tcPr>
            <w:tcW w:w="518"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non significant</w:t>
            </w:r>
          </w:p>
        </w:tc>
        <w:tc>
          <w:tcPr>
            <w:tcW w:w="445"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FCD II a R F</w:t>
            </w:r>
          </w:p>
        </w:tc>
        <w:tc>
          <w:tcPr>
            <w:tcW w:w="311"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22</w:t>
            </w:r>
          </w:p>
        </w:tc>
      </w:tr>
      <w:tr w:rsidR="00F0434A" w:rsidRPr="00F0434A" w:rsidTr="005C2537">
        <w:trPr>
          <w:trHeight w:val="160"/>
        </w:trPr>
        <w:tc>
          <w:tcPr>
            <w:tcW w:w="171" w:type="pct"/>
            <w:hideMark/>
          </w:tcPr>
          <w:p w:rsidR="00F0434A" w:rsidRPr="00F0434A" w:rsidRDefault="00F0434A" w:rsidP="005C2537">
            <w:pPr>
              <w:jc w:val="right"/>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19</w:t>
            </w:r>
          </w:p>
        </w:tc>
        <w:tc>
          <w:tcPr>
            <w:tcW w:w="304"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LFLE</w:t>
            </w:r>
          </w:p>
        </w:tc>
        <w:tc>
          <w:tcPr>
            <w:tcW w:w="124"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F</w:t>
            </w:r>
          </w:p>
        </w:tc>
        <w:tc>
          <w:tcPr>
            <w:tcW w:w="230"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0</w:t>
            </w:r>
          </w:p>
        </w:tc>
        <w:tc>
          <w:tcPr>
            <w:tcW w:w="218"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16</w:t>
            </w:r>
          </w:p>
        </w:tc>
        <w:tc>
          <w:tcPr>
            <w:tcW w:w="478"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Cortectomy L F</w:t>
            </w:r>
          </w:p>
        </w:tc>
        <w:tc>
          <w:tcPr>
            <w:tcW w:w="299"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4</w:t>
            </w:r>
          </w:p>
        </w:tc>
        <w:tc>
          <w:tcPr>
            <w:tcW w:w="505"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L hemispheric fast paroxysms, L fronto-central spike-waves</w:t>
            </w:r>
          </w:p>
        </w:tc>
        <w:tc>
          <w:tcPr>
            <w:tcW w:w="446" w:type="pct"/>
          </w:tcPr>
          <w:p w:rsidR="00F0434A" w:rsidRPr="00F0434A" w:rsidRDefault="00F0434A" w:rsidP="005C2537">
            <w:pPr>
              <w:textAlignment w:val="bottom"/>
              <w:rPr>
                <w:rFonts w:ascii="Calibri" w:eastAsia="Times New Roman" w:hAnsi="Calibri" w:cs="Arial"/>
                <w:color w:val="auto"/>
                <w:kern w:val="24"/>
                <w:sz w:val="16"/>
                <w:szCs w:val="16"/>
                <w:lang w:val="en-US" w:eastAsia="fr-BE"/>
              </w:rPr>
            </w:pPr>
            <w:r w:rsidRPr="00F0434A">
              <w:rPr>
                <w:rFonts w:ascii="Calibri" w:eastAsia="Times New Roman" w:hAnsi="Calibri" w:cs="Arial"/>
                <w:color w:val="auto"/>
                <w:kern w:val="24"/>
                <w:sz w:val="16"/>
                <w:szCs w:val="16"/>
                <w:lang w:val="en-US" w:eastAsia="fr-BE"/>
              </w:rPr>
              <w:t>1</w:t>
            </w:r>
            <w:r w:rsidRPr="00F0434A">
              <w:rPr>
                <w:rFonts w:ascii="Calibri" w:eastAsia="Times New Roman" w:hAnsi="Calibri" w:cs="Arial"/>
                <w:color w:val="auto"/>
                <w:kern w:val="24"/>
                <w:sz w:val="16"/>
                <w:szCs w:val="16"/>
                <w:vertAlign w:val="superscript"/>
                <w:lang w:val="en-US" w:eastAsia="fr-BE"/>
              </w:rPr>
              <w:t>st</w:t>
            </w:r>
            <w:r w:rsidRPr="00F0434A">
              <w:rPr>
                <w:rFonts w:ascii="Calibri" w:eastAsia="Times New Roman" w:hAnsi="Calibri" w:cs="Arial"/>
                <w:color w:val="auto"/>
                <w:kern w:val="24"/>
                <w:sz w:val="16"/>
                <w:szCs w:val="16"/>
                <w:lang w:val="en-US" w:eastAsia="fr-BE"/>
              </w:rPr>
              <w:t xml:space="preserve"> type: Fast paroxysmal activity (alpha)</w:t>
            </w:r>
          </w:p>
          <w:p w:rsidR="00F0434A" w:rsidRPr="00F0434A" w:rsidRDefault="00F0434A" w:rsidP="005C2537">
            <w:pPr>
              <w:textAlignment w:val="bottom"/>
              <w:rPr>
                <w:rFonts w:ascii="Calibri" w:eastAsia="Times New Roman" w:hAnsi="Calibri" w:cs="Arial"/>
                <w:color w:val="auto"/>
                <w:kern w:val="24"/>
                <w:sz w:val="16"/>
                <w:szCs w:val="16"/>
                <w:lang w:val="en-US" w:eastAsia="fr-BE"/>
              </w:rPr>
            </w:pPr>
            <w:r w:rsidRPr="00F0434A">
              <w:rPr>
                <w:rFonts w:ascii="Calibri" w:eastAsia="Times New Roman" w:hAnsi="Calibri" w:cs="Arial"/>
                <w:color w:val="auto"/>
                <w:kern w:val="24"/>
                <w:sz w:val="16"/>
                <w:szCs w:val="16"/>
                <w:lang w:val="en-US" w:eastAsia="fr-BE"/>
              </w:rPr>
              <w:t>2</w:t>
            </w:r>
            <w:r w:rsidRPr="00F0434A">
              <w:rPr>
                <w:rFonts w:ascii="Calibri" w:eastAsia="Times New Roman" w:hAnsi="Calibri" w:cs="Arial"/>
                <w:color w:val="auto"/>
                <w:kern w:val="24"/>
                <w:sz w:val="16"/>
                <w:szCs w:val="16"/>
                <w:vertAlign w:val="superscript"/>
                <w:lang w:val="en-US" w:eastAsia="fr-BE"/>
              </w:rPr>
              <w:t>nd</w:t>
            </w:r>
            <w:r w:rsidRPr="00F0434A">
              <w:rPr>
                <w:rFonts w:ascii="Calibri" w:eastAsia="Times New Roman" w:hAnsi="Calibri" w:cs="Arial"/>
                <w:color w:val="auto"/>
                <w:kern w:val="24"/>
                <w:sz w:val="16"/>
                <w:szCs w:val="16"/>
                <w:lang w:val="en-US" w:eastAsia="fr-BE"/>
              </w:rPr>
              <w:t xml:space="preserve"> type: Rhythmical spiking</w:t>
            </w:r>
          </w:p>
        </w:tc>
        <w:tc>
          <w:tcPr>
            <w:tcW w:w="433"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L hemispheric and  L FT, polymorphic</w:t>
            </w:r>
          </w:p>
        </w:tc>
        <w:tc>
          <w:tcPr>
            <w:tcW w:w="518"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 xml:space="preserve">gyration abnormality, L F orbital </w:t>
            </w:r>
          </w:p>
        </w:tc>
        <w:tc>
          <w:tcPr>
            <w:tcW w:w="518"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hypometabolism F L</w:t>
            </w:r>
          </w:p>
        </w:tc>
        <w:tc>
          <w:tcPr>
            <w:tcW w:w="445"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non significant</w:t>
            </w:r>
          </w:p>
        </w:tc>
        <w:tc>
          <w:tcPr>
            <w:tcW w:w="311"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36</w:t>
            </w:r>
          </w:p>
        </w:tc>
      </w:tr>
      <w:tr w:rsidR="00F0434A" w:rsidRPr="00F0434A" w:rsidTr="005C2537">
        <w:trPr>
          <w:trHeight w:val="160"/>
        </w:trPr>
        <w:tc>
          <w:tcPr>
            <w:tcW w:w="171" w:type="pct"/>
            <w:hideMark/>
          </w:tcPr>
          <w:p w:rsidR="00F0434A" w:rsidRPr="00F0434A" w:rsidRDefault="00F0434A" w:rsidP="005C2537">
            <w:pPr>
              <w:jc w:val="right"/>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20</w:t>
            </w:r>
          </w:p>
        </w:tc>
        <w:tc>
          <w:tcPr>
            <w:tcW w:w="304"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RFILE</w:t>
            </w:r>
          </w:p>
        </w:tc>
        <w:tc>
          <w:tcPr>
            <w:tcW w:w="124"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F</w:t>
            </w:r>
          </w:p>
        </w:tc>
        <w:tc>
          <w:tcPr>
            <w:tcW w:w="230"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4</w:t>
            </w:r>
          </w:p>
        </w:tc>
        <w:tc>
          <w:tcPr>
            <w:tcW w:w="218"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14</w:t>
            </w:r>
          </w:p>
        </w:tc>
        <w:tc>
          <w:tcPr>
            <w:tcW w:w="478"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Cortectomy R F and operculo-insular</w:t>
            </w:r>
          </w:p>
        </w:tc>
        <w:tc>
          <w:tcPr>
            <w:tcW w:w="299"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5</w:t>
            </w:r>
          </w:p>
        </w:tc>
        <w:tc>
          <w:tcPr>
            <w:tcW w:w="505"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R TC fast paroxysms and other slow discharges</w:t>
            </w:r>
          </w:p>
        </w:tc>
        <w:tc>
          <w:tcPr>
            <w:tcW w:w="446" w:type="pct"/>
          </w:tcPr>
          <w:p w:rsidR="00F0434A" w:rsidRPr="00F0434A" w:rsidRDefault="00F0434A" w:rsidP="005C2537">
            <w:pPr>
              <w:textAlignment w:val="bottom"/>
              <w:rPr>
                <w:rFonts w:ascii="Calibri" w:eastAsia="Times New Roman" w:hAnsi="Calibri" w:cs="Arial"/>
                <w:color w:val="auto"/>
                <w:kern w:val="24"/>
                <w:sz w:val="16"/>
                <w:szCs w:val="16"/>
                <w:lang w:val="en-US" w:eastAsia="fr-BE"/>
              </w:rPr>
            </w:pPr>
            <w:r w:rsidRPr="00F0434A">
              <w:rPr>
                <w:rFonts w:ascii="Calibri" w:eastAsia="Times New Roman" w:hAnsi="Calibri" w:cs="Arial"/>
                <w:color w:val="auto"/>
                <w:kern w:val="24"/>
                <w:sz w:val="16"/>
                <w:szCs w:val="16"/>
                <w:lang w:val="en-US" w:eastAsia="fr-BE"/>
              </w:rPr>
              <w:t>Rhythmical spiking</w:t>
            </w:r>
          </w:p>
        </w:tc>
        <w:tc>
          <w:tcPr>
            <w:tcW w:w="433"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R TCP slow activity</w:t>
            </w:r>
          </w:p>
        </w:tc>
        <w:tc>
          <w:tcPr>
            <w:tcW w:w="518"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no epileptogenic lesion</w:t>
            </w:r>
          </w:p>
        </w:tc>
        <w:tc>
          <w:tcPr>
            <w:tcW w:w="518"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negative</w:t>
            </w:r>
          </w:p>
        </w:tc>
        <w:tc>
          <w:tcPr>
            <w:tcW w:w="445"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eastAsiaTheme="minorEastAsia" w:hAnsi="Calibri"/>
                <w:color w:val="auto"/>
                <w:kern w:val="24"/>
                <w:sz w:val="16"/>
                <w:szCs w:val="16"/>
                <w:lang w:val="en-US" w:eastAsia="fr-BE"/>
              </w:rPr>
              <w:t>Non significant</w:t>
            </w:r>
          </w:p>
        </w:tc>
        <w:tc>
          <w:tcPr>
            <w:tcW w:w="311"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19</w:t>
            </w:r>
          </w:p>
        </w:tc>
      </w:tr>
      <w:tr w:rsidR="00F0434A" w:rsidRPr="00F0434A" w:rsidTr="005C2537">
        <w:trPr>
          <w:trHeight w:val="160"/>
        </w:trPr>
        <w:tc>
          <w:tcPr>
            <w:tcW w:w="171" w:type="pct"/>
            <w:hideMark/>
          </w:tcPr>
          <w:p w:rsidR="00F0434A" w:rsidRPr="00F0434A" w:rsidRDefault="00F0434A" w:rsidP="005C2537">
            <w:pPr>
              <w:jc w:val="right"/>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21</w:t>
            </w:r>
          </w:p>
        </w:tc>
        <w:tc>
          <w:tcPr>
            <w:tcW w:w="304"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RFILE</w:t>
            </w:r>
          </w:p>
        </w:tc>
        <w:tc>
          <w:tcPr>
            <w:tcW w:w="124"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M</w:t>
            </w:r>
          </w:p>
        </w:tc>
        <w:tc>
          <w:tcPr>
            <w:tcW w:w="230"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3</w:t>
            </w:r>
          </w:p>
        </w:tc>
        <w:tc>
          <w:tcPr>
            <w:tcW w:w="218"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5</w:t>
            </w:r>
          </w:p>
        </w:tc>
        <w:tc>
          <w:tcPr>
            <w:tcW w:w="478"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Cortectomy R F and operculo-insular</w:t>
            </w:r>
          </w:p>
        </w:tc>
        <w:tc>
          <w:tcPr>
            <w:tcW w:w="299"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5</w:t>
            </w:r>
          </w:p>
        </w:tc>
        <w:tc>
          <w:tcPr>
            <w:tcW w:w="505"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 xml:space="preserve">R FC slow activities </w:t>
            </w:r>
          </w:p>
        </w:tc>
        <w:tc>
          <w:tcPr>
            <w:tcW w:w="446" w:type="pct"/>
          </w:tcPr>
          <w:p w:rsidR="00F0434A" w:rsidRPr="00F0434A" w:rsidRDefault="00F0434A" w:rsidP="005C2537">
            <w:pPr>
              <w:textAlignment w:val="bottom"/>
              <w:rPr>
                <w:rFonts w:ascii="Calibri" w:eastAsia="Times New Roman" w:hAnsi="Calibri" w:cs="Arial"/>
                <w:color w:val="auto"/>
                <w:kern w:val="24"/>
                <w:sz w:val="16"/>
                <w:szCs w:val="16"/>
                <w:lang w:val="en-US" w:eastAsia="fr-BE"/>
              </w:rPr>
            </w:pPr>
            <w:r w:rsidRPr="00F0434A">
              <w:rPr>
                <w:rFonts w:ascii="Calibri" w:eastAsia="Times New Roman" w:hAnsi="Calibri" w:cs="Arial"/>
                <w:color w:val="auto"/>
                <w:kern w:val="24"/>
                <w:sz w:val="16"/>
                <w:szCs w:val="16"/>
                <w:lang w:val="en-US" w:eastAsia="fr-BE"/>
              </w:rPr>
              <w:t>Rhythmical evolving discharge in delta/theta band</w:t>
            </w:r>
          </w:p>
        </w:tc>
        <w:tc>
          <w:tcPr>
            <w:tcW w:w="433"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R FCT S, fast paroxysms</w:t>
            </w:r>
          </w:p>
        </w:tc>
        <w:tc>
          <w:tcPr>
            <w:tcW w:w="518"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R F insular abnormality</w:t>
            </w:r>
          </w:p>
        </w:tc>
        <w:tc>
          <w:tcPr>
            <w:tcW w:w="518"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hypometabolism R insula</w:t>
            </w:r>
          </w:p>
        </w:tc>
        <w:tc>
          <w:tcPr>
            <w:tcW w:w="445"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non significant</w:t>
            </w:r>
          </w:p>
        </w:tc>
        <w:tc>
          <w:tcPr>
            <w:tcW w:w="311"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12</w:t>
            </w:r>
          </w:p>
        </w:tc>
      </w:tr>
      <w:tr w:rsidR="00F0434A" w:rsidRPr="00F0434A" w:rsidTr="005C2537">
        <w:trPr>
          <w:trHeight w:val="160"/>
        </w:trPr>
        <w:tc>
          <w:tcPr>
            <w:tcW w:w="171" w:type="pct"/>
            <w:hideMark/>
          </w:tcPr>
          <w:p w:rsidR="00F0434A" w:rsidRPr="00F0434A" w:rsidRDefault="00F0434A" w:rsidP="005C2537">
            <w:pPr>
              <w:jc w:val="right"/>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22</w:t>
            </w:r>
          </w:p>
        </w:tc>
        <w:tc>
          <w:tcPr>
            <w:tcW w:w="304"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RFLE</w:t>
            </w:r>
          </w:p>
        </w:tc>
        <w:tc>
          <w:tcPr>
            <w:tcW w:w="124"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F</w:t>
            </w:r>
          </w:p>
        </w:tc>
        <w:tc>
          <w:tcPr>
            <w:tcW w:w="230"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5</w:t>
            </w:r>
          </w:p>
        </w:tc>
        <w:tc>
          <w:tcPr>
            <w:tcW w:w="218"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17</w:t>
            </w:r>
          </w:p>
        </w:tc>
        <w:tc>
          <w:tcPr>
            <w:tcW w:w="478"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Lesionectomy R F and opercular</w:t>
            </w:r>
          </w:p>
        </w:tc>
        <w:tc>
          <w:tcPr>
            <w:tcW w:w="299"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1</w:t>
            </w:r>
          </w:p>
        </w:tc>
        <w:tc>
          <w:tcPr>
            <w:tcW w:w="505"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R fronto-central fast paroxysms</w:t>
            </w:r>
          </w:p>
        </w:tc>
        <w:tc>
          <w:tcPr>
            <w:tcW w:w="446" w:type="pct"/>
          </w:tcPr>
          <w:p w:rsidR="00F0434A" w:rsidRPr="00F0434A" w:rsidRDefault="00F0434A" w:rsidP="005C2537">
            <w:pPr>
              <w:textAlignment w:val="bottom"/>
              <w:rPr>
                <w:rFonts w:ascii="Calibri" w:eastAsia="Times New Roman" w:hAnsi="Calibri" w:cs="Arial"/>
                <w:color w:val="auto"/>
                <w:kern w:val="24"/>
                <w:sz w:val="16"/>
                <w:szCs w:val="16"/>
                <w:lang w:val="en-US" w:eastAsia="fr-BE"/>
              </w:rPr>
            </w:pPr>
            <w:r w:rsidRPr="00F0434A">
              <w:rPr>
                <w:rFonts w:ascii="Calibri" w:eastAsia="Times New Roman" w:hAnsi="Calibri" w:cs="Arial"/>
                <w:color w:val="auto"/>
                <w:kern w:val="24"/>
                <w:sz w:val="16"/>
                <w:szCs w:val="16"/>
                <w:lang w:val="en-US" w:eastAsia="fr-BE"/>
              </w:rPr>
              <w:t>Fast paroxysmal activity (alpha)</w:t>
            </w:r>
          </w:p>
        </w:tc>
        <w:tc>
          <w:tcPr>
            <w:tcW w:w="433"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R FT S, SW</w:t>
            </w:r>
          </w:p>
        </w:tc>
        <w:tc>
          <w:tcPr>
            <w:tcW w:w="518"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R F FCD</w:t>
            </w:r>
          </w:p>
        </w:tc>
        <w:tc>
          <w:tcPr>
            <w:tcW w:w="518"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hypometabolism R F</w:t>
            </w:r>
          </w:p>
        </w:tc>
        <w:tc>
          <w:tcPr>
            <w:tcW w:w="445"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FCD II b R F</w:t>
            </w:r>
          </w:p>
        </w:tc>
        <w:tc>
          <w:tcPr>
            <w:tcW w:w="311"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18</w:t>
            </w:r>
          </w:p>
        </w:tc>
      </w:tr>
      <w:tr w:rsidR="00F0434A" w:rsidRPr="00F0434A" w:rsidTr="005C2537">
        <w:trPr>
          <w:trHeight w:val="160"/>
        </w:trPr>
        <w:tc>
          <w:tcPr>
            <w:tcW w:w="171" w:type="pct"/>
            <w:hideMark/>
          </w:tcPr>
          <w:p w:rsidR="00F0434A" w:rsidRPr="00F0434A" w:rsidRDefault="00F0434A" w:rsidP="005C2537">
            <w:pPr>
              <w:jc w:val="right"/>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23</w:t>
            </w:r>
          </w:p>
        </w:tc>
        <w:tc>
          <w:tcPr>
            <w:tcW w:w="304"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LFTLE</w:t>
            </w:r>
          </w:p>
        </w:tc>
        <w:tc>
          <w:tcPr>
            <w:tcW w:w="124"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M</w:t>
            </w:r>
          </w:p>
        </w:tc>
        <w:tc>
          <w:tcPr>
            <w:tcW w:w="230"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20</w:t>
            </w:r>
          </w:p>
        </w:tc>
        <w:tc>
          <w:tcPr>
            <w:tcW w:w="218"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25</w:t>
            </w:r>
          </w:p>
        </w:tc>
        <w:tc>
          <w:tcPr>
            <w:tcW w:w="478"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Cortectomy L F</w:t>
            </w:r>
          </w:p>
        </w:tc>
        <w:tc>
          <w:tcPr>
            <w:tcW w:w="299"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5</w:t>
            </w:r>
          </w:p>
        </w:tc>
        <w:tc>
          <w:tcPr>
            <w:tcW w:w="505"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L frontal theta discharge</w:t>
            </w:r>
          </w:p>
        </w:tc>
        <w:tc>
          <w:tcPr>
            <w:tcW w:w="446" w:type="pct"/>
          </w:tcPr>
          <w:p w:rsidR="00F0434A" w:rsidRPr="00F0434A" w:rsidRDefault="00F0434A" w:rsidP="005C2537">
            <w:pPr>
              <w:textAlignment w:val="bottom"/>
              <w:rPr>
                <w:rFonts w:ascii="Calibri" w:eastAsia="Times New Roman" w:hAnsi="Calibri" w:cs="Arial"/>
                <w:color w:val="auto"/>
                <w:kern w:val="24"/>
                <w:sz w:val="16"/>
                <w:szCs w:val="16"/>
                <w:lang w:val="en-US" w:eastAsia="fr-BE"/>
              </w:rPr>
            </w:pPr>
            <w:r w:rsidRPr="00F0434A">
              <w:rPr>
                <w:rFonts w:ascii="Calibri" w:eastAsia="Times New Roman" w:hAnsi="Calibri" w:cs="Arial"/>
                <w:color w:val="auto"/>
                <w:kern w:val="24"/>
                <w:sz w:val="16"/>
                <w:szCs w:val="16"/>
                <w:lang w:val="en-US" w:eastAsia="fr-BE"/>
              </w:rPr>
              <w:t>Rhythmical evolving discharge in delta band</w:t>
            </w:r>
          </w:p>
        </w:tc>
        <w:tc>
          <w:tcPr>
            <w:tcW w:w="433"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GSWD, L FC S, L T slow S</w:t>
            </w:r>
          </w:p>
        </w:tc>
        <w:tc>
          <w:tcPr>
            <w:tcW w:w="518"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no epileptogenic lesion</w:t>
            </w:r>
          </w:p>
        </w:tc>
        <w:tc>
          <w:tcPr>
            <w:tcW w:w="518"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negative</w:t>
            </w:r>
          </w:p>
        </w:tc>
        <w:tc>
          <w:tcPr>
            <w:tcW w:w="445"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non significant</w:t>
            </w:r>
          </w:p>
        </w:tc>
        <w:tc>
          <w:tcPr>
            <w:tcW w:w="311"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12</w:t>
            </w:r>
          </w:p>
        </w:tc>
      </w:tr>
      <w:tr w:rsidR="00F0434A" w:rsidRPr="00F0434A" w:rsidTr="005C2537">
        <w:trPr>
          <w:trHeight w:val="160"/>
        </w:trPr>
        <w:tc>
          <w:tcPr>
            <w:tcW w:w="171" w:type="pct"/>
            <w:hideMark/>
          </w:tcPr>
          <w:p w:rsidR="00F0434A" w:rsidRPr="00F0434A" w:rsidRDefault="00F0434A" w:rsidP="005C2537">
            <w:pPr>
              <w:jc w:val="right"/>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24</w:t>
            </w:r>
          </w:p>
        </w:tc>
        <w:tc>
          <w:tcPr>
            <w:tcW w:w="304"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RFLE</w:t>
            </w:r>
          </w:p>
        </w:tc>
        <w:tc>
          <w:tcPr>
            <w:tcW w:w="124"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M</w:t>
            </w:r>
          </w:p>
        </w:tc>
        <w:tc>
          <w:tcPr>
            <w:tcW w:w="230"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14</w:t>
            </w:r>
          </w:p>
        </w:tc>
        <w:tc>
          <w:tcPr>
            <w:tcW w:w="218"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23</w:t>
            </w:r>
          </w:p>
        </w:tc>
        <w:tc>
          <w:tcPr>
            <w:tcW w:w="478"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Lesionectomy R F</w:t>
            </w:r>
          </w:p>
        </w:tc>
        <w:tc>
          <w:tcPr>
            <w:tcW w:w="299"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1</w:t>
            </w:r>
          </w:p>
        </w:tc>
        <w:tc>
          <w:tcPr>
            <w:tcW w:w="505"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bilateral anterior polyspike discharge</w:t>
            </w:r>
          </w:p>
        </w:tc>
        <w:tc>
          <w:tcPr>
            <w:tcW w:w="446" w:type="pct"/>
          </w:tcPr>
          <w:p w:rsidR="00F0434A" w:rsidRPr="00F0434A" w:rsidRDefault="00F0434A" w:rsidP="005C2537">
            <w:pPr>
              <w:textAlignment w:val="bottom"/>
              <w:rPr>
                <w:rFonts w:ascii="Calibri" w:eastAsia="Times New Roman" w:hAnsi="Calibri" w:cs="Arial"/>
                <w:color w:val="auto"/>
                <w:kern w:val="24"/>
                <w:sz w:val="16"/>
                <w:szCs w:val="16"/>
                <w:lang w:val="en-US" w:eastAsia="fr-BE"/>
              </w:rPr>
            </w:pPr>
            <w:r w:rsidRPr="00F0434A">
              <w:rPr>
                <w:rFonts w:ascii="Calibri" w:eastAsia="Times New Roman" w:hAnsi="Calibri" w:cs="Arial"/>
                <w:color w:val="auto"/>
                <w:kern w:val="24"/>
                <w:sz w:val="16"/>
                <w:szCs w:val="16"/>
                <w:lang w:val="en-US" w:eastAsia="fr-BE"/>
              </w:rPr>
              <w:t>Fast paroxysmal activity (alpha)</w:t>
            </w:r>
          </w:p>
        </w:tc>
        <w:tc>
          <w:tcPr>
            <w:tcW w:w="433"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bilateral anterior slow waves and PS</w:t>
            </w:r>
          </w:p>
        </w:tc>
        <w:tc>
          <w:tcPr>
            <w:tcW w:w="518"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R F FCD</w:t>
            </w:r>
          </w:p>
        </w:tc>
        <w:tc>
          <w:tcPr>
            <w:tcW w:w="518"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negative</w:t>
            </w:r>
          </w:p>
        </w:tc>
        <w:tc>
          <w:tcPr>
            <w:tcW w:w="445" w:type="pct"/>
            <w:hideMark/>
          </w:tcPr>
          <w:p w:rsidR="00F0434A" w:rsidRPr="00F0434A" w:rsidRDefault="00F0434A" w:rsidP="005C2537">
            <w:pP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non significant</w:t>
            </w:r>
          </w:p>
        </w:tc>
        <w:tc>
          <w:tcPr>
            <w:tcW w:w="311" w:type="pct"/>
            <w:hideMark/>
          </w:tcPr>
          <w:p w:rsidR="00F0434A" w:rsidRPr="00F0434A" w:rsidRDefault="00F0434A" w:rsidP="005C2537">
            <w:pPr>
              <w:jc w:val="center"/>
              <w:textAlignment w:val="bottom"/>
              <w:rPr>
                <w:rFonts w:ascii="Arial" w:eastAsia="Times New Roman" w:hAnsi="Arial" w:cs="Arial"/>
                <w:color w:val="auto"/>
                <w:sz w:val="16"/>
                <w:szCs w:val="16"/>
                <w:lang w:val="en-US" w:eastAsia="fr-BE"/>
              </w:rPr>
            </w:pPr>
            <w:r w:rsidRPr="00F0434A">
              <w:rPr>
                <w:rFonts w:ascii="Calibri" w:eastAsia="Times New Roman" w:hAnsi="Calibri" w:cs="Arial"/>
                <w:color w:val="auto"/>
                <w:kern w:val="24"/>
                <w:sz w:val="16"/>
                <w:szCs w:val="16"/>
                <w:lang w:val="en-US" w:eastAsia="fr-BE"/>
              </w:rPr>
              <w:t>24</w:t>
            </w:r>
          </w:p>
        </w:tc>
      </w:tr>
    </w:tbl>
    <w:p w:rsidR="00F0434A" w:rsidRPr="00F0434A" w:rsidRDefault="00F0434A" w:rsidP="00F0434A">
      <w:pPr>
        <w:pStyle w:val="Lgende"/>
        <w:spacing w:before="160" w:after="0"/>
        <w:rPr>
          <w:color w:val="auto"/>
          <w:lang w:val="en-US"/>
        </w:rPr>
      </w:pPr>
    </w:p>
    <w:p w:rsidR="00F0434A" w:rsidRPr="00F0434A" w:rsidRDefault="00F0434A" w:rsidP="00F0434A">
      <w:pPr>
        <w:pStyle w:val="Lgende"/>
        <w:spacing w:before="160" w:after="0"/>
        <w:rPr>
          <w:b w:val="0"/>
          <w:color w:val="auto"/>
          <w:lang w:val="en-US"/>
        </w:rPr>
        <w:sectPr w:rsidR="00F0434A" w:rsidRPr="00F0434A" w:rsidSect="00606637">
          <w:headerReference w:type="default" r:id="rId8"/>
          <w:pgSz w:w="16838" w:h="11906" w:orient="landscape"/>
          <w:pgMar w:top="720" w:right="720" w:bottom="720" w:left="720" w:header="708" w:footer="283" w:gutter="0"/>
          <w:cols w:space="708"/>
          <w:docGrid w:linePitch="360"/>
        </w:sectPr>
      </w:pPr>
      <w:r w:rsidRPr="00F0434A">
        <w:rPr>
          <w:color w:val="auto"/>
          <w:lang w:val="en-US"/>
        </w:rPr>
        <w:t xml:space="preserve">Table 1. </w:t>
      </w:r>
      <w:r w:rsidRPr="00F0434A">
        <w:rPr>
          <w:b w:val="0"/>
          <w:color w:val="auto"/>
          <w:lang w:val="en-US"/>
        </w:rPr>
        <w:t xml:space="preserve">Clinical records of the study population. </w:t>
      </w:r>
      <w:r w:rsidRPr="00F0434A">
        <w:rPr>
          <w:b w:val="0"/>
          <w:color w:val="auto"/>
        </w:rPr>
        <w:t xml:space="preserve">F, frontal. I, insular. T, temporal. P, parietal. O, occipital. C, central. FCD, focal cortical dysplasia. </w:t>
      </w:r>
      <w:r w:rsidRPr="00F0434A">
        <w:rPr>
          <w:b w:val="0"/>
          <w:color w:val="auto"/>
          <w:lang w:val="en-US"/>
        </w:rPr>
        <w:t>IED, interictal epileptiform discharge. S, spikes. SW, spike-waves. PSW, polyspike-waves. GSWD, generalized spike-wave discharges.</w:t>
      </w:r>
    </w:p>
    <w:p w:rsidR="00F0434A" w:rsidRPr="00F0434A" w:rsidRDefault="00F0434A" w:rsidP="00F0434A">
      <w:pPr>
        <w:spacing w:line="360" w:lineRule="auto"/>
        <w:jc w:val="both"/>
        <w:rPr>
          <w:rFonts w:asciiTheme="minorHAnsi" w:hAnsiTheme="minorHAnsi" w:cstheme="minorHAnsi"/>
          <w:color w:val="auto"/>
          <w:lang w:val="en-US"/>
        </w:rPr>
      </w:pPr>
    </w:p>
    <w:tbl>
      <w:tblPr>
        <w:tblStyle w:val="Tableausimple51"/>
        <w:tblW w:w="8902" w:type="dxa"/>
        <w:tblLook w:val="0420" w:firstRow="1" w:lastRow="0" w:firstColumn="0" w:lastColumn="0" w:noHBand="0" w:noVBand="1"/>
      </w:tblPr>
      <w:tblGrid>
        <w:gridCol w:w="2268"/>
        <w:gridCol w:w="2268"/>
        <w:gridCol w:w="2098"/>
        <w:gridCol w:w="2268"/>
      </w:tblGrid>
      <w:tr w:rsidR="00F0434A" w:rsidRPr="00F0434A" w:rsidTr="005C2537">
        <w:trPr>
          <w:gridAfter w:val="1"/>
          <w:cnfStyle w:val="100000000000" w:firstRow="1" w:lastRow="0" w:firstColumn="0" w:lastColumn="0" w:oddVBand="0" w:evenVBand="0" w:oddHBand="0" w:evenHBand="0" w:firstRowFirstColumn="0" w:firstRowLastColumn="0" w:lastRowFirstColumn="0" w:lastRowLastColumn="0"/>
          <w:wAfter w:w="2268" w:type="dxa"/>
          <w:trHeight w:val="252"/>
        </w:trPr>
        <w:tc>
          <w:tcPr>
            <w:tcW w:w="2268" w:type="dxa"/>
            <w:tcBorders>
              <w:bottom w:val="single" w:sz="4" w:space="0" w:color="auto"/>
            </w:tcBorders>
            <w:hideMark/>
          </w:tcPr>
          <w:p w:rsidR="00F0434A" w:rsidRPr="00F0434A" w:rsidRDefault="00F0434A" w:rsidP="005C2537">
            <w:pPr>
              <w:spacing w:line="360" w:lineRule="auto"/>
              <w:rPr>
                <w:rFonts w:asciiTheme="minorHAnsi" w:hAnsiTheme="minorHAnsi" w:cstheme="minorHAnsi"/>
                <w:color w:val="auto"/>
                <w:sz w:val="22"/>
                <w:lang w:val="en-US"/>
              </w:rPr>
            </w:pPr>
            <w:r w:rsidRPr="00F0434A">
              <w:rPr>
                <w:rFonts w:asciiTheme="minorHAnsi" w:hAnsiTheme="minorHAnsi" w:cstheme="minorHAnsi"/>
                <w:bCs/>
                <w:iCs w:val="0"/>
                <w:color w:val="auto"/>
                <w:sz w:val="22"/>
                <w:lang w:val="en-US"/>
              </w:rPr>
              <w:t>Seizure level (n = 24)</w:t>
            </w:r>
          </w:p>
        </w:tc>
        <w:tc>
          <w:tcPr>
            <w:tcW w:w="2268" w:type="dxa"/>
            <w:tcBorders>
              <w:bottom w:val="single" w:sz="4" w:space="0" w:color="auto"/>
            </w:tcBorders>
            <w:hideMark/>
          </w:tcPr>
          <w:p w:rsidR="00F0434A" w:rsidRPr="00F0434A" w:rsidRDefault="00F0434A" w:rsidP="005C2537">
            <w:pPr>
              <w:spacing w:line="360" w:lineRule="auto"/>
              <w:rPr>
                <w:rFonts w:asciiTheme="minorHAnsi" w:hAnsiTheme="minorHAnsi" w:cstheme="minorHAnsi"/>
                <w:color w:val="auto"/>
                <w:sz w:val="22"/>
                <w:lang w:val="en-US"/>
              </w:rPr>
            </w:pPr>
            <w:r w:rsidRPr="00F0434A">
              <w:rPr>
                <w:rFonts w:asciiTheme="minorHAnsi" w:hAnsiTheme="minorHAnsi" w:cstheme="minorHAnsi"/>
                <w:bCs/>
                <w:color w:val="auto"/>
                <w:sz w:val="22"/>
                <w:lang w:val="en-US"/>
              </w:rPr>
              <w:t>ESI power</w:t>
            </w:r>
          </w:p>
        </w:tc>
        <w:tc>
          <w:tcPr>
            <w:tcW w:w="2098" w:type="dxa"/>
            <w:tcBorders>
              <w:bottom w:val="single" w:sz="4" w:space="0" w:color="auto"/>
            </w:tcBorders>
            <w:hideMark/>
          </w:tcPr>
          <w:p w:rsidR="00F0434A" w:rsidRPr="00F0434A" w:rsidRDefault="00F0434A" w:rsidP="005C2537">
            <w:pPr>
              <w:spacing w:line="360" w:lineRule="auto"/>
              <w:rPr>
                <w:rFonts w:asciiTheme="minorHAnsi" w:hAnsiTheme="minorHAnsi" w:cstheme="minorHAnsi"/>
                <w:color w:val="auto"/>
                <w:sz w:val="22"/>
                <w:lang w:val="en-US"/>
              </w:rPr>
            </w:pPr>
            <w:r w:rsidRPr="00F0434A">
              <w:rPr>
                <w:rFonts w:asciiTheme="minorHAnsi" w:hAnsiTheme="minorHAnsi" w:cstheme="minorHAnsi"/>
                <w:bCs/>
                <w:color w:val="auto"/>
                <w:sz w:val="22"/>
                <w:lang w:val="en-US"/>
              </w:rPr>
              <w:t>ESI + FC</w:t>
            </w:r>
          </w:p>
        </w:tc>
      </w:tr>
      <w:tr w:rsidR="00F0434A" w:rsidRPr="00F0434A" w:rsidTr="005C2537">
        <w:trPr>
          <w:gridAfter w:val="1"/>
          <w:cnfStyle w:val="000000100000" w:firstRow="0" w:lastRow="0" w:firstColumn="0" w:lastColumn="0" w:oddVBand="0" w:evenVBand="0" w:oddHBand="1" w:evenHBand="0" w:firstRowFirstColumn="0" w:firstRowLastColumn="0" w:lastRowFirstColumn="0" w:lastRowLastColumn="0"/>
          <w:wAfter w:w="2268" w:type="dxa"/>
          <w:trHeight w:val="454"/>
        </w:trPr>
        <w:tc>
          <w:tcPr>
            <w:tcW w:w="2268" w:type="dxa"/>
            <w:tcBorders>
              <w:top w:val="single" w:sz="4" w:space="0" w:color="auto"/>
            </w:tcBorders>
            <w:hideMark/>
          </w:tcPr>
          <w:p w:rsidR="00F0434A" w:rsidRPr="00F0434A" w:rsidRDefault="00F0434A" w:rsidP="005C2537">
            <w:pPr>
              <w:spacing w:line="360" w:lineRule="auto"/>
              <w:rPr>
                <w:rFonts w:asciiTheme="minorHAnsi" w:hAnsiTheme="minorHAnsi" w:cstheme="minorHAnsi"/>
                <w:b/>
                <w:color w:val="auto"/>
                <w:sz w:val="22"/>
                <w:lang w:val="en-US"/>
              </w:rPr>
            </w:pPr>
            <w:r w:rsidRPr="00F0434A">
              <w:rPr>
                <w:rFonts w:asciiTheme="minorHAnsi" w:hAnsiTheme="minorHAnsi" w:cstheme="minorHAnsi"/>
                <w:b/>
                <w:color w:val="auto"/>
                <w:sz w:val="22"/>
                <w:lang w:val="en-US"/>
              </w:rPr>
              <w:t>Overall accuracy</w:t>
            </w:r>
          </w:p>
        </w:tc>
        <w:tc>
          <w:tcPr>
            <w:tcW w:w="2268" w:type="dxa"/>
            <w:tcBorders>
              <w:top w:val="single" w:sz="4" w:space="0" w:color="auto"/>
            </w:tcBorders>
          </w:tcPr>
          <w:p w:rsidR="00F0434A" w:rsidRPr="00F0434A" w:rsidRDefault="00F0434A" w:rsidP="005C2537">
            <w:pPr>
              <w:spacing w:line="360" w:lineRule="auto"/>
              <w:rPr>
                <w:rFonts w:asciiTheme="minorHAnsi" w:hAnsiTheme="minorHAnsi" w:cstheme="minorHAnsi"/>
                <w:color w:val="auto"/>
                <w:sz w:val="22"/>
                <w:lang w:val="en-US"/>
              </w:rPr>
            </w:pPr>
            <w:r w:rsidRPr="00F0434A">
              <w:rPr>
                <w:rFonts w:asciiTheme="minorHAnsi" w:hAnsiTheme="minorHAnsi" w:cstheme="minorHAnsi"/>
                <w:color w:val="auto"/>
                <w:sz w:val="22"/>
                <w:lang w:val="en-US"/>
              </w:rPr>
              <w:t>45% (C.I. 35 - 56%)*</w:t>
            </w:r>
          </w:p>
        </w:tc>
        <w:tc>
          <w:tcPr>
            <w:tcW w:w="2098" w:type="dxa"/>
            <w:tcBorders>
              <w:top w:val="single" w:sz="4" w:space="0" w:color="auto"/>
            </w:tcBorders>
          </w:tcPr>
          <w:p w:rsidR="00F0434A" w:rsidRPr="00F0434A" w:rsidRDefault="00F0434A" w:rsidP="005C2537">
            <w:pPr>
              <w:spacing w:line="360" w:lineRule="auto"/>
              <w:rPr>
                <w:rFonts w:asciiTheme="minorHAnsi" w:hAnsiTheme="minorHAnsi" w:cstheme="minorHAnsi"/>
                <w:color w:val="auto"/>
                <w:sz w:val="22"/>
                <w:lang w:val="en-US"/>
              </w:rPr>
            </w:pPr>
            <w:r w:rsidRPr="00F0434A">
              <w:rPr>
                <w:rFonts w:asciiTheme="minorHAnsi" w:hAnsiTheme="minorHAnsi" w:cstheme="minorHAnsi"/>
                <w:color w:val="auto"/>
                <w:sz w:val="22"/>
                <w:lang w:val="en-US"/>
              </w:rPr>
              <w:t>61% (C.I. 50 - 71%)*</w:t>
            </w:r>
          </w:p>
        </w:tc>
      </w:tr>
      <w:tr w:rsidR="00F0434A" w:rsidRPr="00F0434A" w:rsidTr="005C2537">
        <w:trPr>
          <w:gridAfter w:val="1"/>
          <w:wAfter w:w="2268" w:type="dxa"/>
          <w:trHeight w:val="454"/>
        </w:trPr>
        <w:tc>
          <w:tcPr>
            <w:tcW w:w="2268" w:type="dxa"/>
            <w:hideMark/>
          </w:tcPr>
          <w:p w:rsidR="00F0434A" w:rsidRPr="00F0434A" w:rsidRDefault="00F0434A" w:rsidP="005C2537">
            <w:pPr>
              <w:spacing w:line="360" w:lineRule="auto"/>
              <w:rPr>
                <w:rFonts w:asciiTheme="minorHAnsi" w:hAnsiTheme="minorHAnsi" w:cstheme="minorHAnsi"/>
                <w:b/>
                <w:color w:val="auto"/>
                <w:sz w:val="22"/>
                <w:lang w:val="en-US"/>
              </w:rPr>
            </w:pPr>
            <w:r w:rsidRPr="00F0434A">
              <w:rPr>
                <w:rFonts w:asciiTheme="minorHAnsi" w:hAnsiTheme="minorHAnsi" w:cstheme="minorHAnsi"/>
                <w:b/>
                <w:color w:val="auto"/>
                <w:sz w:val="22"/>
                <w:lang w:val="en-US"/>
              </w:rPr>
              <w:t>Sensitivity</w:t>
            </w:r>
          </w:p>
        </w:tc>
        <w:tc>
          <w:tcPr>
            <w:tcW w:w="2268" w:type="dxa"/>
          </w:tcPr>
          <w:p w:rsidR="00F0434A" w:rsidRPr="00F0434A" w:rsidRDefault="00F0434A" w:rsidP="005C2537">
            <w:pPr>
              <w:spacing w:line="360" w:lineRule="auto"/>
              <w:rPr>
                <w:rFonts w:asciiTheme="minorHAnsi" w:hAnsiTheme="minorHAnsi" w:cstheme="minorHAnsi"/>
                <w:color w:val="auto"/>
                <w:sz w:val="22"/>
                <w:lang w:val="en-US"/>
              </w:rPr>
            </w:pPr>
            <w:r w:rsidRPr="00F0434A">
              <w:rPr>
                <w:rFonts w:asciiTheme="minorHAnsi" w:hAnsiTheme="minorHAnsi" w:cstheme="minorHAnsi"/>
                <w:color w:val="auto"/>
                <w:sz w:val="22"/>
                <w:lang w:val="en-US"/>
              </w:rPr>
              <w:t>36% (C.I. 25 - 49%)</w:t>
            </w:r>
          </w:p>
        </w:tc>
        <w:tc>
          <w:tcPr>
            <w:tcW w:w="2098" w:type="dxa"/>
          </w:tcPr>
          <w:p w:rsidR="00F0434A" w:rsidRPr="00F0434A" w:rsidRDefault="00F0434A" w:rsidP="005C2537">
            <w:pPr>
              <w:spacing w:line="360" w:lineRule="auto"/>
              <w:rPr>
                <w:rFonts w:asciiTheme="minorHAnsi" w:hAnsiTheme="minorHAnsi" w:cstheme="minorHAnsi"/>
                <w:color w:val="auto"/>
                <w:sz w:val="22"/>
                <w:lang w:val="en-US"/>
              </w:rPr>
            </w:pPr>
            <w:r w:rsidRPr="00F0434A">
              <w:rPr>
                <w:rFonts w:asciiTheme="minorHAnsi" w:hAnsiTheme="minorHAnsi" w:cstheme="minorHAnsi"/>
                <w:color w:val="auto"/>
                <w:sz w:val="22"/>
                <w:lang w:val="en-US"/>
              </w:rPr>
              <w:t>52% (C.I. 40 - 64%)</w:t>
            </w:r>
          </w:p>
        </w:tc>
      </w:tr>
      <w:tr w:rsidR="00F0434A" w:rsidRPr="00F0434A" w:rsidTr="005C2537">
        <w:trPr>
          <w:gridAfter w:val="1"/>
          <w:cnfStyle w:val="000000100000" w:firstRow="0" w:lastRow="0" w:firstColumn="0" w:lastColumn="0" w:oddVBand="0" w:evenVBand="0" w:oddHBand="1" w:evenHBand="0" w:firstRowFirstColumn="0" w:firstRowLastColumn="0" w:lastRowFirstColumn="0" w:lastRowLastColumn="0"/>
          <w:wAfter w:w="2268" w:type="dxa"/>
          <w:trHeight w:val="454"/>
        </w:trPr>
        <w:tc>
          <w:tcPr>
            <w:tcW w:w="2268" w:type="dxa"/>
            <w:hideMark/>
          </w:tcPr>
          <w:p w:rsidR="00F0434A" w:rsidRPr="00F0434A" w:rsidRDefault="00F0434A" w:rsidP="005C2537">
            <w:pPr>
              <w:spacing w:line="360" w:lineRule="auto"/>
              <w:rPr>
                <w:rFonts w:asciiTheme="minorHAnsi" w:hAnsiTheme="minorHAnsi" w:cstheme="minorHAnsi"/>
                <w:b/>
                <w:color w:val="auto"/>
                <w:sz w:val="22"/>
                <w:lang w:val="en-US"/>
              </w:rPr>
            </w:pPr>
            <w:r w:rsidRPr="00F0434A">
              <w:rPr>
                <w:rFonts w:asciiTheme="minorHAnsi" w:hAnsiTheme="minorHAnsi" w:cstheme="minorHAnsi"/>
                <w:b/>
                <w:color w:val="auto"/>
                <w:sz w:val="22"/>
                <w:lang w:val="en-US"/>
              </w:rPr>
              <w:t>Specificity</w:t>
            </w:r>
          </w:p>
        </w:tc>
        <w:tc>
          <w:tcPr>
            <w:tcW w:w="2268" w:type="dxa"/>
          </w:tcPr>
          <w:p w:rsidR="00F0434A" w:rsidRPr="00F0434A" w:rsidRDefault="00F0434A" w:rsidP="005C2537">
            <w:pPr>
              <w:spacing w:line="360" w:lineRule="auto"/>
              <w:rPr>
                <w:rFonts w:asciiTheme="minorHAnsi" w:hAnsiTheme="minorHAnsi" w:cstheme="minorHAnsi"/>
                <w:color w:val="auto"/>
                <w:sz w:val="22"/>
                <w:lang w:val="en-US"/>
              </w:rPr>
            </w:pPr>
            <w:r w:rsidRPr="00F0434A">
              <w:rPr>
                <w:rFonts w:asciiTheme="minorHAnsi" w:hAnsiTheme="minorHAnsi" w:cstheme="minorHAnsi"/>
                <w:color w:val="auto"/>
                <w:sz w:val="22"/>
                <w:lang w:val="en-US"/>
              </w:rPr>
              <w:t>72% (C.I. 51 - 88%)</w:t>
            </w:r>
          </w:p>
        </w:tc>
        <w:tc>
          <w:tcPr>
            <w:tcW w:w="2098" w:type="dxa"/>
          </w:tcPr>
          <w:p w:rsidR="00F0434A" w:rsidRPr="00F0434A" w:rsidRDefault="00F0434A" w:rsidP="005C2537">
            <w:pPr>
              <w:spacing w:line="360" w:lineRule="auto"/>
              <w:rPr>
                <w:rFonts w:asciiTheme="minorHAnsi" w:hAnsiTheme="minorHAnsi" w:cstheme="minorHAnsi"/>
                <w:color w:val="auto"/>
                <w:sz w:val="22"/>
                <w:lang w:val="en-US"/>
              </w:rPr>
            </w:pPr>
            <w:r w:rsidRPr="00F0434A">
              <w:rPr>
                <w:rFonts w:asciiTheme="minorHAnsi" w:hAnsiTheme="minorHAnsi" w:cstheme="minorHAnsi"/>
                <w:color w:val="auto"/>
                <w:sz w:val="22"/>
                <w:lang w:val="en-US"/>
              </w:rPr>
              <w:t>84% (C.I. 64 - 95%)</w:t>
            </w:r>
          </w:p>
        </w:tc>
      </w:tr>
      <w:tr w:rsidR="00F0434A" w:rsidRPr="00F0434A" w:rsidTr="005C2537">
        <w:trPr>
          <w:gridAfter w:val="1"/>
          <w:wAfter w:w="2268" w:type="dxa"/>
          <w:trHeight w:val="454"/>
        </w:trPr>
        <w:tc>
          <w:tcPr>
            <w:tcW w:w="2268" w:type="dxa"/>
            <w:hideMark/>
          </w:tcPr>
          <w:p w:rsidR="00F0434A" w:rsidRPr="00F0434A" w:rsidRDefault="00F0434A" w:rsidP="005C2537">
            <w:pPr>
              <w:spacing w:line="360" w:lineRule="auto"/>
              <w:rPr>
                <w:rFonts w:asciiTheme="minorHAnsi" w:hAnsiTheme="minorHAnsi" w:cstheme="minorHAnsi"/>
                <w:b/>
                <w:color w:val="auto"/>
                <w:sz w:val="22"/>
                <w:lang w:val="en-US"/>
              </w:rPr>
            </w:pPr>
            <w:r w:rsidRPr="00F0434A">
              <w:rPr>
                <w:rFonts w:asciiTheme="minorHAnsi" w:hAnsiTheme="minorHAnsi" w:cstheme="minorHAnsi"/>
                <w:b/>
                <w:color w:val="auto"/>
                <w:sz w:val="22"/>
                <w:lang w:val="en-US"/>
              </w:rPr>
              <w:t>PPV</w:t>
            </w:r>
          </w:p>
        </w:tc>
        <w:tc>
          <w:tcPr>
            <w:tcW w:w="2268" w:type="dxa"/>
          </w:tcPr>
          <w:p w:rsidR="00F0434A" w:rsidRPr="00F0434A" w:rsidRDefault="00F0434A" w:rsidP="005C2537">
            <w:pPr>
              <w:spacing w:line="360" w:lineRule="auto"/>
              <w:rPr>
                <w:rFonts w:asciiTheme="minorHAnsi" w:hAnsiTheme="minorHAnsi" w:cstheme="minorHAnsi"/>
                <w:color w:val="auto"/>
                <w:sz w:val="22"/>
                <w:lang w:val="en-US"/>
              </w:rPr>
            </w:pPr>
            <w:r w:rsidRPr="00F0434A">
              <w:rPr>
                <w:rFonts w:asciiTheme="minorHAnsi" w:hAnsiTheme="minorHAnsi" w:cstheme="minorHAnsi"/>
                <w:color w:val="auto"/>
                <w:sz w:val="22"/>
                <w:lang w:val="en-US"/>
              </w:rPr>
              <w:t>78% (C.I. 64 - 88%)</w:t>
            </w:r>
          </w:p>
        </w:tc>
        <w:tc>
          <w:tcPr>
            <w:tcW w:w="2098" w:type="dxa"/>
          </w:tcPr>
          <w:p w:rsidR="00F0434A" w:rsidRPr="00F0434A" w:rsidRDefault="00F0434A" w:rsidP="005C2537">
            <w:pPr>
              <w:spacing w:line="360" w:lineRule="auto"/>
              <w:rPr>
                <w:rFonts w:asciiTheme="minorHAnsi" w:hAnsiTheme="minorHAnsi" w:cstheme="minorHAnsi"/>
                <w:color w:val="auto"/>
                <w:sz w:val="22"/>
                <w:lang w:val="en-US"/>
              </w:rPr>
            </w:pPr>
            <w:r w:rsidRPr="00F0434A">
              <w:rPr>
                <w:rFonts w:asciiTheme="minorHAnsi" w:hAnsiTheme="minorHAnsi" w:cstheme="minorHAnsi"/>
                <w:color w:val="auto"/>
                <w:sz w:val="22"/>
                <w:lang w:val="en-US"/>
              </w:rPr>
              <w:t>90% (C.I. 78 – 90%)</w:t>
            </w:r>
          </w:p>
        </w:tc>
      </w:tr>
      <w:tr w:rsidR="00F0434A" w:rsidRPr="00F0434A" w:rsidTr="005C2537">
        <w:trPr>
          <w:gridAfter w:val="1"/>
          <w:cnfStyle w:val="000000100000" w:firstRow="0" w:lastRow="0" w:firstColumn="0" w:lastColumn="0" w:oddVBand="0" w:evenVBand="0" w:oddHBand="1" w:evenHBand="0" w:firstRowFirstColumn="0" w:firstRowLastColumn="0" w:lastRowFirstColumn="0" w:lastRowLastColumn="0"/>
          <w:wAfter w:w="2268" w:type="dxa"/>
          <w:trHeight w:val="454"/>
        </w:trPr>
        <w:tc>
          <w:tcPr>
            <w:tcW w:w="2268" w:type="dxa"/>
            <w:hideMark/>
          </w:tcPr>
          <w:p w:rsidR="00F0434A" w:rsidRPr="00F0434A" w:rsidRDefault="00F0434A" w:rsidP="005C2537">
            <w:pPr>
              <w:spacing w:line="360" w:lineRule="auto"/>
              <w:rPr>
                <w:rFonts w:asciiTheme="minorHAnsi" w:hAnsiTheme="minorHAnsi" w:cstheme="minorHAnsi"/>
                <w:b/>
                <w:color w:val="auto"/>
                <w:sz w:val="22"/>
                <w:lang w:val="en-US"/>
              </w:rPr>
            </w:pPr>
            <w:r w:rsidRPr="00F0434A">
              <w:rPr>
                <w:rFonts w:asciiTheme="minorHAnsi" w:hAnsiTheme="minorHAnsi" w:cstheme="minorHAnsi"/>
                <w:b/>
                <w:color w:val="auto"/>
                <w:sz w:val="22"/>
                <w:lang w:val="en-US"/>
              </w:rPr>
              <w:t xml:space="preserve">NPV </w:t>
            </w:r>
          </w:p>
        </w:tc>
        <w:tc>
          <w:tcPr>
            <w:tcW w:w="2268" w:type="dxa"/>
          </w:tcPr>
          <w:p w:rsidR="00F0434A" w:rsidRPr="00F0434A" w:rsidRDefault="00F0434A" w:rsidP="005C2537">
            <w:pPr>
              <w:spacing w:line="360" w:lineRule="auto"/>
              <w:rPr>
                <w:rFonts w:asciiTheme="minorHAnsi" w:hAnsiTheme="minorHAnsi" w:cstheme="minorHAnsi"/>
                <w:color w:val="auto"/>
                <w:sz w:val="22"/>
                <w:lang w:val="en-US"/>
              </w:rPr>
            </w:pPr>
            <w:r w:rsidRPr="00F0434A">
              <w:rPr>
                <w:rFonts w:asciiTheme="minorHAnsi" w:hAnsiTheme="minorHAnsi" w:cstheme="minorHAnsi"/>
                <w:color w:val="auto"/>
                <w:sz w:val="22"/>
                <w:lang w:val="en-US"/>
              </w:rPr>
              <w:t>29% (C.I. 23 - 36%)</w:t>
            </w:r>
          </w:p>
        </w:tc>
        <w:tc>
          <w:tcPr>
            <w:tcW w:w="2098" w:type="dxa"/>
          </w:tcPr>
          <w:p w:rsidR="00F0434A" w:rsidRPr="00F0434A" w:rsidRDefault="00F0434A" w:rsidP="005C2537">
            <w:pPr>
              <w:spacing w:line="360" w:lineRule="auto"/>
              <w:rPr>
                <w:rFonts w:asciiTheme="minorHAnsi" w:hAnsiTheme="minorHAnsi" w:cstheme="minorHAnsi"/>
                <w:color w:val="auto"/>
                <w:sz w:val="22"/>
                <w:lang w:val="en-US"/>
              </w:rPr>
            </w:pPr>
            <w:r w:rsidRPr="00F0434A">
              <w:rPr>
                <w:rFonts w:asciiTheme="minorHAnsi" w:hAnsiTheme="minorHAnsi" w:cstheme="minorHAnsi"/>
                <w:color w:val="auto"/>
                <w:sz w:val="22"/>
                <w:lang w:val="en-US"/>
              </w:rPr>
              <w:t>39% (C.I. 32 – 46%)</w:t>
            </w:r>
          </w:p>
        </w:tc>
      </w:tr>
      <w:tr w:rsidR="00F0434A" w:rsidRPr="00F0434A" w:rsidTr="005C2537">
        <w:trPr>
          <w:trHeight w:val="454"/>
        </w:trPr>
        <w:tc>
          <w:tcPr>
            <w:tcW w:w="2268" w:type="dxa"/>
            <w:tcBorders>
              <w:top w:val="single" w:sz="12" w:space="0" w:color="auto"/>
              <w:bottom w:val="single" w:sz="4" w:space="0" w:color="auto"/>
            </w:tcBorders>
          </w:tcPr>
          <w:p w:rsidR="00F0434A" w:rsidRPr="00F0434A" w:rsidRDefault="00F0434A" w:rsidP="005C2537">
            <w:pPr>
              <w:spacing w:line="360" w:lineRule="auto"/>
              <w:rPr>
                <w:rFonts w:asciiTheme="minorHAnsi" w:hAnsiTheme="minorHAnsi" w:cstheme="minorHAnsi"/>
                <w:b/>
                <w:i/>
                <w:color w:val="auto"/>
                <w:sz w:val="22"/>
                <w:lang w:val="en-US"/>
              </w:rPr>
            </w:pPr>
            <w:r w:rsidRPr="00F0434A">
              <w:rPr>
                <w:rFonts w:asciiTheme="minorHAnsi" w:hAnsiTheme="minorHAnsi" w:cstheme="minorHAnsi"/>
                <w:bCs/>
                <w:i/>
                <w:color w:val="auto"/>
                <w:sz w:val="22"/>
                <w:lang w:val="en-US"/>
              </w:rPr>
              <w:t>Patient level (n = 18)</w:t>
            </w:r>
          </w:p>
        </w:tc>
        <w:tc>
          <w:tcPr>
            <w:tcW w:w="2268" w:type="dxa"/>
            <w:tcBorders>
              <w:top w:val="single" w:sz="12" w:space="0" w:color="auto"/>
              <w:bottom w:val="single" w:sz="4" w:space="0" w:color="auto"/>
            </w:tcBorders>
          </w:tcPr>
          <w:p w:rsidR="00F0434A" w:rsidRPr="00F0434A" w:rsidRDefault="00F0434A" w:rsidP="005C2537">
            <w:pPr>
              <w:spacing w:line="360" w:lineRule="auto"/>
              <w:rPr>
                <w:rFonts w:asciiTheme="minorHAnsi" w:hAnsiTheme="minorHAnsi" w:cstheme="minorHAnsi"/>
                <w:i/>
                <w:color w:val="auto"/>
                <w:sz w:val="22"/>
                <w:lang w:val="en-US"/>
              </w:rPr>
            </w:pPr>
            <w:r w:rsidRPr="00F0434A">
              <w:rPr>
                <w:rFonts w:asciiTheme="minorHAnsi" w:hAnsiTheme="minorHAnsi" w:cstheme="minorHAnsi"/>
                <w:bCs/>
                <w:i/>
                <w:color w:val="auto"/>
                <w:sz w:val="22"/>
                <w:lang w:val="en-US"/>
              </w:rPr>
              <w:t>ESI power</w:t>
            </w:r>
          </w:p>
        </w:tc>
        <w:tc>
          <w:tcPr>
            <w:tcW w:w="2098" w:type="dxa"/>
            <w:tcBorders>
              <w:top w:val="single" w:sz="12" w:space="0" w:color="auto"/>
              <w:bottom w:val="single" w:sz="4" w:space="0" w:color="auto"/>
            </w:tcBorders>
          </w:tcPr>
          <w:p w:rsidR="00F0434A" w:rsidRPr="00F0434A" w:rsidRDefault="00F0434A" w:rsidP="005C2537">
            <w:pPr>
              <w:spacing w:line="360" w:lineRule="auto"/>
              <w:rPr>
                <w:rFonts w:asciiTheme="minorHAnsi" w:hAnsiTheme="minorHAnsi" w:cstheme="minorHAnsi"/>
                <w:i/>
                <w:color w:val="auto"/>
                <w:sz w:val="22"/>
                <w:lang w:val="en-US"/>
              </w:rPr>
            </w:pPr>
            <w:r w:rsidRPr="00F0434A">
              <w:rPr>
                <w:rFonts w:asciiTheme="minorHAnsi" w:hAnsiTheme="minorHAnsi" w:cstheme="minorHAnsi"/>
                <w:bCs/>
                <w:i/>
                <w:color w:val="auto"/>
                <w:sz w:val="22"/>
                <w:lang w:val="en-US"/>
              </w:rPr>
              <w:t>ESI + FC</w:t>
            </w:r>
          </w:p>
        </w:tc>
        <w:tc>
          <w:tcPr>
            <w:tcW w:w="2268" w:type="dxa"/>
            <w:tcBorders>
              <w:top w:val="single" w:sz="12" w:space="0" w:color="auto"/>
              <w:bottom w:val="single" w:sz="4" w:space="0" w:color="auto"/>
            </w:tcBorders>
          </w:tcPr>
          <w:p w:rsidR="00F0434A" w:rsidRPr="00F0434A" w:rsidRDefault="00F0434A" w:rsidP="005C2537">
            <w:pPr>
              <w:spacing w:after="160" w:line="259" w:lineRule="auto"/>
              <w:rPr>
                <w:i/>
                <w:color w:val="auto"/>
              </w:rPr>
            </w:pPr>
            <w:r w:rsidRPr="00F0434A">
              <w:rPr>
                <w:rFonts w:asciiTheme="minorHAnsi" w:hAnsiTheme="minorHAnsi" w:cstheme="minorHAnsi"/>
                <w:bCs/>
                <w:i/>
                <w:color w:val="auto"/>
                <w:sz w:val="22"/>
                <w:lang w:val="en-US"/>
              </w:rPr>
              <w:t>ESI interictal</w:t>
            </w:r>
          </w:p>
        </w:tc>
      </w:tr>
      <w:tr w:rsidR="00F0434A" w:rsidRPr="00F0434A" w:rsidTr="005C2537">
        <w:trPr>
          <w:cnfStyle w:val="000000100000" w:firstRow="0" w:lastRow="0" w:firstColumn="0" w:lastColumn="0" w:oddVBand="0" w:evenVBand="0" w:oddHBand="1" w:evenHBand="0" w:firstRowFirstColumn="0" w:firstRowLastColumn="0" w:lastRowFirstColumn="0" w:lastRowLastColumn="0"/>
          <w:trHeight w:val="113"/>
        </w:trPr>
        <w:tc>
          <w:tcPr>
            <w:tcW w:w="2268" w:type="dxa"/>
            <w:tcBorders>
              <w:top w:val="single" w:sz="4" w:space="0" w:color="auto"/>
            </w:tcBorders>
          </w:tcPr>
          <w:p w:rsidR="00F0434A" w:rsidRPr="00F0434A" w:rsidRDefault="00F0434A" w:rsidP="005C2537">
            <w:pPr>
              <w:spacing w:line="360" w:lineRule="auto"/>
              <w:rPr>
                <w:rFonts w:asciiTheme="minorHAnsi" w:hAnsiTheme="minorHAnsi" w:cstheme="minorHAnsi"/>
                <w:color w:val="auto"/>
                <w:sz w:val="16"/>
                <w:szCs w:val="18"/>
                <w:lang w:val="en-US"/>
              </w:rPr>
            </w:pPr>
            <w:r w:rsidRPr="00F0434A">
              <w:rPr>
                <w:rFonts w:asciiTheme="minorHAnsi" w:hAnsiTheme="minorHAnsi" w:cstheme="minorHAnsi"/>
                <w:b/>
                <w:color w:val="auto"/>
                <w:sz w:val="22"/>
                <w:lang w:val="en-US"/>
              </w:rPr>
              <w:t>Overall accuracy</w:t>
            </w:r>
          </w:p>
        </w:tc>
        <w:tc>
          <w:tcPr>
            <w:tcW w:w="2268" w:type="dxa"/>
            <w:tcBorders>
              <w:top w:val="single" w:sz="4" w:space="0" w:color="auto"/>
            </w:tcBorders>
          </w:tcPr>
          <w:p w:rsidR="00F0434A" w:rsidRPr="00F0434A" w:rsidRDefault="00F0434A" w:rsidP="005C2537">
            <w:pPr>
              <w:spacing w:line="360" w:lineRule="auto"/>
              <w:rPr>
                <w:rFonts w:asciiTheme="minorHAnsi" w:hAnsiTheme="minorHAnsi" w:cstheme="minorHAnsi"/>
                <w:i/>
                <w:color w:val="auto"/>
                <w:sz w:val="16"/>
                <w:szCs w:val="18"/>
                <w:lang w:val="en-US"/>
              </w:rPr>
            </w:pPr>
            <w:r w:rsidRPr="00F0434A">
              <w:rPr>
                <w:rFonts w:asciiTheme="minorHAnsi" w:hAnsiTheme="minorHAnsi" w:cstheme="minorHAnsi"/>
                <w:color w:val="auto"/>
                <w:sz w:val="22"/>
                <w:lang w:val="en-US"/>
              </w:rPr>
              <w:t>28% (C.I. 10 – 54%)‡</w:t>
            </w:r>
          </w:p>
        </w:tc>
        <w:tc>
          <w:tcPr>
            <w:tcW w:w="2098" w:type="dxa"/>
            <w:tcBorders>
              <w:top w:val="single" w:sz="4" w:space="0" w:color="auto"/>
            </w:tcBorders>
          </w:tcPr>
          <w:p w:rsidR="00F0434A" w:rsidRPr="00F0434A" w:rsidRDefault="00F0434A" w:rsidP="005C2537">
            <w:pPr>
              <w:spacing w:line="360" w:lineRule="auto"/>
              <w:rPr>
                <w:rFonts w:asciiTheme="minorHAnsi" w:hAnsiTheme="minorHAnsi" w:cstheme="minorHAnsi"/>
                <w:color w:val="auto"/>
                <w:sz w:val="22"/>
                <w:lang w:val="en-US"/>
              </w:rPr>
            </w:pPr>
            <w:r w:rsidRPr="00F0434A">
              <w:rPr>
                <w:rFonts w:asciiTheme="minorHAnsi" w:hAnsiTheme="minorHAnsi" w:cstheme="minorHAnsi"/>
                <w:color w:val="auto"/>
                <w:sz w:val="22"/>
                <w:lang w:val="en-US"/>
              </w:rPr>
              <w:t>67% (C.I. 41 – 87%)</w:t>
            </w:r>
            <w:r w:rsidRPr="00F0434A">
              <w:rPr>
                <w:rFonts w:asciiTheme="minorHAnsi" w:hAnsiTheme="minorHAnsi" w:cstheme="minorHAnsi"/>
                <w:color w:val="auto"/>
                <w:sz w:val="22"/>
                <w:vertAlign w:val="superscript"/>
                <w:lang w:val="en-US"/>
              </w:rPr>
              <w:t>‡</w:t>
            </w:r>
          </w:p>
        </w:tc>
        <w:tc>
          <w:tcPr>
            <w:tcW w:w="2268" w:type="dxa"/>
            <w:tcBorders>
              <w:top w:val="single" w:sz="4" w:space="0" w:color="auto"/>
            </w:tcBorders>
          </w:tcPr>
          <w:p w:rsidR="00F0434A" w:rsidRPr="00F0434A" w:rsidRDefault="00F0434A" w:rsidP="005C2537">
            <w:pPr>
              <w:spacing w:after="160" w:line="259" w:lineRule="auto"/>
              <w:rPr>
                <w:color w:val="auto"/>
              </w:rPr>
            </w:pPr>
            <w:r w:rsidRPr="00F0434A">
              <w:rPr>
                <w:rFonts w:asciiTheme="minorHAnsi" w:hAnsiTheme="minorHAnsi" w:cstheme="minorHAnsi"/>
                <w:color w:val="auto"/>
                <w:sz w:val="22"/>
                <w:lang w:val="en-US"/>
              </w:rPr>
              <w:t>61% (C.I. 36 – 82%)</w:t>
            </w:r>
          </w:p>
        </w:tc>
      </w:tr>
      <w:tr w:rsidR="00F0434A" w:rsidRPr="00F0434A" w:rsidTr="005C2537">
        <w:trPr>
          <w:trHeight w:val="113"/>
        </w:trPr>
        <w:tc>
          <w:tcPr>
            <w:tcW w:w="2268" w:type="dxa"/>
          </w:tcPr>
          <w:p w:rsidR="00F0434A" w:rsidRPr="00F0434A" w:rsidRDefault="00F0434A" w:rsidP="005C2537">
            <w:pPr>
              <w:spacing w:line="360" w:lineRule="auto"/>
              <w:rPr>
                <w:rFonts w:asciiTheme="minorHAnsi" w:hAnsiTheme="minorHAnsi" w:cstheme="minorHAnsi"/>
                <w:b/>
                <w:color w:val="auto"/>
                <w:sz w:val="22"/>
                <w:lang w:val="en-US"/>
              </w:rPr>
            </w:pPr>
            <w:r w:rsidRPr="00F0434A">
              <w:rPr>
                <w:rFonts w:asciiTheme="minorHAnsi" w:hAnsiTheme="minorHAnsi" w:cstheme="minorHAnsi"/>
                <w:b/>
                <w:color w:val="auto"/>
                <w:sz w:val="22"/>
                <w:lang w:val="en-US"/>
              </w:rPr>
              <w:t>Sensitivity</w:t>
            </w:r>
          </w:p>
        </w:tc>
        <w:tc>
          <w:tcPr>
            <w:tcW w:w="2268" w:type="dxa"/>
          </w:tcPr>
          <w:p w:rsidR="00F0434A" w:rsidRPr="00F0434A" w:rsidRDefault="00F0434A" w:rsidP="005C2537">
            <w:pPr>
              <w:spacing w:line="360" w:lineRule="auto"/>
              <w:rPr>
                <w:rFonts w:asciiTheme="minorHAnsi" w:hAnsiTheme="minorHAnsi" w:cstheme="minorHAnsi"/>
                <w:color w:val="auto"/>
                <w:sz w:val="22"/>
                <w:lang w:val="en-US"/>
              </w:rPr>
            </w:pPr>
            <w:r w:rsidRPr="00F0434A">
              <w:rPr>
                <w:rFonts w:asciiTheme="minorHAnsi" w:hAnsiTheme="minorHAnsi" w:cstheme="minorHAnsi"/>
                <w:color w:val="auto"/>
                <w:sz w:val="22"/>
                <w:lang w:val="en-US"/>
              </w:rPr>
              <w:t>17% (C.I. 2 – 48%)</w:t>
            </w:r>
            <w:r w:rsidRPr="00F0434A">
              <w:rPr>
                <w:rFonts w:asciiTheme="minorHAnsi" w:hAnsiTheme="minorHAnsi" w:cstheme="minorHAnsi"/>
                <w:color w:val="auto"/>
                <w:sz w:val="22"/>
                <w:vertAlign w:val="superscript"/>
                <w:lang w:val="en-US"/>
              </w:rPr>
              <w:t>¥</w:t>
            </w:r>
          </w:p>
        </w:tc>
        <w:tc>
          <w:tcPr>
            <w:tcW w:w="2098" w:type="dxa"/>
          </w:tcPr>
          <w:p w:rsidR="00F0434A" w:rsidRPr="00F0434A" w:rsidRDefault="00F0434A" w:rsidP="005C2537">
            <w:pPr>
              <w:spacing w:line="360" w:lineRule="auto"/>
              <w:rPr>
                <w:rFonts w:asciiTheme="minorHAnsi" w:hAnsiTheme="minorHAnsi" w:cstheme="minorHAnsi"/>
                <w:color w:val="auto"/>
                <w:sz w:val="22"/>
                <w:lang w:val="en-US"/>
              </w:rPr>
            </w:pPr>
            <w:r w:rsidRPr="00F0434A">
              <w:rPr>
                <w:rFonts w:asciiTheme="minorHAnsi" w:hAnsiTheme="minorHAnsi" w:cstheme="minorHAnsi"/>
                <w:color w:val="auto"/>
                <w:sz w:val="22"/>
                <w:lang w:val="en-US"/>
              </w:rPr>
              <w:t>58% (C.I. 28 – 85%)</w:t>
            </w:r>
            <w:r w:rsidRPr="00F0434A">
              <w:rPr>
                <w:rFonts w:asciiTheme="minorHAnsi" w:hAnsiTheme="minorHAnsi" w:cstheme="minorHAnsi"/>
                <w:color w:val="auto"/>
                <w:sz w:val="22"/>
                <w:vertAlign w:val="superscript"/>
                <w:lang w:val="en-US"/>
              </w:rPr>
              <w:t>¥</w:t>
            </w:r>
          </w:p>
        </w:tc>
        <w:tc>
          <w:tcPr>
            <w:tcW w:w="2268" w:type="dxa"/>
          </w:tcPr>
          <w:p w:rsidR="00F0434A" w:rsidRPr="00F0434A" w:rsidRDefault="00F0434A" w:rsidP="005C2537">
            <w:pPr>
              <w:spacing w:after="160" w:line="259" w:lineRule="auto"/>
              <w:rPr>
                <w:rFonts w:asciiTheme="minorHAnsi" w:hAnsiTheme="minorHAnsi" w:cstheme="minorHAnsi"/>
                <w:color w:val="auto"/>
                <w:sz w:val="22"/>
                <w:lang w:val="en-US"/>
              </w:rPr>
            </w:pPr>
            <w:r w:rsidRPr="00F0434A">
              <w:rPr>
                <w:rFonts w:asciiTheme="minorHAnsi" w:hAnsiTheme="minorHAnsi" w:cstheme="minorHAnsi"/>
                <w:color w:val="auto"/>
                <w:sz w:val="22"/>
                <w:lang w:val="en-US"/>
              </w:rPr>
              <w:t>58% (C.I. 28 – 85%)</w:t>
            </w:r>
          </w:p>
        </w:tc>
      </w:tr>
      <w:tr w:rsidR="00F0434A" w:rsidRPr="00F0434A" w:rsidTr="005C2537">
        <w:trPr>
          <w:cnfStyle w:val="000000100000" w:firstRow="0" w:lastRow="0" w:firstColumn="0" w:lastColumn="0" w:oddVBand="0" w:evenVBand="0" w:oddHBand="1" w:evenHBand="0" w:firstRowFirstColumn="0" w:firstRowLastColumn="0" w:lastRowFirstColumn="0" w:lastRowLastColumn="0"/>
          <w:trHeight w:val="113"/>
        </w:trPr>
        <w:tc>
          <w:tcPr>
            <w:tcW w:w="2268" w:type="dxa"/>
          </w:tcPr>
          <w:p w:rsidR="00F0434A" w:rsidRPr="00F0434A" w:rsidRDefault="00F0434A" w:rsidP="005C2537">
            <w:pPr>
              <w:spacing w:line="360" w:lineRule="auto"/>
              <w:rPr>
                <w:rFonts w:asciiTheme="minorHAnsi" w:hAnsiTheme="minorHAnsi" w:cstheme="minorHAnsi"/>
                <w:b/>
                <w:color w:val="auto"/>
                <w:sz w:val="22"/>
                <w:lang w:val="en-US"/>
              </w:rPr>
            </w:pPr>
            <w:r w:rsidRPr="00F0434A">
              <w:rPr>
                <w:rFonts w:asciiTheme="minorHAnsi" w:hAnsiTheme="minorHAnsi" w:cstheme="minorHAnsi"/>
                <w:b/>
                <w:color w:val="auto"/>
                <w:sz w:val="22"/>
                <w:lang w:val="en-US"/>
              </w:rPr>
              <w:t>Specificity</w:t>
            </w:r>
          </w:p>
        </w:tc>
        <w:tc>
          <w:tcPr>
            <w:tcW w:w="2268" w:type="dxa"/>
          </w:tcPr>
          <w:p w:rsidR="00F0434A" w:rsidRPr="00F0434A" w:rsidRDefault="00F0434A" w:rsidP="005C2537">
            <w:pPr>
              <w:spacing w:line="360" w:lineRule="auto"/>
              <w:rPr>
                <w:rFonts w:asciiTheme="minorHAnsi" w:hAnsiTheme="minorHAnsi" w:cstheme="minorHAnsi"/>
                <w:color w:val="auto"/>
                <w:sz w:val="22"/>
                <w:lang w:val="en-US"/>
              </w:rPr>
            </w:pPr>
            <w:r w:rsidRPr="00F0434A">
              <w:rPr>
                <w:rFonts w:asciiTheme="minorHAnsi" w:hAnsiTheme="minorHAnsi" w:cstheme="minorHAnsi"/>
                <w:color w:val="auto"/>
                <w:sz w:val="22"/>
                <w:lang w:val="en-US"/>
              </w:rPr>
              <w:t>50% (C.I. 12 – 88%)</w:t>
            </w:r>
          </w:p>
        </w:tc>
        <w:tc>
          <w:tcPr>
            <w:tcW w:w="2098" w:type="dxa"/>
          </w:tcPr>
          <w:p w:rsidR="00F0434A" w:rsidRPr="00F0434A" w:rsidRDefault="00F0434A" w:rsidP="005C2537">
            <w:pPr>
              <w:spacing w:line="360" w:lineRule="auto"/>
              <w:rPr>
                <w:rFonts w:asciiTheme="minorHAnsi" w:hAnsiTheme="minorHAnsi" w:cstheme="minorHAnsi"/>
                <w:color w:val="auto"/>
                <w:sz w:val="22"/>
                <w:lang w:val="en-US"/>
              </w:rPr>
            </w:pPr>
            <w:r w:rsidRPr="00F0434A">
              <w:rPr>
                <w:rFonts w:asciiTheme="minorHAnsi" w:hAnsiTheme="minorHAnsi" w:cstheme="minorHAnsi"/>
                <w:color w:val="auto"/>
                <w:sz w:val="22"/>
                <w:lang w:val="en-US"/>
              </w:rPr>
              <w:t>83% (C.I. 36 – 99%)</w:t>
            </w:r>
          </w:p>
        </w:tc>
        <w:tc>
          <w:tcPr>
            <w:tcW w:w="2268" w:type="dxa"/>
          </w:tcPr>
          <w:p w:rsidR="00F0434A" w:rsidRPr="00F0434A" w:rsidRDefault="00F0434A" w:rsidP="005C2537">
            <w:pPr>
              <w:spacing w:after="160" w:line="259" w:lineRule="auto"/>
              <w:rPr>
                <w:rFonts w:asciiTheme="minorHAnsi" w:hAnsiTheme="minorHAnsi" w:cstheme="minorHAnsi"/>
                <w:color w:val="auto"/>
                <w:sz w:val="22"/>
                <w:lang w:val="en-US"/>
              </w:rPr>
            </w:pPr>
            <w:r w:rsidRPr="00F0434A">
              <w:rPr>
                <w:rFonts w:asciiTheme="minorHAnsi" w:hAnsiTheme="minorHAnsi" w:cstheme="minorHAnsi"/>
                <w:color w:val="auto"/>
                <w:sz w:val="22"/>
                <w:lang w:val="en-US"/>
              </w:rPr>
              <w:t>67% (C.I. 22 – 96%)</w:t>
            </w:r>
          </w:p>
        </w:tc>
      </w:tr>
      <w:tr w:rsidR="00F0434A" w:rsidRPr="00F0434A" w:rsidTr="005C2537">
        <w:trPr>
          <w:trHeight w:val="113"/>
        </w:trPr>
        <w:tc>
          <w:tcPr>
            <w:tcW w:w="2268" w:type="dxa"/>
          </w:tcPr>
          <w:p w:rsidR="00F0434A" w:rsidRPr="00F0434A" w:rsidRDefault="00F0434A" w:rsidP="005C2537">
            <w:pPr>
              <w:spacing w:line="360" w:lineRule="auto"/>
              <w:rPr>
                <w:rFonts w:asciiTheme="minorHAnsi" w:hAnsiTheme="minorHAnsi" w:cstheme="minorHAnsi"/>
                <w:b/>
                <w:color w:val="auto"/>
                <w:sz w:val="22"/>
                <w:lang w:val="en-US"/>
              </w:rPr>
            </w:pPr>
            <w:r w:rsidRPr="00F0434A">
              <w:rPr>
                <w:rFonts w:asciiTheme="minorHAnsi" w:hAnsiTheme="minorHAnsi" w:cstheme="minorHAnsi"/>
                <w:b/>
                <w:color w:val="auto"/>
                <w:sz w:val="22"/>
                <w:lang w:val="en-US"/>
              </w:rPr>
              <w:t>PPV</w:t>
            </w:r>
          </w:p>
        </w:tc>
        <w:tc>
          <w:tcPr>
            <w:tcW w:w="2268" w:type="dxa"/>
          </w:tcPr>
          <w:p w:rsidR="00F0434A" w:rsidRPr="00F0434A" w:rsidRDefault="00F0434A" w:rsidP="005C2537">
            <w:pPr>
              <w:spacing w:line="360" w:lineRule="auto"/>
              <w:rPr>
                <w:rFonts w:asciiTheme="minorHAnsi" w:hAnsiTheme="minorHAnsi" w:cstheme="minorHAnsi"/>
                <w:color w:val="auto"/>
                <w:sz w:val="22"/>
                <w:lang w:val="en-US"/>
              </w:rPr>
            </w:pPr>
            <w:r w:rsidRPr="00F0434A">
              <w:rPr>
                <w:rFonts w:asciiTheme="minorHAnsi" w:hAnsiTheme="minorHAnsi" w:cstheme="minorHAnsi"/>
                <w:color w:val="auto"/>
                <w:sz w:val="22"/>
                <w:lang w:val="en-US"/>
              </w:rPr>
              <w:t>40% (C.I. 13 – 75%)</w:t>
            </w:r>
          </w:p>
        </w:tc>
        <w:tc>
          <w:tcPr>
            <w:tcW w:w="2098" w:type="dxa"/>
          </w:tcPr>
          <w:p w:rsidR="00F0434A" w:rsidRPr="00F0434A" w:rsidRDefault="00F0434A" w:rsidP="005C2537">
            <w:pPr>
              <w:spacing w:line="360" w:lineRule="auto"/>
              <w:rPr>
                <w:rFonts w:asciiTheme="minorHAnsi" w:hAnsiTheme="minorHAnsi" w:cstheme="minorHAnsi"/>
                <w:color w:val="auto"/>
                <w:sz w:val="22"/>
                <w:lang w:val="en-US"/>
              </w:rPr>
            </w:pPr>
            <w:r w:rsidRPr="00F0434A">
              <w:rPr>
                <w:rFonts w:asciiTheme="minorHAnsi" w:hAnsiTheme="minorHAnsi" w:cstheme="minorHAnsi"/>
                <w:color w:val="auto"/>
                <w:sz w:val="22"/>
                <w:lang w:val="en-US"/>
              </w:rPr>
              <w:t>88% (C.I. 52 – 98%)</w:t>
            </w:r>
          </w:p>
        </w:tc>
        <w:tc>
          <w:tcPr>
            <w:tcW w:w="2268" w:type="dxa"/>
          </w:tcPr>
          <w:p w:rsidR="00F0434A" w:rsidRPr="00F0434A" w:rsidRDefault="00F0434A" w:rsidP="005C2537">
            <w:pPr>
              <w:spacing w:after="160" w:line="259" w:lineRule="auto"/>
              <w:rPr>
                <w:rFonts w:asciiTheme="minorHAnsi" w:hAnsiTheme="minorHAnsi" w:cstheme="minorHAnsi"/>
                <w:color w:val="auto"/>
                <w:sz w:val="22"/>
                <w:lang w:val="en-US"/>
              </w:rPr>
            </w:pPr>
            <w:r w:rsidRPr="00F0434A">
              <w:rPr>
                <w:rFonts w:asciiTheme="minorHAnsi" w:hAnsiTheme="minorHAnsi" w:cstheme="minorHAnsi"/>
                <w:color w:val="auto"/>
                <w:sz w:val="22"/>
                <w:lang w:val="en-US"/>
              </w:rPr>
              <w:t>78% (C.I. 54 – 92%)</w:t>
            </w:r>
          </w:p>
        </w:tc>
      </w:tr>
      <w:tr w:rsidR="00F0434A" w:rsidRPr="00F0434A" w:rsidTr="005C2537">
        <w:trPr>
          <w:cnfStyle w:val="000000100000" w:firstRow="0" w:lastRow="0" w:firstColumn="0" w:lastColumn="0" w:oddVBand="0" w:evenVBand="0" w:oddHBand="1" w:evenHBand="0" w:firstRowFirstColumn="0" w:firstRowLastColumn="0" w:lastRowFirstColumn="0" w:lastRowLastColumn="0"/>
          <w:trHeight w:val="113"/>
        </w:trPr>
        <w:tc>
          <w:tcPr>
            <w:tcW w:w="2268" w:type="dxa"/>
          </w:tcPr>
          <w:p w:rsidR="00F0434A" w:rsidRPr="00F0434A" w:rsidRDefault="00F0434A" w:rsidP="005C2537">
            <w:pPr>
              <w:spacing w:line="360" w:lineRule="auto"/>
              <w:rPr>
                <w:rFonts w:asciiTheme="minorHAnsi" w:hAnsiTheme="minorHAnsi" w:cstheme="minorHAnsi"/>
                <w:b/>
                <w:color w:val="auto"/>
                <w:sz w:val="22"/>
                <w:lang w:val="en-US"/>
              </w:rPr>
            </w:pPr>
            <w:r w:rsidRPr="00F0434A">
              <w:rPr>
                <w:rFonts w:asciiTheme="minorHAnsi" w:hAnsiTheme="minorHAnsi" w:cstheme="minorHAnsi"/>
                <w:b/>
                <w:color w:val="auto"/>
                <w:sz w:val="22"/>
                <w:lang w:val="en-US"/>
              </w:rPr>
              <w:t xml:space="preserve">NPV </w:t>
            </w:r>
          </w:p>
        </w:tc>
        <w:tc>
          <w:tcPr>
            <w:tcW w:w="2268" w:type="dxa"/>
          </w:tcPr>
          <w:p w:rsidR="00F0434A" w:rsidRPr="00F0434A" w:rsidRDefault="00F0434A" w:rsidP="005C2537">
            <w:pPr>
              <w:spacing w:line="360" w:lineRule="auto"/>
              <w:rPr>
                <w:rFonts w:asciiTheme="minorHAnsi" w:hAnsiTheme="minorHAnsi" w:cstheme="minorHAnsi"/>
                <w:color w:val="auto"/>
                <w:sz w:val="22"/>
                <w:lang w:val="en-US"/>
              </w:rPr>
            </w:pPr>
            <w:r w:rsidRPr="00F0434A">
              <w:rPr>
                <w:rFonts w:asciiTheme="minorHAnsi" w:hAnsiTheme="minorHAnsi" w:cstheme="minorHAnsi"/>
                <w:color w:val="auto"/>
                <w:sz w:val="22"/>
                <w:lang w:val="en-US"/>
              </w:rPr>
              <w:t>23% (C.I. 11 – 41%)</w:t>
            </w:r>
          </w:p>
        </w:tc>
        <w:tc>
          <w:tcPr>
            <w:tcW w:w="2098" w:type="dxa"/>
          </w:tcPr>
          <w:p w:rsidR="00F0434A" w:rsidRPr="00F0434A" w:rsidRDefault="00F0434A" w:rsidP="005C2537">
            <w:pPr>
              <w:spacing w:line="360" w:lineRule="auto"/>
              <w:rPr>
                <w:rFonts w:asciiTheme="minorHAnsi" w:hAnsiTheme="minorHAnsi" w:cstheme="minorHAnsi"/>
                <w:color w:val="auto"/>
                <w:sz w:val="22"/>
                <w:lang w:val="en-US"/>
              </w:rPr>
            </w:pPr>
            <w:r w:rsidRPr="00F0434A">
              <w:rPr>
                <w:rFonts w:asciiTheme="minorHAnsi" w:hAnsiTheme="minorHAnsi" w:cstheme="minorHAnsi"/>
                <w:color w:val="auto"/>
                <w:sz w:val="22"/>
                <w:lang w:val="en-US"/>
              </w:rPr>
              <w:t>50% (C.I. 32 – 68%)</w:t>
            </w:r>
          </w:p>
        </w:tc>
        <w:tc>
          <w:tcPr>
            <w:tcW w:w="2268" w:type="dxa"/>
          </w:tcPr>
          <w:p w:rsidR="00F0434A" w:rsidRPr="00F0434A" w:rsidRDefault="00F0434A" w:rsidP="005C2537">
            <w:pPr>
              <w:spacing w:after="160" w:line="259" w:lineRule="auto"/>
              <w:rPr>
                <w:rFonts w:asciiTheme="minorHAnsi" w:hAnsiTheme="minorHAnsi" w:cstheme="minorHAnsi"/>
                <w:color w:val="auto"/>
                <w:sz w:val="22"/>
                <w:lang w:val="en-US"/>
              </w:rPr>
            </w:pPr>
            <w:r w:rsidRPr="00F0434A">
              <w:rPr>
                <w:rFonts w:asciiTheme="minorHAnsi" w:hAnsiTheme="minorHAnsi" w:cstheme="minorHAnsi"/>
                <w:color w:val="auto"/>
                <w:sz w:val="22"/>
                <w:lang w:val="en-US"/>
              </w:rPr>
              <w:t>44% (C.I. 25 – 66%)</w:t>
            </w:r>
          </w:p>
        </w:tc>
      </w:tr>
      <w:tr w:rsidR="00F0434A" w:rsidRPr="00F0434A" w:rsidTr="005C2537">
        <w:trPr>
          <w:trHeight w:val="113"/>
        </w:trPr>
        <w:tc>
          <w:tcPr>
            <w:tcW w:w="2268" w:type="dxa"/>
            <w:tcBorders>
              <w:top w:val="single" w:sz="12" w:space="0" w:color="auto"/>
              <w:bottom w:val="single" w:sz="4" w:space="0" w:color="auto"/>
            </w:tcBorders>
          </w:tcPr>
          <w:p w:rsidR="00F0434A" w:rsidRPr="00F0434A" w:rsidRDefault="00F0434A" w:rsidP="005C2537">
            <w:pPr>
              <w:spacing w:line="360" w:lineRule="auto"/>
              <w:rPr>
                <w:rFonts w:asciiTheme="minorHAnsi" w:hAnsiTheme="minorHAnsi" w:cstheme="minorHAnsi"/>
                <w:b/>
                <w:color w:val="auto"/>
                <w:sz w:val="22"/>
                <w:lang w:val="en-US"/>
              </w:rPr>
            </w:pPr>
            <w:r w:rsidRPr="00F0434A">
              <w:rPr>
                <w:rFonts w:asciiTheme="minorHAnsi" w:hAnsiTheme="minorHAnsi" w:cstheme="minorHAnsi"/>
                <w:bCs/>
                <w:i/>
                <w:color w:val="auto"/>
                <w:sz w:val="22"/>
                <w:lang w:val="en-US"/>
              </w:rPr>
              <w:t>Agreement (n = 18)</w:t>
            </w:r>
          </w:p>
        </w:tc>
        <w:tc>
          <w:tcPr>
            <w:tcW w:w="2268" w:type="dxa"/>
            <w:tcBorders>
              <w:top w:val="single" w:sz="12" w:space="0" w:color="auto"/>
              <w:bottom w:val="single" w:sz="4" w:space="0" w:color="auto"/>
            </w:tcBorders>
          </w:tcPr>
          <w:p w:rsidR="00F0434A" w:rsidRPr="00F0434A" w:rsidRDefault="00F0434A" w:rsidP="005C2537">
            <w:pPr>
              <w:spacing w:line="360" w:lineRule="auto"/>
              <w:rPr>
                <w:rFonts w:asciiTheme="minorHAnsi" w:hAnsiTheme="minorHAnsi" w:cstheme="minorHAnsi"/>
                <w:color w:val="auto"/>
                <w:sz w:val="22"/>
                <w:lang w:val="en-US"/>
              </w:rPr>
            </w:pPr>
            <w:r w:rsidRPr="00F0434A">
              <w:rPr>
                <w:rFonts w:asciiTheme="minorHAnsi" w:hAnsiTheme="minorHAnsi" w:cstheme="minorHAnsi"/>
                <w:bCs/>
                <w:i/>
                <w:color w:val="auto"/>
                <w:sz w:val="22"/>
                <w:lang w:val="en-US"/>
              </w:rPr>
              <w:t>ESI power</w:t>
            </w:r>
          </w:p>
        </w:tc>
        <w:tc>
          <w:tcPr>
            <w:tcW w:w="2098" w:type="dxa"/>
            <w:tcBorders>
              <w:top w:val="single" w:sz="12" w:space="0" w:color="auto"/>
              <w:bottom w:val="single" w:sz="4" w:space="0" w:color="auto"/>
            </w:tcBorders>
          </w:tcPr>
          <w:p w:rsidR="00F0434A" w:rsidRPr="00F0434A" w:rsidRDefault="00F0434A" w:rsidP="005C2537">
            <w:pPr>
              <w:spacing w:line="360" w:lineRule="auto"/>
              <w:rPr>
                <w:rFonts w:asciiTheme="minorHAnsi" w:hAnsiTheme="minorHAnsi" w:cstheme="minorHAnsi"/>
                <w:color w:val="auto"/>
                <w:sz w:val="22"/>
                <w:lang w:val="en-US"/>
              </w:rPr>
            </w:pPr>
            <w:r w:rsidRPr="00F0434A">
              <w:rPr>
                <w:rFonts w:asciiTheme="minorHAnsi" w:hAnsiTheme="minorHAnsi" w:cstheme="minorHAnsi"/>
                <w:bCs/>
                <w:i/>
                <w:color w:val="auto"/>
                <w:sz w:val="22"/>
                <w:lang w:val="en-US"/>
              </w:rPr>
              <w:t>ESI + FC</w:t>
            </w:r>
          </w:p>
        </w:tc>
        <w:tc>
          <w:tcPr>
            <w:tcW w:w="2268" w:type="dxa"/>
            <w:tcBorders>
              <w:top w:val="single" w:sz="12" w:space="0" w:color="auto"/>
              <w:bottom w:val="single" w:sz="4" w:space="0" w:color="auto"/>
            </w:tcBorders>
          </w:tcPr>
          <w:p w:rsidR="00F0434A" w:rsidRPr="00F0434A" w:rsidRDefault="00F0434A" w:rsidP="005C2537">
            <w:pPr>
              <w:spacing w:after="160" w:line="259" w:lineRule="auto"/>
              <w:rPr>
                <w:rFonts w:asciiTheme="minorHAnsi" w:hAnsiTheme="minorHAnsi" w:cstheme="minorHAnsi"/>
                <w:color w:val="auto"/>
                <w:sz w:val="22"/>
                <w:lang w:val="en-US"/>
              </w:rPr>
            </w:pPr>
            <w:r w:rsidRPr="00F0434A">
              <w:rPr>
                <w:rFonts w:asciiTheme="minorHAnsi" w:hAnsiTheme="minorHAnsi" w:cstheme="minorHAnsi"/>
                <w:bCs/>
                <w:i/>
                <w:color w:val="auto"/>
                <w:sz w:val="22"/>
                <w:lang w:val="en-US"/>
              </w:rPr>
              <w:t>ESI interictal</w:t>
            </w:r>
          </w:p>
        </w:tc>
      </w:tr>
      <w:tr w:rsidR="00F0434A" w:rsidRPr="00F0434A" w:rsidTr="005C2537">
        <w:trPr>
          <w:cnfStyle w:val="000000100000" w:firstRow="0" w:lastRow="0" w:firstColumn="0" w:lastColumn="0" w:oddVBand="0" w:evenVBand="0" w:oddHBand="1" w:evenHBand="0" w:firstRowFirstColumn="0" w:firstRowLastColumn="0" w:lastRowFirstColumn="0" w:lastRowLastColumn="0"/>
          <w:trHeight w:val="113"/>
        </w:trPr>
        <w:tc>
          <w:tcPr>
            <w:tcW w:w="2268" w:type="dxa"/>
            <w:tcBorders>
              <w:top w:val="single" w:sz="4" w:space="0" w:color="auto"/>
            </w:tcBorders>
          </w:tcPr>
          <w:p w:rsidR="00F0434A" w:rsidRPr="00F0434A" w:rsidRDefault="00F0434A" w:rsidP="005C2537">
            <w:pPr>
              <w:spacing w:line="360" w:lineRule="auto"/>
              <w:rPr>
                <w:rFonts w:asciiTheme="minorHAnsi" w:hAnsiTheme="minorHAnsi" w:cstheme="minorHAnsi"/>
                <w:bCs/>
                <w:i/>
                <w:color w:val="auto"/>
                <w:sz w:val="22"/>
                <w:lang w:val="en-US"/>
              </w:rPr>
            </w:pPr>
            <w:r w:rsidRPr="00F0434A">
              <w:rPr>
                <w:rFonts w:asciiTheme="minorHAnsi" w:hAnsiTheme="minorHAnsi" w:cstheme="minorHAnsi"/>
                <w:b/>
                <w:color w:val="auto"/>
                <w:sz w:val="22"/>
                <w:lang w:val="en-US"/>
              </w:rPr>
              <w:t>Cohen’s kappa</w:t>
            </w:r>
          </w:p>
        </w:tc>
        <w:tc>
          <w:tcPr>
            <w:tcW w:w="2268" w:type="dxa"/>
            <w:tcBorders>
              <w:top w:val="single" w:sz="4" w:space="0" w:color="auto"/>
            </w:tcBorders>
          </w:tcPr>
          <w:p w:rsidR="00F0434A" w:rsidRPr="00F0434A" w:rsidRDefault="00F0434A" w:rsidP="005C2537">
            <w:pPr>
              <w:spacing w:line="360" w:lineRule="auto"/>
              <w:rPr>
                <w:rFonts w:asciiTheme="minorHAnsi" w:hAnsiTheme="minorHAnsi" w:cstheme="minorHAnsi"/>
                <w:bCs/>
                <w:i/>
                <w:color w:val="auto"/>
                <w:sz w:val="22"/>
                <w:lang w:val="en-US"/>
              </w:rPr>
            </w:pPr>
            <w:r w:rsidRPr="00F0434A">
              <w:rPr>
                <w:rFonts w:asciiTheme="minorHAnsi" w:hAnsiTheme="minorHAnsi" w:cstheme="minorHAnsi"/>
                <w:color w:val="auto"/>
                <w:sz w:val="22"/>
                <w:lang w:val="en-US"/>
              </w:rPr>
              <w:t>0.37 (C.I. 0.21-0.53)</w:t>
            </w:r>
          </w:p>
        </w:tc>
        <w:tc>
          <w:tcPr>
            <w:tcW w:w="2098" w:type="dxa"/>
            <w:tcBorders>
              <w:top w:val="single" w:sz="4" w:space="0" w:color="auto"/>
            </w:tcBorders>
          </w:tcPr>
          <w:p w:rsidR="00F0434A" w:rsidRPr="00F0434A" w:rsidRDefault="00F0434A" w:rsidP="005C2537">
            <w:pPr>
              <w:spacing w:line="360" w:lineRule="auto"/>
              <w:rPr>
                <w:rFonts w:asciiTheme="minorHAnsi" w:hAnsiTheme="minorHAnsi" w:cstheme="minorHAnsi"/>
                <w:bCs/>
                <w:i/>
                <w:color w:val="auto"/>
                <w:sz w:val="22"/>
                <w:lang w:val="en-US"/>
              </w:rPr>
            </w:pPr>
            <w:r w:rsidRPr="00F0434A">
              <w:rPr>
                <w:rFonts w:asciiTheme="minorHAnsi" w:hAnsiTheme="minorHAnsi" w:cstheme="minorHAnsi"/>
                <w:color w:val="auto"/>
                <w:sz w:val="22"/>
                <w:lang w:val="en-US"/>
              </w:rPr>
              <w:t>0.64 (C.I. 0.50-0.78)</w:t>
            </w:r>
          </w:p>
        </w:tc>
        <w:tc>
          <w:tcPr>
            <w:tcW w:w="2268" w:type="dxa"/>
            <w:tcBorders>
              <w:top w:val="single" w:sz="4" w:space="0" w:color="auto"/>
            </w:tcBorders>
          </w:tcPr>
          <w:p w:rsidR="00F0434A" w:rsidRPr="00F0434A" w:rsidRDefault="00F0434A" w:rsidP="005C2537">
            <w:pPr>
              <w:spacing w:after="160" w:line="259" w:lineRule="auto"/>
              <w:rPr>
                <w:rFonts w:asciiTheme="minorHAnsi" w:hAnsiTheme="minorHAnsi" w:cstheme="minorHAnsi"/>
                <w:bCs/>
                <w:i/>
                <w:color w:val="auto"/>
                <w:sz w:val="22"/>
                <w:lang w:val="en-US"/>
              </w:rPr>
            </w:pPr>
            <w:r w:rsidRPr="00F0434A">
              <w:rPr>
                <w:rFonts w:asciiTheme="minorHAnsi" w:hAnsiTheme="minorHAnsi" w:cstheme="minorHAnsi"/>
                <w:color w:val="auto"/>
                <w:sz w:val="22"/>
                <w:lang w:val="en-US"/>
              </w:rPr>
              <w:t>0.75 (C.I. 0.64-0.85)</w:t>
            </w:r>
          </w:p>
        </w:tc>
      </w:tr>
    </w:tbl>
    <w:tbl>
      <w:tblPr>
        <w:tblStyle w:val="Tableausimple51"/>
        <w:tblpPr w:leftFromText="141" w:rightFromText="141" w:vertAnchor="text" w:horzAnchor="margin" w:tblpY="166"/>
        <w:tblW w:w="9078" w:type="dxa"/>
        <w:tblLook w:val="0420" w:firstRow="1" w:lastRow="0" w:firstColumn="0" w:lastColumn="0" w:noHBand="0" w:noVBand="1"/>
      </w:tblPr>
      <w:tblGrid>
        <w:gridCol w:w="4165"/>
        <w:gridCol w:w="236"/>
        <w:gridCol w:w="2409"/>
        <w:gridCol w:w="2268"/>
      </w:tblGrid>
      <w:tr w:rsidR="00F0434A" w:rsidRPr="00F0434A" w:rsidTr="005C2537">
        <w:trPr>
          <w:cnfStyle w:val="100000000000" w:firstRow="1" w:lastRow="0" w:firstColumn="0" w:lastColumn="0" w:oddVBand="0" w:evenVBand="0" w:oddHBand="0" w:evenHBand="0" w:firstRowFirstColumn="0" w:firstRowLastColumn="0" w:lastRowFirstColumn="0" w:lastRowLastColumn="0"/>
          <w:trHeight w:val="252"/>
        </w:trPr>
        <w:tc>
          <w:tcPr>
            <w:tcW w:w="4165" w:type="dxa"/>
            <w:hideMark/>
          </w:tcPr>
          <w:p w:rsidR="00F0434A" w:rsidRPr="00F0434A" w:rsidRDefault="00F0434A" w:rsidP="005C2537">
            <w:pPr>
              <w:spacing w:line="360" w:lineRule="auto"/>
              <w:rPr>
                <w:rFonts w:asciiTheme="minorHAnsi" w:hAnsiTheme="minorHAnsi" w:cstheme="minorHAnsi"/>
                <w:color w:val="auto"/>
                <w:sz w:val="22"/>
                <w:lang w:val="en-US"/>
              </w:rPr>
            </w:pPr>
            <w:r w:rsidRPr="00F0434A">
              <w:rPr>
                <w:rFonts w:asciiTheme="minorHAnsi" w:hAnsiTheme="minorHAnsi" w:cstheme="minorHAnsi"/>
                <w:color w:val="auto"/>
                <w:sz w:val="18"/>
                <w:szCs w:val="20"/>
                <w:lang w:val="en-US"/>
              </w:rPr>
              <w:t xml:space="preserve">chi-square test:*p= 0.04,  </w:t>
            </w:r>
            <w:r w:rsidRPr="00F0434A">
              <w:rPr>
                <w:rFonts w:asciiTheme="minorHAnsi" w:hAnsiTheme="minorHAnsi" w:cstheme="minorHAnsi"/>
                <w:color w:val="auto"/>
                <w:sz w:val="18"/>
                <w:szCs w:val="20"/>
                <w:vertAlign w:val="superscript"/>
                <w:lang w:val="en-US"/>
              </w:rPr>
              <w:t>‡</w:t>
            </w:r>
            <w:r w:rsidRPr="00F0434A">
              <w:rPr>
                <w:rFonts w:asciiTheme="minorHAnsi" w:hAnsiTheme="minorHAnsi" w:cstheme="minorHAnsi"/>
                <w:color w:val="auto"/>
                <w:sz w:val="18"/>
                <w:szCs w:val="20"/>
                <w:lang w:val="en-US"/>
              </w:rPr>
              <w:t xml:space="preserve">p= 0.019,  </w:t>
            </w:r>
            <w:r w:rsidRPr="00F0434A">
              <w:rPr>
                <w:rFonts w:asciiTheme="minorHAnsi" w:hAnsiTheme="minorHAnsi" w:cstheme="minorHAnsi"/>
                <w:color w:val="auto"/>
                <w:sz w:val="20"/>
                <w:vertAlign w:val="superscript"/>
                <w:lang w:val="en-US"/>
              </w:rPr>
              <w:t>¥</w:t>
            </w:r>
            <w:r w:rsidRPr="00F0434A">
              <w:rPr>
                <w:rFonts w:asciiTheme="minorHAnsi" w:hAnsiTheme="minorHAnsi" w:cstheme="minorHAnsi"/>
                <w:color w:val="auto"/>
                <w:sz w:val="18"/>
                <w:szCs w:val="20"/>
                <w:lang w:val="en-US"/>
              </w:rPr>
              <w:t>p= 0.035</w:t>
            </w:r>
            <w:r w:rsidRPr="00F0434A">
              <w:rPr>
                <w:rFonts w:asciiTheme="minorHAnsi" w:hAnsiTheme="minorHAnsi" w:cstheme="minorHAnsi"/>
                <w:color w:val="auto"/>
                <w:sz w:val="20"/>
                <w:lang w:val="en-US"/>
              </w:rPr>
              <w:t xml:space="preserve"> </w:t>
            </w:r>
          </w:p>
        </w:tc>
        <w:tc>
          <w:tcPr>
            <w:tcW w:w="236" w:type="dxa"/>
            <w:hideMark/>
          </w:tcPr>
          <w:p w:rsidR="00F0434A" w:rsidRPr="00F0434A" w:rsidRDefault="00F0434A" w:rsidP="005C2537">
            <w:pPr>
              <w:spacing w:line="360" w:lineRule="auto"/>
              <w:rPr>
                <w:rFonts w:asciiTheme="minorHAnsi" w:hAnsiTheme="minorHAnsi" w:cstheme="minorHAnsi"/>
                <w:color w:val="auto"/>
                <w:sz w:val="22"/>
                <w:lang w:val="en-US"/>
              </w:rPr>
            </w:pPr>
          </w:p>
        </w:tc>
        <w:tc>
          <w:tcPr>
            <w:tcW w:w="2409" w:type="dxa"/>
            <w:hideMark/>
          </w:tcPr>
          <w:p w:rsidR="00F0434A" w:rsidRPr="00F0434A" w:rsidRDefault="00F0434A" w:rsidP="005C2537">
            <w:pPr>
              <w:spacing w:line="360" w:lineRule="auto"/>
              <w:rPr>
                <w:rFonts w:asciiTheme="minorHAnsi" w:hAnsiTheme="minorHAnsi" w:cstheme="minorHAnsi"/>
                <w:color w:val="auto"/>
                <w:sz w:val="22"/>
                <w:lang w:val="en-US"/>
              </w:rPr>
            </w:pPr>
          </w:p>
        </w:tc>
        <w:tc>
          <w:tcPr>
            <w:tcW w:w="2268" w:type="dxa"/>
          </w:tcPr>
          <w:p w:rsidR="00F0434A" w:rsidRPr="00F0434A" w:rsidRDefault="00F0434A" w:rsidP="005C2537">
            <w:pPr>
              <w:spacing w:line="360" w:lineRule="auto"/>
              <w:rPr>
                <w:rFonts w:asciiTheme="minorHAnsi" w:hAnsiTheme="minorHAnsi" w:cstheme="minorHAnsi"/>
                <w:bCs/>
                <w:color w:val="auto"/>
                <w:sz w:val="22"/>
                <w:lang w:val="en-US"/>
              </w:rPr>
            </w:pPr>
          </w:p>
        </w:tc>
      </w:tr>
    </w:tbl>
    <w:p w:rsidR="00F0434A" w:rsidRPr="00F0434A" w:rsidRDefault="00F0434A" w:rsidP="00F0434A">
      <w:pPr>
        <w:pStyle w:val="Lgende"/>
        <w:spacing w:before="0" w:after="0"/>
        <w:jc w:val="both"/>
        <w:rPr>
          <w:color w:val="auto"/>
          <w:lang w:val="en-US"/>
        </w:rPr>
      </w:pPr>
      <w:bookmarkStart w:id="3" w:name="_Ref12961657"/>
    </w:p>
    <w:p w:rsidR="00F0434A" w:rsidRPr="00F0434A" w:rsidRDefault="00F0434A" w:rsidP="00F0434A">
      <w:pPr>
        <w:pStyle w:val="Lgende"/>
        <w:jc w:val="both"/>
        <w:rPr>
          <w:b w:val="0"/>
          <w:color w:val="auto"/>
          <w:lang w:val="en-US"/>
        </w:rPr>
      </w:pPr>
      <w:r w:rsidRPr="00F0434A">
        <w:rPr>
          <w:color w:val="auto"/>
          <w:lang w:val="en-US"/>
        </w:rPr>
        <w:t xml:space="preserve">Table </w:t>
      </w:r>
      <w:bookmarkEnd w:id="3"/>
      <w:r w:rsidRPr="00F0434A">
        <w:rPr>
          <w:color w:val="auto"/>
          <w:lang w:val="en-US"/>
        </w:rPr>
        <w:t xml:space="preserve">2. </w:t>
      </w:r>
      <w:r w:rsidRPr="00F0434A">
        <w:rPr>
          <w:b w:val="0"/>
          <w:color w:val="auto"/>
          <w:lang w:val="en-US"/>
        </w:rPr>
        <w:t xml:space="preserve">Accuracy measures at a seizure level (number of patients = 24, number of seizures = 94), and at a patient level (number of patients = 18), and inter-rater agreement (number of possible choices = 43). Statistical values with p &lt;0.05 are reported. Inter-rater agreement is considered poor for </w:t>
      </w:r>
      <w:r w:rsidRPr="00F0434A">
        <w:rPr>
          <w:b w:val="0"/>
          <w:i/>
          <w:color w:val="auto"/>
          <w:lang w:val="en-US"/>
        </w:rPr>
        <w:t>k</w:t>
      </w:r>
      <w:r w:rsidRPr="00F0434A">
        <w:rPr>
          <w:b w:val="0"/>
          <w:color w:val="auto"/>
          <w:lang w:val="en-US"/>
        </w:rPr>
        <w:t xml:space="preserve"> &lt;0.2, fair for </w:t>
      </w:r>
      <w:r w:rsidRPr="00F0434A">
        <w:rPr>
          <w:b w:val="0"/>
          <w:i/>
          <w:color w:val="auto"/>
          <w:lang w:val="en-US"/>
        </w:rPr>
        <w:t>k</w:t>
      </w:r>
      <w:r w:rsidRPr="00F0434A">
        <w:rPr>
          <w:b w:val="0"/>
          <w:color w:val="auto"/>
          <w:lang w:val="en-US"/>
        </w:rPr>
        <w:t xml:space="preserve"> 0.2-0.39, moderate for </w:t>
      </w:r>
      <w:r w:rsidRPr="00F0434A">
        <w:rPr>
          <w:b w:val="0"/>
          <w:i/>
          <w:color w:val="auto"/>
          <w:lang w:val="en-US"/>
        </w:rPr>
        <w:t>k</w:t>
      </w:r>
      <w:r w:rsidRPr="00F0434A">
        <w:rPr>
          <w:b w:val="0"/>
          <w:color w:val="auto"/>
          <w:lang w:val="en-US"/>
        </w:rPr>
        <w:t xml:space="preserve"> 0.4-0.59, substantial for </w:t>
      </w:r>
      <w:r w:rsidRPr="00F0434A">
        <w:rPr>
          <w:b w:val="0"/>
          <w:i/>
          <w:color w:val="auto"/>
          <w:lang w:val="en-US"/>
        </w:rPr>
        <w:t>k</w:t>
      </w:r>
      <w:r w:rsidRPr="00F0434A">
        <w:rPr>
          <w:b w:val="0"/>
          <w:color w:val="auto"/>
          <w:lang w:val="en-US"/>
        </w:rPr>
        <w:t xml:space="preserve"> 0.6-0.79 and excellent for </w:t>
      </w:r>
      <w:r w:rsidRPr="00F0434A">
        <w:rPr>
          <w:b w:val="0"/>
          <w:i/>
          <w:color w:val="auto"/>
          <w:lang w:val="en-US"/>
        </w:rPr>
        <w:t>k</w:t>
      </w:r>
      <w:r w:rsidRPr="00F0434A">
        <w:rPr>
          <w:b w:val="0"/>
          <w:color w:val="auto"/>
          <w:lang w:val="en-US"/>
        </w:rPr>
        <w:t xml:space="preserve"> &gt;0.8.</w:t>
      </w:r>
    </w:p>
    <w:p w:rsidR="00F0434A" w:rsidRPr="00F0434A" w:rsidRDefault="00F0434A" w:rsidP="00F0434A">
      <w:pPr>
        <w:spacing w:after="160" w:line="259" w:lineRule="auto"/>
        <w:rPr>
          <w:rFonts w:asciiTheme="minorHAnsi" w:hAnsiTheme="minorHAnsi" w:cstheme="minorHAnsi"/>
          <w:b/>
          <w:color w:val="auto"/>
          <w:lang w:val="en-GB"/>
        </w:rPr>
      </w:pPr>
    </w:p>
    <w:p w:rsidR="00F0434A" w:rsidRPr="00F0434A" w:rsidRDefault="00F0434A" w:rsidP="00F0434A">
      <w:pPr>
        <w:spacing w:after="160" w:line="259" w:lineRule="auto"/>
        <w:rPr>
          <w:rFonts w:asciiTheme="minorHAnsi" w:hAnsiTheme="minorHAnsi" w:cstheme="minorHAnsi"/>
          <w:b/>
          <w:color w:val="auto"/>
          <w:lang w:val="en-GB"/>
        </w:rPr>
      </w:pPr>
    </w:p>
    <w:p w:rsidR="00F0434A" w:rsidRPr="00F0434A" w:rsidRDefault="00F0434A" w:rsidP="00F0434A">
      <w:pPr>
        <w:spacing w:after="160" w:line="259" w:lineRule="auto"/>
        <w:rPr>
          <w:rFonts w:asciiTheme="minorHAnsi" w:hAnsiTheme="minorHAnsi" w:cstheme="minorHAnsi"/>
          <w:b/>
          <w:color w:val="auto"/>
          <w:lang w:val="en-GB"/>
        </w:rPr>
      </w:pPr>
    </w:p>
    <w:p w:rsidR="00F0434A" w:rsidRPr="00F0434A" w:rsidRDefault="00F0434A" w:rsidP="00F0434A">
      <w:pPr>
        <w:spacing w:after="160" w:line="259" w:lineRule="auto"/>
        <w:rPr>
          <w:rFonts w:asciiTheme="minorHAnsi" w:hAnsiTheme="minorHAnsi" w:cstheme="minorHAnsi"/>
          <w:b/>
          <w:color w:val="auto"/>
          <w:lang w:val="en-GB"/>
        </w:rPr>
      </w:pPr>
    </w:p>
    <w:p w:rsidR="00F0434A" w:rsidRPr="00F0434A" w:rsidRDefault="00F0434A" w:rsidP="00F0434A">
      <w:pPr>
        <w:spacing w:after="160" w:line="259" w:lineRule="auto"/>
        <w:rPr>
          <w:rFonts w:asciiTheme="minorHAnsi" w:hAnsiTheme="minorHAnsi" w:cstheme="minorHAnsi"/>
          <w:b/>
          <w:color w:val="auto"/>
          <w:lang w:val="en-GB"/>
        </w:rPr>
      </w:pPr>
    </w:p>
    <w:p w:rsidR="00F0434A" w:rsidRDefault="00F0434A" w:rsidP="00F0434A">
      <w:pPr>
        <w:spacing w:after="160" w:line="259" w:lineRule="auto"/>
        <w:rPr>
          <w:rFonts w:asciiTheme="minorHAnsi" w:hAnsiTheme="minorHAnsi" w:cstheme="minorHAnsi"/>
          <w:b/>
          <w:lang w:val="en-GB"/>
        </w:rPr>
      </w:pPr>
    </w:p>
    <w:p w:rsidR="00F0434A" w:rsidRDefault="00F0434A" w:rsidP="00F0434A">
      <w:pPr>
        <w:spacing w:after="160" w:line="259" w:lineRule="auto"/>
        <w:rPr>
          <w:rFonts w:asciiTheme="minorHAnsi" w:hAnsiTheme="minorHAnsi" w:cstheme="minorHAnsi"/>
          <w:b/>
          <w:lang w:val="en-GB"/>
        </w:rPr>
      </w:pPr>
    </w:p>
    <w:p w:rsidR="00F0434A" w:rsidRDefault="00F0434A" w:rsidP="00F0434A">
      <w:pPr>
        <w:spacing w:after="160" w:line="259" w:lineRule="auto"/>
        <w:rPr>
          <w:rFonts w:asciiTheme="minorHAnsi" w:hAnsiTheme="minorHAnsi" w:cstheme="minorHAnsi"/>
          <w:b/>
          <w:lang w:val="en-GB"/>
        </w:rPr>
      </w:pPr>
    </w:p>
    <w:p w:rsidR="00F0434A" w:rsidRDefault="00F0434A" w:rsidP="00F0434A">
      <w:pPr>
        <w:spacing w:after="160" w:line="259" w:lineRule="auto"/>
        <w:rPr>
          <w:rFonts w:asciiTheme="minorHAnsi" w:hAnsiTheme="minorHAnsi" w:cstheme="minorHAnsi"/>
          <w:b/>
          <w:lang w:val="en-GB"/>
        </w:rPr>
      </w:pPr>
    </w:p>
    <w:p w:rsidR="00F0434A" w:rsidRDefault="00F0434A" w:rsidP="00F0434A">
      <w:pPr>
        <w:spacing w:after="160" w:line="259" w:lineRule="auto"/>
        <w:rPr>
          <w:rFonts w:asciiTheme="minorHAnsi" w:hAnsiTheme="minorHAnsi" w:cstheme="minorHAnsi"/>
          <w:b/>
          <w:lang w:val="en-GB"/>
        </w:rPr>
      </w:pPr>
    </w:p>
    <w:p w:rsidR="00F0434A" w:rsidRDefault="00F0434A" w:rsidP="00F0434A">
      <w:pPr>
        <w:spacing w:after="160" w:line="259" w:lineRule="auto"/>
        <w:rPr>
          <w:rFonts w:asciiTheme="minorHAnsi" w:hAnsiTheme="minorHAnsi" w:cstheme="minorHAnsi"/>
          <w:b/>
          <w:lang w:val="en-GB"/>
        </w:rPr>
      </w:pPr>
    </w:p>
    <w:p w:rsidR="00F0434A" w:rsidRDefault="00F0434A" w:rsidP="00F0434A">
      <w:pPr>
        <w:spacing w:after="160" w:line="259" w:lineRule="auto"/>
        <w:rPr>
          <w:rFonts w:asciiTheme="minorHAnsi" w:hAnsiTheme="minorHAnsi" w:cstheme="minorHAnsi"/>
          <w:b/>
          <w:lang w:val="en-GB"/>
        </w:rPr>
      </w:pPr>
      <w:r>
        <w:rPr>
          <w:rFonts w:asciiTheme="minorHAnsi" w:hAnsiTheme="minorHAnsi" w:cstheme="minorHAnsi"/>
          <w:b/>
          <w:lang w:val="en-GB"/>
        </w:rPr>
        <w:lastRenderedPageBreak/>
        <w:t>FIGURES</w:t>
      </w:r>
    </w:p>
    <w:p w:rsidR="00F0434A" w:rsidRDefault="00F0434A" w:rsidP="00F0434A">
      <w:pPr>
        <w:spacing w:after="160" w:line="259" w:lineRule="auto"/>
        <w:rPr>
          <w:rFonts w:asciiTheme="minorHAnsi" w:hAnsiTheme="minorHAnsi" w:cstheme="minorHAnsi"/>
          <w:b/>
          <w:lang w:val="en-GB"/>
        </w:rPr>
      </w:pPr>
      <w:r>
        <w:rPr>
          <w:rFonts w:asciiTheme="minorHAnsi" w:hAnsiTheme="minorHAnsi" w:cstheme="minorHAnsi"/>
          <w:b/>
          <w:lang w:val="en-GB"/>
        </w:rPr>
        <w:t>Figure 1.</w:t>
      </w:r>
    </w:p>
    <w:p w:rsidR="00F0434A" w:rsidRDefault="00F0434A" w:rsidP="00F0434A">
      <w:pPr>
        <w:spacing w:after="160" w:line="259" w:lineRule="auto"/>
        <w:jc w:val="center"/>
        <w:rPr>
          <w:rFonts w:asciiTheme="minorHAnsi" w:hAnsiTheme="minorHAnsi" w:cstheme="minorHAnsi"/>
          <w:b/>
          <w:lang w:val="en-GB"/>
        </w:rPr>
      </w:pPr>
      <w:r>
        <w:rPr>
          <w:rFonts w:asciiTheme="minorHAnsi" w:hAnsiTheme="minorHAnsi" w:cstheme="minorHAnsi"/>
          <w:b/>
          <w:noProof/>
          <w:lang w:val="fr-BE" w:eastAsia="fr-BE" w:bidi="ar-SA"/>
        </w:rPr>
        <w:drawing>
          <wp:inline distT="0" distB="0" distL="0" distR="0" wp14:anchorId="43ED39BE" wp14:editId="7ECCFCD8">
            <wp:extent cx="6218292" cy="4038600"/>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_new.t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6222400" cy="4041268"/>
                    </a:xfrm>
                    <a:prstGeom prst="rect">
                      <a:avLst/>
                    </a:prstGeom>
                  </pic:spPr>
                </pic:pic>
              </a:graphicData>
            </a:graphic>
          </wp:inline>
        </w:drawing>
      </w:r>
    </w:p>
    <w:p w:rsidR="00F0434A" w:rsidRDefault="00F0434A" w:rsidP="00F0434A">
      <w:pPr>
        <w:spacing w:after="160" w:line="259" w:lineRule="auto"/>
        <w:rPr>
          <w:rFonts w:asciiTheme="minorHAnsi" w:hAnsiTheme="minorHAnsi" w:cstheme="minorHAnsi"/>
          <w:b/>
          <w:lang w:val="en-GB"/>
        </w:rPr>
      </w:pPr>
    </w:p>
    <w:p w:rsidR="00F0434A" w:rsidRDefault="00F0434A" w:rsidP="00F0434A">
      <w:pPr>
        <w:spacing w:after="160" w:line="259" w:lineRule="auto"/>
        <w:rPr>
          <w:rFonts w:asciiTheme="minorHAnsi" w:hAnsiTheme="minorHAnsi" w:cstheme="minorHAnsi"/>
          <w:b/>
          <w:lang w:val="en-GB"/>
        </w:rPr>
      </w:pPr>
    </w:p>
    <w:p w:rsidR="00F0434A" w:rsidRDefault="00F0434A" w:rsidP="00F0434A">
      <w:pPr>
        <w:spacing w:after="160" w:line="259" w:lineRule="auto"/>
        <w:rPr>
          <w:rFonts w:asciiTheme="minorHAnsi" w:hAnsiTheme="minorHAnsi" w:cstheme="minorHAnsi"/>
          <w:b/>
          <w:lang w:val="en-GB"/>
        </w:rPr>
      </w:pPr>
    </w:p>
    <w:p w:rsidR="00F0434A" w:rsidRDefault="00F0434A" w:rsidP="00F0434A">
      <w:pPr>
        <w:spacing w:after="160" w:line="259" w:lineRule="auto"/>
        <w:rPr>
          <w:rFonts w:asciiTheme="minorHAnsi" w:hAnsiTheme="minorHAnsi" w:cstheme="minorHAnsi"/>
          <w:b/>
          <w:lang w:val="en-GB"/>
        </w:rPr>
      </w:pPr>
    </w:p>
    <w:p w:rsidR="00F0434A" w:rsidRDefault="00F0434A" w:rsidP="00F0434A">
      <w:pPr>
        <w:spacing w:after="160" w:line="259" w:lineRule="auto"/>
        <w:rPr>
          <w:rFonts w:asciiTheme="minorHAnsi" w:hAnsiTheme="minorHAnsi" w:cstheme="minorHAnsi"/>
          <w:b/>
          <w:lang w:val="en-GB"/>
        </w:rPr>
      </w:pPr>
    </w:p>
    <w:p w:rsidR="00F0434A" w:rsidRDefault="00F0434A" w:rsidP="00F0434A">
      <w:pPr>
        <w:spacing w:after="160" w:line="259" w:lineRule="auto"/>
        <w:rPr>
          <w:rFonts w:asciiTheme="minorHAnsi" w:hAnsiTheme="minorHAnsi" w:cstheme="minorHAnsi"/>
          <w:b/>
          <w:lang w:val="en-GB"/>
        </w:rPr>
      </w:pPr>
    </w:p>
    <w:p w:rsidR="00F0434A" w:rsidRDefault="00F0434A" w:rsidP="00F0434A">
      <w:pPr>
        <w:spacing w:after="160" w:line="259" w:lineRule="auto"/>
        <w:rPr>
          <w:rFonts w:asciiTheme="minorHAnsi" w:hAnsiTheme="minorHAnsi" w:cstheme="minorHAnsi"/>
          <w:b/>
          <w:lang w:val="en-GB"/>
        </w:rPr>
      </w:pPr>
    </w:p>
    <w:p w:rsidR="00F0434A" w:rsidRDefault="00F0434A" w:rsidP="00F0434A">
      <w:pPr>
        <w:spacing w:after="160" w:line="259" w:lineRule="auto"/>
        <w:rPr>
          <w:rFonts w:asciiTheme="minorHAnsi" w:hAnsiTheme="minorHAnsi" w:cstheme="minorHAnsi"/>
          <w:b/>
          <w:lang w:val="en-GB"/>
        </w:rPr>
      </w:pPr>
    </w:p>
    <w:p w:rsidR="00F0434A" w:rsidRDefault="00F0434A" w:rsidP="00F0434A">
      <w:pPr>
        <w:spacing w:after="160" w:line="259" w:lineRule="auto"/>
        <w:rPr>
          <w:rFonts w:asciiTheme="minorHAnsi" w:hAnsiTheme="minorHAnsi" w:cstheme="minorHAnsi"/>
          <w:b/>
          <w:lang w:val="en-GB"/>
        </w:rPr>
      </w:pPr>
    </w:p>
    <w:p w:rsidR="00F0434A" w:rsidRDefault="00F0434A" w:rsidP="00F0434A">
      <w:pPr>
        <w:spacing w:after="160" w:line="259" w:lineRule="auto"/>
        <w:rPr>
          <w:rFonts w:asciiTheme="minorHAnsi" w:hAnsiTheme="minorHAnsi" w:cstheme="minorHAnsi"/>
          <w:b/>
          <w:lang w:val="en-GB"/>
        </w:rPr>
      </w:pPr>
    </w:p>
    <w:p w:rsidR="00F0434A" w:rsidRDefault="00F0434A" w:rsidP="00F0434A">
      <w:pPr>
        <w:spacing w:after="160" w:line="259" w:lineRule="auto"/>
        <w:rPr>
          <w:rFonts w:asciiTheme="minorHAnsi" w:hAnsiTheme="minorHAnsi" w:cstheme="minorHAnsi"/>
          <w:b/>
          <w:lang w:val="en-GB"/>
        </w:rPr>
      </w:pPr>
    </w:p>
    <w:p w:rsidR="00F0434A" w:rsidRDefault="00F0434A" w:rsidP="00F0434A">
      <w:pPr>
        <w:spacing w:after="160" w:line="259" w:lineRule="auto"/>
        <w:rPr>
          <w:rFonts w:asciiTheme="minorHAnsi" w:hAnsiTheme="minorHAnsi" w:cstheme="minorHAnsi"/>
          <w:b/>
          <w:lang w:val="en-GB"/>
        </w:rPr>
      </w:pPr>
    </w:p>
    <w:p w:rsidR="00F0434A" w:rsidRDefault="00F0434A" w:rsidP="00F0434A">
      <w:pPr>
        <w:spacing w:after="160" w:line="259" w:lineRule="auto"/>
        <w:rPr>
          <w:rFonts w:asciiTheme="minorHAnsi" w:hAnsiTheme="minorHAnsi" w:cstheme="minorHAnsi"/>
          <w:b/>
          <w:lang w:val="en-GB"/>
        </w:rPr>
      </w:pPr>
    </w:p>
    <w:p w:rsidR="00F0434A" w:rsidRDefault="00F0434A" w:rsidP="00F0434A">
      <w:pPr>
        <w:spacing w:after="160" w:line="259" w:lineRule="auto"/>
        <w:rPr>
          <w:rFonts w:asciiTheme="minorHAnsi" w:hAnsiTheme="minorHAnsi" w:cstheme="minorHAnsi"/>
          <w:b/>
          <w:lang w:val="en-GB"/>
        </w:rPr>
      </w:pPr>
    </w:p>
    <w:p w:rsidR="00F0434A" w:rsidRDefault="00F0434A" w:rsidP="00F0434A">
      <w:pPr>
        <w:spacing w:after="160" w:line="259" w:lineRule="auto"/>
        <w:rPr>
          <w:rFonts w:asciiTheme="minorHAnsi" w:hAnsiTheme="minorHAnsi" w:cstheme="minorHAnsi"/>
          <w:b/>
          <w:lang w:val="en-GB"/>
        </w:rPr>
      </w:pPr>
      <w:r>
        <w:rPr>
          <w:rFonts w:asciiTheme="minorHAnsi" w:hAnsiTheme="minorHAnsi" w:cstheme="minorHAnsi"/>
          <w:b/>
          <w:lang w:val="en-GB"/>
        </w:rPr>
        <w:lastRenderedPageBreak/>
        <w:t>Figure 2.</w:t>
      </w:r>
    </w:p>
    <w:p w:rsidR="00F0434A" w:rsidRPr="00B80011" w:rsidRDefault="00F0434A" w:rsidP="00F0434A">
      <w:pPr>
        <w:spacing w:line="360" w:lineRule="auto"/>
        <w:rPr>
          <w:rFonts w:asciiTheme="minorHAnsi" w:hAnsiTheme="minorHAnsi" w:cstheme="minorHAnsi"/>
          <w:lang w:val="en-GB"/>
        </w:rPr>
      </w:pPr>
      <w:r>
        <w:rPr>
          <w:rFonts w:asciiTheme="minorHAnsi" w:hAnsiTheme="minorHAnsi" w:cstheme="minorHAnsi"/>
          <w:noProof/>
          <w:lang w:val="fr-BE" w:eastAsia="fr-BE" w:bidi="ar-SA"/>
        </w:rPr>
        <w:drawing>
          <wp:inline distT="0" distB="0" distL="0" distR="0" wp14:anchorId="190CEDF8" wp14:editId="2012148B">
            <wp:extent cx="5694947" cy="3887199"/>
            <wp:effectExtent l="0" t="0" r="0" b="0"/>
            <wp:docPr id="82" name="Imag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05989" cy="3894736"/>
                    </a:xfrm>
                    <a:prstGeom prst="rect">
                      <a:avLst/>
                    </a:prstGeom>
                    <a:noFill/>
                  </pic:spPr>
                </pic:pic>
              </a:graphicData>
            </a:graphic>
          </wp:inline>
        </w:drawing>
      </w:r>
    </w:p>
    <w:p w:rsidR="00F0434A" w:rsidRDefault="00F0434A" w:rsidP="00F0434A">
      <w:pPr>
        <w:spacing w:after="160" w:line="259" w:lineRule="auto"/>
        <w:rPr>
          <w:rFonts w:asciiTheme="minorHAnsi" w:hAnsiTheme="minorHAnsi" w:cstheme="minorHAnsi"/>
          <w:b/>
          <w:lang w:val="en-GB"/>
        </w:rPr>
      </w:pPr>
    </w:p>
    <w:p w:rsidR="00F0434A" w:rsidRDefault="00F0434A" w:rsidP="00F0434A">
      <w:pPr>
        <w:spacing w:after="160" w:line="259" w:lineRule="auto"/>
        <w:rPr>
          <w:rFonts w:asciiTheme="minorHAnsi" w:hAnsiTheme="minorHAnsi" w:cstheme="minorHAnsi"/>
          <w:b/>
          <w:lang w:val="en-GB"/>
        </w:rPr>
      </w:pPr>
    </w:p>
    <w:p w:rsidR="00F0434A" w:rsidRDefault="00F0434A" w:rsidP="00F0434A">
      <w:pPr>
        <w:spacing w:after="160" w:line="259" w:lineRule="auto"/>
        <w:rPr>
          <w:rFonts w:asciiTheme="minorHAnsi" w:hAnsiTheme="minorHAnsi" w:cstheme="minorHAnsi"/>
          <w:b/>
          <w:lang w:val="en-GB"/>
        </w:rPr>
      </w:pPr>
    </w:p>
    <w:p w:rsidR="00F0434A" w:rsidRDefault="00F0434A" w:rsidP="00F0434A">
      <w:pPr>
        <w:spacing w:after="160" w:line="259" w:lineRule="auto"/>
        <w:rPr>
          <w:rFonts w:asciiTheme="minorHAnsi" w:hAnsiTheme="minorHAnsi" w:cstheme="minorHAnsi"/>
          <w:b/>
          <w:lang w:val="en-GB"/>
        </w:rPr>
      </w:pPr>
    </w:p>
    <w:p w:rsidR="00F0434A" w:rsidRDefault="00F0434A" w:rsidP="00F0434A">
      <w:pPr>
        <w:spacing w:after="160" w:line="259" w:lineRule="auto"/>
        <w:rPr>
          <w:rFonts w:asciiTheme="minorHAnsi" w:hAnsiTheme="minorHAnsi" w:cstheme="minorHAnsi"/>
          <w:b/>
          <w:lang w:val="en-GB"/>
        </w:rPr>
      </w:pPr>
    </w:p>
    <w:p w:rsidR="00F0434A" w:rsidRDefault="00F0434A" w:rsidP="00F0434A">
      <w:pPr>
        <w:spacing w:after="160" w:line="259" w:lineRule="auto"/>
        <w:rPr>
          <w:rFonts w:asciiTheme="minorHAnsi" w:hAnsiTheme="minorHAnsi" w:cstheme="minorHAnsi"/>
          <w:b/>
          <w:lang w:val="en-GB"/>
        </w:rPr>
      </w:pPr>
    </w:p>
    <w:p w:rsidR="00F0434A" w:rsidRDefault="00F0434A" w:rsidP="00F0434A">
      <w:pPr>
        <w:spacing w:after="160" w:line="259" w:lineRule="auto"/>
        <w:rPr>
          <w:rFonts w:asciiTheme="minorHAnsi" w:hAnsiTheme="minorHAnsi" w:cstheme="minorHAnsi"/>
          <w:b/>
          <w:lang w:val="en-GB"/>
        </w:rPr>
      </w:pPr>
    </w:p>
    <w:p w:rsidR="00F0434A" w:rsidRDefault="00F0434A" w:rsidP="00F0434A">
      <w:pPr>
        <w:spacing w:after="160" w:line="259" w:lineRule="auto"/>
        <w:rPr>
          <w:rFonts w:asciiTheme="minorHAnsi" w:hAnsiTheme="minorHAnsi" w:cstheme="minorHAnsi"/>
          <w:b/>
          <w:lang w:val="en-GB"/>
        </w:rPr>
      </w:pPr>
    </w:p>
    <w:p w:rsidR="00F0434A" w:rsidRDefault="00F0434A" w:rsidP="00F0434A">
      <w:pPr>
        <w:spacing w:after="160" w:line="259" w:lineRule="auto"/>
        <w:rPr>
          <w:rFonts w:asciiTheme="minorHAnsi" w:hAnsiTheme="minorHAnsi" w:cstheme="minorHAnsi"/>
          <w:b/>
          <w:lang w:val="en-GB"/>
        </w:rPr>
      </w:pPr>
    </w:p>
    <w:p w:rsidR="00F0434A" w:rsidRDefault="00F0434A" w:rsidP="00F0434A">
      <w:pPr>
        <w:spacing w:after="160" w:line="259" w:lineRule="auto"/>
        <w:rPr>
          <w:rFonts w:asciiTheme="minorHAnsi" w:hAnsiTheme="minorHAnsi" w:cstheme="minorHAnsi"/>
          <w:b/>
          <w:lang w:val="en-GB"/>
        </w:rPr>
      </w:pPr>
    </w:p>
    <w:p w:rsidR="00F0434A" w:rsidRDefault="00F0434A" w:rsidP="00F0434A">
      <w:pPr>
        <w:spacing w:after="160" w:line="259" w:lineRule="auto"/>
        <w:rPr>
          <w:rFonts w:asciiTheme="minorHAnsi" w:hAnsiTheme="minorHAnsi" w:cstheme="minorHAnsi"/>
          <w:b/>
          <w:lang w:val="en-GB"/>
        </w:rPr>
      </w:pPr>
    </w:p>
    <w:p w:rsidR="00F0434A" w:rsidRDefault="00F0434A" w:rsidP="00F0434A">
      <w:pPr>
        <w:spacing w:after="160" w:line="259" w:lineRule="auto"/>
        <w:rPr>
          <w:rFonts w:asciiTheme="minorHAnsi" w:hAnsiTheme="minorHAnsi" w:cstheme="minorHAnsi"/>
          <w:b/>
          <w:lang w:val="en-GB"/>
        </w:rPr>
      </w:pPr>
    </w:p>
    <w:p w:rsidR="00F0434A" w:rsidRDefault="00F0434A" w:rsidP="00F0434A">
      <w:pPr>
        <w:spacing w:after="160" w:line="259" w:lineRule="auto"/>
        <w:rPr>
          <w:rFonts w:asciiTheme="minorHAnsi" w:hAnsiTheme="minorHAnsi" w:cstheme="minorHAnsi"/>
          <w:b/>
          <w:lang w:val="en-GB"/>
        </w:rPr>
      </w:pPr>
    </w:p>
    <w:p w:rsidR="00F0434A" w:rsidRDefault="00F0434A" w:rsidP="00F0434A">
      <w:pPr>
        <w:spacing w:after="160" w:line="259" w:lineRule="auto"/>
        <w:rPr>
          <w:rFonts w:asciiTheme="minorHAnsi" w:hAnsiTheme="minorHAnsi" w:cstheme="minorHAnsi"/>
          <w:b/>
          <w:lang w:val="en-GB"/>
        </w:rPr>
      </w:pPr>
    </w:p>
    <w:p w:rsidR="00F0434A" w:rsidRDefault="00F0434A" w:rsidP="00F0434A">
      <w:pPr>
        <w:spacing w:after="160" w:line="259" w:lineRule="auto"/>
        <w:rPr>
          <w:rFonts w:asciiTheme="minorHAnsi" w:hAnsiTheme="minorHAnsi" w:cstheme="minorHAnsi"/>
          <w:b/>
          <w:lang w:val="en-GB"/>
        </w:rPr>
      </w:pPr>
    </w:p>
    <w:p w:rsidR="00F0434A" w:rsidRDefault="00F0434A" w:rsidP="00F0434A">
      <w:pPr>
        <w:spacing w:after="160" w:line="259" w:lineRule="auto"/>
        <w:rPr>
          <w:rFonts w:asciiTheme="minorHAnsi" w:hAnsiTheme="minorHAnsi" w:cstheme="minorHAnsi"/>
          <w:b/>
          <w:lang w:val="en-GB"/>
        </w:rPr>
      </w:pPr>
      <w:r>
        <w:rPr>
          <w:rFonts w:asciiTheme="minorHAnsi" w:hAnsiTheme="minorHAnsi" w:cstheme="minorHAnsi"/>
          <w:b/>
          <w:lang w:val="en-GB"/>
        </w:rPr>
        <w:lastRenderedPageBreak/>
        <w:t>Figure 3.</w:t>
      </w:r>
    </w:p>
    <w:p w:rsidR="00F0434A" w:rsidRDefault="00F0434A" w:rsidP="00F0434A">
      <w:pPr>
        <w:spacing w:line="360" w:lineRule="auto"/>
        <w:jc w:val="both"/>
        <w:rPr>
          <w:rFonts w:asciiTheme="minorHAnsi" w:hAnsiTheme="minorHAnsi" w:cstheme="minorHAnsi"/>
          <w:lang w:val="en-US"/>
        </w:rPr>
      </w:pPr>
      <w:r w:rsidRPr="00933D67">
        <w:rPr>
          <w:rFonts w:asciiTheme="minorHAnsi" w:hAnsiTheme="minorHAnsi" w:cstheme="minorHAnsi"/>
          <w:noProof/>
          <w:lang w:val="fr-BE" w:eastAsia="fr-BE" w:bidi="ar-SA"/>
        </w:rPr>
        <w:drawing>
          <wp:inline distT="0" distB="0" distL="0" distR="0" wp14:anchorId="70AADCFA" wp14:editId="65EC63C5">
            <wp:extent cx="4248122" cy="6377940"/>
            <wp:effectExtent l="0" t="0" r="635" b="3810"/>
            <wp:docPr id="17"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 16"/>
                    <pic:cNvPicPr>
                      <a:picLocks noChangeAspect="1"/>
                    </pic:cNvPicPr>
                  </pic:nvPicPr>
                  <pic:blipFill rotWithShape="1">
                    <a:blip r:embed="rId11"/>
                    <a:srcRect r="23005"/>
                    <a:stretch/>
                  </pic:blipFill>
                  <pic:spPr bwMode="auto">
                    <a:xfrm>
                      <a:off x="0" y="0"/>
                      <a:ext cx="4256699" cy="6390817"/>
                    </a:xfrm>
                    <a:prstGeom prst="rect">
                      <a:avLst/>
                    </a:prstGeom>
                    <a:solidFill>
                      <a:schemeClr val="bg1"/>
                    </a:solidFill>
                    <a:ln>
                      <a:noFill/>
                    </a:ln>
                    <a:extLst>
                      <a:ext uri="{53640926-AAD7-44D8-BBD7-CCE9431645EC}">
                        <a14:shadowObscured xmlns:a14="http://schemas.microsoft.com/office/drawing/2010/main"/>
                      </a:ext>
                    </a:extLst>
                  </pic:spPr>
                </pic:pic>
              </a:graphicData>
            </a:graphic>
          </wp:inline>
        </w:drawing>
      </w:r>
    </w:p>
    <w:p w:rsidR="00F0434A" w:rsidRDefault="00F0434A" w:rsidP="00F0434A">
      <w:pPr>
        <w:spacing w:line="360" w:lineRule="auto"/>
        <w:jc w:val="both"/>
        <w:rPr>
          <w:rFonts w:asciiTheme="minorHAnsi" w:hAnsiTheme="minorHAnsi" w:cstheme="minorHAnsi"/>
          <w:lang w:val="en-US"/>
        </w:rPr>
      </w:pPr>
    </w:p>
    <w:p w:rsidR="00F0434A" w:rsidRDefault="00F0434A" w:rsidP="00F0434A">
      <w:pPr>
        <w:spacing w:line="360" w:lineRule="auto"/>
        <w:jc w:val="both"/>
        <w:rPr>
          <w:rFonts w:asciiTheme="minorHAnsi" w:hAnsiTheme="minorHAnsi" w:cstheme="minorHAnsi"/>
          <w:lang w:val="en-US"/>
        </w:rPr>
      </w:pPr>
    </w:p>
    <w:p w:rsidR="00F0434A" w:rsidRDefault="00F0434A" w:rsidP="00F0434A">
      <w:pPr>
        <w:spacing w:line="360" w:lineRule="auto"/>
        <w:jc w:val="both"/>
        <w:rPr>
          <w:rFonts w:asciiTheme="minorHAnsi" w:hAnsiTheme="minorHAnsi" w:cstheme="minorHAnsi"/>
          <w:lang w:val="en-US"/>
        </w:rPr>
      </w:pPr>
    </w:p>
    <w:p w:rsidR="00F0434A" w:rsidRDefault="00F0434A" w:rsidP="00F0434A">
      <w:pPr>
        <w:spacing w:line="360" w:lineRule="auto"/>
        <w:jc w:val="both"/>
        <w:rPr>
          <w:rFonts w:asciiTheme="minorHAnsi" w:hAnsiTheme="minorHAnsi" w:cstheme="minorHAnsi"/>
          <w:lang w:val="en-US"/>
        </w:rPr>
      </w:pPr>
    </w:p>
    <w:p w:rsidR="00F0434A" w:rsidRDefault="00F0434A" w:rsidP="00F0434A">
      <w:pPr>
        <w:spacing w:line="360" w:lineRule="auto"/>
        <w:jc w:val="both"/>
        <w:rPr>
          <w:rFonts w:asciiTheme="minorHAnsi" w:hAnsiTheme="minorHAnsi" w:cstheme="minorHAnsi"/>
          <w:lang w:val="en-US"/>
        </w:rPr>
      </w:pPr>
    </w:p>
    <w:p w:rsidR="00F0434A" w:rsidRDefault="00F0434A" w:rsidP="00F0434A">
      <w:pPr>
        <w:spacing w:line="360" w:lineRule="auto"/>
        <w:jc w:val="both"/>
        <w:rPr>
          <w:rFonts w:asciiTheme="minorHAnsi" w:hAnsiTheme="minorHAnsi" w:cstheme="minorHAnsi"/>
          <w:lang w:val="en-US"/>
        </w:rPr>
      </w:pPr>
    </w:p>
    <w:p w:rsidR="00F0434A" w:rsidRDefault="00F0434A" w:rsidP="00F0434A">
      <w:pPr>
        <w:spacing w:after="160" w:line="259" w:lineRule="auto"/>
        <w:rPr>
          <w:rFonts w:asciiTheme="minorHAnsi" w:hAnsiTheme="minorHAnsi" w:cstheme="minorHAnsi"/>
          <w:b/>
          <w:lang w:val="en-GB"/>
        </w:rPr>
      </w:pPr>
      <w:r>
        <w:rPr>
          <w:rFonts w:asciiTheme="minorHAnsi" w:hAnsiTheme="minorHAnsi" w:cstheme="minorHAnsi"/>
          <w:b/>
          <w:lang w:val="en-GB"/>
        </w:rPr>
        <w:br w:type="page"/>
      </w:r>
    </w:p>
    <w:p w:rsidR="00F0434A" w:rsidRDefault="00F0434A" w:rsidP="00F0434A">
      <w:pPr>
        <w:spacing w:line="360" w:lineRule="auto"/>
        <w:jc w:val="both"/>
        <w:rPr>
          <w:rFonts w:asciiTheme="minorHAnsi" w:hAnsiTheme="minorHAnsi" w:cstheme="minorHAnsi"/>
          <w:lang w:val="en-US"/>
        </w:rPr>
      </w:pPr>
      <w:r>
        <w:rPr>
          <w:rFonts w:asciiTheme="minorHAnsi" w:hAnsiTheme="minorHAnsi" w:cstheme="minorHAnsi"/>
          <w:b/>
          <w:lang w:val="en-GB"/>
        </w:rPr>
        <w:lastRenderedPageBreak/>
        <w:t>Figure 4.</w:t>
      </w:r>
    </w:p>
    <w:p w:rsidR="00F0434A" w:rsidRDefault="00F0434A" w:rsidP="00F0434A">
      <w:pPr>
        <w:pStyle w:val="Lgende"/>
        <w:jc w:val="both"/>
        <w:rPr>
          <w:lang w:val="en-GB"/>
        </w:rPr>
      </w:pPr>
      <w:bookmarkStart w:id="4" w:name="_Ref10814338"/>
      <w:r w:rsidRPr="006A391D">
        <w:rPr>
          <w:noProof/>
          <w:lang w:val="fr-BE" w:eastAsia="fr-BE" w:bidi="ar-SA"/>
        </w:rPr>
        <w:drawing>
          <wp:inline distT="0" distB="0" distL="0" distR="0" wp14:anchorId="38BC6DA2" wp14:editId="2FC6BD5D">
            <wp:extent cx="3557251" cy="6633023"/>
            <wp:effectExtent l="0" t="0" r="5715" b="0"/>
            <wp:docPr id="9"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8"/>
                    <pic:cNvPicPr>
                      <a:picLocks noChangeAspect="1"/>
                    </pic:cNvPicPr>
                  </pic:nvPicPr>
                  <pic:blipFill rotWithShape="1">
                    <a:blip r:embed="rId12"/>
                    <a:srcRect r="34218"/>
                    <a:stretch/>
                  </pic:blipFill>
                  <pic:spPr>
                    <a:xfrm>
                      <a:off x="0" y="0"/>
                      <a:ext cx="3557251" cy="6633023"/>
                    </a:xfrm>
                    <a:prstGeom prst="rect">
                      <a:avLst/>
                    </a:prstGeom>
                    <a:solidFill>
                      <a:schemeClr val="bg1"/>
                    </a:solidFill>
                  </pic:spPr>
                </pic:pic>
              </a:graphicData>
            </a:graphic>
          </wp:inline>
        </w:drawing>
      </w:r>
    </w:p>
    <w:p w:rsidR="00F0434A" w:rsidRDefault="00F0434A" w:rsidP="00F0434A">
      <w:pPr>
        <w:pStyle w:val="Lgende"/>
        <w:jc w:val="both"/>
        <w:rPr>
          <w:lang w:val="en-GB"/>
        </w:rPr>
      </w:pPr>
    </w:p>
    <w:p w:rsidR="00F0434A" w:rsidRDefault="00F0434A" w:rsidP="00F0434A">
      <w:pPr>
        <w:pStyle w:val="Lgende"/>
        <w:jc w:val="both"/>
        <w:rPr>
          <w:lang w:val="en-GB"/>
        </w:rPr>
      </w:pPr>
    </w:p>
    <w:p w:rsidR="00F0434A" w:rsidRDefault="00F0434A" w:rsidP="00F0434A">
      <w:pPr>
        <w:pStyle w:val="Lgende"/>
        <w:jc w:val="both"/>
        <w:rPr>
          <w:lang w:val="en-GB"/>
        </w:rPr>
      </w:pPr>
    </w:p>
    <w:p w:rsidR="00F0434A" w:rsidRDefault="00F0434A" w:rsidP="00F0434A">
      <w:pPr>
        <w:pStyle w:val="Lgende"/>
        <w:jc w:val="both"/>
        <w:rPr>
          <w:lang w:val="en-GB"/>
        </w:rPr>
      </w:pPr>
    </w:p>
    <w:p w:rsidR="00F0434A" w:rsidRDefault="00F0434A" w:rsidP="00F0434A">
      <w:pPr>
        <w:pStyle w:val="Lgende"/>
        <w:jc w:val="both"/>
        <w:rPr>
          <w:lang w:val="en-GB"/>
        </w:rPr>
      </w:pPr>
    </w:p>
    <w:p w:rsidR="00F0434A" w:rsidRDefault="00F0434A" w:rsidP="00F0434A">
      <w:pPr>
        <w:pStyle w:val="Lgende"/>
        <w:jc w:val="both"/>
        <w:rPr>
          <w:lang w:val="en-GB"/>
        </w:rPr>
      </w:pPr>
    </w:p>
    <w:p w:rsidR="00F0434A" w:rsidRDefault="00F0434A" w:rsidP="00F0434A">
      <w:pPr>
        <w:pStyle w:val="Lgende"/>
        <w:jc w:val="both"/>
        <w:rPr>
          <w:lang w:val="en-GB"/>
        </w:rPr>
      </w:pPr>
    </w:p>
    <w:p w:rsidR="00F0434A" w:rsidRDefault="00F0434A" w:rsidP="00F0434A">
      <w:pPr>
        <w:pStyle w:val="Lgende"/>
        <w:jc w:val="both"/>
        <w:rPr>
          <w:lang w:val="en-GB"/>
        </w:rPr>
      </w:pPr>
    </w:p>
    <w:p w:rsidR="00F0434A" w:rsidRDefault="00F0434A" w:rsidP="00F0434A">
      <w:pPr>
        <w:pStyle w:val="Lgende"/>
        <w:jc w:val="both"/>
        <w:rPr>
          <w:lang w:val="en-GB"/>
        </w:rPr>
      </w:pPr>
    </w:p>
    <w:p w:rsidR="00F0434A" w:rsidRDefault="00F0434A" w:rsidP="00F0434A">
      <w:pPr>
        <w:pStyle w:val="Lgende"/>
        <w:jc w:val="both"/>
        <w:rPr>
          <w:lang w:val="en-GB"/>
        </w:rPr>
      </w:pPr>
    </w:p>
    <w:p w:rsidR="00F0434A" w:rsidRPr="004469D7" w:rsidRDefault="00F0434A" w:rsidP="00F0434A">
      <w:pPr>
        <w:pStyle w:val="Lgende"/>
        <w:jc w:val="both"/>
        <w:rPr>
          <w:sz w:val="24"/>
          <w:lang w:val="en-GB"/>
        </w:rPr>
      </w:pPr>
      <w:r w:rsidRPr="004469D7">
        <w:rPr>
          <w:sz w:val="24"/>
          <w:lang w:val="en-GB"/>
        </w:rPr>
        <w:t>Figure 5.</w:t>
      </w:r>
    </w:p>
    <w:bookmarkEnd w:id="4"/>
    <w:p w:rsidR="00F0434A" w:rsidRDefault="00F0434A" w:rsidP="00F0434A">
      <w:pPr>
        <w:rPr>
          <w:rFonts w:asciiTheme="minorHAnsi" w:hAnsiTheme="minorHAnsi" w:cstheme="minorHAnsi"/>
          <w:lang w:val="en-US"/>
        </w:rPr>
      </w:pPr>
      <w:r>
        <w:rPr>
          <w:noProof/>
          <w:lang w:val="fr-BE" w:eastAsia="fr-BE" w:bidi="ar-SA"/>
        </w:rPr>
        <w:drawing>
          <wp:anchor distT="0" distB="0" distL="114300" distR="114300" simplePos="0" relativeHeight="251659264" behindDoc="0" locked="0" layoutInCell="1" allowOverlap="1" wp14:anchorId="765B66A2" wp14:editId="2B7D4A7E">
            <wp:simplePos x="0" y="0"/>
            <wp:positionH relativeFrom="margin">
              <wp:align>center</wp:align>
            </wp:positionH>
            <wp:positionV relativeFrom="paragraph">
              <wp:posOffset>36629</wp:posOffset>
            </wp:positionV>
            <wp:extent cx="6467475" cy="7363460"/>
            <wp:effectExtent l="0" t="0" r="9525" b="8890"/>
            <wp:wrapTopAndBottom/>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5.tif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467475" cy="7363460"/>
                    </a:xfrm>
                    <a:prstGeom prst="rect">
                      <a:avLst/>
                    </a:prstGeom>
                  </pic:spPr>
                </pic:pic>
              </a:graphicData>
            </a:graphic>
            <wp14:sizeRelH relativeFrom="page">
              <wp14:pctWidth>0</wp14:pctWidth>
            </wp14:sizeRelH>
            <wp14:sizeRelV relativeFrom="page">
              <wp14:pctHeight>0</wp14:pctHeight>
            </wp14:sizeRelV>
          </wp:anchor>
        </w:drawing>
      </w:r>
    </w:p>
    <w:p w:rsidR="00F0434A" w:rsidRDefault="00F0434A" w:rsidP="00F0434A">
      <w:pPr>
        <w:rPr>
          <w:rFonts w:asciiTheme="minorHAnsi" w:hAnsiTheme="minorHAnsi" w:cstheme="minorHAnsi"/>
          <w:lang w:val="en-US"/>
        </w:rPr>
      </w:pPr>
    </w:p>
    <w:p w:rsidR="00F0434A" w:rsidRDefault="00F0434A" w:rsidP="00F0434A">
      <w:pPr>
        <w:rPr>
          <w:rFonts w:asciiTheme="minorHAnsi" w:hAnsiTheme="minorHAnsi" w:cstheme="minorHAnsi"/>
          <w:lang w:val="en-US"/>
        </w:rPr>
      </w:pPr>
    </w:p>
    <w:p w:rsidR="00F0434A" w:rsidRDefault="00F0434A" w:rsidP="00F0434A">
      <w:pPr>
        <w:spacing w:after="160" w:line="259" w:lineRule="auto"/>
        <w:rPr>
          <w:rFonts w:asciiTheme="minorHAnsi" w:hAnsiTheme="minorHAnsi" w:cstheme="minorHAnsi"/>
          <w:lang w:val="en-US"/>
        </w:rPr>
      </w:pPr>
      <w:r>
        <w:rPr>
          <w:rFonts w:asciiTheme="minorHAnsi" w:hAnsiTheme="minorHAnsi" w:cstheme="minorHAnsi"/>
          <w:lang w:val="en-US"/>
        </w:rPr>
        <w:br w:type="page"/>
      </w:r>
    </w:p>
    <w:p w:rsidR="00F0434A" w:rsidRPr="002A7162" w:rsidRDefault="00F0434A" w:rsidP="00F0434A">
      <w:pPr>
        <w:rPr>
          <w:rFonts w:asciiTheme="minorHAnsi" w:hAnsiTheme="minorHAnsi" w:cstheme="minorHAnsi"/>
          <w:lang w:val="en-GB"/>
        </w:rPr>
      </w:pPr>
      <w:r>
        <w:rPr>
          <w:rFonts w:asciiTheme="minorHAnsi" w:hAnsiTheme="minorHAnsi"/>
          <w:b/>
          <w:lang w:val="en-US"/>
        </w:rPr>
        <w:lastRenderedPageBreak/>
        <w:t>SUPPLEMENTARY MATERIAL</w:t>
      </w:r>
    </w:p>
    <w:p w:rsidR="00F0434A" w:rsidRDefault="00F0434A" w:rsidP="00F0434A">
      <w:pPr>
        <w:rPr>
          <w:rFonts w:asciiTheme="minorHAnsi" w:hAnsiTheme="minorHAnsi"/>
          <w:b/>
          <w:lang w:val="en-US"/>
        </w:rPr>
      </w:pPr>
    </w:p>
    <w:tbl>
      <w:tblPr>
        <w:tblStyle w:val="Grilledetableauclaire2"/>
        <w:tblpPr w:leftFromText="141" w:rightFromText="141" w:vertAnchor="page" w:horzAnchor="margin" w:tblpY="2108"/>
        <w:tblW w:w="0" w:type="auto"/>
        <w:tblLook w:val="04A0" w:firstRow="1" w:lastRow="0" w:firstColumn="1" w:lastColumn="0" w:noHBand="0" w:noVBand="1"/>
      </w:tblPr>
      <w:tblGrid>
        <w:gridCol w:w="460"/>
        <w:gridCol w:w="3581"/>
      </w:tblGrid>
      <w:tr w:rsidR="00F0434A" w:rsidRPr="005F065C" w:rsidTr="005C2537">
        <w:trPr>
          <w:trHeight w:val="351"/>
        </w:trPr>
        <w:tc>
          <w:tcPr>
            <w:tcW w:w="0" w:type="auto"/>
            <w:noWrap/>
            <w:hideMark/>
          </w:tcPr>
          <w:p w:rsidR="00F0434A" w:rsidRPr="005F065C" w:rsidRDefault="00F0434A" w:rsidP="005C2537">
            <w:pPr>
              <w:rPr>
                <w:rFonts w:asciiTheme="minorHAnsi" w:hAnsiTheme="minorHAnsi"/>
                <w:lang w:val="fr-BE"/>
              </w:rPr>
            </w:pPr>
            <w:r w:rsidRPr="005F065C">
              <w:rPr>
                <w:rFonts w:asciiTheme="minorHAnsi" w:hAnsiTheme="minorHAnsi"/>
                <w:lang w:val="fr-BE"/>
              </w:rPr>
              <w:t>1</w:t>
            </w:r>
          </w:p>
        </w:tc>
        <w:tc>
          <w:tcPr>
            <w:tcW w:w="0" w:type="auto"/>
            <w:noWrap/>
            <w:hideMark/>
          </w:tcPr>
          <w:p w:rsidR="00F0434A" w:rsidRPr="005F065C" w:rsidRDefault="00F0434A" w:rsidP="005C2537">
            <w:pPr>
              <w:rPr>
                <w:rFonts w:asciiTheme="minorHAnsi" w:hAnsiTheme="minorHAnsi"/>
                <w:lang w:val="fr-BE"/>
              </w:rPr>
            </w:pPr>
            <w:r w:rsidRPr="005F065C">
              <w:rPr>
                <w:rFonts w:asciiTheme="minorHAnsi" w:hAnsiTheme="minorHAnsi"/>
                <w:lang w:val="fr-BE"/>
              </w:rPr>
              <w:t>orbitofrontal</w:t>
            </w:r>
          </w:p>
        </w:tc>
      </w:tr>
      <w:tr w:rsidR="00F0434A" w:rsidRPr="005F065C" w:rsidTr="005C2537">
        <w:trPr>
          <w:trHeight w:val="351"/>
        </w:trPr>
        <w:tc>
          <w:tcPr>
            <w:tcW w:w="0" w:type="auto"/>
            <w:noWrap/>
            <w:hideMark/>
          </w:tcPr>
          <w:p w:rsidR="00F0434A" w:rsidRPr="005F065C" w:rsidRDefault="00F0434A" w:rsidP="005C2537">
            <w:pPr>
              <w:rPr>
                <w:rFonts w:asciiTheme="minorHAnsi" w:hAnsiTheme="minorHAnsi"/>
                <w:lang w:val="fr-BE"/>
              </w:rPr>
            </w:pPr>
            <w:r w:rsidRPr="005F065C">
              <w:rPr>
                <w:rFonts w:asciiTheme="minorHAnsi" w:hAnsiTheme="minorHAnsi"/>
                <w:lang w:val="fr-BE"/>
              </w:rPr>
              <w:t>2</w:t>
            </w:r>
          </w:p>
        </w:tc>
        <w:tc>
          <w:tcPr>
            <w:tcW w:w="0" w:type="auto"/>
            <w:noWrap/>
            <w:hideMark/>
          </w:tcPr>
          <w:p w:rsidR="00F0434A" w:rsidRPr="005F065C" w:rsidRDefault="00F0434A" w:rsidP="005C2537">
            <w:pPr>
              <w:rPr>
                <w:rFonts w:asciiTheme="minorHAnsi" w:hAnsiTheme="minorHAnsi"/>
                <w:lang w:val="fr-BE"/>
              </w:rPr>
            </w:pPr>
            <w:r w:rsidRPr="005F065C">
              <w:rPr>
                <w:rFonts w:asciiTheme="minorHAnsi" w:hAnsiTheme="minorHAnsi"/>
                <w:lang w:val="fr-BE"/>
              </w:rPr>
              <w:t xml:space="preserve">frontopolar </w:t>
            </w:r>
          </w:p>
        </w:tc>
      </w:tr>
      <w:tr w:rsidR="00F0434A" w:rsidRPr="005F065C" w:rsidTr="005C2537">
        <w:trPr>
          <w:trHeight w:val="351"/>
        </w:trPr>
        <w:tc>
          <w:tcPr>
            <w:tcW w:w="0" w:type="auto"/>
            <w:noWrap/>
            <w:hideMark/>
          </w:tcPr>
          <w:p w:rsidR="00F0434A" w:rsidRPr="005F065C" w:rsidRDefault="00F0434A" w:rsidP="005C2537">
            <w:pPr>
              <w:rPr>
                <w:rFonts w:asciiTheme="minorHAnsi" w:hAnsiTheme="minorHAnsi"/>
                <w:lang w:val="fr-BE"/>
              </w:rPr>
            </w:pPr>
            <w:r w:rsidRPr="005F065C">
              <w:rPr>
                <w:rFonts w:asciiTheme="minorHAnsi" w:hAnsiTheme="minorHAnsi"/>
                <w:lang w:val="fr-BE"/>
              </w:rPr>
              <w:t>3</w:t>
            </w:r>
          </w:p>
        </w:tc>
        <w:tc>
          <w:tcPr>
            <w:tcW w:w="0" w:type="auto"/>
            <w:noWrap/>
            <w:hideMark/>
          </w:tcPr>
          <w:p w:rsidR="00F0434A" w:rsidRPr="005F065C" w:rsidRDefault="00F0434A" w:rsidP="005C2537">
            <w:pPr>
              <w:rPr>
                <w:rFonts w:asciiTheme="minorHAnsi" w:hAnsiTheme="minorHAnsi"/>
                <w:lang w:val="fr-BE"/>
              </w:rPr>
            </w:pPr>
            <w:r w:rsidRPr="005F065C">
              <w:rPr>
                <w:rFonts w:asciiTheme="minorHAnsi" w:hAnsiTheme="minorHAnsi"/>
                <w:lang w:val="fr-BE"/>
              </w:rPr>
              <w:t>frontal superior mesial</w:t>
            </w:r>
          </w:p>
        </w:tc>
      </w:tr>
      <w:tr w:rsidR="00F0434A" w:rsidRPr="005F065C" w:rsidTr="005C2537">
        <w:trPr>
          <w:trHeight w:val="351"/>
        </w:trPr>
        <w:tc>
          <w:tcPr>
            <w:tcW w:w="0" w:type="auto"/>
            <w:noWrap/>
            <w:hideMark/>
          </w:tcPr>
          <w:p w:rsidR="00F0434A" w:rsidRPr="005F065C" w:rsidRDefault="00F0434A" w:rsidP="005C2537">
            <w:pPr>
              <w:rPr>
                <w:rFonts w:asciiTheme="minorHAnsi" w:hAnsiTheme="minorHAnsi"/>
                <w:lang w:val="fr-BE"/>
              </w:rPr>
            </w:pPr>
            <w:r w:rsidRPr="005F065C">
              <w:rPr>
                <w:rFonts w:asciiTheme="minorHAnsi" w:hAnsiTheme="minorHAnsi"/>
                <w:lang w:val="fr-BE"/>
              </w:rPr>
              <w:t>4</w:t>
            </w:r>
          </w:p>
        </w:tc>
        <w:tc>
          <w:tcPr>
            <w:tcW w:w="0" w:type="auto"/>
            <w:noWrap/>
            <w:hideMark/>
          </w:tcPr>
          <w:p w:rsidR="00F0434A" w:rsidRPr="005F065C" w:rsidRDefault="00F0434A" w:rsidP="005C2537">
            <w:pPr>
              <w:rPr>
                <w:rFonts w:asciiTheme="minorHAnsi" w:hAnsiTheme="minorHAnsi"/>
                <w:lang w:val="fr-BE"/>
              </w:rPr>
            </w:pPr>
            <w:r w:rsidRPr="005F065C">
              <w:rPr>
                <w:rFonts w:asciiTheme="minorHAnsi" w:hAnsiTheme="minorHAnsi"/>
                <w:lang w:val="fr-BE"/>
              </w:rPr>
              <w:t>dorsolateral frontal superior</w:t>
            </w:r>
          </w:p>
        </w:tc>
      </w:tr>
      <w:tr w:rsidR="00F0434A" w:rsidRPr="005F065C" w:rsidTr="005C2537">
        <w:trPr>
          <w:trHeight w:val="351"/>
        </w:trPr>
        <w:tc>
          <w:tcPr>
            <w:tcW w:w="0" w:type="auto"/>
            <w:noWrap/>
            <w:hideMark/>
          </w:tcPr>
          <w:p w:rsidR="00F0434A" w:rsidRPr="005F065C" w:rsidRDefault="00F0434A" w:rsidP="005C2537">
            <w:pPr>
              <w:rPr>
                <w:rFonts w:asciiTheme="minorHAnsi" w:hAnsiTheme="minorHAnsi"/>
                <w:lang w:val="fr-BE"/>
              </w:rPr>
            </w:pPr>
            <w:r w:rsidRPr="005F065C">
              <w:rPr>
                <w:rFonts w:asciiTheme="minorHAnsi" w:hAnsiTheme="minorHAnsi"/>
                <w:lang w:val="fr-BE"/>
              </w:rPr>
              <w:t>5</w:t>
            </w:r>
          </w:p>
        </w:tc>
        <w:tc>
          <w:tcPr>
            <w:tcW w:w="0" w:type="auto"/>
            <w:noWrap/>
            <w:hideMark/>
          </w:tcPr>
          <w:p w:rsidR="00F0434A" w:rsidRPr="005F065C" w:rsidRDefault="00F0434A" w:rsidP="005C2537">
            <w:pPr>
              <w:rPr>
                <w:rFonts w:asciiTheme="minorHAnsi" w:hAnsiTheme="minorHAnsi"/>
                <w:lang w:val="fr-BE"/>
              </w:rPr>
            </w:pPr>
            <w:r w:rsidRPr="005F065C">
              <w:rPr>
                <w:rFonts w:asciiTheme="minorHAnsi" w:hAnsiTheme="minorHAnsi"/>
                <w:lang w:val="fr-BE"/>
              </w:rPr>
              <w:t>dorsolateral frontal inferior</w:t>
            </w:r>
          </w:p>
        </w:tc>
      </w:tr>
      <w:tr w:rsidR="00F0434A" w:rsidRPr="005F065C" w:rsidTr="005C2537">
        <w:trPr>
          <w:trHeight w:val="351"/>
        </w:trPr>
        <w:tc>
          <w:tcPr>
            <w:tcW w:w="0" w:type="auto"/>
            <w:noWrap/>
            <w:hideMark/>
          </w:tcPr>
          <w:p w:rsidR="00F0434A" w:rsidRPr="005F065C" w:rsidRDefault="00F0434A" w:rsidP="005C2537">
            <w:pPr>
              <w:rPr>
                <w:rFonts w:asciiTheme="minorHAnsi" w:hAnsiTheme="minorHAnsi"/>
                <w:lang w:val="fr-BE"/>
              </w:rPr>
            </w:pPr>
            <w:r w:rsidRPr="005F065C">
              <w:rPr>
                <w:rFonts w:asciiTheme="minorHAnsi" w:hAnsiTheme="minorHAnsi"/>
                <w:lang w:val="fr-BE"/>
              </w:rPr>
              <w:t>6</w:t>
            </w:r>
          </w:p>
        </w:tc>
        <w:tc>
          <w:tcPr>
            <w:tcW w:w="0" w:type="auto"/>
            <w:noWrap/>
            <w:hideMark/>
          </w:tcPr>
          <w:p w:rsidR="00F0434A" w:rsidRPr="005F065C" w:rsidRDefault="00F0434A" w:rsidP="005C2537">
            <w:pPr>
              <w:rPr>
                <w:rFonts w:asciiTheme="minorHAnsi" w:hAnsiTheme="minorHAnsi"/>
                <w:lang w:val="fr-BE"/>
              </w:rPr>
            </w:pPr>
            <w:r w:rsidRPr="005F065C">
              <w:rPr>
                <w:rFonts w:asciiTheme="minorHAnsi" w:hAnsiTheme="minorHAnsi"/>
                <w:lang w:val="fr-BE"/>
              </w:rPr>
              <w:t xml:space="preserve">central mesial </w:t>
            </w:r>
          </w:p>
        </w:tc>
      </w:tr>
      <w:tr w:rsidR="00F0434A" w:rsidRPr="005F065C" w:rsidTr="005C2537">
        <w:trPr>
          <w:trHeight w:val="351"/>
        </w:trPr>
        <w:tc>
          <w:tcPr>
            <w:tcW w:w="0" w:type="auto"/>
            <w:noWrap/>
            <w:hideMark/>
          </w:tcPr>
          <w:p w:rsidR="00F0434A" w:rsidRPr="005F065C" w:rsidRDefault="00F0434A" w:rsidP="005C2537">
            <w:pPr>
              <w:rPr>
                <w:rFonts w:asciiTheme="minorHAnsi" w:hAnsiTheme="minorHAnsi"/>
                <w:lang w:val="fr-BE"/>
              </w:rPr>
            </w:pPr>
            <w:r w:rsidRPr="005F065C">
              <w:rPr>
                <w:rFonts w:asciiTheme="minorHAnsi" w:hAnsiTheme="minorHAnsi"/>
                <w:lang w:val="fr-BE"/>
              </w:rPr>
              <w:t>7</w:t>
            </w:r>
          </w:p>
        </w:tc>
        <w:tc>
          <w:tcPr>
            <w:tcW w:w="0" w:type="auto"/>
            <w:noWrap/>
            <w:hideMark/>
          </w:tcPr>
          <w:p w:rsidR="00F0434A" w:rsidRPr="005F065C" w:rsidRDefault="00F0434A" w:rsidP="005C2537">
            <w:pPr>
              <w:rPr>
                <w:rFonts w:asciiTheme="minorHAnsi" w:hAnsiTheme="minorHAnsi"/>
                <w:lang w:val="fr-BE"/>
              </w:rPr>
            </w:pPr>
            <w:r w:rsidRPr="005F065C">
              <w:rPr>
                <w:rFonts w:asciiTheme="minorHAnsi" w:hAnsiTheme="minorHAnsi"/>
                <w:lang w:val="fr-BE"/>
              </w:rPr>
              <w:t>central lateral</w:t>
            </w:r>
          </w:p>
        </w:tc>
      </w:tr>
      <w:tr w:rsidR="00F0434A" w:rsidRPr="005F065C" w:rsidTr="005C2537">
        <w:trPr>
          <w:trHeight w:val="351"/>
        </w:trPr>
        <w:tc>
          <w:tcPr>
            <w:tcW w:w="0" w:type="auto"/>
            <w:noWrap/>
            <w:hideMark/>
          </w:tcPr>
          <w:p w:rsidR="00F0434A" w:rsidRPr="005F065C" w:rsidRDefault="00F0434A" w:rsidP="005C2537">
            <w:pPr>
              <w:rPr>
                <w:rFonts w:asciiTheme="minorHAnsi" w:hAnsiTheme="minorHAnsi"/>
                <w:lang w:val="fr-BE"/>
              </w:rPr>
            </w:pPr>
            <w:r w:rsidRPr="005F065C">
              <w:rPr>
                <w:rFonts w:asciiTheme="minorHAnsi" w:hAnsiTheme="minorHAnsi"/>
                <w:lang w:val="fr-BE"/>
              </w:rPr>
              <w:t>8</w:t>
            </w:r>
          </w:p>
        </w:tc>
        <w:tc>
          <w:tcPr>
            <w:tcW w:w="0" w:type="auto"/>
            <w:noWrap/>
            <w:hideMark/>
          </w:tcPr>
          <w:p w:rsidR="00F0434A" w:rsidRPr="005F065C" w:rsidRDefault="00F0434A" w:rsidP="005C2537">
            <w:pPr>
              <w:rPr>
                <w:rFonts w:asciiTheme="minorHAnsi" w:hAnsiTheme="minorHAnsi"/>
                <w:lang w:val="fr-BE"/>
              </w:rPr>
            </w:pPr>
            <w:r w:rsidRPr="005F065C">
              <w:rPr>
                <w:rFonts w:asciiTheme="minorHAnsi" w:hAnsiTheme="minorHAnsi"/>
                <w:lang w:val="fr-BE"/>
              </w:rPr>
              <w:t>parietal mesial</w:t>
            </w:r>
          </w:p>
        </w:tc>
      </w:tr>
      <w:tr w:rsidR="00F0434A" w:rsidRPr="005F065C" w:rsidTr="005C2537">
        <w:trPr>
          <w:trHeight w:val="351"/>
        </w:trPr>
        <w:tc>
          <w:tcPr>
            <w:tcW w:w="0" w:type="auto"/>
            <w:noWrap/>
            <w:hideMark/>
          </w:tcPr>
          <w:p w:rsidR="00F0434A" w:rsidRPr="005F065C" w:rsidRDefault="00F0434A" w:rsidP="005C2537">
            <w:pPr>
              <w:rPr>
                <w:rFonts w:asciiTheme="minorHAnsi" w:hAnsiTheme="minorHAnsi"/>
                <w:lang w:val="fr-BE"/>
              </w:rPr>
            </w:pPr>
            <w:r w:rsidRPr="005F065C">
              <w:rPr>
                <w:rFonts w:asciiTheme="minorHAnsi" w:hAnsiTheme="minorHAnsi"/>
                <w:lang w:val="fr-BE"/>
              </w:rPr>
              <w:t>9</w:t>
            </w:r>
          </w:p>
        </w:tc>
        <w:tc>
          <w:tcPr>
            <w:tcW w:w="0" w:type="auto"/>
            <w:noWrap/>
            <w:hideMark/>
          </w:tcPr>
          <w:p w:rsidR="00F0434A" w:rsidRPr="005F065C" w:rsidRDefault="00F0434A" w:rsidP="005C2537">
            <w:pPr>
              <w:rPr>
                <w:rFonts w:asciiTheme="minorHAnsi" w:hAnsiTheme="minorHAnsi"/>
                <w:lang w:val="fr-BE"/>
              </w:rPr>
            </w:pPr>
            <w:r w:rsidRPr="005F065C">
              <w:rPr>
                <w:rFonts w:asciiTheme="minorHAnsi" w:hAnsiTheme="minorHAnsi"/>
                <w:lang w:val="fr-BE"/>
              </w:rPr>
              <w:t xml:space="preserve">parietal lateral </w:t>
            </w:r>
          </w:p>
        </w:tc>
      </w:tr>
      <w:tr w:rsidR="00F0434A" w:rsidRPr="005F065C" w:rsidTr="005C2537">
        <w:trPr>
          <w:trHeight w:val="351"/>
        </w:trPr>
        <w:tc>
          <w:tcPr>
            <w:tcW w:w="0" w:type="auto"/>
            <w:noWrap/>
            <w:hideMark/>
          </w:tcPr>
          <w:p w:rsidR="00F0434A" w:rsidRPr="005F065C" w:rsidRDefault="00F0434A" w:rsidP="005C2537">
            <w:pPr>
              <w:rPr>
                <w:rFonts w:asciiTheme="minorHAnsi" w:hAnsiTheme="minorHAnsi"/>
                <w:lang w:val="fr-BE"/>
              </w:rPr>
            </w:pPr>
            <w:r w:rsidRPr="005F065C">
              <w:rPr>
                <w:rFonts w:asciiTheme="minorHAnsi" w:hAnsiTheme="minorHAnsi"/>
                <w:lang w:val="fr-BE"/>
              </w:rPr>
              <w:t>10</w:t>
            </w:r>
          </w:p>
        </w:tc>
        <w:tc>
          <w:tcPr>
            <w:tcW w:w="0" w:type="auto"/>
            <w:noWrap/>
            <w:hideMark/>
          </w:tcPr>
          <w:p w:rsidR="00F0434A" w:rsidRPr="005F065C" w:rsidRDefault="00F0434A" w:rsidP="005C2537">
            <w:pPr>
              <w:rPr>
                <w:rFonts w:asciiTheme="minorHAnsi" w:hAnsiTheme="minorHAnsi"/>
                <w:lang w:val="fr-BE"/>
              </w:rPr>
            </w:pPr>
            <w:r w:rsidRPr="005F065C">
              <w:rPr>
                <w:rFonts w:asciiTheme="minorHAnsi" w:hAnsiTheme="minorHAnsi"/>
                <w:lang w:val="fr-BE"/>
              </w:rPr>
              <w:t>temporomesial</w:t>
            </w:r>
          </w:p>
        </w:tc>
      </w:tr>
      <w:tr w:rsidR="00F0434A" w:rsidRPr="005F065C" w:rsidTr="005C2537">
        <w:trPr>
          <w:trHeight w:val="351"/>
        </w:trPr>
        <w:tc>
          <w:tcPr>
            <w:tcW w:w="0" w:type="auto"/>
            <w:noWrap/>
            <w:hideMark/>
          </w:tcPr>
          <w:p w:rsidR="00F0434A" w:rsidRPr="005F065C" w:rsidRDefault="00F0434A" w:rsidP="005C2537">
            <w:pPr>
              <w:rPr>
                <w:rFonts w:asciiTheme="minorHAnsi" w:hAnsiTheme="minorHAnsi"/>
                <w:lang w:val="fr-BE"/>
              </w:rPr>
            </w:pPr>
            <w:r w:rsidRPr="005F065C">
              <w:rPr>
                <w:rFonts w:asciiTheme="minorHAnsi" w:hAnsiTheme="minorHAnsi"/>
                <w:lang w:val="fr-BE"/>
              </w:rPr>
              <w:t>11</w:t>
            </w:r>
          </w:p>
        </w:tc>
        <w:tc>
          <w:tcPr>
            <w:tcW w:w="0" w:type="auto"/>
            <w:noWrap/>
            <w:hideMark/>
          </w:tcPr>
          <w:p w:rsidR="00F0434A" w:rsidRPr="005F065C" w:rsidRDefault="00F0434A" w:rsidP="005C2537">
            <w:pPr>
              <w:rPr>
                <w:rFonts w:asciiTheme="minorHAnsi" w:hAnsiTheme="minorHAnsi"/>
                <w:lang w:val="fr-BE"/>
              </w:rPr>
            </w:pPr>
            <w:r w:rsidRPr="005F065C">
              <w:rPr>
                <w:rFonts w:asciiTheme="minorHAnsi" w:hAnsiTheme="minorHAnsi"/>
                <w:lang w:val="fr-BE"/>
              </w:rPr>
              <w:t xml:space="preserve">temporolateral </w:t>
            </w:r>
          </w:p>
        </w:tc>
      </w:tr>
      <w:tr w:rsidR="00F0434A" w:rsidRPr="005F065C" w:rsidTr="005C2537">
        <w:trPr>
          <w:trHeight w:val="351"/>
        </w:trPr>
        <w:tc>
          <w:tcPr>
            <w:tcW w:w="0" w:type="auto"/>
            <w:noWrap/>
            <w:hideMark/>
          </w:tcPr>
          <w:p w:rsidR="00F0434A" w:rsidRPr="005F065C" w:rsidRDefault="00F0434A" w:rsidP="005C2537">
            <w:pPr>
              <w:rPr>
                <w:rFonts w:asciiTheme="minorHAnsi" w:hAnsiTheme="minorHAnsi"/>
                <w:lang w:val="fr-BE"/>
              </w:rPr>
            </w:pPr>
            <w:r w:rsidRPr="005F065C">
              <w:rPr>
                <w:rFonts w:asciiTheme="minorHAnsi" w:hAnsiTheme="minorHAnsi"/>
                <w:lang w:val="fr-BE"/>
              </w:rPr>
              <w:t>12</w:t>
            </w:r>
          </w:p>
        </w:tc>
        <w:tc>
          <w:tcPr>
            <w:tcW w:w="0" w:type="auto"/>
            <w:noWrap/>
            <w:hideMark/>
          </w:tcPr>
          <w:p w:rsidR="00F0434A" w:rsidRPr="005F065C" w:rsidRDefault="00F0434A" w:rsidP="005C2537">
            <w:pPr>
              <w:rPr>
                <w:rFonts w:asciiTheme="minorHAnsi" w:hAnsiTheme="minorHAnsi"/>
                <w:lang w:val="fr-BE"/>
              </w:rPr>
            </w:pPr>
            <w:r w:rsidRPr="005F065C">
              <w:rPr>
                <w:rFonts w:asciiTheme="minorHAnsi" w:hAnsiTheme="minorHAnsi"/>
                <w:lang w:val="fr-BE"/>
              </w:rPr>
              <w:t xml:space="preserve">temporopolar </w:t>
            </w:r>
          </w:p>
        </w:tc>
      </w:tr>
      <w:tr w:rsidR="00F0434A" w:rsidRPr="005F065C" w:rsidTr="005C2537">
        <w:trPr>
          <w:trHeight w:val="351"/>
        </w:trPr>
        <w:tc>
          <w:tcPr>
            <w:tcW w:w="0" w:type="auto"/>
            <w:noWrap/>
            <w:hideMark/>
          </w:tcPr>
          <w:p w:rsidR="00F0434A" w:rsidRPr="005F065C" w:rsidRDefault="00F0434A" w:rsidP="005C2537">
            <w:pPr>
              <w:rPr>
                <w:rFonts w:asciiTheme="minorHAnsi" w:hAnsiTheme="minorHAnsi"/>
                <w:lang w:val="fr-BE"/>
              </w:rPr>
            </w:pPr>
            <w:r w:rsidRPr="005F065C">
              <w:rPr>
                <w:rFonts w:asciiTheme="minorHAnsi" w:hAnsiTheme="minorHAnsi"/>
                <w:lang w:val="fr-BE"/>
              </w:rPr>
              <w:t>13</w:t>
            </w:r>
          </w:p>
        </w:tc>
        <w:tc>
          <w:tcPr>
            <w:tcW w:w="0" w:type="auto"/>
            <w:noWrap/>
            <w:hideMark/>
          </w:tcPr>
          <w:p w:rsidR="00F0434A" w:rsidRPr="005F065C" w:rsidRDefault="00F0434A" w:rsidP="005C2537">
            <w:pPr>
              <w:rPr>
                <w:rFonts w:asciiTheme="minorHAnsi" w:hAnsiTheme="minorHAnsi"/>
                <w:lang w:val="fr-BE"/>
              </w:rPr>
            </w:pPr>
            <w:r w:rsidRPr="005F065C">
              <w:rPr>
                <w:rFonts w:asciiTheme="minorHAnsi" w:hAnsiTheme="minorHAnsi"/>
                <w:lang w:val="fr-BE"/>
              </w:rPr>
              <w:t>temporobasal</w:t>
            </w:r>
          </w:p>
        </w:tc>
      </w:tr>
      <w:tr w:rsidR="00F0434A" w:rsidRPr="005F065C" w:rsidTr="005C2537">
        <w:trPr>
          <w:trHeight w:val="351"/>
        </w:trPr>
        <w:tc>
          <w:tcPr>
            <w:tcW w:w="0" w:type="auto"/>
            <w:noWrap/>
            <w:hideMark/>
          </w:tcPr>
          <w:p w:rsidR="00F0434A" w:rsidRPr="005F065C" w:rsidRDefault="00F0434A" w:rsidP="005C2537">
            <w:pPr>
              <w:rPr>
                <w:rFonts w:asciiTheme="minorHAnsi" w:hAnsiTheme="minorHAnsi"/>
                <w:lang w:val="fr-BE"/>
              </w:rPr>
            </w:pPr>
            <w:r w:rsidRPr="005F065C">
              <w:rPr>
                <w:rFonts w:asciiTheme="minorHAnsi" w:hAnsiTheme="minorHAnsi"/>
                <w:lang w:val="fr-BE"/>
              </w:rPr>
              <w:t>14</w:t>
            </w:r>
          </w:p>
        </w:tc>
        <w:tc>
          <w:tcPr>
            <w:tcW w:w="0" w:type="auto"/>
            <w:noWrap/>
            <w:hideMark/>
          </w:tcPr>
          <w:p w:rsidR="00F0434A" w:rsidRPr="005F065C" w:rsidRDefault="00F0434A" w:rsidP="005C2537">
            <w:pPr>
              <w:rPr>
                <w:rFonts w:asciiTheme="minorHAnsi" w:hAnsiTheme="minorHAnsi"/>
                <w:lang w:val="fr-BE"/>
              </w:rPr>
            </w:pPr>
            <w:r w:rsidRPr="005F065C">
              <w:rPr>
                <w:rFonts w:asciiTheme="minorHAnsi" w:hAnsiTheme="minorHAnsi"/>
                <w:lang w:val="fr-BE"/>
              </w:rPr>
              <w:t xml:space="preserve">occipital mesial </w:t>
            </w:r>
          </w:p>
        </w:tc>
      </w:tr>
      <w:tr w:rsidR="00F0434A" w:rsidRPr="005F065C" w:rsidTr="005C2537">
        <w:trPr>
          <w:trHeight w:val="351"/>
        </w:trPr>
        <w:tc>
          <w:tcPr>
            <w:tcW w:w="0" w:type="auto"/>
            <w:noWrap/>
            <w:hideMark/>
          </w:tcPr>
          <w:p w:rsidR="00F0434A" w:rsidRPr="005F065C" w:rsidRDefault="00F0434A" w:rsidP="005C2537">
            <w:pPr>
              <w:rPr>
                <w:rFonts w:asciiTheme="minorHAnsi" w:hAnsiTheme="minorHAnsi"/>
                <w:lang w:val="fr-BE"/>
              </w:rPr>
            </w:pPr>
            <w:r w:rsidRPr="005F065C">
              <w:rPr>
                <w:rFonts w:asciiTheme="minorHAnsi" w:hAnsiTheme="minorHAnsi"/>
                <w:lang w:val="fr-BE"/>
              </w:rPr>
              <w:t>15</w:t>
            </w:r>
          </w:p>
        </w:tc>
        <w:tc>
          <w:tcPr>
            <w:tcW w:w="0" w:type="auto"/>
            <w:noWrap/>
            <w:hideMark/>
          </w:tcPr>
          <w:p w:rsidR="00F0434A" w:rsidRPr="005F065C" w:rsidRDefault="00F0434A" w:rsidP="005C2537">
            <w:pPr>
              <w:rPr>
                <w:rFonts w:asciiTheme="minorHAnsi" w:hAnsiTheme="minorHAnsi"/>
                <w:lang w:val="fr-BE"/>
              </w:rPr>
            </w:pPr>
            <w:r w:rsidRPr="005F065C">
              <w:rPr>
                <w:rFonts w:asciiTheme="minorHAnsi" w:hAnsiTheme="minorHAnsi"/>
                <w:lang w:val="fr-BE"/>
              </w:rPr>
              <w:t xml:space="preserve">occipital lateral </w:t>
            </w:r>
          </w:p>
        </w:tc>
      </w:tr>
      <w:tr w:rsidR="00F0434A" w:rsidRPr="005F065C" w:rsidTr="005C2537">
        <w:trPr>
          <w:trHeight w:val="351"/>
        </w:trPr>
        <w:tc>
          <w:tcPr>
            <w:tcW w:w="0" w:type="auto"/>
            <w:noWrap/>
            <w:hideMark/>
          </w:tcPr>
          <w:p w:rsidR="00F0434A" w:rsidRPr="005F065C" w:rsidRDefault="00F0434A" w:rsidP="005C2537">
            <w:pPr>
              <w:rPr>
                <w:rFonts w:asciiTheme="minorHAnsi" w:hAnsiTheme="minorHAnsi"/>
                <w:lang w:val="fr-BE"/>
              </w:rPr>
            </w:pPr>
            <w:r w:rsidRPr="005F065C">
              <w:rPr>
                <w:rFonts w:asciiTheme="minorHAnsi" w:hAnsiTheme="minorHAnsi"/>
                <w:lang w:val="fr-BE"/>
              </w:rPr>
              <w:t>16</w:t>
            </w:r>
          </w:p>
        </w:tc>
        <w:tc>
          <w:tcPr>
            <w:tcW w:w="0" w:type="auto"/>
            <w:noWrap/>
            <w:hideMark/>
          </w:tcPr>
          <w:p w:rsidR="00F0434A" w:rsidRPr="005F065C" w:rsidRDefault="00F0434A" w:rsidP="005C2537">
            <w:pPr>
              <w:rPr>
                <w:rFonts w:asciiTheme="minorHAnsi" w:hAnsiTheme="minorHAnsi"/>
                <w:lang w:val="fr-BE"/>
              </w:rPr>
            </w:pPr>
            <w:r w:rsidRPr="005F065C">
              <w:rPr>
                <w:rFonts w:asciiTheme="minorHAnsi" w:hAnsiTheme="minorHAnsi"/>
                <w:lang w:val="fr-BE"/>
              </w:rPr>
              <w:t xml:space="preserve">anterior operculo-insular </w:t>
            </w:r>
          </w:p>
        </w:tc>
      </w:tr>
      <w:tr w:rsidR="00F0434A" w:rsidRPr="005F065C" w:rsidTr="005C2537">
        <w:trPr>
          <w:trHeight w:val="351"/>
        </w:trPr>
        <w:tc>
          <w:tcPr>
            <w:tcW w:w="0" w:type="auto"/>
            <w:noWrap/>
            <w:hideMark/>
          </w:tcPr>
          <w:p w:rsidR="00F0434A" w:rsidRPr="005F065C" w:rsidRDefault="00F0434A" w:rsidP="005C2537">
            <w:pPr>
              <w:rPr>
                <w:rFonts w:asciiTheme="minorHAnsi" w:hAnsiTheme="minorHAnsi"/>
                <w:lang w:val="fr-BE"/>
              </w:rPr>
            </w:pPr>
            <w:r w:rsidRPr="005F065C">
              <w:rPr>
                <w:rFonts w:asciiTheme="minorHAnsi" w:hAnsiTheme="minorHAnsi"/>
                <w:lang w:val="fr-BE"/>
              </w:rPr>
              <w:t>17</w:t>
            </w:r>
          </w:p>
        </w:tc>
        <w:tc>
          <w:tcPr>
            <w:tcW w:w="0" w:type="auto"/>
            <w:noWrap/>
            <w:hideMark/>
          </w:tcPr>
          <w:p w:rsidR="00F0434A" w:rsidRPr="005F065C" w:rsidRDefault="00F0434A" w:rsidP="005C2537">
            <w:pPr>
              <w:rPr>
                <w:rFonts w:asciiTheme="minorHAnsi" w:hAnsiTheme="minorHAnsi"/>
                <w:lang w:val="fr-BE"/>
              </w:rPr>
            </w:pPr>
            <w:r w:rsidRPr="005F065C">
              <w:rPr>
                <w:rFonts w:asciiTheme="minorHAnsi" w:hAnsiTheme="minorHAnsi"/>
                <w:lang w:val="fr-BE"/>
              </w:rPr>
              <w:t xml:space="preserve">posterior operculo-insular </w:t>
            </w:r>
          </w:p>
        </w:tc>
      </w:tr>
      <w:tr w:rsidR="00F0434A" w:rsidRPr="005F065C" w:rsidTr="005C2537">
        <w:trPr>
          <w:trHeight w:val="351"/>
        </w:trPr>
        <w:tc>
          <w:tcPr>
            <w:tcW w:w="0" w:type="auto"/>
            <w:noWrap/>
            <w:hideMark/>
          </w:tcPr>
          <w:p w:rsidR="00F0434A" w:rsidRPr="005F065C" w:rsidRDefault="00F0434A" w:rsidP="005C2537">
            <w:pPr>
              <w:rPr>
                <w:rFonts w:asciiTheme="minorHAnsi" w:hAnsiTheme="minorHAnsi"/>
                <w:lang w:val="fr-BE"/>
              </w:rPr>
            </w:pPr>
            <w:r w:rsidRPr="005F065C">
              <w:rPr>
                <w:rFonts w:asciiTheme="minorHAnsi" w:hAnsiTheme="minorHAnsi"/>
                <w:lang w:val="fr-BE"/>
              </w:rPr>
              <w:t>18</w:t>
            </w:r>
          </w:p>
        </w:tc>
        <w:tc>
          <w:tcPr>
            <w:tcW w:w="0" w:type="auto"/>
            <w:noWrap/>
            <w:hideMark/>
          </w:tcPr>
          <w:p w:rsidR="00F0434A" w:rsidRPr="005F065C" w:rsidRDefault="00F0434A" w:rsidP="005C2537">
            <w:pPr>
              <w:rPr>
                <w:rFonts w:asciiTheme="minorHAnsi" w:hAnsiTheme="minorHAnsi"/>
                <w:lang w:val="fr-BE"/>
              </w:rPr>
            </w:pPr>
            <w:r w:rsidRPr="005F065C">
              <w:rPr>
                <w:rFonts w:asciiTheme="minorHAnsi" w:hAnsiTheme="minorHAnsi"/>
                <w:lang w:val="fr-BE"/>
              </w:rPr>
              <w:t xml:space="preserve">temporo-parieto-occipital junction </w:t>
            </w:r>
          </w:p>
        </w:tc>
      </w:tr>
      <w:tr w:rsidR="00F0434A" w:rsidRPr="005F065C" w:rsidTr="005C2537">
        <w:trPr>
          <w:trHeight w:val="351"/>
        </w:trPr>
        <w:tc>
          <w:tcPr>
            <w:tcW w:w="0" w:type="auto"/>
            <w:noWrap/>
            <w:hideMark/>
          </w:tcPr>
          <w:p w:rsidR="00F0434A" w:rsidRPr="005F065C" w:rsidRDefault="00F0434A" w:rsidP="005C2537">
            <w:pPr>
              <w:rPr>
                <w:rFonts w:asciiTheme="minorHAnsi" w:hAnsiTheme="minorHAnsi"/>
                <w:lang w:val="fr-BE"/>
              </w:rPr>
            </w:pPr>
            <w:r w:rsidRPr="005F065C">
              <w:rPr>
                <w:rFonts w:asciiTheme="minorHAnsi" w:hAnsiTheme="minorHAnsi"/>
                <w:lang w:val="fr-BE"/>
              </w:rPr>
              <w:t>19</w:t>
            </w:r>
          </w:p>
        </w:tc>
        <w:tc>
          <w:tcPr>
            <w:tcW w:w="0" w:type="auto"/>
            <w:noWrap/>
            <w:hideMark/>
          </w:tcPr>
          <w:p w:rsidR="00F0434A" w:rsidRPr="005F065C" w:rsidRDefault="00F0434A" w:rsidP="005C2537">
            <w:pPr>
              <w:rPr>
                <w:rFonts w:asciiTheme="minorHAnsi" w:hAnsiTheme="minorHAnsi"/>
                <w:lang w:val="fr-BE"/>
              </w:rPr>
            </w:pPr>
            <w:r w:rsidRPr="005F065C">
              <w:rPr>
                <w:rFonts w:asciiTheme="minorHAnsi" w:hAnsiTheme="minorHAnsi"/>
                <w:lang w:val="fr-BE"/>
              </w:rPr>
              <w:t xml:space="preserve">anterior cingular </w:t>
            </w:r>
          </w:p>
        </w:tc>
      </w:tr>
      <w:tr w:rsidR="00F0434A" w:rsidRPr="005F065C" w:rsidTr="005C2537">
        <w:trPr>
          <w:trHeight w:val="351"/>
        </w:trPr>
        <w:tc>
          <w:tcPr>
            <w:tcW w:w="0" w:type="auto"/>
            <w:noWrap/>
            <w:hideMark/>
          </w:tcPr>
          <w:p w:rsidR="00F0434A" w:rsidRPr="005F065C" w:rsidRDefault="00F0434A" w:rsidP="005C2537">
            <w:pPr>
              <w:rPr>
                <w:rFonts w:asciiTheme="minorHAnsi" w:hAnsiTheme="minorHAnsi"/>
                <w:lang w:val="fr-BE"/>
              </w:rPr>
            </w:pPr>
            <w:r w:rsidRPr="005F065C">
              <w:rPr>
                <w:rFonts w:asciiTheme="minorHAnsi" w:hAnsiTheme="minorHAnsi"/>
                <w:lang w:val="fr-BE"/>
              </w:rPr>
              <w:t>20</w:t>
            </w:r>
          </w:p>
        </w:tc>
        <w:tc>
          <w:tcPr>
            <w:tcW w:w="0" w:type="auto"/>
            <w:noWrap/>
            <w:hideMark/>
          </w:tcPr>
          <w:p w:rsidR="00F0434A" w:rsidRPr="005F065C" w:rsidRDefault="00F0434A" w:rsidP="005C2537">
            <w:pPr>
              <w:rPr>
                <w:rFonts w:asciiTheme="minorHAnsi" w:hAnsiTheme="minorHAnsi"/>
                <w:lang w:val="fr-BE"/>
              </w:rPr>
            </w:pPr>
            <w:r w:rsidRPr="005F065C">
              <w:rPr>
                <w:rFonts w:asciiTheme="minorHAnsi" w:hAnsiTheme="minorHAnsi"/>
                <w:lang w:val="fr-BE"/>
              </w:rPr>
              <w:t>middle cingular</w:t>
            </w:r>
          </w:p>
        </w:tc>
      </w:tr>
      <w:tr w:rsidR="00F0434A" w:rsidRPr="005F065C" w:rsidTr="005C2537">
        <w:trPr>
          <w:trHeight w:val="351"/>
        </w:trPr>
        <w:tc>
          <w:tcPr>
            <w:tcW w:w="0" w:type="auto"/>
            <w:noWrap/>
            <w:hideMark/>
          </w:tcPr>
          <w:p w:rsidR="00F0434A" w:rsidRPr="005F065C" w:rsidRDefault="00F0434A" w:rsidP="005C2537">
            <w:pPr>
              <w:rPr>
                <w:rFonts w:asciiTheme="minorHAnsi" w:hAnsiTheme="minorHAnsi"/>
                <w:lang w:val="fr-BE"/>
              </w:rPr>
            </w:pPr>
            <w:r w:rsidRPr="005F065C">
              <w:rPr>
                <w:rFonts w:asciiTheme="minorHAnsi" w:hAnsiTheme="minorHAnsi"/>
                <w:lang w:val="fr-BE"/>
              </w:rPr>
              <w:t>21</w:t>
            </w:r>
          </w:p>
        </w:tc>
        <w:tc>
          <w:tcPr>
            <w:tcW w:w="0" w:type="auto"/>
            <w:noWrap/>
            <w:hideMark/>
          </w:tcPr>
          <w:p w:rsidR="00F0434A" w:rsidRPr="005F065C" w:rsidRDefault="00F0434A" w:rsidP="005C2537">
            <w:pPr>
              <w:rPr>
                <w:rFonts w:asciiTheme="minorHAnsi" w:hAnsiTheme="minorHAnsi"/>
                <w:lang w:val="fr-BE"/>
              </w:rPr>
            </w:pPr>
            <w:r w:rsidRPr="005F065C">
              <w:rPr>
                <w:rFonts w:asciiTheme="minorHAnsi" w:hAnsiTheme="minorHAnsi"/>
                <w:lang w:val="fr-BE"/>
              </w:rPr>
              <w:t>posterior cingular</w:t>
            </w:r>
          </w:p>
        </w:tc>
      </w:tr>
    </w:tbl>
    <w:p w:rsidR="00F0434A" w:rsidRDefault="00F0434A" w:rsidP="00F0434A">
      <w:pPr>
        <w:rPr>
          <w:rFonts w:asciiTheme="minorHAnsi" w:hAnsiTheme="minorHAnsi"/>
          <w:b/>
          <w:lang w:val="en-US"/>
        </w:rPr>
      </w:pPr>
    </w:p>
    <w:p w:rsidR="00F0434A" w:rsidRDefault="00F0434A" w:rsidP="00F0434A">
      <w:pPr>
        <w:rPr>
          <w:rFonts w:asciiTheme="minorHAnsi" w:hAnsiTheme="minorHAnsi"/>
          <w:b/>
          <w:lang w:val="en-US"/>
        </w:rPr>
      </w:pPr>
    </w:p>
    <w:p w:rsidR="00F0434A" w:rsidRDefault="00F0434A" w:rsidP="00F0434A">
      <w:pPr>
        <w:rPr>
          <w:rFonts w:asciiTheme="minorHAnsi" w:hAnsiTheme="minorHAnsi"/>
          <w:b/>
          <w:lang w:val="en-US"/>
        </w:rPr>
      </w:pPr>
    </w:p>
    <w:p w:rsidR="00F0434A" w:rsidRDefault="00F0434A" w:rsidP="00F0434A">
      <w:pPr>
        <w:rPr>
          <w:rFonts w:asciiTheme="minorHAnsi" w:hAnsiTheme="minorHAnsi"/>
          <w:b/>
          <w:lang w:val="en-US"/>
        </w:rPr>
      </w:pPr>
    </w:p>
    <w:p w:rsidR="00F0434A" w:rsidRDefault="00F0434A" w:rsidP="00F0434A">
      <w:pPr>
        <w:rPr>
          <w:rFonts w:asciiTheme="minorHAnsi" w:hAnsiTheme="minorHAnsi"/>
          <w:b/>
          <w:lang w:val="en-US"/>
        </w:rPr>
      </w:pPr>
    </w:p>
    <w:p w:rsidR="00F0434A" w:rsidRDefault="00F0434A" w:rsidP="00F0434A">
      <w:pPr>
        <w:rPr>
          <w:rFonts w:asciiTheme="minorHAnsi" w:hAnsiTheme="minorHAnsi"/>
          <w:b/>
          <w:lang w:val="en-US"/>
        </w:rPr>
      </w:pPr>
    </w:p>
    <w:p w:rsidR="00F0434A" w:rsidRDefault="00F0434A" w:rsidP="00F0434A">
      <w:pPr>
        <w:rPr>
          <w:rFonts w:asciiTheme="minorHAnsi" w:hAnsiTheme="minorHAnsi"/>
          <w:b/>
          <w:lang w:val="en-US"/>
        </w:rPr>
      </w:pPr>
    </w:p>
    <w:p w:rsidR="00F0434A" w:rsidRDefault="00F0434A" w:rsidP="00F0434A">
      <w:pPr>
        <w:rPr>
          <w:rFonts w:asciiTheme="minorHAnsi" w:hAnsiTheme="minorHAnsi"/>
          <w:b/>
          <w:lang w:val="en-US"/>
        </w:rPr>
      </w:pPr>
    </w:p>
    <w:p w:rsidR="00F0434A" w:rsidRDefault="00F0434A" w:rsidP="00F0434A">
      <w:pPr>
        <w:rPr>
          <w:rFonts w:asciiTheme="minorHAnsi" w:hAnsiTheme="minorHAnsi"/>
          <w:b/>
          <w:lang w:val="en-US"/>
        </w:rPr>
      </w:pPr>
    </w:p>
    <w:p w:rsidR="00F0434A" w:rsidRDefault="00F0434A" w:rsidP="00F0434A">
      <w:pPr>
        <w:rPr>
          <w:rFonts w:asciiTheme="minorHAnsi" w:hAnsiTheme="minorHAnsi"/>
          <w:b/>
          <w:lang w:val="en-US"/>
        </w:rPr>
      </w:pPr>
    </w:p>
    <w:p w:rsidR="00F0434A" w:rsidRDefault="00F0434A" w:rsidP="00F0434A">
      <w:pPr>
        <w:rPr>
          <w:rFonts w:asciiTheme="minorHAnsi" w:hAnsiTheme="minorHAnsi"/>
          <w:b/>
          <w:lang w:val="en-US"/>
        </w:rPr>
      </w:pPr>
    </w:p>
    <w:p w:rsidR="00F0434A" w:rsidRDefault="00F0434A" w:rsidP="00F0434A">
      <w:pPr>
        <w:rPr>
          <w:rFonts w:asciiTheme="minorHAnsi" w:hAnsiTheme="minorHAnsi"/>
          <w:b/>
          <w:lang w:val="en-US"/>
        </w:rPr>
      </w:pPr>
    </w:p>
    <w:p w:rsidR="00F0434A" w:rsidRDefault="00F0434A" w:rsidP="00F0434A">
      <w:pPr>
        <w:rPr>
          <w:rFonts w:asciiTheme="minorHAnsi" w:hAnsiTheme="minorHAnsi"/>
          <w:b/>
          <w:lang w:val="en-US"/>
        </w:rPr>
      </w:pPr>
    </w:p>
    <w:p w:rsidR="00F0434A" w:rsidRDefault="00F0434A" w:rsidP="00F0434A">
      <w:pPr>
        <w:rPr>
          <w:rFonts w:asciiTheme="minorHAnsi" w:hAnsiTheme="minorHAnsi"/>
          <w:b/>
          <w:lang w:val="en-US"/>
        </w:rPr>
      </w:pPr>
    </w:p>
    <w:p w:rsidR="00F0434A" w:rsidRDefault="00F0434A" w:rsidP="00F0434A">
      <w:pPr>
        <w:rPr>
          <w:rFonts w:asciiTheme="minorHAnsi" w:hAnsiTheme="minorHAnsi"/>
          <w:b/>
          <w:lang w:val="en-US"/>
        </w:rPr>
      </w:pPr>
    </w:p>
    <w:p w:rsidR="00F0434A" w:rsidRDefault="00F0434A" w:rsidP="00F0434A">
      <w:pPr>
        <w:rPr>
          <w:rFonts w:asciiTheme="minorHAnsi" w:hAnsiTheme="minorHAnsi"/>
          <w:b/>
          <w:lang w:val="en-US"/>
        </w:rPr>
      </w:pPr>
    </w:p>
    <w:p w:rsidR="00F0434A" w:rsidRDefault="00F0434A" w:rsidP="00F0434A">
      <w:pPr>
        <w:rPr>
          <w:rFonts w:asciiTheme="minorHAnsi" w:hAnsiTheme="minorHAnsi"/>
          <w:b/>
          <w:lang w:val="en-US"/>
        </w:rPr>
      </w:pPr>
    </w:p>
    <w:p w:rsidR="00F0434A" w:rsidRDefault="00F0434A" w:rsidP="00F0434A">
      <w:pPr>
        <w:rPr>
          <w:rFonts w:asciiTheme="minorHAnsi" w:hAnsiTheme="minorHAnsi"/>
          <w:b/>
          <w:lang w:val="en-US"/>
        </w:rPr>
      </w:pPr>
    </w:p>
    <w:p w:rsidR="00F0434A" w:rsidRDefault="00F0434A" w:rsidP="00F0434A">
      <w:pPr>
        <w:rPr>
          <w:rFonts w:asciiTheme="minorHAnsi" w:hAnsiTheme="minorHAnsi"/>
          <w:b/>
          <w:lang w:val="en-US"/>
        </w:rPr>
      </w:pPr>
    </w:p>
    <w:p w:rsidR="00F0434A" w:rsidRDefault="00F0434A" w:rsidP="00F0434A">
      <w:pPr>
        <w:rPr>
          <w:rFonts w:asciiTheme="minorHAnsi" w:hAnsiTheme="minorHAnsi"/>
          <w:b/>
          <w:lang w:val="en-US"/>
        </w:rPr>
      </w:pPr>
    </w:p>
    <w:p w:rsidR="00F0434A" w:rsidRDefault="00F0434A" w:rsidP="00F0434A">
      <w:pPr>
        <w:rPr>
          <w:rFonts w:asciiTheme="minorHAnsi" w:hAnsiTheme="minorHAnsi"/>
          <w:b/>
          <w:lang w:val="en-US"/>
        </w:rPr>
      </w:pPr>
    </w:p>
    <w:p w:rsidR="00F0434A" w:rsidRDefault="00F0434A" w:rsidP="00F0434A">
      <w:pPr>
        <w:rPr>
          <w:rFonts w:asciiTheme="minorHAnsi" w:hAnsiTheme="minorHAnsi"/>
          <w:b/>
          <w:sz w:val="20"/>
          <w:lang w:val="en-US"/>
        </w:rPr>
      </w:pPr>
    </w:p>
    <w:p w:rsidR="00F0434A" w:rsidRDefault="00F0434A" w:rsidP="00F0434A">
      <w:pPr>
        <w:rPr>
          <w:rFonts w:asciiTheme="minorHAnsi" w:hAnsiTheme="minorHAnsi"/>
          <w:b/>
          <w:sz w:val="20"/>
          <w:lang w:val="en-US"/>
        </w:rPr>
      </w:pPr>
    </w:p>
    <w:p w:rsidR="00F0434A" w:rsidRDefault="00F0434A" w:rsidP="00F0434A">
      <w:pPr>
        <w:rPr>
          <w:rFonts w:asciiTheme="minorHAnsi" w:hAnsiTheme="minorHAnsi"/>
          <w:b/>
          <w:sz w:val="20"/>
          <w:lang w:val="en-US"/>
        </w:rPr>
      </w:pPr>
    </w:p>
    <w:p w:rsidR="00F0434A" w:rsidRPr="00D03BB2" w:rsidRDefault="00F0434A" w:rsidP="00F0434A">
      <w:pPr>
        <w:rPr>
          <w:rFonts w:asciiTheme="minorHAnsi" w:hAnsiTheme="minorHAnsi"/>
          <w:b/>
          <w:sz w:val="20"/>
          <w:lang w:val="en-US"/>
        </w:rPr>
      </w:pPr>
    </w:p>
    <w:p w:rsidR="00F0434A" w:rsidRDefault="00F0434A" w:rsidP="00F0434A">
      <w:pPr>
        <w:rPr>
          <w:rFonts w:asciiTheme="minorHAnsi" w:hAnsiTheme="minorHAnsi"/>
          <w:b/>
          <w:sz w:val="20"/>
          <w:lang w:val="en-US"/>
        </w:rPr>
      </w:pPr>
    </w:p>
    <w:p w:rsidR="00F0434A" w:rsidRDefault="00F0434A" w:rsidP="00F0434A">
      <w:pPr>
        <w:rPr>
          <w:rFonts w:asciiTheme="minorHAnsi" w:hAnsiTheme="minorHAnsi"/>
          <w:b/>
          <w:sz w:val="20"/>
          <w:lang w:val="en-US"/>
        </w:rPr>
      </w:pPr>
    </w:p>
    <w:p w:rsidR="00F0434A" w:rsidRDefault="00F0434A" w:rsidP="00F0434A">
      <w:pPr>
        <w:rPr>
          <w:rFonts w:asciiTheme="minorHAnsi" w:hAnsiTheme="minorHAnsi"/>
          <w:b/>
          <w:sz w:val="20"/>
          <w:lang w:val="en-US"/>
        </w:rPr>
      </w:pPr>
    </w:p>
    <w:p w:rsidR="00F0434A" w:rsidRDefault="00F0434A" w:rsidP="00F0434A">
      <w:pPr>
        <w:rPr>
          <w:rFonts w:asciiTheme="minorHAnsi" w:hAnsiTheme="minorHAnsi"/>
          <w:sz w:val="20"/>
          <w:lang w:val="en-US"/>
        </w:rPr>
      </w:pPr>
      <w:r w:rsidRPr="00D03BB2">
        <w:rPr>
          <w:rFonts w:asciiTheme="minorHAnsi" w:hAnsiTheme="minorHAnsi"/>
          <w:b/>
          <w:sz w:val="20"/>
          <w:lang w:val="en-US"/>
        </w:rPr>
        <w:t>Supplementary Material 1</w:t>
      </w:r>
      <w:r w:rsidRPr="00D03BB2">
        <w:rPr>
          <w:rFonts w:asciiTheme="minorHAnsi" w:hAnsiTheme="minorHAnsi"/>
          <w:sz w:val="20"/>
          <w:lang w:val="en-US"/>
        </w:rPr>
        <w:t>. Sublobar classification.</w:t>
      </w:r>
    </w:p>
    <w:p w:rsidR="00F0434A" w:rsidRDefault="00F0434A" w:rsidP="00F0434A">
      <w:pPr>
        <w:rPr>
          <w:rFonts w:asciiTheme="minorHAnsi" w:hAnsiTheme="minorHAnsi"/>
          <w:sz w:val="20"/>
          <w:lang w:val="en-US"/>
        </w:rPr>
      </w:pPr>
    </w:p>
    <w:p w:rsidR="00F0434A" w:rsidRDefault="00F0434A" w:rsidP="00F0434A">
      <w:pPr>
        <w:rPr>
          <w:rFonts w:asciiTheme="minorHAnsi" w:hAnsiTheme="minorHAnsi"/>
          <w:sz w:val="20"/>
          <w:lang w:val="en-US"/>
        </w:rPr>
      </w:pPr>
    </w:p>
    <w:p w:rsidR="00F0434A" w:rsidRDefault="00F0434A" w:rsidP="00F0434A">
      <w:pPr>
        <w:rPr>
          <w:rFonts w:asciiTheme="minorHAnsi" w:hAnsiTheme="minorHAnsi"/>
          <w:sz w:val="20"/>
          <w:lang w:val="en-US"/>
        </w:rPr>
      </w:pPr>
    </w:p>
    <w:p w:rsidR="00F0434A" w:rsidRDefault="00F0434A" w:rsidP="00F0434A">
      <w:pPr>
        <w:rPr>
          <w:rFonts w:asciiTheme="minorHAnsi" w:hAnsiTheme="minorHAnsi"/>
          <w:sz w:val="20"/>
          <w:lang w:val="en-US"/>
        </w:rPr>
      </w:pPr>
    </w:p>
    <w:p w:rsidR="00F0434A" w:rsidRDefault="00F0434A" w:rsidP="00F0434A">
      <w:pPr>
        <w:rPr>
          <w:rFonts w:asciiTheme="minorHAnsi" w:hAnsiTheme="minorHAnsi"/>
          <w:sz w:val="20"/>
          <w:lang w:val="en-US"/>
        </w:rPr>
      </w:pPr>
    </w:p>
    <w:p w:rsidR="00F0434A" w:rsidRDefault="00F0434A" w:rsidP="00F0434A">
      <w:pPr>
        <w:rPr>
          <w:rFonts w:asciiTheme="minorHAnsi" w:hAnsiTheme="minorHAnsi"/>
          <w:sz w:val="20"/>
          <w:lang w:val="en-US"/>
        </w:rPr>
      </w:pPr>
    </w:p>
    <w:p w:rsidR="00F0434A" w:rsidRDefault="00F0434A" w:rsidP="00F0434A">
      <w:pPr>
        <w:rPr>
          <w:rFonts w:asciiTheme="minorHAnsi" w:hAnsiTheme="minorHAnsi"/>
          <w:sz w:val="20"/>
          <w:lang w:val="en-US"/>
        </w:rPr>
      </w:pPr>
    </w:p>
    <w:p w:rsidR="00F0434A" w:rsidRDefault="00F0434A" w:rsidP="00F0434A">
      <w:pPr>
        <w:rPr>
          <w:rFonts w:asciiTheme="minorHAnsi" w:hAnsiTheme="minorHAnsi"/>
          <w:sz w:val="20"/>
          <w:lang w:val="en-US"/>
        </w:rPr>
      </w:pPr>
    </w:p>
    <w:p w:rsidR="00F0434A" w:rsidRDefault="00F0434A" w:rsidP="00F0434A">
      <w:pPr>
        <w:rPr>
          <w:rFonts w:asciiTheme="minorHAnsi" w:hAnsiTheme="minorHAnsi"/>
          <w:sz w:val="20"/>
          <w:lang w:val="en-US"/>
        </w:rPr>
      </w:pPr>
    </w:p>
    <w:p w:rsidR="00F0434A" w:rsidRDefault="00F0434A" w:rsidP="00F0434A">
      <w:pPr>
        <w:rPr>
          <w:rFonts w:asciiTheme="minorHAnsi" w:hAnsiTheme="minorHAnsi"/>
          <w:sz w:val="20"/>
          <w:lang w:val="en-US"/>
        </w:rPr>
      </w:pPr>
    </w:p>
    <w:p w:rsidR="00F0434A" w:rsidRDefault="00F0434A" w:rsidP="00F0434A">
      <w:pPr>
        <w:rPr>
          <w:rFonts w:asciiTheme="minorHAnsi" w:hAnsiTheme="minorHAnsi"/>
          <w:sz w:val="20"/>
          <w:lang w:val="en-US"/>
        </w:rPr>
      </w:pPr>
    </w:p>
    <w:p w:rsidR="00F0434A" w:rsidRDefault="00F0434A" w:rsidP="00F0434A">
      <w:pPr>
        <w:rPr>
          <w:rFonts w:asciiTheme="minorHAnsi" w:hAnsiTheme="minorHAnsi"/>
          <w:sz w:val="20"/>
          <w:lang w:val="en-US"/>
        </w:rPr>
      </w:pPr>
    </w:p>
    <w:p w:rsidR="00F0434A" w:rsidRDefault="00F0434A" w:rsidP="00F0434A">
      <w:pPr>
        <w:rPr>
          <w:rFonts w:asciiTheme="minorHAnsi" w:hAnsiTheme="minorHAnsi"/>
          <w:sz w:val="20"/>
          <w:lang w:val="en-US"/>
        </w:rPr>
      </w:pPr>
    </w:p>
    <w:p w:rsidR="00F0434A" w:rsidRDefault="00F0434A" w:rsidP="00F0434A">
      <w:pPr>
        <w:rPr>
          <w:rFonts w:asciiTheme="minorHAnsi" w:hAnsiTheme="minorHAnsi"/>
          <w:sz w:val="20"/>
          <w:lang w:val="en-US"/>
        </w:rPr>
      </w:pPr>
    </w:p>
    <w:p w:rsidR="00F0434A" w:rsidRDefault="00F0434A" w:rsidP="00F0434A">
      <w:pPr>
        <w:rPr>
          <w:rFonts w:asciiTheme="minorHAnsi" w:hAnsiTheme="minorHAnsi"/>
          <w:sz w:val="20"/>
          <w:lang w:val="en-US"/>
        </w:rPr>
      </w:pPr>
    </w:p>
    <w:p w:rsidR="00F0434A" w:rsidRDefault="00F0434A" w:rsidP="00F0434A">
      <w:pPr>
        <w:rPr>
          <w:rFonts w:asciiTheme="minorHAnsi" w:hAnsiTheme="minorHAnsi"/>
          <w:sz w:val="20"/>
          <w:lang w:val="en-US"/>
        </w:rPr>
      </w:pPr>
    </w:p>
    <w:p w:rsidR="00F0434A" w:rsidRDefault="00F0434A" w:rsidP="00F0434A">
      <w:pPr>
        <w:rPr>
          <w:rFonts w:asciiTheme="minorHAnsi" w:hAnsiTheme="minorHAnsi"/>
          <w:sz w:val="20"/>
          <w:lang w:val="en-US"/>
        </w:rPr>
      </w:pPr>
    </w:p>
    <w:p w:rsidR="00F0434A" w:rsidRDefault="00F0434A" w:rsidP="00F0434A">
      <w:pPr>
        <w:rPr>
          <w:rFonts w:asciiTheme="minorHAnsi" w:hAnsiTheme="minorHAnsi"/>
          <w:sz w:val="20"/>
          <w:lang w:val="en-US"/>
        </w:rPr>
      </w:pPr>
    </w:p>
    <w:p w:rsidR="00F0434A" w:rsidRDefault="00F0434A" w:rsidP="00F0434A">
      <w:pPr>
        <w:rPr>
          <w:rFonts w:asciiTheme="minorHAnsi" w:hAnsiTheme="minorHAnsi"/>
          <w:sz w:val="20"/>
          <w:lang w:val="en-US"/>
        </w:rPr>
      </w:pPr>
    </w:p>
    <w:p w:rsidR="00F0434A" w:rsidRDefault="00F0434A" w:rsidP="00F0434A">
      <w:pPr>
        <w:rPr>
          <w:rFonts w:asciiTheme="minorHAnsi" w:hAnsiTheme="minorHAnsi"/>
          <w:sz w:val="20"/>
          <w:lang w:val="en-US"/>
        </w:rPr>
      </w:pPr>
    </w:p>
    <w:tbl>
      <w:tblPr>
        <w:tblStyle w:val="Tableausimple11"/>
        <w:tblpPr w:leftFromText="141" w:rightFromText="141" w:vertAnchor="text" w:horzAnchor="margin" w:tblpY="-29"/>
        <w:tblW w:w="4050" w:type="dxa"/>
        <w:tblLook w:val="0600" w:firstRow="0" w:lastRow="0" w:firstColumn="0" w:lastColumn="0" w:noHBand="1" w:noVBand="1"/>
      </w:tblPr>
      <w:tblGrid>
        <w:gridCol w:w="2946"/>
        <w:gridCol w:w="1104"/>
      </w:tblGrid>
      <w:tr w:rsidR="00F0434A" w:rsidRPr="001B31BD" w:rsidTr="005C2537">
        <w:trPr>
          <w:trHeight w:val="213"/>
        </w:trPr>
        <w:tc>
          <w:tcPr>
            <w:tcW w:w="2946" w:type="dxa"/>
            <w:hideMark/>
          </w:tcPr>
          <w:p w:rsidR="00F0434A" w:rsidRPr="001B31BD" w:rsidRDefault="00F0434A" w:rsidP="005C2537">
            <w:pPr>
              <w:textAlignment w:val="bottom"/>
              <w:rPr>
                <w:rFonts w:ascii="Arial" w:eastAsia="Times New Roman" w:hAnsi="Arial" w:cs="Arial"/>
                <w:color w:val="auto"/>
                <w:kern w:val="0"/>
                <w:sz w:val="20"/>
                <w:szCs w:val="18"/>
                <w:lang w:val="en-US" w:eastAsia="fr-BE" w:bidi="ar-SA"/>
              </w:rPr>
            </w:pPr>
            <w:r w:rsidRPr="001B31BD">
              <w:rPr>
                <w:rFonts w:ascii="Calibri" w:eastAsia="Times New Roman" w:hAnsi="Calibri" w:cs="Calibri"/>
                <w:b/>
                <w:bCs/>
                <w:color w:val="000000"/>
                <w:kern w:val="24"/>
                <w:sz w:val="20"/>
                <w:szCs w:val="18"/>
                <w:lang w:val="en-US" w:eastAsia="fr-BE" w:bidi="ar-SA"/>
              </w:rPr>
              <w:lastRenderedPageBreak/>
              <w:t>Number of patients</w:t>
            </w:r>
          </w:p>
        </w:tc>
        <w:tc>
          <w:tcPr>
            <w:tcW w:w="1104" w:type="dxa"/>
            <w:hideMark/>
          </w:tcPr>
          <w:p w:rsidR="00F0434A" w:rsidRPr="001B31BD" w:rsidRDefault="00F0434A" w:rsidP="005C2537">
            <w:pPr>
              <w:jc w:val="right"/>
              <w:textAlignment w:val="bottom"/>
              <w:rPr>
                <w:rFonts w:ascii="Arial" w:eastAsia="Times New Roman" w:hAnsi="Arial" w:cs="Arial"/>
                <w:color w:val="auto"/>
                <w:kern w:val="0"/>
                <w:sz w:val="20"/>
                <w:szCs w:val="18"/>
                <w:lang w:val="en-US" w:eastAsia="fr-BE" w:bidi="ar-SA"/>
              </w:rPr>
            </w:pPr>
            <w:r w:rsidRPr="001B31BD">
              <w:rPr>
                <w:rFonts w:ascii="Calibri" w:eastAsia="Times New Roman" w:hAnsi="Calibri" w:cs="Calibri"/>
                <w:color w:val="000000"/>
                <w:kern w:val="24"/>
                <w:sz w:val="20"/>
                <w:szCs w:val="18"/>
                <w:lang w:val="en-US" w:eastAsia="fr-BE" w:bidi="ar-SA"/>
              </w:rPr>
              <w:t>24</w:t>
            </w:r>
          </w:p>
        </w:tc>
      </w:tr>
      <w:tr w:rsidR="00F0434A" w:rsidRPr="001B31BD" w:rsidTr="005C2537">
        <w:trPr>
          <w:trHeight w:val="213"/>
        </w:trPr>
        <w:tc>
          <w:tcPr>
            <w:tcW w:w="2946" w:type="dxa"/>
            <w:hideMark/>
          </w:tcPr>
          <w:p w:rsidR="00F0434A" w:rsidRPr="001B31BD" w:rsidRDefault="00F0434A" w:rsidP="005C2537">
            <w:pPr>
              <w:textAlignment w:val="bottom"/>
              <w:rPr>
                <w:rFonts w:ascii="Arial" w:eastAsia="Times New Roman" w:hAnsi="Arial" w:cs="Arial"/>
                <w:color w:val="auto"/>
                <w:kern w:val="0"/>
                <w:sz w:val="20"/>
                <w:szCs w:val="18"/>
                <w:lang w:val="en-US" w:eastAsia="fr-BE" w:bidi="ar-SA"/>
              </w:rPr>
            </w:pPr>
            <w:r w:rsidRPr="001B31BD">
              <w:rPr>
                <w:rFonts w:ascii="Calibri" w:eastAsia="Times New Roman" w:hAnsi="Calibri" w:cs="Calibri"/>
                <w:color w:val="000000"/>
                <w:kern w:val="24"/>
                <w:sz w:val="20"/>
                <w:szCs w:val="18"/>
                <w:lang w:val="en-US" w:eastAsia="fr-BE" w:bidi="ar-SA"/>
              </w:rPr>
              <w:t>M</w:t>
            </w:r>
          </w:p>
        </w:tc>
        <w:tc>
          <w:tcPr>
            <w:tcW w:w="1104" w:type="dxa"/>
            <w:hideMark/>
          </w:tcPr>
          <w:p w:rsidR="00F0434A" w:rsidRPr="001B31BD" w:rsidRDefault="00F0434A" w:rsidP="005C2537">
            <w:pPr>
              <w:jc w:val="right"/>
              <w:textAlignment w:val="bottom"/>
              <w:rPr>
                <w:rFonts w:ascii="Arial" w:eastAsia="Times New Roman" w:hAnsi="Arial" w:cs="Arial"/>
                <w:color w:val="auto"/>
                <w:kern w:val="0"/>
                <w:sz w:val="20"/>
                <w:szCs w:val="18"/>
                <w:lang w:val="en-US" w:eastAsia="fr-BE" w:bidi="ar-SA"/>
              </w:rPr>
            </w:pPr>
            <w:r w:rsidRPr="001B31BD">
              <w:rPr>
                <w:rFonts w:ascii="Calibri" w:eastAsia="Times New Roman" w:hAnsi="Calibri" w:cs="Calibri"/>
                <w:color w:val="000000"/>
                <w:kern w:val="24"/>
                <w:sz w:val="20"/>
                <w:szCs w:val="18"/>
                <w:lang w:val="en-US" w:eastAsia="fr-BE" w:bidi="ar-SA"/>
              </w:rPr>
              <w:t>13</w:t>
            </w:r>
          </w:p>
        </w:tc>
      </w:tr>
      <w:tr w:rsidR="00F0434A" w:rsidRPr="001B31BD" w:rsidTr="005C2537">
        <w:trPr>
          <w:trHeight w:val="213"/>
        </w:trPr>
        <w:tc>
          <w:tcPr>
            <w:tcW w:w="2946" w:type="dxa"/>
            <w:hideMark/>
          </w:tcPr>
          <w:p w:rsidR="00F0434A" w:rsidRPr="001B31BD" w:rsidRDefault="00F0434A" w:rsidP="005C2537">
            <w:pPr>
              <w:textAlignment w:val="bottom"/>
              <w:rPr>
                <w:rFonts w:ascii="Arial" w:eastAsia="Times New Roman" w:hAnsi="Arial" w:cs="Arial"/>
                <w:color w:val="auto"/>
                <w:kern w:val="0"/>
                <w:sz w:val="20"/>
                <w:szCs w:val="18"/>
                <w:lang w:val="en-US" w:eastAsia="fr-BE" w:bidi="ar-SA"/>
              </w:rPr>
            </w:pPr>
            <w:r w:rsidRPr="001B31BD">
              <w:rPr>
                <w:rFonts w:ascii="Calibri" w:eastAsia="Times New Roman" w:hAnsi="Calibri" w:cs="Calibri"/>
                <w:color w:val="000000"/>
                <w:kern w:val="24"/>
                <w:sz w:val="20"/>
                <w:szCs w:val="18"/>
                <w:lang w:val="en-US" w:eastAsia="fr-BE" w:bidi="ar-SA"/>
              </w:rPr>
              <w:t>F</w:t>
            </w:r>
          </w:p>
        </w:tc>
        <w:tc>
          <w:tcPr>
            <w:tcW w:w="1104" w:type="dxa"/>
            <w:hideMark/>
          </w:tcPr>
          <w:p w:rsidR="00F0434A" w:rsidRPr="001B31BD" w:rsidRDefault="00F0434A" w:rsidP="005C2537">
            <w:pPr>
              <w:jc w:val="right"/>
              <w:textAlignment w:val="bottom"/>
              <w:rPr>
                <w:rFonts w:ascii="Arial" w:eastAsia="Times New Roman" w:hAnsi="Arial" w:cs="Arial"/>
                <w:color w:val="auto"/>
                <w:kern w:val="0"/>
                <w:sz w:val="20"/>
                <w:szCs w:val="18"/>
                <w:lang w:val="en-US" w:eastAsia="fr-BE" w:bidi="ar-SA"/>
              </w:rPr>
            </w:pPr>
            <w:r w:rsidRPr="001B31BD">
              <w:rPr>
                <w:rFonts w:ascii="Calibri" w:eastAsia="Times New Roman" w:hAnsi="Calibri" w:cs="Calibri"/>
                <w:color w:val="000000"/>
                <w:kern w:val="24"/>
                <w:sz w:val="20"/>
                <w:szCs w:val="18"/>
                <w:lang w:val="en-US" w:eastAsia="fr-BE" w:bidi="ar-SA"/>
              </w:rPr>
              <w:t>11</w:t>
            </w:r>
          </w:p>
        </w:tc>
      </w:tr>
      <w:tr w:rsidR="00F0434A" w:rsidRPr="001B31BD" w:rsidTr="005C2537">
        <w:trPr>
          <w:trHeight w:val="213"/>
        </w:trPr>
        <w:tc>
          <w:tcPr>
            <w:tcW w:w="2946" w:type="dxa"/>
          </w:tcPr>
          <w:p w:rsidR="00F0434A" w:rsidRPr="001B31BD" w:rsidRDefault="00F0434A" w:rsidP="005C2537">
            <w:pPr>
              <w:textAlignment w:val="bottom"/>
              <w:rPr>
                <w:rFonts w:ascii="Arial" w:eastAsia="Times New Roman" w:hAnsi="Arial" w:cs="Arial"/>
                <w:color w:val="auto"/>
                <w:kern w:val="0"/>
                <w:sz w:val="20"/>
                <w:szCs w:val="18"/>
                <w:lang w:val="en-US" w:eastAsia="fr-BE" w:bidi="ar-SA"/>
              </w:rPr>
            </w:pPr>
          </w:p>
        </w:tc>
        <w:tc>
          <w:tcPr>
            <w:tcW w:w="1104" w:type="dxa"/>
          </w:tcPr>
          <w:p w:rsidR="00F0434A" w:rsidRPr="001B31BD" w:rsidRDefault="00F0434A" w:rsidP="005C2537">
            <w:pPr>
              <w:jc w:val="right"/>
              <w:textAlignment w:val="bottom"/>
              <w:rPr>
                <w:rFonts w:ascii="Arial" w:eastAsia="Times New Roman" w:hAnsi="Arial" w:cs="Arial"/>
                <w:color w:val="auto"/>
                <w:kern w:val="0"/>
                <w:sz w:val="20"/>
                <w:szCs w:val="18"/>
                <w:lang w:val="en-US" w:eastAsia="fr-BE" w:bidi="ar-SA"/>
              </w:rPr>
            </w:pPr>
          </w:p>
        </w:tc>
      </w:tr>
      <w:tr w:rsidR="00F0434A" w:rsidRPr="001B31BD" w:rsidTr="005C2537">
        <w:trPr>
          <w:trHeight w:val="213"/>
        </w:trPr>
        <w:tc>
          <w:tcPr>
            <w:tcW w:w="2946" w:type="dxa"/>
          </w:tcPr>
          <w:p w:rsidR="00F0434A" w:rsidRPr="001B31BD" w:rsidRDefault="00F0434A" w:rsidP="005C2537">
            <w:pPr>
              <w:textAlignment w:val="bottom"/>
              <w:rPr>
                <w:rFonts w:ascii="Calibri" w:eastAsia="Times New Roman" w:hAnsi="Calibri" w:cs="Calibri"/>
                <w:b/>
                <w:bCs/>
                <w:color w:val="000000"/>
                <w:kern w:val="24"/>
                <w:sz w:val="20"/>
                <w:szCs w:val="18"/>
                <w:lang w:val="en-US" w:eastAsia="fr-BE" w:bidi="ar-SA"/>
              </w:rPr>
            </w:pPr>
            <w:r w:rsidRPr="001B31BD">
              <w:rPr>
                <w:rFonts w:ascii="Calibri" w:eastAsia="Times New Roman" w:hAnsi="Calibri" w:cs="Calibri"/>
                <w:b/>
                <w:bCs/>
                <w:color w:val="000000"/>
                <w:kern w:val="24"/>
                <w:sz w:val="20"/>
                <w:szCs w:val="18"/>
                <w:lang w:val="en-US" w:eastAsia="fr-BE" w:bidi="ar-SA"/>
              </w:rPr>
              <w:t>Mean age at epilepsy onset (years)</w:t>
            </w:r>
          </w:p>
        </w:tc>
        <w:tc>
          <w:tcPr>
            <w:tcW w:w="1104" w:type="dxa"/>
          </w:tcPr>
          <w:p w:rsidR="00F0434A" w:rsidRPr="001B31BD" w:rsidRDefault="00F0434A" w:rsidP="005C2537">
            <w:pPr>
              <w:jc w:val="right"/>
              <w:textAlignment w:val="bottom"/>
              <w:rPr>
                <w:rFonts w:ascii="Calibri" w:eastAsia="Times New Roman" w:hAnsi="Calibri" w:cs="Calibri"/>
                <w:color w:val="000000"/>
                <w:kern w:val="24"/>
                <w:sz w:val="20"/>
                <w:szCs w:val="18"/>
                <w:lang w:val="en-US" w:eastAsia="fr-BE" w:bidi="ar-SA"/>
              </w:rPr>
            </w:pPr>
            <w:r w:rsidRPr="001B31BD">
              <w:rPr>
                <w:rFonts w:ascii="Calibri" w:eastAsia="Times New Roman" w:hAnsi="Calibri" w:cs="Calibri"/>
                <w:color w:val="000000"/>
                <w:kern w:val="24"/>
                <w:sz w:val="20"/>
                <w:szCs w:val="18"/>
                <w:lang w:val="en-US" w:eastAsia="fr-BE" w:bidi="ar-SA"/>
              </w:rPr>
              <w:t>6,26</w:t>
            </w:r>
          </w:p>
        </w:tc>
      </w:tr>
      <w:tr w:rsidR="00F0434A" w:rsidRPr="001B31BD" w:rsidTr="005C2537">
        <w:trPr>
          <w:trHeight w:val="213"/>
        </w:trPr>
        <w:tc>
          <w:tcPr>
            <w:tcW w:w="2946" w:type="dxa"/>
            <w:hideMark/>
          </w:tcPr>
          <w:p w:rsidR="00F0434A" w:rsidRPr="001B31BD" w:rsidRDefault="00F0434A" w:rsidP="005C2537">
            <w:pPr>
              <w:textAlignment w:val="bottom"/>
              <w:rPr>
                <w:rFonts w:ascii="Arial" w:eastAsia="Times New Roman" w:hAnsi="Arial" w:cs="Arial"/>
                <w:color w:val="auto"/>
                <w:kern w:val="0"/>
                <w:sz w:val="20"/>
                <w:szCs w:val="18"/>
                <w:lang w:val="en-US" w:eastAsia="fr-BE" w:bidi="ar-SA"/>
              </w:rPr>
            </w:pPr>
            <w:r w:rsidRPr="001B31BD">
              <w:rPr>
                <w:rFonts w:ascii="Calibri" w:eastAsia="Times New Roman" w:hAnsi="Calibri" w:cs="Calibri"/>
                <w:color w:val="000000"/>
                <w:kern w:val="24"/>
                <w:sz w:val="20"/>
                <w:szCs w:val="18"/>
                <w:lang w:val="en-US" w:eastAsia="fr-BE" w:bidi="ar-SA"/>
              </w:rPr>
              <w:t>Min</w:t>
            </w:r>
          </w:p>
        </w:tc>
        <w:tc>
          <w:tcPr>
            <w:tcW w:w="1104" w:type="dxa"/>
            <w:hideMark/>
          </w:tcPr>
          <w:p w:rsidR="00F0434A" w:rsidRPr="001B31BD" w:rsidRDefault="00F0434A" w:rsidP="005C2537">
            <w:pPr>
              <w:jc w:val="right"/>
              <w:textAlignment w:val="bottom"/>
              <w:rPr>
                <w:rFonts w:ascii="Arial" w:eastAsia="Times New Roman" w:hAnsi="Arial" w:cs="Arial"/>
                <w:color w:val="auto"/>
                <w:kern w:val="0"/>
                <w:sz w:val="20"/>
                <w:szCs w:val="18"/>
                <w:lang w:val="en-US" w:eastAsia="fr-BE" w:bidi="ar-SA"/>
              </w:rPr>
            </w:pPr>
            <w:r w:rsidRPr="001B31BD">
              <w:rPr>
                <w:rFonts w:ascii="Calibri" w:eastAsia="Times New Roman" w:hAnsi="Calibri" w:cs="Calibri"/>
                <w:color w:val="000000"/>
                <w:kern w:val="24"/>
                <w:sz w:val="20"/>
                <w:szCs w:val="18"/>
                <w:lang w:val="en-US" w:eastAsia="fr-BE" w:bidi="ar-SA"/>
              </w:rPr>
              <w:t>0</w:t>
            </w:r>
          </w:p>
        </w:tc>
      </w:tr>
      <w:tr w:rsidR="00F0434A" w:rsidRPr="001B31BD" w:rsidTr="005C2537">
        <w:trPr>
          <w:trHeight w:val="213"/>
        </w:trPr>
        <w:tc>
          <w:tcPr>
            <w:tcW w:w="2946" w:type="dxa"/>
            <w:hideMark/>
          </w:tcPr>
          <w:p w:rsidR="00F0434A" w:rsidRPr="001B31BD" w:rsidRDefault="00F0434A" w:rsidP="005C2537">
            <w:pPr>
              <w:textAlignment w:val="bottom"/>
              <w:rPr>
                <w:rFonts w:ascii="Arial" w:eastAsia="Times New Roman" w:hAnsi="Arial" w:cs="Arial"/>
                <w:color w:val="auto"/>
                <w:kern w:val="0"/>
                <w:sz w:val="20"/>
                <w:szCs w:val="18"/>
                <w:lang w:val="en-US" w:eastAsia="fr-BE" w:bidi="ar-SA"/>
              </w:rPr>
            </w:pPr>
            <w:r w:rsidRPr="001B31BD">
              <w:rPr>
                <w:rFonts w:ascii="Calibri" w:eastAsia="Times New Roman" w:hAnsi="Calibri" w:cs="Calibri"/>
                <w:color w:val="000000"/>
                <w:kern w:val="24"/>
                <w:sz w:val="20"/>
                <w:szCs w:val="18"/>
                <w:lang w:val="en-US" w:eastAsia="fr-BE" w:bidi="ar-SA"/>
              </w:rPr>
              <w:t>Max</w:t>
            </w:r>
          </w:p>
        </w:tc>
        <w:tc>
          <w:tcPr>
            <w:tcW w:w="1104" w:type="dxa"/>
            <w:hideMark/>
          </w:tcPr>
          <w:p w:rsidR="00F0434A" w:rsidRPr="001B31BD" w:rsidRDefault="00F0434A" w:rsidP="005C2537">
            <w:pPr>
              <w:jc w:val="right"/>
              <w:textAlignment w:val="bottom"/>
              <w:rPr>
                <w:rFonts w:ascii="Arial" w:eastAsia="Times New Roman" w:hAnsi="Arial" w:cs="Arial"/>
                <w:color w:val="auto"/>
                <w:kern w:val="0"/>
                <w:sz w:val="20"/>
                <w:szCs w:val="18"/>
                <w:lang w:val="en-US" w:eastAsia="fr-BE" w:bidi="ar-SA"/>
              </w:rPr>
            </w:pPr>
            <w:r w:rsidRPr="001B31BD">
              <w:rPr>
                <w:rFonts w:ascii="Calibri" w:eastAsia="Times New Roman" w:hAnsi="Calibri" w:cs="Calibri"/>
                <w:color w:val="000000"/>
                <w:kern w:val="24"/>
                <w:sz w:val="20"/>
                <w:szCs w:val="18"/>
                <w:lang w:val="en-US" w:eastAsia="fr-BE" w:bidi="ar-SA"/>
              </w:rPr>
              <w:t>29</w:t>
            </w:r>
          </w:p>
        </w:tc>
      </w:tr>
      <w:tr w:rsidR="00F0434A" w:rsidRPr="001B31BD" w:rsidTr="005C2537">
        <w:trPr>
          <w:trHeight w:val="213"/>
        </w:trPr>
        <w:tc>
          <w:tcPr>
            <w:tcW w:w="2946" w:type="dxa"/>
            <w:hideMark/>
          </w:tcPr>
          <w:p w:rsidR="00F0434A" w:rsidRPr="001B31BD" w:rsidRDefault="00F0434A" w:rsidP="005C2537">
            <w:pPr>
              <w:textAlignment w:val="bottom"/>
              <w:rPr>
                <w:rFonts w:ascii="Arial" w:eastAsia="Times New Roman" w:hAnsi="Arial" w:cs="Arial"/>
                <w:color w:val="auto"/>
                <w:kern w:val="0"/>
                <w:sz w:val="20"/>
                <w:szCs w:val="18"/>
                <w:lang w:val="en-US" w:eastAsia="fr-BE" w:bidi="ar-SA"/>
              </w:rPr>
            </w:pPr>
            <w:r w:rsidRPr="001B31BD">
              <w:rPr>
                <w:rFonts w:ascii="Calibri" w:eastAsia="Times New Roman" w:hAnsi="Calibri" w:cs="Calibri"/>
                <w:b/>
                <w:bCs/>
                <w:color w:val="000000"/>
                <w:kern w:val="24"/>
                <w:sz w:val="20"/>
                <w:szCs w:val="18"/>
                <w:lang w:val="en-US" w:eastAsia="fr-BE" w:bidi="ar-SA"/>
              </w:rPr>
              <w:t>Mean age at surgery (years)</w:t>
            </w:r>
          </w:p>
        </w:tc>
        <w:tc>
          <w:tcPr>
            <w:tcW w:w="1104" w:type="dxa"/>
            <w:hideMark/>
          </w:tcPr>
          <w:p w:rsidR="00F0434A" w:rsidRPr="001B31BD" w:rsidRDefault="00F0434A" w:rsidP="005C2537">
            <w:pPr>
              <w:jc w:val="right"/>
              <w:textAlignment w:val="bottom"/>
              <w:rPr>
                <w:rFonts w:ascii="Arial" w:eastAsia="Times New Roman" w:hAnsi="Arial" w:cs="Arial"/>
                <w:color w:val="auto"/>
                <w:kern w:val="0"/>
                <w:sz w:val="20"/>
                <w:szCs w:val="18"/>
                <w:lang w:val="en-US" w:eastAsia="fr-BE" w:bidi="ar-SA"/>
              </w:rPr>
            </w:pPr>
            <w:r w:rsidRPr="001B31BD">
              <w:rPr>
                <w:rFonts w:ascii="Calibri" w:eastAsia="Times New Roman" w:hAnsi="Calibri" w:cs="Calibri"/>
                <w:color w:val="000000"/>
                <w:kern w:val="24"/>
                <w:sz w:val="20"/>
                <w:szCs w:val="18"/>
                <w:lang w:val="en-US" w:eastAsia="fr-BE" w:bidi="ar-SA"/>
              </w:rPr>
              <w:t>16,6</w:t>
            </w:r>
          </w:p>
        </w:tc>
      </w:tr>
      <w:tr w:rsidR="00F0434A" w:rsidRPr="001B31BD" w:rsidTr="005C2537">
        <w:trPr>
          <w:trHeight w:val="213"/>
        </w:trPr>
        <w:tc>
          <w:tcPr>
            <w:tcW w:w="2946" w:type="dxa"/>
            <w:hideMark/>
          </w:tcPr>
          <w:p w:rsidR="00F0434A" w:rsidRPr="001B31BD" w:rsidRDefault="00F0434A" w:rsidP="005C2537">
            <w:pPr>
              <w:textAlignment w:val="bottom"/>
              <w:rPr>
                <w:rFonts w:ascii="Arial" w:eastAsia="Times New Roman" w:hAnsi="Arial" w:cs="Arial"/>
                <w:color w:val="auto"/>
                <w:kern w:val="0"/>
                <w:sz w:val="20"/>
                <w:szCs w:val="18"/>
                <w:lang w:val="en-US" w:eastAsia="fr-BE" w:bidi="ar-SA"/>
              </w:rPr>
            </w:pPr>
            <w:r w:rsidRPr="001B31BD">
              <w:rPr>
                <w:rFonts w:ascii="Calibri" w:eastAsia="Times New Roman" w:hAnsi="Calibri" w:cs="Calibri"/>
                <w:color w:val="000000"/>
                <w:kern w:val="24"/>
                <w:sz w:val="20"/>
                <w:szCs w:val="18"/>
                <w:lang w:val="en-US" w:eastAsia="fr-BE" w:bidi="ar-SA"/>
              </w:rPr>
              <w:t>Min</w:t>
            </w:r>
          </w:p>
        </w:tc>
        <w:tc>
          <w:tcPr>
            <w:tcW w:w="1104" w:type="dxa"/>
            <w:hideMark/>
          </w:tcPr>
          <w:p w:rsidR="00F0434A" w:rsidRPr="001B31BD" w:rsidRDefault="00F0434A" w:rsidP="005C2537">
            <w:pPr>
              <w:jc w:val="right"/>
              <w:textAlignment w:val="bottom"/>
              <w:rPr>
                <w:rFonts w:ascii="Arial" w:eastAsia="Times New Roman" w:hAnsi="Arial" w:cs="Arial"/>
                <w:color w:val="auto"/>
                <w:kern w:val="0"/>
                <w:sz w:val="20"/>
                <w:szCs w:val="18"/>
                <w:lang w:val="en-US" w:eastAsia="fr-BE" w:bidi="ar-SA"/>
              </w:rPr>
            </w:pPr>
            <w:r w:rsidRPr="001B31BD">
              <w:rPr>
                <w:rFonts w:ascii="Calibri" w:eastAsia="Times New Roman" w:hAnsi="Calibri" w:cs="Calibri"/>
                <w:color w:val="000000"/>
                <w:kern w:val="24"/>
                <w:sz w:val="20"/>
                <w:szCs w:val="18"/>
                <w:lang w:val="en-US" w:eastAsia="fr-BE" w:bidi="ar-SA"/>
              </w:rPr>
              <w:t>4</w:t>
            </w:r>
          </w:p>
        </w:tc>
      </w:tr>
      <w:tr w:rsidR="00F0434A" w:rsidRPr="001B31BD" w:rsidTr="005C2537">
        <w:trPr>
          <w:trHeight w:val="213"/>
        </w:trPr>
        <w:tc>
          <w:tcPr>
            <w:tcW w:w="2946" w:type="dxa"/>
            <w:hideMark/>
          </w:tcPr>
          <w:p w:rsidR="00F0434A" w:rsidRPr="001B31BD" w:rsidRDefault="00F0434A" w:rsidP="005C2537">
            <w:pPr>
              <w:textAlignment w:val="bottom"/>
              <w:rPr>
                <w:rFonts w:ascii="Arial" w:eastAsia="Times New Roman" w:hAnsi="Arial" w:cs="Arial"/>
                <w:color w:val="auto"/>
                <w:kern w:val="0"/>
                <w:sz w:val="20"/>
                <w:szCs w:val="18"/>
                <w:lang w:val="en-US" w:eastAsia="fr-BE" w:bidi="ar-SA"/>
              </w:rPr>
            </w:pPr>
            <w:r w:rsidRPr="001B31BD">
              <w:rPr>
                <w:rFonts w:ascii="Calibri" w:eastAsia="Times New Roman" w:hAnsi="Calibri" w:cs="Calibri"/>
                <w:color w:val="000000"/>
                <w:kern w:val="24"/>
                <w:sz w:val="20"/>
                <w:szCs w:val="18"/>
                <w:lang w:val="en-US" w:eastAsia="fr-BE" w:bidi="ar-SA"/>
              </w:rPr>
              <w:t>Max</w:t>
            </w:r>
          </w:p>
        </w:tc>
        <w:tc>
          <w:tcPr>
            <w:tcW w:w="1104" w:type="dxa"/>
            <w:hideMark/>
          </w:tcPr>
          <w:p w:rsidR="00F0434A" w:rsidRPr="001B31BD" w:rsidRDefault="00F0434A" w:rsidP="005C2537">
            <w:pPr>
              <w:jc w:val="right"/>
              <w:textAlignment w:val="bottom"/>
              <w:rPr>
                <w:rFonts w:ascii="Arial" w:eastAsia="Times New Roman" w:hAnsi="Arial" w:cs="Arial"/>
                <w:color w:val="auto"/>
                <w:kern w:val="0"/>
                <w:sz w:val="20"/>
                <w:szCs w:val="18"/>
                <w:lang w:val="en-US" w:eastAsia="fr-BE" w:bidi="ar-SA"/>
              </w:rPr>
            </w:pPr>
            <w:r w:rsidRPr="001B31BD">
              <w:rPr>
                <w:rFonts w:ascii="Calibri" w:eastAsia="Times New Roman" w:hAnsi="Calibri" w:cs="Calibri"/>
                <w:color w:val="000000"/>
                <w:kern w:val="24"/>
                <w:sz w:val="20"/>
                <w:szCs w:val="18"/>
                <w:lang w:val="en-US" w:eastAsia="fr-BE" w:bidi="ar-SA"/>
              </w:rPr>
              <w:t>54</w:t>
            </w:r>
          </w:p>
        </w:tc>
      </w:tr>
      <w:tr w:rsidR="00F0434A" w:rsidRPr="001B31BD" w:rsidTr="005C2537">
        <w:trPr>
          <w:trHeight w:val="213"/>
        </w:trPr>
        <w:tc>
          <w:tcPr>
            <w:tcW w:w="2946" w:type="dxa"/>
            <w:hideMark/>
          </w:tcPr>
          <w:p w:rsidR="00F0434A" w:rsidRPr="001B31BD" w:rsidRDefault="00F0434A" w:rsidP="005C2537">
            <w:pPr>
              <w:textAlignment w:val="bottom"/>
              <w:rPr>
                <w:rFonts w:ascii="Arial" w:eastAsia="Times New Roman" w:hAnsi="Arial" w:cs="Arial"/>
                <w:color w:val="auto"/>
                <w:kern w:val="0"/>
                <w:sz w:val="20"/>
                <w:szCs w:val="18"/>
                <w:lang w:val="en-US" w:eastAsia="fr-BE" w:bidi="ar-SA"/>
              </w:rPr>
            </w:pPr>
            <w:r w:rsidRPr="001B31BD">
              <w:rPr>
                <w:rFonts w:ascii="Calibri" w:eastAsia="Times New Roman" w:hAnsi="Calibri" w:cs="Calibri"/>
                <w:color w:val="000000"/>
                <w:kern w:val="24"/>
                <w:sz w:val="20"/>
                <w:szCs w:val="18"/>
                <w:lang w:val="en-US" w:eastAsia="fr-BE" w:bidi="ar-SA"/>
              </w:rPr>
              <w:t> </w:t>
            </w:r>
          </w:p>
        </w:tc>
        <w:tc>
          <w:tcPr>
            <w:tcW w:w="1104" w:type="dxa"/>
            <w:hideMark/>
          </w:tcPr>
          <w:p w:rsidR="00F0434A" w:rsidRPr="001B31BD" w:rsidRDefault="00F0434A" w:rsidP="005C2537">
            <w:pPr>
              <w:textAlignment w:val="bottom"/>
              <w:rPr>
                <w:rFonts w:ascii="Arial" w:eastAsia="Times New Roman" w:hAnsi="Arial" w:cs="Arial"/>
                <w:color w:val="auto"/>
                <w:kern w:val="0"/>
                <w:sz w:val="20"/>
                <w:szCs w:val="18"/>
                <w:lang w:val="en-US" w:eastAsia="fr-BE" w:bidi="ar-SA"/>
              </w:rPr>
            </w:pPr>
            <w:r w:rsidRPr="001B31BD">
              <w:rPr>
                <w:rFonts w:ascii="Calibri" w:eastAsia="Times New Roman" w:hAnsi="Calibri" w:cs="Calibri"/>
                <w:color w:val="000000"/>
                <w:kern w:val="24"/>
                <w:sz w:val="20"/>
                <w:szCs w:val="18"/>
                <w:lang w:val="en-US" w:eastAsia="fr-BE" w:bidi="ar-SA"/>
              </w:rPr>
              <w:t> </w:t>
            </w:r>
          </w:p>
        </w:tc>
      </w:tr>
      <w:tr w:rsidR="00F0434A" w:rsidRPr="001B31BD" w:rsidTr="005C2537">
        <w:trPr>
          <w:trHeight w:val="213"/>
        </w:trPr>
        <w:tc>
          <w:tcPr>
            <w:tcW w:w="2946" w:type="dxa"/>
            <w:hideMark/>
          </w:tcPr>
          <w:p w:rsidR="00F0434A" w:rsidRPr="001B31BD" w:rsidRDefault="00F0434A" w:rsidP="005C2537">
            <w:pPr>
              <w:textAlignment w:val="bottom"/>
              <w:rPr>
                <w:rFonts w:ascii="Arial" w:eastAsia="Times New Roman" w:hAnsi="Arial" w:cs="Arial"/>
                <w:color w:val="auto"/>
                <w:kern w:val="0"/>
                <w:sz w:val="20"/>
                <w:szCs w:val="18"/>
                <w:lang w:val="en-US" w:eastAsia="fr-BE" w:bidi="ar-SA"/>
              </w:rPr>
            </w:pPr>
            <w:r w:rsidRPr="001B31BD">
              <w:rPr>
                <w:rFonts w:ascii="Calibri" w:eastAsia="Times New Roman" w:hAnsi="Calibri" w:cs="Calibri"/>
                <w:b/>
                <w:bCs/>
                <w:color w:val="000000"/>
                <w:kern w:val="24"/>
                <w:sz w:val="20"/>
                <w:szCs w:val="18"/>
                <w:lang w:val="en-US" w:eastAsia="fr-BE" w:bidi="ar-SA"/>
              </w:rPr>
              <w:t>Seizure free at 1 year follow-up</w:t>
            </w:r>
          </w:p>
        </w:tc>
        <w:tc>
          <w:tcPr>
            <w:tcW w:w="1104" w:type="dxa"/>
            <w:hideMark/>
          </w:tcPr>
          <w:p w:rsidR="00F0434A" w:rsidRPr="001B31BD" w:rsidRDefault="00F0434A" w:rsidP="005C2537">
            <w:pPr>
              <w:jc w:val="right"/>
              <w:textAlignment w:val="bottom"/>
              <w:rPr>
                <w:rFonts w:ascii="Arial" w:eastAsia="Times New Roman" w:hAnsi="Arial" w:cs="Arial"/>
                <w:color w:val="auto"/>
                <w:kern w:val="0"/>
                <w:sz w:val="20"/>
                <w:szCs w:val="18"/>
                <w:lang w:val="en-US" w:eastAsia="fr-BE" w:bidi="ar-SA"/>
              </w:rPr>
            </w:pPr>
            <w:r w:rsidRPr="001B31BD">
              <w:rPr>
                <w:rFonts w:ascii="Calibri" w:eastAsia="Times New Roman" w:hAnsi="Calibri" w:cs="Calibri"/>
                <w:color w:val="000000"/>
                <w:kern w:val="24"/>
                <w:sz w:val="20"/>
                <w:szCs w:val="18"/>
                <w:lang w:val="en-US" w:eastAsia="fr-BE" w:bidi="ar-SA"/>
              </w:rPr>
              <w:t>17</w:t>
            </w:r>
          </w:p>
        </w:tc>
      </w:tr>
      <w:tr w:rsidR="00F0434A" w:rsidRPr="001B31BD" w:rsidTr="005C2537">
        <w:trPr>
          <w:trHeight w:val="213"/>
        </w:trPr>
        <w:tc>
          <w:tcPr>
            <w:tcW w:w="2946" w:type="dxa"/>
            <w:hideMark/>
          </w:tcPr>
          <w:p w:rsidR="00F0434A" w:rsidRPr="001B31BD" w:rsidRDefault="00F0434A" w:rsidP="005C2537">
            <w:pPr>
              <w:textAlignment w:val="bottom"/>
              <w:rPr>
                <w:rFonts w:ascii="Arial" w:eastAsia="Times New Roman" w:hAnsi="Arial" w:cs="Arial"/>
                <w:color w:val="auto"/>
                <w:kern w:val="0"/>
                <w:sz w:val="20"/>
                <w:szCs w:val="18"/>
                <w:lang w:val="en-US" w:eastAsia="fr-BE" w:bidi="ar-SA"/>
              </w:rPr>
            </w:pPr>
            <w:r w:rsidRPr="001B31BD">
              <w:rPr>
                <w:rFonts w:ascii="Calibri" w:eastAsia="Times New Roman" w:hAnsi="Calibri" w:cs="Calibri"/>
                <w:b/>
                <w:bCs/>
                <w:color w:val="000000"/>
                <w:kern w:val="24"/>
                <w:sz w:val="20"/>
                <w:szCs w:val="18"/>
                <w:lang w:val="en-US" w:eastAsia="fr-BE" w:bidi="ar-SA"/>
              </w:rPr>
              <w:t>Non-seizure free at 1 year follow-up</w:t>
            </w:r>
          </w:p>
        </w:tc>
        <w:tc>
          <w:tcPr>
            <w:tcW w:w="1104" w:type="dxa"/>
            <w:hideMark/>
          </w:tcPr>
          <w:p w:rsidR="00F0434A" w:rsidRPr="001B31BD" w:rsidRDefault="00F0434A" w:rsidP="005C2537">
            <w:pPr>
              <w:jc w:val="right"/>
              <w:textAlignment w:val="bottom"/>
              <w:rPr>
                <w:rFonts w:ascii="Arial" w:eastAsia="Times New Roman" w:hAnsi="Arial" w:cs="Arial"/>
                <w:color w:val="auto"/>
                <w:kern w:val="0"/>
                <w:sz w:val="20"/>
                <w:szCs w:val="18"/>
                <w:lang w:val="en-US" w:eastAsia="fr-BE" w:bidi="ar-SA"/>
              </w:rPr>
            </w:pPr>
            <w:r w:rsidRPr="001B31BD">
              <w:rPr>
                <w:rFonts w:ascii="Calibri" w:eastAsia="Times New Roman" w:hAnsi="Calibri" w:cs="Calibri"/>
                <w:color w:val="000000"/>
                <w:kern w:val="24"/>
                <w:sz w:val="20"/>
                <w:szCs w:val="18"/>
                <w:lang w:val="en-US" w:eastAsia="fr-BE" w:bidi="ar-SA"/>
              </w:rPr>
              <w:t>7</w:t>
            </w:r>
          </w:p>
        </w:tc>
      </w:tr>
      <w:tr w:rsidR="00F0434A" w:rsidRPr="001B31BD" w:rsidTr="005C2537">
        <w:trPr>
          <w:trHeight w:val="213"/>
        </w:trPr>
        <w:tc>
          <w:tcPr>
            <w:tcW w:w="2946" w:type="dxa"/>
            <w:hideMark/>
          </w:tcPr>
          <w:p w:rsidR="00F0434A" w:rsidRPr="001B31BD" w:rsidRDefault="00F0434A" w:rsidP="005C2537">
            <w:pPr>
              <w:textAlignment w:val="bottom"/>
              <w:rPr>
                <w:rFonts w:ascii="Arial" w:eastAsia="Times New Roman" w:hAnsi="Arial" w:cs="Arial"/>
                <w:color w:val="auto"/>
                <w:kern w:val="0"/>
                <w:sz w:val="20"/>
                <w:szCs w:val="18"/>
                <w:lang w:val="en-US" w:eastAsia="fr-BE" w:bidi="ar-SA"/>
              </w:rPr>
            </w:pPr>
            <w:r w:rsidRPr="001B31BD">
              <w:rPr>
                <w:rFonts w:ascii="Calibri" w:eastAsia="Times New Roman" w:hAnsi="Calibri" w:cs="Calibri"/>
                <w:color w:val="000000"/>
                <w:kern w:val="24"/>
                <w:sz w:val="20"/>
                <w:szCs w:val="18"/>
                <w:lang w:val="en-US" w:eastAsia="fr-BE" w:bidi="ar-SA"/>
              </w:rPr>
              <w:t> </w:t>
            </w:r>
          </w:p>
        </w:tc>
        <w:tc>
          <w:tcPr>
            <w:tcW w:w="1104" w:type="dxa"/>
            <w:hideMark/>
          </w:tcPr>
          <w:p w:rsidR="00F0434A" w:rsidRPr="001B31BD" w:rsidRDefault="00F0434A" w:rsidP="005C2537">
            <w:pPr>
              <w:textAlignment w:val="bottom"/>
              <w:rPr>
                <w:rFonts w:ascii="Arial" w:eastAsia="Times New Roman" w:hAnsi="Arial" w:cs="Arial"/>
                <w:color w:val="auto"/>
                <w:kern w:val="0"/>
                <w:sz w:val="20"/>
                <w:szCs w:val="18"/>
                <w:lang w:val="en-US" w:eastAsia="fr-BE" w:bidi="ar-SA"/>
              </w:rPr>
            </w:pPr>
            <w:r w:rsidRPr="001B31BD">
              <w:rPr>
                <w:rFonts w:ascii="Calibri" w:eastAsia="Times New Roman" w:hAnsi="Calibri" w:cs="Calibri"/>
                <w:color w:val="000000"/>
                <w:kern w:val="24"/>
                <w:sz w:val="20"/>
                <w:szCs w:val="18"/>
                <w:lang w:val="en-US" w:eastAsia="fr-BE" w:bidi="ar-SA"/>
              </w:rPr>
              <w:t> </w:t>
            </w:r>
          </w:p>
        </w:tc>
      </w:tr>
      <w:tr w:rsidR="00F0434A" w:rsidRPr="001B31BD" w:rsidTr="005C2537">
        <w:trPr>
          <w:trHeight w:val="213"/>
        </w:trPr>
        <w:tc>
          <w:tcPr>
            <w:tcW w:w="2946" w:type="dxa"/>
            <w:hideMark/>
          </w:tcPr>
          <w:p w:rsidR="00F0434A" w:rsidRPr="001B31BD" w:rsidRDefault="00F0434A" w:rsidP="005C2537">
            <w:pPr>
              <w:textAlignment w:val="bottom"/>
              <w:rPr>
                <w:rFonts w:ascii="Arial" w:eastAsia="Times New Roman" w:hAnsi="Arial" w:cs="Arial"/>
                <w:color w:val="auto"/>
                <w:kern w:val="0"/>
                <w:sz w:val="20"/>
                <w:szCs w:val="18"/>
                <w:lang w:val="en-US" w:eastAsia="fr-BE" w:bidi="ar-SA"/>
              </w:rPr>
            </w:pPr>
            <w:r w:rsidRPr="001B31BD">
              <w:rPr>
                <w:rFonts w:ascii="Calibri" w:eastAsia="Times New Roman" w:hAnsi="Calibri" w:cs="Calibri"/>
                <w:b/>
                <w:bCs/>
                <w:color w:val="000000"/>
                <w:kern w:val="24"/>
                <w:sz w:val="20"/>
                <w:szCs w:val="18"/>
                <w:lang w:val="en-US" w:eastAsia="fr-BE" w:bidi="ar-SA"/>
              </w:rPr>
              <w:t>Epilepsy localization</w:t>
            </w:r>
          </w:p>
        </w:tc>
        <w:tc>
          <w:tcPr>
            <w:tcW w:w="1104" w:type="dxa"/>
            <w:hideMark/>
          </w:tcPr>
          <w:p w:rsidR="00F0434A" w:rsidRPr="001B31BD" w:rsidRDefault="00F0434A" w:rsidP="005C2537">
            <w:pPr>
              <w:jc w:val="right"/>
              <w:textAlignment w:val="bottom"/>
              <w:rPr>
                <w:rFonts w:ascii="Arial" w:eastAsia="Times New Roman" w:hAnsi="Arial" w:cs="Arial"/>
                <w:color w:val="auto"/>
                <w:kern w:val="0"/>
                <w:sz w:val="20"/>
                <w:szCs w:val="18"/>
                <w:lang w:val="en-US" w:eastAsia="fr-BE" w:bidi="ar-SA"/>
              </w:rPr>
            </w:pPr>
            <w:r w:rsidRPr="001B31BD">
              <w:rPr>
                <w:rFonts w:ascii="Calibri" w:eastAsia="Times New Roman" w:hAnsi="Calibri" w:cs="Calibri"/>
                <w:color w:val="000000"/>
                <w:kern w:val="24"/>
                <w:sz w:val="20"/>
                <w:szCs w:val="18"/>
                <w:lang w:val="en-US" w:eastAsia="fr-BE" w:bidi="ar-SA"/>
              </w:rPr>
              <w:t> </w:t>
            </w:r>
          </w:p>
        </w:tc>
      </w:tr>
      <w:tr w:rsidR="00F0434A" w:rsidRPr="001B31BD" w:rsidTr="005C2537">
        <w:trPr>
          <w:trHeight w:val="213"/>
        </w:trPr>
        <w:tc>
          <w:tcPr>
            <w:tcW w:w="2946" w:type="dxa"/>
            <w:hideMark/>
          </w:tcPr>
          <w:p w:rsidR="00F0434A" w:rsidRPr="001B31BD" w:rsidRDefault="00F0434A" w:rsidP="005C2537">
            <w:pPr>
              <w:textAlignment w:val="bottom"/>
              <w:rPr>
                <w:rFonts w:ascii="Arial" w:eastAsia="Times New Roman" w:hAnsi="Arial" w:cs="Arial"/>
                <w:color w:val="auto"/>
                <w:kern w:val="0"/>
                <w:sz w:val="20"/>
                <w:szCs w:val="18"/>
                <w:lang w:val="en-US" w:eastAsia="fr-BE" w:bidi="ar-SA"/>
              </w:rPr>
            </w:pPr>
            <w:r w:rsidRPr="001B31BD">
              <w:rPr>
                <w:rFonts w:ascii="Calibri" w:eastAsia="Times New Roman" w:hAnsi="Calibri" w:cs="Calibri"/>
                <w:color w:val="000000"/>
                <w:kern w:val="24"/>
                <w:sz w:val="20"/>
                <w:szCs w:val="18"/>
                <w:lang w:val="en-US" w:eastAsia="fr-BE" w:bidi="ar-SA"/>
              </w:rPr>
              <w:t>FLE</w:t>
            </w:r>
          </w:p>
        </w:tc>
        <w:tc>
          <w:tcPr>
            <w:tcW w:w="1104" w:type="dxa"/>
            <w:hideMark/>
          </w:tcPr>
          <w:p w:rsidR="00F0434A" w:rsidRPr="001B31BD" w:rsidRDefault="00F0434A" w:rsidP="005C2537">
            <w:pPr>
              <w:jc w:val="right"/>
              <w:textAlignment w:val="bottom"/>
              <w:rPr>
                <w:rFonts w:ascii="Arial" w:eastAsia="Times New Roman" w:hAnsi="Arial" w:cs="Arial"/>
                <w:color w:val="auto"/>
                <w:kern w:val="0"/>
                <w:sz w:val="20"/>
                <w:szCs w:val="18"/>
                <w:lang w:val="en-US" w:eastAsia="fr-BE" w:bidi="ar-SA"/>
              </w:rPr>
            </w:pPr>
            <w:r w:rsidRPr="001B31BD">
              <w:rPr>
                <w:rFonts w:ascii="Calibri" w:eastAsia="Times New Roman" w:hAnsi="Calibri" w:cs="Calibri"/>
                <w:color w:val="000000"/>
                <w:kern w:val="24"/>
                <w:sz w:val="20"/>
                <w:szCs w:val="18"/>
                <w:lang w:val="en-US" w:eastAsia="fr-BE" w:bidi="ar-SA"/>
              </w:rPr>
              <w:t>13</w:t>
            </w:r>
          </w:p>
        </w:tc>
      </w:tr>
      <w:tr w:rsidR="00F0434A" w:rsidRPr="001B31BD" w:rsidTr="005C2537">
        <w:trPr>
          <w:trHeight w:val="213"/>
        </w:trPr>
        <w:tc>
          <w:tcPr>
            <w:tcW w:w="2946" w:type="dxa"/>
            <w:hideMark/>
          </w:tcPr>
          <w:p w:rsidR="00F0434A" w:rsidRPr="001B31BD" w:rsidRDefault="00F0434A" w:rsidP="005C2537">
            <w:pPr>
              <w:textAlignment w:val="bottom"/>
              <w:rPr>
                <w:rFonts w:ascii="Arial" w:eastAsia="Times New Roman" w:hAnsi="Arial" w:cs="Arial"/>
                <w:color w:val="auto"/>
                <w:kern w:val="0"/>
                <w:sz w:val="20"/>
                <w:szCs w:val="18"/>
                <w:lang w:val="en-US" w:eastAsia="fr-BE" w:bidi="ar-SA"/>
              </w:rPr>
            </w:pPr>
            <w:r w:rsidRPr="001B31BD">
              <w:rPr>
                <w:rFonts w:ascii="Calibri" w:eastAsia="Times New Roman" w:hAnsi="Calibri" w:cs="Calibri"/>
                <w:color w:val="000000"/>
                <w:kern w:val="24"/>
                <w:sz w:val="20"/>
                <w:szCs w:val="18"/>
                <w:lang w:val="en-US" w:eastAsia="fr-BE" w:bidi="ar-SA"/>
              </w:rPr>
              <w:t>other</w:t>
            </w:r>
          </w:p>
        </w:tc>
        <w:tc>
          <w:tcPr>
            <w:tcW w:w="1104" w:type="dxa"/>
            <w:hideMark/>
          </w:tcPr>
          <w:p w:rsidR="00F0434A" w:rsidRPr="001B31BD" w:rsidRDefault="00F0434A" w:rsidP="005C2537">
            <w:pPr>
              <w:jc w:val="right"/>
              <w:textAlignment w:val="bottom"/>
              <w:rPr>
                <w:rFonts w:ascii="Arial" w:eastAsia="Times New Roman" w:hAnsi="Arial" w:cs="Arial"/>
                <w:color w:val="auto"/>
                <w:kern w:val="0"/>
                <w:sz w:val="20"/>
                <w:szCs w:val="18"/>
                <w:lang w:val="en-US" w:eastAsia="fr-BE" w:bidi="ar-SA"/>
              </w:rPr>
            </w:pPr>
            <w:r w:rsidRPr="001B31BD">
              <w:rPr>
                <w:rFonts w:ascii="Calibri" w:eastAsia="Times New Roman" w:hAnsi="Calibri" w:cs="Calibri"/>
                <w:color w:val="000000"/>
                <w:kern w:val="24"/>
                <w:sz w:val="20"/>
                <w:szCs w:val="18"/>
                <w:lang w:val="en-US" w:eastAsia="fr-BE" w:bidi="ar-SA"/>
              </w:rPr>
              <w:t>11</w:t>
            </w:r>
          </w:p>
        </w:tc>
      </w:tr>
      <w:tr w:rsidR="00F0434A" w:rsidRPr="001B31BD" w:rsidTr="005C2537">
        <w:trPr>
          <w:trHeight w:val="213"/>
        </w:trPr>
        <w:tc>
          <w:tcPr>
            <w:tcW w:w="2946" w:type="dxa"/>
            <w:hideMark/>
          </w:tcPr>
          <w:p w:rsidR="00F0434A" w:rsidRPr="001B31BD" w:rsidRDefault="00F0434A" w:rsidP="005C2537">
            <w:pPr>
              <w:textAlignment w:val="bottom"/>
              <w:rPr>
                <w:rFonts w:ascii="Arial" w:eastAsia="Times New Roman" w:hAnsi="Arial" w:cs="Arial"/>
                <w:color w:val="auto"/>
                <w:kern w:val="0"/>
                <w:sz w:val="20"/>
                <w:szCs w:val="18"/>
                <w:lang w:val="en-US" w:eastAsia="fr-BE" w:bidi="ar-SA"/>
              </w:rPr>
            </w:pPr>
            <w:r w:rsidRPr="001B31BD">
              <w:rPr>
                <w:rFonts w:ascii="Calibri" w:eastAsia="Times New Roman" w:hAnsi="Calibri" w:cs="Calibri"/>
                <w:color w:val="000000"/>
                <w:kern w:val="24"/>
                <w:sz w:val="20"/>
                <w:szCs w:val="18"/>
                <w:lang w:val="en-US" w:eastAsia="fr-BE" w:bidi="ar-SA"/>
              </w:rPr>
              <w:t xml:space="preserve"> - </w:t>
            </w:r>
            <w:r>
              <w:rPr>
                <w:rFonts w:ascii="Calibri" w:eastAsia="Times New Roman" w:hAnsi="Calibri" w:cs="Calibri"/>
                <w:color w:val="000000"/>
                <w:kern w:val="24"/>
                <w:sz w:val="20"/>
                <w:szCs w:val="18"/>
                <w:lang w:val="en-US" w:eastAsia="fr-BE" w:bidi="ar-SA"/>
              </w:rPr>
              <w:t>multilobar</w:t>
            </w:r>
            <w:r w:rsidRPr="001B31BD">
              <w:rPr>
                <w:rFonts w:ascii="Calibri" w:eastAsia="Times New Roman" w:hAnsi="Calibri" w:cs="Calibri"/>
                <w:color w:val="000000"/>
                <w:kern w:val="24"/>
                <w:sz w:val="20"/>
                <w:szCs w:val="18"/>
                <w:lang w:val="en-US" w:eastAsia="fr-BE" w:bidi="ar-SA"/>
              </w:rPr>
              <w:t xml:space="preserve"> ( &gt;3 lobes)</w:t>
            </w:r>
          </w:p>
        </w:tc>
        <w:tc>
          <w:tcPr>
            <w:tcW w:w="1104" w:type="dxa"/>
            <w:hideMark/>
          </w:tcPr>
          <w:p w:rsidR="00F0434A" w:rsidRPr="001B31BD" w:rsidRDefault="00F0434A" w:rsidP="005C2537">
            <w:pPr>
              <w:jc w:val="right"/>
              <w:textAlignment w:val="bottom"/>
              <w:rPr>
                <w:rFonts w:ascii="Arial" w:eastAsia="Times New Roman" w:hAnsi="Arial" w:cs="Arial"/>
                <w:color w:val="auto"/>
                <w:kern w:val="0"/>
                <w:sz w:val="20"/>
                <w:szCs w:val="18"/>
                <w:lang w:val="en-US" w:eastAsia="fr-BE" w:bidi="ar-SA"/>
              </w:rPr>
            </w:pPr>
            <w:r w:rsidRPr="001B31BD">
              <w:rPr>
                <w:rFonts w:ascii="Calibri" w:eastAsia="Times New Roman" w:hAnsi="Calibri" w:cs="Calibri"/>
                <w:color w:val="000000"/>
                <w:kern w:val="24"/>
                <w:sz w:val="20"/>
                <w:szCs w:val="18"/>
                <w:lang w:val="en-US" w:eastAsia="fr-BE" w:bidi="ar-SA"/>
              </w:rPr>
              <w:t>6</w:t>
            </w:r>
          </w:p>
        </w:tc>
      </w:tr>
      <w:tr w:rsidR="00F0434A" w:rsidRPr="001B31BD" w:rsidTr="005C2537">
        <w:trPr>
          <w:trHeight w:val="213"/>
        </w:trPr>
        <w:tc>
          <w:tcPr>
            <w:tcW w:w="2946" w:type="dxa"/>
          </w:tcPr>
          <w:p w:rsidR="00F0434A" w:rsidRPr="001B31BD" w:rsidRDefault="00F0434A" w:rsidP="005C2537">
            <w:pPr>
              <w:textAlignment w:val="bottom"/>
              <w:rPr>
                <w:rFonts w:ascii="Calibri" w:eastAsia="Times New Roman" w:hAnsi="Calibri" w:cs="Calibri"/>
                <w:color w:val="000000"/>
                <w:kern w:val="24"/>
                <w:sz w:val="20"/>
                <w:szCs w:val="18"/>
                <w:lang w:val="en-US" w:eastAsia="fr-BE" w:bidi="ar-SA"/>
              </w:rPr>
            </w:pPr>
          </w:p>
        </w:tc>
        <w:tc>
          <w:tcPr>
            <w:tcW w:w="1104" w:type="dxa"/>
          </w:tcPr>
          <w:p w:rsidR="00F0434A" w:rsidRPr="001B31BD" w:rsidRDefault="00F0434A" w:rsidP="005C2537">
            <w:pPr>
              <w:jc w:val="right"/>
              <w:textAlignment w:val="bottom"/>
              <w:rPr>
                <w:rFonts w:ascii="Calibri" w:eastAsia="Times New Roman" w:hAnsi="Calibri" w:cs="Calibri"/>
                <w:color w:val="000000"/>
                <w:kern w:val="24"/>
                <w:sz w:val="20"/>
                <w:szCs w:val="18"/>
                <w:lang w:val="en-US" w:eastAsia="fr-BE" w:bidi="ar-SA"/>
              </w:rPr>
            </w:pPr>
          </w:p>
        </w:tc>
      </w:tr>
      <w:tr w:rsidR="00F0434A" w:rsidRPr="001B31BD" w:rsidTr="005C2537">
        <w:trPr>
          <w:trHeight w:val="213"/>
        </w:trPr>
        <w:tc>
          <w:tcPr>
            <w:tcW w:w="2946" w:type="dxa"/>
            <w:hideMark/>
          </w:tcPr>
          <w:p w:rsidR="00F0434A" w:rsidRPr="001B31BD" w:rsidRDefault="00F0434A" w:rsidP="005C2537">
            <w:pPr>
              <w:textAlignment w:val="bottom"/>
              <w:rPr>
                <w:rFonts w:ascii="Arial" w:eastAsia="Times New Roman" w:hAnsi="Arial" w:cs="Arial"/>
                <w:color w:val="auto"/>
                <w:kern w:val="0"/>
                <w:sz w:val="20"/>
                <w:szCs w:val="18"/>
                <w:lang w:val="en-US" w:eastAsia="fr-BE" w:bidi="ar-SA"/>
              </w:rPr>
            </w:pPr>
            <w:r w:rsidRPr="001B31BD">
              <w:rPr>
                <w:rFonts w:ascii="Calibri" w:eastAsia="Times New Roman" w:hAnsi="Calibri" w:cs="Calibri"/>
                <w:color w:val="000000"/>
                <w:kern w:val="24"/>
                <w:sz w:val="20"/>
                <w:szCs w:val="18"/>
                <w:lang w:val="en-US" w:eastAsia="fr-BE" w:bidi="ar-SA"/>
              </w:rPr>
              <w:t xml:space="preserve"> - posterior quadrant</w:t>
            </w:r>
          </w:p>
        </w:tc>
        <w:tc>
          <w:tcPr>
            <w:tcW w:w="1104" w:type="dxa"/>
            <w:hideMark/>
          </w:tcPr>
          <w:p w:rsidR="00F0434A" w:rsidRPr="001B31BD" w:rsidRDefault="00F0434A" w:rsidP="005C2537">
            <w:pPr>
              <w:jc w:val="right"/>
              <w:textAlignment w:val="bottom"/>
              <w:rPr>
                <w:rFonts w:ascii="Arial" w:eastAsia="Times New Roman" w:hAnsi="Arial" w:cs="Arial"/>
                <w:color w:val="auto"/>
                <w:kern w:val="0"/>
                <w:sz w:val="20"/>
                <w:szCs w:val="18"/>
                <w:lang w:val="en-US" w:eastAsia="fr-BE" w:bidi="ar-SA"/>
              </w:rPr>
            </w:pPr>
            <w:r w:rsidRPr="001B31BD">
              <w:rPr>
                <w:rFonts w:ascii="Calibri" w:eastAsia="Times New Roman" w:hAnsi="Calibri" w:cs="Calibri"/>
                <w:color w:val="000000"/>
                <w:kern w:val="24"/>
                <w:sz w:val="20"/>
                <w:szCs w:val="18"/>
                <w:lang w:val="en-US" w:eastAsia="fr-BE" w:bidi="ar-SA"/>
              </w:rPr>
              <w:t>3</w:t>
            </w:r>
          </w:p>
        </w:tc>
      </w:tr>
      <w:tr w:rsidR="00F0434A" w:rsidRPr="001B31BD" w:rsidTr="005C2537">
        <w:trPr>
          <w:trHeight w:val="213"/>
        </w:trPr>
        <w:tc>
          <w:tcPr>
            <w:tcW w:w="2946" w:type="dxa"/>
            <w:hideMark/>
          </w:tcPr>
          <w:p w:rsidR="00F0434A" w:rsidRPr="001B31BD" w:rsidRDefault="00F0434A" w:rsidP="005C2537">
            <w:pPr>
              <w:textAlignment w:val="bottom"/>
              <w:rPr>
                <w:rFonts w:ascii="Arial" w:eastAsia="Times New Roman" w:hAnsi="Arial" w:cs="Arial"/>
                <w:color w:val="auto"/>
                <w:kern w:val="0"/>
                <w:sz w:val="20"/>
                <w:szCs w:val="18"/>
                <w:lang w:val="en-US" w:eastAsia="fr-BE" w:bidi="ar-SA"/>
              </w:rPr>
            </w:pPr>
            <w:r w:rsidRPr="001B31BD">
              <w:rPr>
                <w:rFonts w:ascii="Calibri" w:eastAsia="Times New Roman" w:hAnsi="Calibri" w:cs="Calibri"/>
                <w:color w:val="000000"/>
                <w:kern w:val="24"/>
                <w:sz w:val="20"/>
                <w:szCs w:val="18"/>
                <w:lang w:val="en-US" w:eastAsia="fr-BE" w:bidi="ar-SA"/>
              </w:rPr>
              <w:t xml:space="preserve"> - FTLE (only frontal lobe operated)</w:t>
            </w:r>
          </w:p>
        </w:tc>
        <w:tc>
          <w:tcPr>
            <w:tcW w:w="1104" w:type="dxa"/>
            <w:hideMark/>
          </w:tcPr>
          <w:p w:rsidR="00F0434A" w:rsidRPr="001B31BD" w:rsidRDefault="00F0434A" w:rsidP="005C2537">
            <w:pPr>
              <w:jc w:val="right"/>
              <w:textAlignment w:val="bottom"/>
              <w:rPr>
                <w:rFonts w:ascii="Arial" w:eastAsia="Times New Roman" w:hAnsi="Arial" w:cs="Arial"/>
                <w:color w:val="auto"/>
                <w:kern w:val="0"/>
                <w:sz w:val="20"/>
                <w:szCs w:val="18"/>
                <w:lang w:val="en-US" w:eastAsia="fr-BE" w:bidi="ar-SA"/>
              </w:rPr>
            </w:pPr>
            <w:r w:rsidRPr="001B31BD">
              <w:rPr>
                <w:rFonts w:ascii="Calibri" w:eastAsia="Times New Roman" w:hAnsi="Calibri" w:cs="Calibri"/>
                <w:color w:val="000000"/>
                <w:kern w:val="24"/>
                <w:sz w:val="20"/>
                <w:szCs w:val="18"/>
                <w:lang w:val="en-US" w:eastAsia="fr-BE" w:bidi="ar-SA"/>
              </w:rPr>
              <w:t>1</w:t>
            </w:r>
          </w:p>
        </w:tc>
      </w:tr>
      <w:tr w:rsidR="00F0434A" w:rsidRPr="001B31BD" w:rsidTr="005C2537">
        <w:trPr>
          <w:trHeight w:val="213"/>
        </w:trPr>
        <w:tc>
          <w:tcPr>
            <w:tcW w:w="2946" w:type="dxa"/>
            <w:hideMark/>
          </w:tcPr>
          <w:p w:rsidR="00F0434A" w:rsidRPr="001B31BD" w:rsidRDefault="00F0434A" w:rsidP="005C2537">
            <w:pPr>
              <w:textAlignment w:val="bottom"/>
              <w:rPr>
                <w:rFonts w:ascii="Arial" w:eastAsia="Times New Roman" w:hAnsi="Arial" w:cs="Arial"/>
                <w:color w:val="auto"/>
                <w:kern w:val="0"/>
                <w:sz w:val="20"/>
                <w:szCs w:val="18"/>
                <w:lang w:val="en-US" w:eastAsia="fr-BE" w:bidi="ar-SA"/>
              </w:rPr>
            </w:pPr>
            <w:r w:rsidRPr="001B31BD">
              <w:rPr>
                <w:rFonts w:ascii="Calibri" w:eastAsia="Times New Roman" w:hAnsi="Calibri" w:cs="Calibri"/>
                <w:color w:val="000000"/>
                <w:kern w:val="24"/>
                <w:sz w:val="20"/>
                <w:szCs w:val="18"/>
                <w:lang w:val="en-US" w:eastAsia="fr-BE" w:bidi="ar-SA"/>
              </w:rPr>
              <w:t> </w:t>
            </w:r>
          </w:p>
        </w:tc>
        <w:tc>
          <w:tcPr>
            <w:tcW w:w="1104" w:type="dxa"/>
            <w:hideMark/>
          </w:tcPr>
          <w:p w:rsidR="00F0434A" w:rsidRPr="001B31BD" w:rsidRDefault="00F0434A" w:rsidP="005C2537">
            <w:pPr>
              <w:textAlignment w:val="bottom"/>
              <w:rPr>
                <w:rFonts w:ascii="Arial" w:eastAsia="Times New Roman" w:hAnsi="Arial" w:cs="Arial"/>
                <w:color w:val="auto"/>
                <w:kern w:val="0"/>
                <w:sz w:val="20"/>
                <w:szCs w:val="18"/>
                <w:lang w:val="en-US" w:eastAsia="fr-BE" w:bidi="ar-SA"/>
              </w:rPr>
            </w:pPr>
            <w:r w:rsidRPr="001B31BD">
              <w:rPr>
                <w:rFonts w:ascii="Calibri" w:eastAsia="Times New Roman" w:hAnsi="Calibri" w:cs="Calibri"/>
                <w:color w:val="000000"/>
                <w:kern w:val="24"/>
                <w:sz w:val="20"/>
                <w:szCs w:val="18"/>
                <w:lang w:val="en-US" w:eastAsia="fr-BE" w:bidi="ar-SA"/>
              </w:rPr>
              <w:t> </w:t>
            </w:r>
          </w:p>
        </w:tc>
      </w:tr>
      <w:tr w:rsidR="00F0434A" w:rsidRPr="001B31BD" w:rsidTr="005C2537">
        <w:trPr>
          <w:trHeight w:val="213"/>
        </w:trPr>
        <w:tc>
          <w:tcPr>
            <w:tcW w:w="2946" w:type="dxa"/>
            <w:hideMark/>
          </w:tcPr>
          <w:p w:rsidR="00F0434A" w:rsidRPr="001B31BD" w:rsidRDefault="00F0434A" w:rsidP="005C2537">
            <w:pPr>
              <w:textAlignment w:val="bottom"/>
              <w:rPr>
                <w:rFonts w:ascii="Arial" w:eastAsia="Times New Roman" w:hAnsi="Arial" w:cs="Arial"/>
                <w:color w:val="auto"/>
                <w:kern w:val="0"/>
                <w:sz w:val="20"/>
                <w:szCs w:val="18"/>
                <w:lang w:val="en-US" w:eastAsia="fr-BE" w:bidi="ar-SA"/>
              </w:rPr>
            </w:pPr>
            <w:r w:rsidRPr="001B31BD">
              <w:rPr>
                <w:rFonts w:ascii="Calibri" w:eastAsia="Times New Roman" w:hAnsi="Calibri" w:cs="Calibri"/>
                <w:b/>
                <w:bCs/>
                <w:color w:val="000000"/>
                <w:kern w:val="24"/>
                <w:sz w:val="20"/>
                <w:szCs w:val="18"/>
                <w:lang w:val="en-US" w:eastAsia="fr-BE" w:bidi="ar-SA"/>
              </w:rPr>
              <w:t>Lesional epilepsy</w:t>
            </w:r>
          </w:p>
        </w:tc>
        <w:tc>
          <w:tcPr>
            <w:tcW w:w="1104" w:type="dxa"/>
            <w:hideMark/>
          </w:tcPr>
          <w:p w:rsidR="00F0434A" w:rsidRPr="001B31BD" w:rsidRDefault="00F0434A" w:rsidP="005C2537">
            <w:pPr>
              <w:jc w:val="right"/>
              <w:textAlignment w:val="bottom"/>
              <w:rPr>
                <w:rFonts w:ascii="Arial" w:eastAsia="Times New Roman" w:hAnsi="Arial" w:cs="Arial"/>
                <w:color w:val="auto"/>
                <w:kern w:val="0"/>
                <w:sz w:val="20"/>
                <w:szCs w:val="18"/>
                <w:lang w:val="en-US" w:eastAsia="fr-BE" w:bidi="ar-SA"/>
              </w:rPr>
            </w:pPr>
            <w:r w:rsidRPr="001B31BD">
              <w:rPr>
                <w:rFonts w:ascii="Calibri" w:eastAsia="Times New Roman" w:hAnsi="Calibri" w:cs="Calibri"/>
                <w:color w:val="000000"/>
                <w:kern w:val="24"/>
                <w:sz w:val="20"/>
                <w:szCs w:val="18"/>
                <w:lang w:val="en-US" w:eastAsia="fr-BE" w:bidi="ar-SA"/>
              </w:rPr>
              <w:t>19</w:t>
            </w:r>
          </w:p>
        </w:tc>
      </w:tr>
      <w:tr w:rsidR="00F0434A" w:rsidRPr="001B31BD" w:rsidTr="005C2537">
        <w:trPr>
          <w:trHeight w:val="213"/>
        </w:trPr>
        <w:tc>
          <w:tcPr>
            <w:tcW w:w="2946" w:type="dxa"/>
            <w:hideMark/>
          </w:tcPr>
          <w:p w:rsidR="00F0434A" w:rsidRPr="001B31BD" w:rsidRDefault="00F0434A" w:rsidP="005C2537">
            <w:pPr>
              <w:textAlignment w:val="bottom"/>
              <w:rPr>
                <w:rFonts w:ascii="Arial" w:eastAsia="Times New Roman" w:hAnsi="Arial" w:cs="Arial"/>
                <w:color w:val="auto"/>
                <w:kern w:val="0"/>
                <w:sz w:val="20"/>
                <w:szCs w:val="18"/>
                <w:lang w:val="en-US" w:eastAsia="fr-BE" w:bidi="ar-SA"/>
              </w:rPr>
            </w:pPr>
            <w:r w:rsidRPr="001B31BD">
              <w:rPr>
                <w:rFonts w:ascii="Calibri" w:eastAsia="Times New Roman" w:hAnsi="Calibri" w:cs="Calibri"/>
                <w:b/>
                <w:bCs/>
                <w:color w:val="000000"/>
                <w:kern w:val="24"/>
                <w:sz w:val="20"/>
                <w:szCs w:val="18"/>
                <w:lang w:val="en-US" w:eastAsia="fr-BE" w:bidi="ar-SA"/>
              </w:rPr>
              <w:t>Non-lesional epilepsy</w:t>
            </w:r>
          </w:p>
        </w:tc>
        <w:tc>
          <w:tcPr>
            <w:tcW w:w="1104" w:type="dxa"/>
            <w:hideMark/>
          </w:tcPr>
          <w:p w:rsidR="00F0434A" w:rsidRPr="001B31BD" w:rsidRDefault="00F0434A" w:rsidP="005C2537">
            <w:pPr>
              <w:jc w:val="right"/>
              <w:textAlignment w:val="bottom"/>
              <w:rPr>
                <w:rFonts w:ascii="Arial" w:eastAsia="Times New Roman" w:hAnsi="Arial" w:cs="Arial"/>
                <w:color w:val="auto"/>
                <w:kern w:val="0"/>
                <w:sz w:val="20"/>
                <w:szCs w:val="18"/>
                <w:lang w:val="en-US" w:eastAsia="fr-BE" w:bidi="ar-SA"/>
              </w:rPr>
            </w:pPr>
            <w:r w:rsidRPr="001B31BD">
              <w:rPr>
                <w:rFonts w:ascii="Calibri" w:eastAsia="Times New Roman" w:hAnsi="Calibri" w:cs="Calibri"/>
                <w:color w:val="000000"/>
                <w:kern w:val="24"/>
                <w:sz w:val="20"/>
                <w:szCs w:val="18"/>
                <w:lang w:val="en-US" w:eastAsia="fr-BE" w:bidi="ar-SA"/>
              </w:rPr>
              <w:t>5</w:t>
            </w:r>
          </w:p>
        </w:tc>
      </w:tr>
      <w:tr w:rsidR="00F0434A" w:rsidRPr="001B31BD" w:rsidTr="005C2537">
        <w:trPr>
          <w:trHeight w:val="213"/>
        </w:trPr>
        <w:tc>
          <w:tcPr>
            <w:tcW w:w="2946" w:type="dxa"/>
            <w:hideMark/>
          </w:tcPr>
          <w:p w:rsidR="00F0434A" w:rsidRPr="001B31BD" w:rsidRDefault="00F0434A" w:rsidP="005C2537">
            <w:pPr>
              <w:textAlignment w:val="bottom"/>
              <w:rPr>
                <w:rFonts w:ascii="Arial" w:eastAsia="Times New Roman" w:hAnsi="Arial" w:cs="Arial"/>
                <w:color w:val="auto"/>
                <w:kern w:val="0"/>
                <w:sz w:val="20"/>
                <w:szCs w:val="18"/>
                <w:lang w:val="en-US" w:eastAsia="fr-BE" w:bidi="ar-SA"/>
              </w:rPr>
            </w:pPr>
            <w:r w:rsidRPr="001B31BD">
              <w:rPr>
                <w:rFonts w:ascii="Calibri" w:eastAsia="Times New Roman" w:hAnsi="Calibri" w:cs="Calibri"/>
                <w:color w:val="000000"/>
                <w:kern w:val="24"/>
                <w:sz w:val="20"/>
                <w:szCs w:val="18"/>
                <w:lang w:val="en-US" w:eastAsia="fr-BE" w:bidi="ar-SA"/>
              </w:rPr>
              <w:t> </w:t>
            </w:r>
          </w:p>
        </w:tc>
        <w:tc>
          <w:tcPr>
            <w:tcW w:w="1104" w:type="dxa"/>
            <w:hideMark/>
          </w:tcPr>
          <w:p w:rsidR="00F0434A" w:rsidRPr="001B31BD" w:rsidRDefault="00F0434A" w:rsidP="005C2537">
            <w:pPr>
              <w:textAlignment w:val="bottom"/>
              <w:rPr>
                <w:rFonts w:ascii="Arial" w:eastAsia="Times New Roman" w:hAnsi="Arial" w:cs="Arial"/>
                <w:color w:val="auto"/>
                <w:kern w:val="0"/>
                <w:sz w:val="20"/>
                <w:szCs w:val="18"/>
                <w:lang w:val="en-US" w:eastAsia="fr-BE" w:bidi="ar-SA"/>
              </w:rPr>
            </w:pPr>
            <w:r w:rsidRPr="001B31BD">
              <w:rPr>
                <w:rFonts w:ascii="Calibri" w:eastAsia="Times New Roman" w:hAnsi="Calibri" w:cs="Calibri"/>
                <w:color w:val="000000"/>
                <w:kern w:val="24"/>
                <w:sz w:val="20"/>
                <w:szCs w:val="18"/>
                <w:lang w:val="en-US" w:eastAsia="fr-BE" w:bidi="ar-SA"/>
              </w:rPr>
              <w:t> </w:t>
            </w:r>
          </w:p>
        </w:tc>
      </w:tr>
      <w:tr w:rsidR="00F0434A" w:rsidRPr="001B31BD" w:rsidTr="005C2537">
        <w:trPr>
          <w:trHeight w:val="213"/>
        </w:trPr>
        <w:tc>
          <w:tcPr>
            <w:tcW w:w="2946" w:type="dxa"/>
            <w:hideMark/>
          </w:tcPr>
          <w:p w:rsidR="00F0434A" w:rsidRPr="001B31BD" w:rsidRDefault="00F0434A" w:rsidP="005C2537">
            <w:pPr>
              <w:textAlignment w:val="bottom"/>
              <w:rPr>
                <w:rFonts w:ascii="Arial" w:eastAsia="Times New Roman" w:hAnsi="Arial" w:cs="Arial"/>
                <w:color w:val="auto"/>
                <w:kern w:val="0"/>
                <w:sz w:val="20"/>
                <w:szCs w:val="18"/>
                <w:lang w:val="en-US" w:eastAsia="fr-BE" w:bidi="ar-SA"/>
              </w:rPr>
            </w:pPr>
            <w:r w:rsidRPr="001B31BD">
              <w:rPr>
                <w:rFonts w:ascii="Calibri" w:eastAsia="Times New Roman" w:hAnsi="Calibri" w:cs="Calibri"/>
                <w:b/>
                <w:bCs/>
                <w:color w:val="000000"/>
                <w:kern w:val="24"/>
                <w:sz w:val="20"/>
                <w:szCs w:val="18"/>
                <w:lang w:val="en-US" w:eastAsia="fr-BE" w:bidi="ar-SA"/>
              </w:rPr>
              <w:t>Small resective surgery</w:t>
            </w:r>
          </w:p>
        </w:tc>
        <w:tc>
          <w:tcPr>
            <w:tcW w:w="1104" w:type="dxa"/>
            <w:hideMark/>
          </w:tcPr>
          <w:p w:rsidR="00F0434A" w:rsidRPr="001B31BD" w:rsidRDefault="00F0434A" w:rsidP="005C2537">
            <w:pPr>
              <w:jc w:val="right"/>
              <w:textAlignment w:val="bottom"/>
              <w:rPr>
                <w:rFonts w:ascii="Arial" w:eastAsia="Times New Roman" w:hAnsi="Arial" w:cs="Arial"/>
                <w:color w:val="auto"/>
                <w:kern w:val="0"/>
                <w:sz w:val="20"/>
                <w:szCs w:val="18"/>
                <w:lang w:val="en-US" w:eastAsia="fr-BE" w:bidi="ar-SA"/>
              </w:rPr>
            </w:pPr>
            <w:r w:rsidRPr="001B31BD">
              <w:rPr>
                <w:rFonts w:ascii="Calibri" w:eastAsia="Times New Roman" w:hAnsi="Calibri" w:cs="Calibri"/>
                <w:color w:val="000000"/>
                <w:kern w:val="24"/>
                <w:sz w:val="20"/>
                <w:szCs w:val="18"/>
                <w:lang w:val="en-US" w:eastAsia="fr-BE" w:bidi="ar-SA"/>
              </w:rPr>
              <w:t>13</w:t>
            </w:r>
          </w:p>
        </w:tc>
      </w:tr>
      <w:tr w:rsidR="00F0434A" w:rsidRPr="001B31BD" w:rsidTr="005C2537">
        <w:trPr>
          <w:trHeight w:val="213"/>
        </w:trPr>
        <w:tc>
          <w:tcPr>
            <w:tcW w:w="2946" w:type="dxa"/>
            <w:hideMark/>
          </w:tcPr>
          <w:p w:rsidR="00F0434A" w:rsidRPr="001B31BD" w:rsidRDefault="00F0434A" w:rsidP="005C2537">
            <w:pPr>
              <w:textAlignment w:val="bottom"/>
              <w:rPr>
                <w:rFonts w:ascii="Arial" w:eastAsia="Times New Roman" w:hAnsi="Arial" w:cs="Arial"/>
                <w:color w:val="auto"/>
                <w:kern w:val="0"/>
                <w:sz w:val="20"/>
                <w:szCs w:val="18"/>
                <w:lang w:val="en-US" w:eastAsia="fr-BE" w:bidi="ar-SA"/>
              </w:rPr>
            </w:pPr>
            <w:r w:rsidRPr="001B31BD">
              <w:rPr>
                <w:rFonts w:ascii="Calibri" w:eastAsia="Times New Roman" w:hAnsi="Calibri" w:cs="Calibri"/>
                <w:color w:val="000000"/>
                <w:kern w:val="24"/>
                <w:sz w:val="20"/>
                <w:szCs w:val="18"/>
                <w:lang w:val="en-US" w:eastAsia="fr-BE" w:bidi="ar-SA"/>
              </w:rPr>
              <w:t xml:space="preserve"> - lesionectomy</w:t>
            </w:r>
          </w:p>
        </w:tc>
        <w:tc>
          <w:tcPr>
            <w:tcW w:w="1104" w:type="dxa"/>
            <w:hideMark/>
          </w:tcPr>
          <w:p w:rsidR="00F0434A" w:rsidRPr="001B31BD" w:rsidRDefault="00F0434A" w:rsidP="005C2537">
            <w:pPr>
              <w:jc w:val="right"/>
              <w:textAlignment w:val="bottom"/>
              <w:rPr>
                <w:rFonts w:ascii="Arial" w:eastAsia="Times New Roman" w:hAnsi="Arial" w:cs="Arial"/>
                <w:color w:val="auto"/>
                <w:kern w:val="0"/>
                <w:sz w:val="20"/>
                <w:szCs w:val="18"/>
                <w:lang w:val="en-US" w:eastAsia="fr-BE" w:bidi="ar-SA"/>
              </w:rPr>
            </w:pPr>
            <w:r>
              <w:rPr>
                <w:rFonts w:ascii="Calibri" w:eastAsia="Times New Roman" w:hAnsi="Calibri" w:cs="Calibri"/>
                <w:color w:val="000000"/>
                <w:kern w:val="24"/>
                <w:sz w:val="20"/>
                <w:szCs w:val="18"/>
                <w:lang w:val="en-US" w:eastAsia="fr-BE" w:bidi="ar-SA"/>
              </w:rPr>
              <w:t>5</w:t>
            </w:r>
          </w:p>
        </w:tc>
      </w:tr>
      <w:tr w:rsidR="00F0434A" w:rsidRPr="001B31BD" w:rsidTr="005C2537">
        <w:trPr>
          <w:trHeight w:val="213"/>
        </w:trPr>
        <w:tc>
          <w:tcPr>
            <w:tcW w:w="2946" w:type="dxa"/>
            <w:hideMark/>
          </w:tcPr>
          <w:p w:rsidR="00F0434A" w:rsidRPr="001B31BD" w:rsidRDefault="00F0434A" w:rsidP="005C2537">
            <w:pPr>
              <w:textAlignment w:val="bottom"/>
              <w:rPr>
                <w:rFonts w:ascii="Arial" w:eastAsia="Times New Roman" w:hAnsi="Arial" w:cs="Arial"/>
                <w:color w:val="auto"/>
                <w:kern w:val="0"/>
                <w:sz w:val="20"/>
                <w:szCs w:val="18"/>
                <w:lang w:val="en-US" w:eastAsia="fr-BE" w:bidi="ar-SA"/>
              </w:rPr>
            </w:pPr>
            <w:r w:rsidRPr="001B31BD">
              <w:rPr>
                <w:rFonts w:ascii="Calibri" w:eastAsia="Times New Roman" w:hAnsi="Calibri" w:cs="Calibri"/>
                <w:color w:val="000000"/>
                <w:kern w:val="24"/>
                <w:sz w:val="20"/>
                <w:szCs w:val="18"/>
                <w:lang w:val="en-US" w:eastAsia="fr-BE" w:bidi="ar-SA"/>
              </w:rPr>
              <w:t xml:space="preserve"> - cortectomy</w:t>
            </w:r>
          </w:p>
        </w:tc>
        <w:tc>
          <w:tcPr>
            <w:tcW w:w="1104" w:type="dxa"/>
            <w:hideMark/>
          </w:tcPr>
          <w:p w:rsidR="00F0434A" w:rsidRPr="001B31BD" w:rsidRDefault="00F0434A" w:rsidP="005C2537">
            <w:pPr>
              <w:jc w:val="right"/>
              <w:textAlignment w:val="bottom"/>
              <w:rPr>
                <w:rFonts w:ascii="Arial" w:eastAsia="Times New Roman" w:hAnsi="Arial" w:cs="Arial"/>
                <w:color w:val="auto"/>
                <w:kern w:val="0"/>
                <w:sz w:val="20"/>
                <w:szCs w:val="18"/>
                <w:lang w:val="en-US" w:eastAsia="fr-BE" w:bidi="ar-SA"/>
              </w:rPr>
            </w:pPr>
            <w:r w:rsidRPr="001B31BD">
              <w:rPr>
                <w:rFonts w:ascii="Calibri" w:eastAsia="Times New Roman" w:hAnsi="Calibri" w:cs="Calibri"/>
                <w:color w:val="000000"/>
                <w:kern w:val="24"/>
                <w:sz w:val="20"/>
                <w:szCs w:val="18"/>
                <w:lang w:val="en-US" w:eastAsia="fr-BE" w:bidi="ar-SA"/>
              </w:rPr>
              <w:t>6</w:t>
            </w:r>
          </w:p>
        </w:tc>
      </w:tr>
      <w:tr w:rsidR="00F0434A" w:rsidRPr="001B31BD" w:rsidTr="005C2537">
        <w:trPr>
          <w:trHeight w:val="213"/>
        </w:trPr>
        <w:tc>
          <w:tcPr>
            <w:tcW w:w="2946" w:type="dxa"/>
            <w:hideMark/>
          </w:tcPr>
          <w:p w:rsidR="00F0434A" w:rsidRPr="001B31BD" w:rsidRDefault="00F0434A" w:rsidP="005C2537">
            <w:pPr>
              <w:textAlignment w:val="bottom"/>
              <w:rPr>
                <w:rFonts w:ascii="Arial" w:eastAsia="Times New Roman" w:hAnsi="Arial" w:cs="Arial"/>
                <w:color w:val="auto"/>
                <w:kern w:val="0"/>
                <w:sz w:val="20"/>
                <w:szCs w:val="18"/>
                <w:lang w:val="en-US" w:eastAsia="fr-BE" w:bidi="ar-SA"/>
              </w:rPr>
            </w:pPr>
            <w:r w:rsidRPr="001B31BD">
              <w:rPr>
                <w:rFonts w:ascii="Calibri" w:eastAsia="Times New Roman" w:hAnsi="Calibri" w:cs="Calibri"/>
                <w:color w:val="000000"/>
                <w:kern w:val="24"/>
                <w:sz w:val="20"/>
                <w:szCs w:val="18"/>
                <w:lang w:val="en-US" w:eastAsia="fr-BE" w:bidi="ar-SA"/>
              </w:rPr>
              <w:t xml:space="preserve"> - lesionectomy + cortectomy</w:t>
            </w:r>
          </w:p>
        </w:tc>
        <w:tc>
          <w:tcPr>
            <w:tcW w:w="1104" w:type="dxa"/>
            <w:hideMark/>
          </w:tcPr>
          <w:p w:rsidR="00F0434A" w:rsidRPr="001B31BD" w:rsidRDefault="00F0434A" w:rsidP="005C2537">
            <w:pPr>
              <w:jc w:val="right"/>
              <w:textAlignment w:val="bottom"/>
              <w:rPr>
                <w:rFonts w:ascii="Arial" w:eastAsia="Times New Roman" w:hAnsi="Arial" w:cs="Arial"/>
                <w:color w:val="auto"/>
                <w:kern w:val="0"/>
                <w:sz w:val="20"/>
                <w:szCs w:val="18"/>
                <w:lang w:val="en-US" w:eastAsia="fr-BE" w:bidi="ar-SA"/>
              </w:rPr>
            </w:pPr>
            <w:r w:rsidRPr="001B31BD">
              <w:rPr>
                <w:rFonts w:ascii="Calibri" w:eastAsia="Times New Roman" w:hAnsi="Calibri" w:cs="Calibri"/>
                <w:color w:val="000000"/>
                <w:kern w:val="24"/>
                <w:sz w:val="20"/>
                <w:szCs w:val="18"/>
                <w:lang w:val="en-US" w:eastAsia="fr-BE" w:bidi="ar-SA"/>
              </w:rPr>
              <w:t>2</w:t>
            </w:r>
          </w:p>
        </w:tc>
      </w:tr>
      <w:tr w:rsidR="00F0434A" w:rsidRPr="001B31BD" w:rsidTr="005C2537">
        <w:trPr>
          <w:trHeight w:val="213"/>
        </w:trPr>
        <w:tc>
          <w:tcPr>
            <w:tcW w:w="2946" w:type="dxa"/>
            <w:hideMark/>
          </w:tcPr>
          <w:p w:rsidR="00F0434A" w:rsidRPr="001B31BD" w:rsidRDefault="00F0434A" w:rsidP="005C2537">
            <w:pPr>
              <w:textAlignment w:val="bottom"/>
              <w:rPr>
                <w:rFonts w:ascii="Arial" w:eastAsia="Times New Roman" w:hAnsi="Arial" w:cs="Arial"/>
                <w:color w:val="auto"/>
                <w:kern w:val="0"/>
                <w:sz w:val="20"/>
                <w:szCs w:val="18"/>
                <w:lang w:val="en-US" w:eastAsia="fr-BE" w:bidi="ar-SA"/>
              </w:rPr>
            </w:pPr>
            <w:r w:rsidRPr="001B31BD">
              <w:rPr>
                <w:rFonts w:ascii="Calibri" w:eastAsia="Times New Roman" w:hAnsi="Calibri" w:cs="Calibri"/>
                <w:b/>
                <w:bCs/>
                <w:color w:val="000000"/>
                <w:kern w:val="24"/>
                <w:sz w:val="20"/>
                <w:szCs w:val="18"/>
                <w:lang w:val="en-US" w:eastAsia="fr-BE" w:bidi="ar-SA"/>
              </w:rPr>
              <w:t>Lobar disconnection</w:t>
            </w:r>
          </w:p>
        </w:tc>
        <w:tc>
          <w:tcPr>
            <w:tcW w:w="1104" w:type="dxa"/>
            <w:hideMark/>
          </w:tcPr>
          <w:p w:rsidR="00F0434A" w:rsidRPr="001B31BD" w:rsidRDefault="00F0434A" w:rsidP="005C2537">
            <w:pPr>
              <w:jc w:val="right"/>
              <w:textAlignment w:val="bottom"/>
              <w:rPr>
                <w:rFonts w:ascii="Arial" w:eastAsia="Times New Roman" w:hAnsi="Arial" w:cs="Arial"/>
                <w:color w:val="auto"/>
                <w:kern w:val="0"/>
                <w:sz w:val="20"/>
                <w:szCs w:val="18"/>
                <w:lang w:val="en-US" w:eastAsia="fr-BE" w:bidi="ar-SA"/>
              </w:rPr>
            </w:pPr>
            <w:r w:rsidRPr="001B31BD">
              <w:rPr>
                <w:rFonts w:ascii="Calibri" w:eastAsia="Times New Roman" w:hAnsi="Calibri" w:cs="Calibri"/>
                <w:color w:val="000000"/>
                <w:kern w:val="24"/>
                <w:sz w:val="20"/>
                <w:szCs w:val="18"/>
                <w:lang w:val="en-US" w:eastAsia="fr-BE" w:bidi="ar-SA"/>
              </w:rPr>
              <w:t>5</w:t>
            </w:r>
          </w:p>
        </w:tc>
      </w:tr>
      <w:tr w:rsidR="00F0434A" w:rsidRPr="001B31BD" w:rsidTr="005C2537">
        <w:trPr>
          <w:trHeight w:val="213"/>
        </w:trPr>
        <w:tc>
          <w:tcPr>
            <w:tcW w:w="2946" w:type="dxa"/>
            <w:hideMark/>
          </w:tcPr>
          <w:p w:rsidR="00F0434A" w:rsidRPr="001B31BD" w:rsidRDefault="00F0434A" w:rsidP="005C2537">
            <w:pPr>
              <w:textAlignment w:val="bottom"/>
              <w:rPr>
                <w:rFonts w:ascii="Arial" w:eastAsia="Times New Roman" w:hAnsi="Arial" w:cs="Arial"/>
                <w:color w:val="auto"/>
                <w:kern w:val="0"/>
                <w:sz w:val="20"/>
                <w:szCs w:val="18"/>
                <w:lang w:val="en-US" w:eastAsia="fr-BE" w:bidi="ar-SA"/>
              </w:rPr>
            </w:pPr>
            <w:r w:rsidRPr="001B31BD">
              <w:rPr>
                <w:rFonts w:ascii="Calibri" w:eastAsia="Times New Roman" w:hAnsi="Calibri" w:cs="Calibri"/>
                <w:b/>
                <w:bCs/>
                <w:color w:val="000000"/>
                <w:kern w:val="24"/>
                <w:sz w:val="20"/>
                <w:szCs w:val="18"/>
                <w:lang w:val="en-US" w:eastAsia="fr-BE" w:bidi="ar-SA"/>
              </w:rPr>
              <w:t>Hemispherotomy</w:t>
            </w:r>
          </w:p>
        </w:tc>
        <w:tc>
          <w:tcPr>
            <w:tcW w:w="1104" w:type="dxa"/>
            <w:hideMark/>
          </w:tcPr>
          <w:p w:rsidR="00F0434A" w:rsidRPr="001B31BD" w:rsidRDefault="00F0434A" w:rsidP="005C2537">
            <w:pPr>
              <w:jc w:val="right"/>
              <w:textAlignment w:val="bottom"/>
              <w:rPr>
                <w:rFonts w:ascii="Arial" w:eastAsia="Times New Roman" w:hAnsi="Arial" w:cs="Arial"/>
                <w:color w:val="auto"/>
                <w:kern w:val="0"/>
                <w:sz w:val="20"/>
                <w:szCs w:val="18"/>
                <w:lang w:val="en-US" w:eastAsia="fr-BE" w:bidi="ar-SA"/>
              </w:rPr>
            </w:pPr>
            <w:r w:rsidRPr="001B31BD">
              <w:rPr>
                <w:rFonts w:ascii="Calibri" w:eastAsia="Times New Roman" w:hAnsi="Calibri" w:cs="Calibri"/>
                <w:color w:val="000000"/>
                <w:kern w:val="24"/>
                <w:sz w:val="20"/>
                <w:szCs w:val="18"/>
                <w:lang w:val="en-US" w:eastAsia="fr-BE" w:bidi="ar-SA"/>
              </w:rPr>
              <w:t>6</w:t>
            </w:r>
          </w:p>
        </w:tc>
      </w:tr>
    </w:tbl>
    <w:p w:rsidR="00F0434A" w:rsidRPr="0039234D" w:rsidRDefault="00F0434A" w:rsidP="00F0434A">
      <w:pPr>
        <w:pStyle w:val="Lgende"/>
        <w:keepNext/>
        <w:rPr>
          <w:lang w:val="en-US"/>
        </w:rPr>
      </w:pPr>
    </w:p>
    <w:p w:rsidR="00F0434A" w:rsidRPr="0039234D" w:rsidRDefault="00F0434A" w:rsidP="00F0434A">
      <w:pPr>
        <w:pStyle w:val="Lgende"/>
        <w:keepNext/>
        <w:rPr>
          <w:lang w:val="en-US"/>
        </w:rPr>
      </w:pPr>
    </w:p>
    <w:p w:rsidR="00F0434A" w:rsidRPr="0039234D" w:rsidRDefault="00F0434A" w:rsidP="00F0434A">
      <w:pPr>
        <w:spacing w:after="160" w:line="259" w:lineRule="auto"/>
        <w:rPr>
          <w:rFonts w:asciiTheme="minorHAnsi" w:hAnsiTheme="minorHAnsi" w:cstheme="minorHAnsi"/>
          <w:lang w:val="en-US"/>
        </w:rPr>
      </w:pPr>
    </w:p>
    <w:p w:rsidR="00F0434A" w:rsidRPr="0039234D" w:rsidRDefault="00F0434A" w:rsidP="00F0434A">
      <w:pPr>
        <w:spacing w:line="360" w:lineRule="auto"/>
        <w:ind w:firstLine="360"/>
        <w:jc w:val="both"/>
        <w:rPr>
          <w:rFonts w:asciiTheme="minorHAnsi" w:hAnsiTheme="minorHAnsi" w:cstheme="minorHAnsi"/>
          <w:lang w:val="en-US"/>
        </w:rPr>
      </w:pPr>
    </w:p>
    <w:p w:rsidR="00F0434A" w:rsidRPr="0039234D" w:rsidRDefault="00F0434A" w:rsidP="00F0434A">
      <w:pPr>
        <w:spacing w:line="360" w:lineRule="auto"/>
        <w:ind w:firstLine="360"/>
        <w:jc w:val="both"/>
        <w:rPr>
          <w:rFonts w:asciiTheme="minorHAnsi" w:hAnsiTheme="minorHAnsi" w:cstheme="minorHAnsi"/>
          <w:lang w:val="en-US"/>
        </w:rPr>
      </w:pPr>
    </w:p>
    <w:p w:rsidR="00F0434A" w:rsidRPr="0039234D" w:rsidRDefault="00F0434A" w:rsidP="00F0434A">
      <w:pPr>
        <w:spacing w:line="360" w:lineRule="auto"/>
        <w:ind w:firstLine="360"/>
        <w:jc w:val="both"/>
        <w:rPr>
          <w:rFonts w:asciiTheme="minorHAnsi" w:hAnsiTheme="minorHAnsi" w:cstheme="minorHAnsi"/>
          <w:lang w:val="en-US"/>
        </w:rPr>
      </w:pPr>
    </w:p>
    <w:p w:rsidR="00F0434A" w:rsidRPr="0039234D" w:rsidRDefault="00F0434A" w:rsidP="00F0434A">
      <w:pPr>
        <w:spacing w:line="360" w:lineRule="auto"/>
        <w:ind w:firstLine="360"/>
        <w:jc w:val="both"/>
        <w:rPr>
          <w:rFonts w:asciiTheme="minorHAnsi" w:hAnsiTheme="minorHAnsi" w:cstheme="minorHAnsi"/>
          <w:lang w:val="en-US"/>
        </w:rPr>
      </w:pPr>
    </w:p>
    <w:p w:rsidR="00F0434A" w:rsidRPr="0039234D" w:rsidRDefault="00F0434A" w:rsidP="00F0434A">
      <w:pPr>
        <w:spacing w:line="360" w:lineRule="auto"/>
        <w:ind w:firstLine="360"/>
        <w:jc w:val="both"/>
        <w:rPr>
          <w:rFonts w:asciiTheme="minorHAnsi" w:hAnsiTheme="minorHAnsi" w:cstheme="minorHAnsi"/>
          <w:lang w:val="en-US"/>
        </w:rPr>
      </w:pPr>
    </w:p>
    <w:p w:rsidR="00F0434A" w:rsidRPr="0039234D" w:rsidRDefault="00F0434A" w:rsidP="00F0434A">
      <w:pPr>
        <w:spacing w:line="360" w:lineRule="auto"/>
        <w:ind w:firstLine="360"/>
        <w:jc w:val="both"/>
        <w:rPr>
          <w:rFonts w:asciiTheme="minorHAnsi" w:hAnsiTheme="minorHAnsi" w:cstheme="minorHAnsi"/>
          <w:lang w:val="en-US"/>
        </w:rPr>
      </w:pPr>
    </w:p>
    <w:p w:rsidR="00F0434A" w:rsidRPr="0039234D" w:rsidRDefault="00F0434A" w:rsidP="00F0434A">
      <w:pPr>
        <w:spacing w:line="360" w:lineRule="auto"/>
        <w:ind w:firstLine="360"/>
        <w:jc w:val="both"/>
        <w:rPr>
          <w:rFonts w:asciiTheme="minorHAnsi" w:hAnsiTheme="minorHAnsi" w:cstheme="minorHAnsi"/>
          <w:lang w:val="en-US"/>
        </w:rPr>
      </w:pPr>
    </w:p>
    <w:p w:rsidR="00F0434A" w:rsidRPr="0039234D" w:rsidRDefault="00F0434A" w:rsidP="00F0434A">
      <w:pPr>
        <w:spacing w:line="360" w:lineRule="auto"/>
        <w:ind w:firstLine="360"/>
        <w:jc w:val="both"/>
        <w:rPr>
          <w:rFonts w:asciiTheme="minorHAnsi" w:hAnsiTheme="minorHAnsi" w:cstheme="minorHAnsi"/>
          <w:lang w:val="en-US"/>
        </w:rPr>
      </w:pPr>
    </w:p>
    <w:p w:rsidR="00F0434A" w:rsidRPr="0039234D" w:rsidRDefault="00F0434A" w:rsidP="00F0434A">
      <w:pPr>
        <w:spacing w:line="360" w:lineRule="auto"/>
        <w:ind w:firstLine="360"/>
        <w:jc w:val="both"/>
        <w:rPr>
          <w:rFonts w:asciiTheme="minorHAnsi" w:hAnsiTheme="minorHAnsi" w:cstheme="minorHAnsi"/>
          <w:lang w:val="en-US"/>
        </w:rPr>
      </w:pPr>
    </w:p>
    <w:p w:rsidR="00F0434A" w:rsidRPr="0039234D" w:rsidRDefault="00F0434A" w:rsidP="00F0434A">
      <w:pPr>
        <w:spacing w:line="360" w:lineRule="auto"/>
        <w:ind w:firstLine="360"/>
        <w:jc w:val="both"/>
        <w:rPr>
          <w:rFonts w:asciiTheme="minorHAnsi" w:hAnsiTheme="minorHAnsi" w:cstheme="minorHAnsi"/>
          <w:lang w:val="en-US"/>
        </w:rPr>
      </w:pPr>
    </w:p>
    <w:p w:rsidR="00F0434A" w:rsidRPr="0039234D" w:rsidRDefault="00F0434A" w:rsidP="00F0434A">
      <w:pPr>
        <w:spacing w:line="360" w:lineRule="auto"/>
        <w:ind w:firstLine="360"/>
        <w:jc w:val="both"/>
        <w:rPr>
          <w:rFonts w:asciiTheme="minorHAnsi" w:hAnsiTheme="minorHAnsi" w:cstheme="minorHAnsi"/>
          <w:lang w:val="en-US"/>
        </w:rPr>
      </w:pPr>
    </w:p>
    <w:p w:rsidR="00F0434A" w:rsidRPr="0039234D" w:rsidRDefault="00F0434A" w:rsidP="00F0434A">
      <w:pPr>
        <w:spacing w:line="360" w:lineRule="auto"/>
        <w:ind w:firstLine="360"/>
        <w:jc w:val="both"/>
        <w:rPr>
          <w:rFonts w:asciiTheme="minorHAnsi" w:hAnsiTheme="minorHAnsi" w:cstheme="minorHAnsi"/>
          <w:lang w:val="en-US"/>
        </w:rPr>
      </w:pPr>
    </w:p>
    <w:p w:rsidR="00F0434A" w:rsidRPr="0039234D" w:rsidRDefault="00F0434A" w:rsidP="00F0434A">
      <w:pPr>
        <w:spacing w:line="360" w:lineRule="auto"/>
        <w:ind w:firstLine="360"/>
        <w:jc w:val="both"/>
        <w:rPr>
          <w:rFonts w:asciiTheme="minorHAnsi" w:hAnsiTheme="minorHAnsi" w:cstheme="minorHAnsi"/>
          <w:lang w:val="en-US"/>
        </w:rPr>
      </w:pPr>
    </w:p>
    <w:p w:rsidR="00F0434A" w:rsidRDefault="00F0434A" w:rsidP="00F0434A">
      <w:pPr>
        <w:pStyle w:val="Lgende"/>
        <w:keepNext/>
        <w:rPr>
          <w:b w:val="0"/>
          <w:iCs w:val="0"/>
          <w:sz w:val="24"/>
          <w:lang w:val="en-US"/>
        </w:rPr>
      </w:pPr>
    </w:p>
    <w:p w:rsidR="00F0434A" w:rsidRDefault="00F0434A" w:rsidP="00F0434A">
      <w:pPr>
        <w:pStyle w:val="Lgende"/>
        <w:keepNext/>
        <w:rPr>
          <w:b w:val="0"/>
          <w:iCs w:val="0"/>
          <w:sz w:val="24"/>
          <w:lang w:val="en-US"/>
        </w:rPr>
      </w:pPr>
    </w:p>
    <w:p w:rsidR="00F0434A" w:rsidRDefault="00F0434A" w:rsidP="00F0434A">
      <w:pPr>
        <w:pStyle w:val="Lgende"/>
        <w:keepNext/>
        <w:rPr>
          <w:b w:val="0"/>
          <w:iCs w:val="0"/>
          <w:sz w:val="24"/>
          <w:lang w:val="en-US"/>
        </w:rPr>
      </w:pPr>
    </w:p>
    <w:p w:rsidR="00F0434A" w:rsidRPr="0039234D" w:rsidRDefault="00F0434A" w:rsidP="00F0434A">
      <w:pPr>
        <w:pStyle w:val="Lgende"/>
        <w:keepNext/>
        <w:rPr>
          <w:b w:val="0"/>
          <w:iCs w:val="0"/>
          <w:sz w:val="24"/>
          <w:lang w:val="en-US"/>
        </w:rPr>
      </w:pPr>
    </w:p>
    <w:p w:rsidR="00F0434A" w:rsidRPr="0039234D" w:rsidRDefault="00F0434A" w:rsidP="00F0434A">
      <w:pPr>
        <w:pStyle w:val="Lgende"/>
        <w:keepNext/>
        <w:rPr>
          <w:b w:val="0"/>
          <w:lang w:val="en-US"/>
        </w:rPr>
      </w:pPr>
      <w:r>
        <w:rPr>
          <w:lang w:val="en-US"/>
        </w:rPr>
        <w:t>Supplementary Material 2</w:t>
      </w:r>
      <w:r w:rsidRPr="0039234D">
        <w:rPr>
          <w:lang w:val="en-US"/>
        </w:rPr>
        <w:t xml:space="preserve"> </w:t>
      </w:r>
      <w:r w:rsidRPr="0039234D">
        <w:rPr>
          <w:b w:val="0"/>
          <w:lang w:val="en-US"/>
        </w:rPr>
        <w:t>Patients demographics.</w:t>
      </w:r>
      <w:r>
        <w:rPr>
          <w:b w:val="0"/>
          <w:lang w:val="en-US"/>
        </w:rPr>
        <w:t xml:space="preserve"> FLE, frontal lobe epilepsy. FTLE, fronto-temporal lobe epilepsy.</w:t>
      </w:r>
    </w:p>
    <w:p w:rsidR="00F0434A" w:rsidRDefault="00F0434A" w:rsidP="00F0434A">
      <w:pPr>
        <w:rPr>
          <w:rFonts w:asciiTheme="minorHAnsi" w:hAnsiTheme="minorHAnsi"/>
          <w:sz w:val="20"/>
          <w:lang w:val="en-US"/>
        </w:rPr>
      </w:pPr>
    </w:p>
    <w:p w:rsidR="00F0434A" w:rsidRDefault="00F0434A" w:rsidP="00F0434A">
      <w:pPr>
        <w:rPr>
          <w:rFonts w:asciiTheme="minorHAnsi" w:hAnsiTheme="minorHAnsi"/>
          <w:sz w:val="20"/>
          <w:lang w:val="en-US"/>
        </w:rPr>
      </w:pPr>
    </w:p>
    <w:p w:rsidR="00F0434A" w:rsidRDefault="00F0434A" w:rsidP="00F0434A">
      <w:pPr>
        <w:rPr>
          <w:rFonts w:asciiTheme="minorHAnsi" w:hAnsiTheme="minorHAnsi"/>
          <w:sz w:val="20"/>
          <w:lang w:val="en-US"/>
        </w:rPr>
      </w:pPr>
    </w:p>
    <w:p w:rsidR="00F0434A" w:rsidRDefault="00F0434A" w:rsidP="00F0434A">
      <w:pPr>
        <w:rPr>
          <w:rFonts w:asciiTheme="minorHAnsi" w:hAnsiTheme="minorHAnsi"/>
          <w:sz w:val="20"/>
          <w:lang w:val="en-US"/>
        </w:rPr>
      </w:pPr>
    </w:p>
    <w:p w:rsidR="00F0434A" w:rsidRDefault="00F0434A" w:rsidP="00F0434A">
      <w:pPr>
        <w:rPr>
          <w:rFonts w:asciiTheme="minorHAnsi" w:hAnsiTheme="minorHAnsi"/>
          <w:sz w:val="20"/>
          <w:lang w:val="en-US"/>
        </w:rPr>
      </w:pPr>
    </w:p>
    <w:p w:rsidR="00F0434A" w:rsidRDefault="00F0434A" w:rsidP="00F0434A">
      <w:pPr>
        <w:rPr>
          <w:rFonts w:asciiTheme="minorHAnsi" w:hAnsiTheme="minorHAnsi"/>
          <w:sz w:val="20"/>
          <w:lang w:val="en-US"/>
        </w:rPr>
      </w:pPr>
    </w:p>
    <w:p w:rsidR="00F0434A" w:rsidRDefault="00F0434A" w:rsidP="00F0434A">
      <w:pPr>
        <w:rPr>
          <w:rFonts w:asciiTheme="minorHAnsi" w:hAnsiTheme="minorHAnsi"/>
          <w:sz w:val="20"/>
          <w:lang w:val="en-US"/>
        </w:rPr>
      </w:pPr>
    </w:p>
    <w:p w:rsidR="00F0434A" w:rsidRDefault="00F0434A" w:rsidP="00F0434A">
      <w:pPr>
        <w:rPr>
          <w:rFonts w:asciiTheme="minorHAnsi" w:hAnsiTheme="minorHAnsi"/>
          <w:sz w:val="20"/>
          <w:lang w:val="en-US"/>
        </w:rPr>
      </w:pPr>
    </w:p>
    <w:p w:rsidR="00F0434A" w:rsidRDefault="00F0434A" w:rsidP="00F0434A">
      <w:pPr>
        <w:rPr>
          <w:rFonts w:asciiTheme="minorHAnsi" w:hAnsiTheme="minorHAnsi"/>
          <w:sz w:val="20"/>
          <w:lang w:val="en-US"/>
        </w:rPr>
      </w:pPr>
    </w:p>
    <w:p w:rsidR="00F0434A" w:rsidRDefault="00F0434A" w:rsidP="00F0434A">
      <w:pPr>
        <w:rPr>
          <w:rFonts w:asciiTheme="minorHAnsi" w:hAnsiTheme="minorHAnsi"/>
          <w:sz w:val="20"/>
          <w:lang w:val="en-US"/>
        </w:rPr>
      </w:pPr>
    </w:p>
    <w:p w:rsidR="00F0434A" w:rsidRDefault="00F0434A" w:rsidP="00F0434A">
      <w:pPr>
        <w:rPr>
          <w:rFonts w:asciiTheme="minorHAnsi" w:hAnsiTheme="minorHAnsi"/>
          <w:sz w:val="20"/>
          <w:lang w:val="en-US"/>
        </w:rPr>
      </w:pPr>
    </w:p>
    <w:p w:rsidR="00F0434A" w:rsidRDefault="00F0434A" w:rsidP="00F0434A">
      <w:pPr>
        <w:rPr>
          <w:rFonts w:asciiTheme="minorHAnsi" w:hAnsiTheme="minorHAnsi"/>
          <w:sz w:val="20"/>
          <w:lang w:val="en-US"/>
        </w:rPr>
      </w:pPr>
    </w:p>
    <w:p w:rsidR="00F0434A" w:rsidRDefault="00F0434A" w:rsidP="00F0434A">
      <w:pPr>
        <w:rPr>
          <w:rFonts w:asciiTheme="minorHAnsi" w:hAnsiTheme="minorHAnsi"/>
          <w:sz w:val="20"/>
          <w:lang w:val="en-US"/>
        </w:rPr>
      </w:pPr>
    </w:p>
    <w:p w:rsidR="00F0434A" w:rsidRDefault="00F0434A" w:rsidP="00F0434A">
      <w:pPr>
        <w:rPr>
          <w:rFonts w:asciiTheme="minorHAnsi" w:hAnsiTheme="minorHAnsi"/>
          <w:sz w:val="20"/>
          <w:lang w:val="en-US"/>
        </w:rPr>
      </w:pPr>
    </w:p>
    <w:p w:rsidR="00F0434A" w:rsidRDefault="00F0434A" w:rsidP="00F0434A">
      <w:pPr>
        <w:rPr>
          <w:rFonts w:asciiTheme="minorHAnsi" w:hAnsiTheme="minorHAnsi"/>
          <w:sz w:val="20"/>
          <w:lang w:val="en-US"/>
        </w:rPr>
      </w:pPr>
    </w:p>
    <w:p w:rsidR="00F0434A" w:rsidRDefault="00F0434A" w:rsidP="00F0434A">
      <w:pPr>
        <w:rPr>
          <w:rFonts w:asciiTheme="minorHAnsi" w:hAnsiTheme="minorHAnsi"/>
          <w:sz w:val="20"/>
          <w:lang w:val="en-US"/>
        </w:rPr>
      </w:pPr>
    </w:p>
    <w:p w:rsidR="00F0434A" w:rsidRDefault="00F0434A" w:rsidP="00F0434A">
      <w:pPr>
        <w:rPr>
          <w:rFonts w:asciiTheme="minorHAnsi" w:hAnsiTheme="minorHAnsi"/>
          <w:sz w:val="20"/>
          <w:lang w:val="en-US"/>
        </w:rPr>
      </w:pPr>
    </w:p>
    <w:p w:rsidR="00F0434A" w:rsidRDefault="00F0434A" w:rsidP="00F0434A">
      <w:pPr>
        <w:rPr>
          <w:rFonts w:asciiTheme="minorHAnsi" w:hAnsiTheme="minorHAnsi"/>
          <w:sz w:val="20"/>
          <w:lang w:val="en-US"/>
        </w:rPr>
      </w:pPr>
    </w:p>
    <w:p w:rsidR="00F0434A" w:rsidRDefault="00F0434A" w:rsidP="00F0434A">
      <w:pPr>
        <w:rPr>
          <w:rFonts w:asciiTheme="minorHAnsi" w:hAnsiTheme="minorHAnsi"/>
          <w:sz w:val="20"/>
          <w:lang w:val="en-US"/>
        </w:rPr>
      </w:pPr>
    </w:p>
    <w:tbl>
      <w:tblPr>
        <w:tblpPr w:leftFromText="141" w:rightFromText="141" w:vertAnchor="text" w:horzAnchor="margin" w:tblpY="63"/>
        <w:tblW w:w="9917" w:type="dxa"/>
        <w:tblCellMar>
          <w:left w:w="0" w:type="dxa"/>
          <w:right w:w="0" w:type="dxa"/>
        </w:tblCellMar>
        <w:tblLook w:val="0600" w:firstRow="0" w:lastRow="0" w:firstColumn="0" w:lastColumn="0" w:noHBand="1" w:noVBand="1"/>
      </w:tblPr>
      <w:tblGrid>
        <w:gridCol w:w="742"/>
        <w:gridCol w:w="57"/>
        <w:gridCol w:w="744"/>
        <w:gridCol w:w="586"/>
        <w:gridCol w:w="1079"/>
        <w:gridCol w:w="2008"/>
        <w:gridCol w:w="835"/>
        <w:gridCol w:w="836"/>
        <w:gridCol w:w="1009"/>
        <w:gridCol w:w="1009"/>
        <w:gridCol w:w="1012"/>
      </w:tblGrid>
      <w:tr w:rsidR="00F0434A" w:rsidRPr="00FC42CA" w:rsidTr="005C2537">
        <w:trPr>
          <w:trHeight w:val="73"/>
        </w:trPr>
        <w:tc>
          <w:tcPr>
            <w:tcW w:w="816" w:type="dxa"/>
            <w:gridSpan w:val="2"/>
            <w:vMerge w:val="restart"/>
            <w:tcBorders>
              <w:top w:val="single" w:sz="4" w:space="0" w:color="000000"/>
              <w:left w:val="single" w:sz="4" w:space="0" w:color="000000"/>
              <w:bottom w:val="single" w:sz="4" w:space="0" w:color="000000"/>
              <w:right w:val="single" w:sz="4" w:space="0" w:color="000000"/>
            </w:tcBorders>
            <w:shd w:val="clear" w:color="auto" w:fill="D9D9D9"/>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lastRenderedPageBreak/>
              <w:t>Patient</w:t>
            </w:r>
          </w:p>
        </w:tc>
        <w:tc>
          <w:tcPr>
            <w:tcW w:w="757" w:type="dxa"/>
            <w:vMerge w:val="restart"/>
            <w:tcBorders>
              <w:top w:val="single" w:sz="4" w:space="0" w:color="000000"/>
              <w:left w:val="single" w:sz="4" w:space="0" w:color="000000"/>
              <w:bottom w:val="single" w:sz="4" w:space="0" w:color="000000"/>
              <w:right w:val="single" w:sz="4" w:space="0" w:color="000000"/>
            </w:tcBorders>
            <w:shd w:val="clear" w:color="auto" w:fill="D9D9D9"/>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Seizure</w:t>
            </w:r>
          </w:p>
        </w:tc>
        <w:tc>
          <w:tcPr>
            <w:tcW w:w="407" w:type="dxa"/>
            <w:vMerge w:val="restart"/>
            <w:tcBorders>
              <w:top w:val="single" w:sz="4" w:space="0" w:color="000000"/>
              <w:left w:val="single" w:sz="4" w:space="0" w:color="000000"/>
              <w:right w:val="single" w:sz="4" w:space="0" w:color="000000"/>
            </w:tcBorders>
            <w:shd w:val="clear" w:color="auto" w:fill="D9D9D9"/>
            <w:vAlign w:val="center"/>
          </w:tcPr>
          <w:p w:rsidR="00F0434A" w:rsidRPr="00FC42CA" w:rsidRDefault="00F0434A" w:rsidP="005C2537">
            <w:pPr>
              <w:jc w:val="center"/>
              <w:textAlignment w:val="center"/>
              <w:rPr>
                <w:rFonts w:ascii="Calibri" w:eastAsia="Times New Roman" w:hAnsi="Calibri" w:cs="Calibri"/>
                <w:color w:val="000000"/>
                <w:kern w:val="24"/>
                <w:sz w:val="16"/>
                <w:szCs w:val="16"/>
                <w:lang w:eastAsia="fr-BE"/>
              </w:rPr>
            </w:pPr>
            <w:r>
              <w:rPr>
                <w:rFonts w:ascii="Calibri" w:eastAsia="Times New Roman" w:hAnsi="Calibri" w:cs="Calibri"/>
                <w:color w:val="000000"/>
                <w:kern w:val="24"/>
                <w:sz w:val="16"/>
                <w:szCs w:val="16"/>
                <w:lang w:eastAsia="fr-BE"/>
              </w:rPr>
              <w:t>N of channels used</w:t>
            </w:r>
          </w:p>
        </w:tc>
        <w:tc>
          <w:tcPr>
            <w:tcW w:w="1107" w:type="dxa"/>
            <w:vMerge w:val="restart"/>
            <w:tcBorders>
              <w:top w:val="single" w:sz="4" w:space="0" w:color="000000"/>
              <w:left w:val="single" w:sz="4" w:space="0" w:color="000000"/>
              <w:bottom w:val="single" w:sz="4" w:space="0" w:color="000000"/>
              <w:right w:val="single" w:sz="4" w:space="0" w:color="000000"/>
            </w:tcBorders>
            <w:shd w:val="clear" w:color="auto" w:fill="D9D9D9"/>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Band of interest</w:t>
            </w:r>
          </w:p>
        </w:tc>
        <w:tc>
          <w:tcPr>
            <w:tcW w:w="2066" w:type="dxa"/>
            <w:vMerge w:val="restart"/>
            <w:tcBorders>
              <w:top w:val="single" w:sz="4" w:space="0" w:color="000000"/>
              <w:left w:val="single" w:sz="4" w:space="0" w:color="000000"/>
              <w:bottom w:val="single" w:sz="4" w:space="0" w:color="000000"/>
              <w:right w:val="single" w:sz="4" w:space="0" w:color="000000"/>
            </w:tcBorders>
            <w:shd w:val="clear" w:color="auto" w:fill="D9D9D9"/>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b/>
                <w:bCs/>
                <w:color w:val="000000"/>
                <w:kern w:val="24"/>
                <w:sz w:val="16"/>
                <w:szCs w:val="16"/>
                <w:lang w:eastAsia="fr-BE"/>
              </w:rPr>
              <w:t>Resection zone (sublobes involved)</w:t>
            </w:r>
          </w:p>
        </w:tc>
        <w:tc>
          <w:tcPr>
            <w:tcW w:w="1710" w:type="dxa"/>
            <w:gridSpan w:val="2"/>
            <w:tcBorders>
              <w:top w:val="single" w:sz="4" w:space="0" w:color="000000"/>
              <w:left w:val="single" w:sz="4" w:space="0" w:color="000000"/>
              <w:bottom w:val="single" w:sz="4" w:space="0" w:color="000000"/>
              <w:right w:val="single" w:sz="4" w:space="0" w:color="000000"/>
            </w:tcBorders>
            <w:shd w:val="clear" w:color="auto" w:fill="D9D9D9"/>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b/>
                <w:bCs/>
                <w:color w:val="000000"/>
                <w:kern w:val="24"/>
                <w:sz w:val="16"/>
                <w:szCs w:val="16"/>
                <w:lang w:eastAsia="fr-BE"/>
              </w:rPr>
              <w:t>Seizure level</w:t>
            </w:r>
          </w:p>
        </w:tc>
        <w:tc>
          <w:tcPr>
            <w:tcW w:w="3054" w:type="dxa"/>
            <w:gridSpan w:val="3"/>
            <w:tcBorders>
              <w:top w:val="single" w:sz="4" w:space="0" w:color="000000"/>
              <w:left w:val="single" w:sz="4" w:space="0" w:color="000000"/>
              <w:bottom w:val="single" w:sz="4" w:space="0" w:color="000000"/>
              <w:right w:val="single" w:sz="4" w:space="0" w:color="000000"/>
            </w:tcBorders>
            <w:shd w:val="clear" w:color="auto" w:fill="D9D9D9"/>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b/>
                <w:bCs/>
                <w:color w:val="000000"/>
                <w:kern w:val="24"/>
                <w:sz w:val="16"/>
                <w:szCs w:val="16"/>
                <w:lang w:eastAsia="fr-BE"/>
              </w:rPr>
              <w:t>Patient level</w:t>
            </w:r>
          </w:p>
        </w:tc>
      </w:tr>
      <w:tr w:rsidR="00F0434A" w:rsidRPr="00FC42CA" w:rsidTr="005C2537">
        <w:trPr>
          <w:trHeight w:val="176"/>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407" w:type="dxa"/>
            <w:vMerge/>
            <w:tcBorders>
              <w:left w:val="single" w:sz="4" w:space="0" w:color="000000"/>
              <w:bottom w:val="single" w:sz="4" w:space="0" w:color="000000"/>
              <w:right w:val="single" w:sz="4" w:space="0" w:color="000000"/>
            </w:tcBorders>
          </w:tcPr>
          <w:p w:rsidR="00F0434A" w:rsidRPr="00FC42CA" w:rsidRDefault="00F0434A" w:rsidP="005C2537">
            <w:pPr>
              <w:rPr>
                <w:rFonts w:ascii="Arial" w:eastAsia="Times New Roman" w:hAnsi="Arial" w:cs="Arial"/>
                <w:sz w:val="36"/>
                <w:szCs w:val="36"/>
                <w:lang w:eastAsia="fr-BE"/>
              </w:rPr>
            </w:pPr>
          </w:p>
        </w:tc>
        <w:tc>
          <w:tcPr>
            <w:tcW w:w="1107" w:type="dxa"/>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855" w:type="dxa"/>
            <w:tcBorders>
              <w:top w:val="single" w:sz="4" w:space="0" w:color="000000"/>
              <w:left w:val="single" w:sz="4" w:space="0" w:color="000000"/>
              <w:bottom w:val="single" w:sz="4" w:space="0" w:color="000000"/>
              <w:right w:val="nil"/>
            </w:tcBorders>
            <w:shd w:val="clear" w:color="auto" w:fill="D9D9D9"/>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b/>
                <w:bCs/>
                <w:color w:val="000000"/>
                <w:kern w:val="24"/>
                <w:sz w:val="16"/>
                <w:szCs w:val="16"/>
                <w:lang w:eastAsia="fr-BE"/>
              </w:rPr>
              <w:t>ESI power</w:t>
            </w:r>
            <w:r>
              <w:rPr>
                <w:rFonts w:ascii="Calibri" w:eastAsia="Times New Roman" w:hAnsi="Calibri" w:cs="Calibri"/>
                <w:b/>
                <w:bCs/>
                <w:color w:val="000000"/>
                <w:kern w:val="24"/>
                <w:sz w:val="16"/>
                <w:szCs w:val="16"/>
                <w:lang w:eastAsia="fr-BE"/>
              </w:rPr>
              <w:t xml:space="preserve"> (S</w:t>
            </w:r>
            <w:r>
              <w:rPr>
                <w:rFonts w:ascii="Calibri" w:eastAsia="Times New Roman" w:hAnsi="Calibri" w:cs="Calibri"/>
                <w:b/>
                <w:bCs/>
                <w:color w:val="000000"/>
                <w:kern w:val="24"/>
                <w:sz w:val="16"/>
                <w:szCs w:val="16"/>
                <w:vertAlign w:val="subscript"/>
                <w:lang w:eastAsia="fr-BE"/>
              </w:rPr>
              <w:t>POW</w:t>
            </w:r>
            <w:r>
              <w:rPr>
                <w:rFonts w:ascii="Calibri" w:eastAsia="Times New Roman" w:hAnsi="Calibri" w:cs="Calibri"/>
                <w:b/>
                <w:bCs/>
                <w:color w:val="000000"/>
                <w:kern w:val="24"/>
                <w:sz w:val="16"/>
                <w:szCs w:val="16"/>
                <w:lang w:eastAsia="fr-BE"/>
              </w:rPr>
              <w:t>)</w:t>
            </w:r>
          </w:p>
        </w:tc>
        <w:tc>
          <w:tcPr>
            <w:tcW w:w="855" w:type="dxa"/>
            <w:tcBorders>
              <w:top w:val="single" w:sz="4" w:space="0" w:color="000000"/>
              <w:left w:val="nil"/>
              <w:bottom w:val="single" w:sz="4" w:space="0" w:color="000000"/>
              <w:right w:val="single" w:sz="4" w:space="0" w:color="000000"/>
            </w:tcBorders>
            <w:shd w:val="clear" w:color="auto" w:fill="D9D9D9"/>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b/>
                <w:bCs/>
                <w:color w:val="000000"/>
                <w:kern w:val="24"/>
                <w:sz w:val="16"/>
                <w:szCs w:val="16"/>
                <w:lang w:eastAsia="fr-BE"/>
              </w:rPr>
              <w:t>ESI+FC</w:t>
            </w:r>
            <w:r>
              <w:rPr>
                <w:rFonts w:ascii="Calibri" w:eastAsia="Times New Roman" w:hAnsi="Calibri" w:cs="Calibri"/>
                <w:b/>
                <w:bCs/>
                <w:color w:val="000000"/>
                <w:kern w:val="24"/>
                <w:sz w:val="16"/>
                <w:szCs w:val="16"/>
                <w:lang w:eastAsia="fr-BE"/>
              </w:rPr>
              <w:t xml:space="preserve"> (S</w:t>
            </w:r>
            <w:r>
              <w:rPr>
                <w:rFonts w:ascii="Calibri" w:eastAsia="Times New Roman" w:hAnsi="Calibri" w:cs="Calibri"/>
                <w:b/>
                <w:bCs/>
                <w:color w:val="000000"/>
                <w:kern w:val="24"/>
                <w:sz w:val="16"/>
                <w:szCs w:val="16"/>
                <w:vertAlign w:val="subscript"/>
                <w:lang w:eastAsia="fr-BE"/>
              </w:rPr>
              <w:t>CONN</w:t>
            </w:r>
            <w:r>
              <w:rPr>
                <w:rFonts w:ascii="Calibri" w:eastAsia="Times New Roman" w:hAnsi="Calibri" w:cs="Calibri"/>
                <w:b/>
                <w:bCs/>
                <w:color w:val="000000"/>
                <w:kern w:val="24"/>
                <w:sz w:val="16"/>
                <w:szCs w:val="16"/>
                <w:lang w:eastAsia="fr-BE"/>
              </w:rPr>
              <w:t>)</w:t>
            </w:r>
          </w:p>
        </w:tc>
        <w:tc>
          <w:tcPr>
            <w:tcW w:w="1018" w:type="dxa"/>
            <w:tcBorders>
              <w:top w:val="single" w:sz="4" w:space="0" w:color="000000"/>
              <w:left w:val="single" w:sz="4" w:space="0" w:color="000000"/>
              <w:bottom w:val="single" w:sz="4" w:space="0" w:color="000000"/>
              <w:right w:val="single" w:sz="4" w:space="0" w:color="000000"/>
            </w:tcBorders>
            <w:shd w:val="clear" w:color="auto" w:fill="D9D9D9"/>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b/>
                <w:bCs/>
                <w:i/>
                <w:iCs/>
                <w:color w:val="000000"/>
                <w:kern w:val="24"/>
                <w:sz w:val="16"/>
                <w:szCs w:val="16"/>
                <w:lang w:eastAsia="fr-BE"/>
              </w:rPr>
              <w:t>clinical ESI power</w:t>
            </w:r>
          </w:p>
        </w:tc>
        <w:tc>
          <w:tcPr>
            <w:tcW w:w="1018" w:type="dxa"/>
            <w:tcBorders>
              <w:top w:val="single" w:sz="4" w:space="0" w:color="000000"/>
              <w:left w:val="single" w:sz="4" w:space="0" w:color="000000"/>
              <w:bottom w:val="single" w:sz="4" w:space="0" w:color="000000"/>
              <w:right w:val="single" w:sz="4" w:space="0" w:color="000000"/>
            </w:tcBorders>
            <w:shd w:val="clear" w:color="auto" w:fill="D9D9D9"/>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b/>
                <w:bCs/>
                <w:i/>
                <w:iCs/>
                <w:color w:val="000000"/>
                <w:kern w:val="24"/>
                <w:sz w:val="16"/>
                <w:szCs w:val="16"/>
                <w:lang w:eastAsia="fr-BE"/>
              </w:rPr>
              <w:t>clinical ESI+FC</w:t>
            </w:r>
          </w:p>
        </w:tc>
        <w:tc>
          <w:tcPr>
            <w:tcW w:w="1018" w:type="dxa"/>
            <w:tcBorders>
              <w:top w:val="single" w:sz="4" w:space="0" w:color="000000"/>
              <w:left w:val="single" w:sz="4" w:space="0" w:color="000000"/>
              <w:bottom w:val="single" w:sz="4" w:space="0" w:color="000000"/>
              <w:right w:val="single" w:sz="4" w:space="0" w:color="000000"/>
            </w:tcBorders>
            <w:shd w:val="clear" w:color="auto" w:fill="D9D9D9"/>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b/>
                <w:bCs/>
                <w:i/>
                <w:iCs/>
                <w:color w:val="000000"/>
                <w:kern w:val="24"/>
                <w:sz w:val="16"/>
                <w:szCs w:val="16"/>
                <w:lang w:eastAsia="fr-BE"/>
              </w:rPr>
              <w:t>clinical interictal ESI</w:t>
            </w:r>
          </w:p>
        </w:tc>
      </w:tr>
      <w:tr w:rsidR="00F0434A" w:rsidRPr="00FC42CA" w:rsidTr="005C2537">
        <w:trPr>
          <w:trHeight w:val="332"/>
        </w:trPr>
        <w:tc>
          <w:tcPr>
            <w:tcW w:w="757" w:type="dxa"/>
            <w:tcBorders>
              <w:top w:val="single" w:sz="4" w:space="0" w:color="000000"/>
              <w:left w:val="nil"/>
              <w:bottom w:val="single" w:sz="4" w:space="0" w:color="000000"/>
              <w:right w:val="nil"/>
            </w:tcBorders>
          </w:tcPr>
          <w:p w:rsidR="00F0434A" w:rsidRDefault="00F0434A" w:rsidP="005C2537">
            <w:pPr>
              <w:rPr>
                <w:rFonts w:ascii="Calibri" w:eastAsia="Times New Roman" w:hAnsi="Calibri" w:cs="Calibri"/>
                <w:b/>
                <w:bCs/>
                <w:color w:val="000000"/>
                <w:kern w:val="24"/>
                <w:sz w:val="16"/>
                <w:szCs w:val="16"/>
                <w:lang w:eastAsia="fr-BE"/>
              </w:rPr>
            </w:pPr>
          </w:p>
        </w:tc>
        <w:tc>
          <w:tcPr>
            <w:tcW w:w="2330" w:type="dxa"/>
            <w:gridSpan w:val="4"/>
            <w:tcBorders>
              <w:top w:val="single" w:sz="4" w:space="0" w:color="000000"/>
              <w:left w:val="nil"/>
              <w:bottom w:val="single" w:sz="4" w:space="0" w:color="000000"/>
              <w:right w:val="nil"/>
            </w:tcBorders>
            <w:shd w:val="clear" w:color="auto" w:fill="auto"/>
            <w:tcMar>
              <w:top w:w="15" w:type="dxa"/>
              <w:left w:w="15" w:type="dxa"/>
              <w:bottom w:w="0" w:type="dxa"/>
              <w:right w:w="15" w:type="dxa"/>
            </w:tcMar>
            <w:vAlign w:val="center"/>
            <w:hideMark/>
          </w:tcPr>
          <w:p w:rsidR="00F0434A" w:rsidRPr="00FC42CA" w:rsidRDefault="00F0434A" w:rsidP="005C2537">
            <w:pPr>
              <w:rPr>
                <w:rFonts w:ascii="Arial" w:eastAsia="Times New Roman" w:hAnsi="Arial" w:cs="Arial"/>
                <w:sz w:val="36"/>
                <w:szCs w:val="36"/>
                <w:lang w:eastAsia="fr-BE"/>
              </w:rPr>
            </w:pPr>
            <w:r>
              <w:rPr>
                <w:rFonts w:ascii="Calibri" w:eastAsia="Times New Roman" w:hAnsi="Calibri" w:cs="Calibri"/>
                <w:b/>
                <w:bCs/>
                <w:color w:val="000000"/>
                <w:kern w:val="24"/>
                <w:sz w:val="16"/>
                <w:szCs w:val="16"/>
                <w:lang w:eastAsia="fr-BE"/>
              </w:rPr>
              <w:t xml:space="preserve">ILAE CLASS 1 </w:t>
            </w:r>
            <w:r w:rsidRPr="00FC42CA">
              <w:rPr>
                <w:rFonts w:ascii="Calibri" w:eastAsia="Times New Roman" w:hAnsi="Calibri" w:cs="Calibri"/>
                <w:b/>
                <w:bCs/>
                <w:color w:val="000000"/>
                <w:kern w:val="24"/>
                <w:sz w:val="16"/>
                <w:szCs w:val="16"/>
                <w:lang w:eastAsia="fr-BE"/>
              </w:rPr>
              <w:t xml:space="preserve"> patients</w:t>
            </w:r>
          </w:p>
        </w:tc>
        <w:tc>
          <w:tcPr>
            <w:tcW w:w="2066" w:type="dxa"/>
            <w:tcBorders>
              <w:top w:val="single" w:sz="4" w:space="0" w:color="000000"/>
              <w:left w:val="nil"/>
              <w:bottom w:val="single" w:sz="4" w:space="0" w:color="000000"/>
              <w:right w:val="nil"/>
            </w:tcBorders>
            <w:shd w:val="clear" w:color="auto" w:fill="auto"/>
            <w:tcMar>
              <w:top w:w="15" w:type="dxa"/>
              <w:left w:w="15" w:type="dxa"/>
              <w:bottom w:w="0" w:type="dxa"/>
              <w:right w:w="15" w:type="dxa"/>
            </w:tcMar>
            <w:vAlign w:val="bottom"/>
            <w:hideMark/>
          </w:tcPr>
          <w:p w:rsidR="00F0434A" w:rsidRPr="00FC42CA" w:rsidRDefault="00F0434A" w:rsidP="005C2537">
            <w:pPr>
              <w:rPr>
                <w:rFonts w:ascii="Times New Roman" w:eastAsia="Times New Roman" w:hAnsi="Times New Roman" w:cs="Times New Roman"/>
                <w:sz w:val="20"/>
                <w:szCs w:val="20"/>
                <w:lang w:eastAsia="fr-BE"/>
              </w:rPr>
            </w:pPr>
          </w:p>
        </w:tc>
        <w:tc>
          <w:tcPr>
            <w:tcW w:w="855" w:type="dxa"/>
            <w:tcBorders>
              <w:top w:val="single" w:sz="4" w:space="0" w:color="000000"/>
              <w:left w:val="nil"/>
              <w:bottom w:val="single" w:sz="4" w:space="0" w:color="000000"/>
              <w:right w:val="nil"/>
            </w:tcBorders>
            <w:shd w:val="clear" w:color="auto" w:fill="auto"/>
            <w:tcMar>
              <w:top w:w="15" w:type="dxa"/>
              <w:left w:w="15" w:type="dxa"/>
              <w:bottom w:w="0" w:type="dxa"/>
              <w:right w:w="15" w:type="dxa"/>
            </w:tcMar>
            <w:vAlign w:val="bottom"/>
            <w:hideMark/>
          </w:tcPr>
          <w:p w:rsidR="00F0434A" w:rsidRPr="00FC42CA" w:rsidRDefault="00F0434A" w:rsidP="005C2537">
            <w:pPr>
              <w:rPr>
                <w:rFonts w:ascii="Times New Roman" w:eastAsia="Times New Roman" w:hAnsi="Times New Roman" w:cs="Times New Roman"/>
                <w:sz w:val="20"/>
                <w:szCs w:val="20"/>
                <w:lang w:eastAsia="fr-BE"/>
              </w:rPr>
            </w:pPr>
          </w:p>
        </w:tc>
        <w:tc>
          <w:tcPr>
            <w:tcW w:w="855" w:type="dxa"/>
            <w:tcBorders>
              <w:top w:val="single" w:sz="4" w:space="0" w:color="000000"/>
              <w:left w:val="nil"/>
              <w:bottom w:val="single" w:sz="4" w:space="0" w:color="000000"/>
              <w:right w:val="nil"/>
            </w:tcBorders>
            <w:shd w:val="clear" w:color="auto" w:fill="auto"/>
            <w:tcMar>
              <w:top w:w="15" w:type="dxa"/>
              <w:left w:w="15" w:type="dxa"/>
              <w:bottom w:w="0" w:type="dxa"/>
              <w:right w:w="15" w:type="dxa"/>
            </w:tcMar>
            <w:vAlign w:val="bottom"/>
            <w:hideMark/>
          </w:tcPr>
          <w:p w:rsidR="00F0434A" w:rsidRPr="00FC42CA" w:rsidRDefault="00F0434A" w:rsidP="005C2537">
            <w:pPr>
              <w:rPr>
                <w:rFonts w:ascii="Times New Roman" w:eastAsia="Times New Roman" w:hAnsi="Times New Roman" w:cs="Times New Roman"/>
                <w:sz w:val="20"/>
                <w:szCs w:val="20"/>
                <w:lang w:eastAsia="fr-BE"/>
              </w:rPr>
            </w:pPr>
          </w:p>
        </w:tc>
        <w:tc>
          <w:tcPr>
            <w:tcW w:w="1018" w:type="dxa"/>
            <w:tcBorders>
              <w:top w:val="single" w:sz="4" w:space="0" w:color="000000"/>
              <w:left w:val="nil"/>
              <w:bottom w:val="single" w:sz="4" w:space="0" w:color="000000"/>
              <w:right w:val="nil"/>
            </w:tcBorders>
            <w:shd w:val="clear" w:color="auto" w:fill="auto"/>
            <w:tcMar>
              <w:top w:w="15" w:type="dxa"/>
              <w:left w:w="15" w:type="dxa"/>
              <w:bottom w:w="0" w:type="dxa"/>
              <w:right w:w="15" w:type="dxa"/>
            </w:tcMar>
            <w:vAlign w:val="bottom"/>
            <w:hideMark/>
          </w:tcPr>
          <w:p w:rsidR="00F0434A" w:rsidRPr="00FC42CA" w:rsidRDefault="00F0434A" w:rsidP="005C2537">
            <w:pPr>
              <w:rPr>
                <w:rFonts w:ascii="Times New Roman" w:eastAsia="Times New Roman" w:hAnsi="Times New Roman" w:cs="Times New Roman"/>
                <w:sz w:val="20"/>
                <w:szCs w:val="20"/>
                <w:lang w:eastAsia="fr-BE"/>
              </w:rPr>
            </w:pPr>
          </w:p>
        </w:tc>
        <w:tc>
          <w:tcPr>
            <w:tcW w:w="1018" w:type="dxa"/>
            <w:tcBorders>
              <w:top w:val="single" w:sz="4" w:space="0" w:color="000000"/>
              <w:left w:val="nil"/>
              <w:bottom w:val="single" w:sz="4" w:space="0" w:color="000000"/>
              <w:right w:val="nil"/>
            </w:tcBorders>
            <w:shd w:val="clear" w:color="auto" w:fill="auto"/>
            <w:tcMar>
              <w:top w:w="15" w:type="dxa"/>
              <w:left w:w="15" w:type="dxa"/>
              <w:bottom w:w="0" w:type="dxa"/>
              <w:right w:w="15" w:type="dxa"/>
            </w:tcMar>
            <w:vAlign w:val="bottom"/>
            <w:hideMark/>
          </w:tcPr>
          <w:p w:rsidR="00F0434A" w:rsidRPr="00FC42CA" w:rsidRDefault="00F0434A" w:rsidP="005C2537">
            <w:pPr>
              <w:rPr>
                <w:rFonts w:ascii="Times New Roman" w:eastAsia="Times New Roman" w:hAnsi="Times New Roman" w:cs="Times New Roman"/>
                <w:sz w:val="20"/>
                <w:szCs w:val="20"/>
                <w:lang w:eastAsia="fr-BE"/>
              </w:rPr>
            </w:pPr>
          </w:p>
        </w:tc>
        <w:tc>
          <w:tcPr>
            <w:tcW w:w="1018" w:type="dxa"/>
            <w:tcBorders>
              <w:top w:val="single" w:sz="4" w:space="0" w:color="000000"/>
              <w:left w:val="nil"/>
              <w:bottom w:val="single" w:sz="4" w:space="0" w:color="000000"/>
              <w:right w:val="nil"/>
            </w:tcBorders>
            <w:shd w:val="clear" w:color="auto" w:fill="auto"/>
            <w:tcMar>
              <w:top w:w="15" w:type="dxa"/>
              <w:left w:w="15" w:type="dxa"/>
              <w:bottom w:w="0" w:type="dxa"/>
              <w:right w:w="15" w:type="dxa"/>
            </w:tcMar>
            <w:vAlign w:val="bottom"/>
            <w:hideMark/>
          </w:tcPr>
          <w:p w:rsidR="00F0434A" w:rsidRPr="00FC42CA" w:rsidRDefault="00F0434A" w:rsidP="005C2537">
            <w:pPr>
              <w:rPr>
                <w:rFonts w:ascii="Times New Roman" w:eastAsia="Times New Roman" w:hAnsi="Times New Roman" w:cs="Times New Roman"/>
                <w:sz w:val="20"/>
                <w:szCs w:val="20"/>
                <w:lang w:eastAsia="fr-BE"/>
              </w:rPr>
            </w:pPr>
          </w:p>
        </w:tc>
      </w:tr>
      <w:tr w:rsidR="00F0434A" w:rsidRPr="00FC42CA" w:rsidTr="005C2537">
        <w:trPr>
          <w:trHeight w:val="66"/>
        </w:trPr>
        <w:tc>
          <w:tcPr>
            <w:tcW w:w="81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1</w:t>
            </w:r>
          </w:p>
        </w:tc>
        <w:tc>
          <w:tcPr>
            <w:tcW w:w="7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1</w:t>
            </w:r>
          </w:p>
        </w:tc>
        <w:tc>
          <w:tcPr>
            <w:tcW w:w="407" w:type="dxa"/>
            <w:tcBorders>
              <w:top w:val="single" w:sz="4" w:space="0" w:color="000000"/>
              <w:left w:val="single" w:sz="4" w:space="0" w:color="000000"/>
              <w:bottom w:val="single" w:sz="4" w:space="0" w:color="000000"/>
              <w:right w:val="single" w:sz="4" w:space="0" w:color="000000"/>
            </w:tcBorders>
          </w:tcPr>
          <w:p w:rsidR="00F0434A" w:rsidRPr="00FC42CA" w:rsidRDefault="00F0434A" w:rsidP="005C2537">
            <w:pPr>
              <w:jc w:val="center"/>
              <w:textAlignment w:val="center"/>
              <w:rPr>
                <w:rFonts w:ascii="Calibri" w:eastAsia="Times New Roman" w:hAnsi="Calibri" w:cs="Calibri"/>
                <w:color w:val="000000"/>
                <w:kern w:val="24"/>
                <w:sz w:val="16"/>
                <w:szCs w:val="16"/>
                <w:lang w:eastAsia="fr-BE"/>
              </w:rPr>
            </w:pPr>
            <w:r>
              <w:rPr>
                <w:rFonts w:ascii="Calibri" w:eastAsia="Times New Roman" w:hAnsi="Calibri" w:cs="Calibri"/>
                <w:color w:val="000000"/>
                <w:kern w:val="24"/>
                <w:sz w:val="16"/>
                <w:szCs w:val="16"/>
                <w:lang w:eastAsia="fr-BE"/>
              </w:rPr>
              <w:t>19</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beta</w:t>
            </w:r>
          </w:p>
        </w:tc>
        <w:tc>
          <w:tcPr>
            <w:tcW w:w="2066"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val="en-US" w:eastAsia="fr-BE"/>
              </w:rPr>
            </w:pPr>
            <w:r w:rsidRPr="00FC42CA">
              <w:rPr>
                <w:rFonts w:ascii="Calibri" w:eastAsia="Times New Roman" w:hAnsi="Calibri" w:cs="Calibri"/>
                <w:color w:val="000000"/>
                <w:kern w:val="24"/>
                <w:sz w:val="16"/>
                <w:szCs w:val="16"/>
                <w:lang w:val="pt-BR" w:eastAsia="fr-BE"/>
              </w:rPr>
              <w:t>Orbitofrontal R, Frontopolar R, anterior cingular R</w:t>
            </w:r>
          </w:p>
        </w:tc>
        <w:tc>
          <w:tcPr>
            <w:tcW w:w="855" w:type="dxa"/>
            <w:tcBorders>
              <w:top w:val="single" w:sz="4" w:space="0" w:color="000000"/>
              <w:left w:val="single" w:sz="4" w:space="0" w:color="000000"/>
              <w:bottom w:val="nil"/>
              <w:right w:val="dotted" w:sz="4" w:space="0" w:color="000000"/>
            </w:tcBorders>
            <w:shd w:val="clear" w:color="auto" w:fill="FFC7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9C0006"/>
                <w:kern w:val="24"/>
                <w:sz w:val="16"/>
                <w:szCs w:val="16"/>
                <w:lang w:eastAsia="fr-BE"/>
              </w:rPr>
              <w:t>D</w:t>
            </w:r>
          </w:p>
        </w:tc>
        <w:tc>
          <w:tcPr>
            <w:tcW w:w="855" w:type="dxa"/>
            <w:tcBorders>
              <w:top w:val="single" w:sz="4" w:space="0" w:color="000000"/>
              <w:left w:val="dotted" w:sz="4" w:space="0" w:color="000000"/>
              <w:bottom w:val="nil"/>
              <w:right w:val="single" w:sz="4" w:space="0" w:color="000000"/>
            </w:tcBorders>
            <w:shd w:val="clear" w:color="auto" w:fill="FFC7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9C0006"/>
                <w:kern w:val="24"/>
                <w:sz w:val="16"/>
                <w:szCs w:val="16"/>
                <w:lang w:eastAsia="fr-BE"/>
              </w:rPr>
              <w:t>D</w:t>
            </w:r>
          </w:p>
        </w:tc>
        <w:tc>
          <w:tcPr>
            <w:tcW w:w="1018" w:type="dxa"/>
            <w:vMerge w:val="restart"/>
            <w:tcBorders>
              <w:top w:val="single" w:sz="4" w:space="0" w:color="000000"/>
              <w:left w:val="single" w:sz="4" w:space="0" w:color="000000"/>
              <w:bottom w:val="single" w:sz="4" w:space="0" w:color="000000"/>
              <w:right w:val="single" w:sz="4" w:space="0" w:color="000000"/>
            </w:tcBorders>
            <w:shd w:val="clear" w:color="auto" w:fill="FF9999"/>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Frontal lateral sup</w:t>
            </w:r>
            <w:r>
              <w:rPr>
                <w:rFonts w:ascii="Calibri" w:eastAsia="Times New Roman" w:hAnsi="Calibri" w:cs="Calibri"/>
                <w:color w:val="000000"/>
                <w:kern w:val="24"/>
                <w:sz w:val="16"/>
                <w:szCs w:val="16"/>
                <w:lang w:eastAsia="fr-BE"/>
              </w:rPr>
              <w:t>erior</w:t>
            </w:r>
            <w:r w:rsidRPr="00FC42CA">
              <w:rPr>
                <w:rFonts w:ascii="Calibri" w:eastAsia="Times New Roman" w:hAnsi="Calibri" w:cs="Calibri"/>
                <w:color w:val="000000"/>
                <w:kern w:val="24"/>
                <w:sz w:val="16"/>
                <w:szCs w:val="16"/>
                <w:lang w:eastAsia="fr-BE"/>
              </w:rPr>
              <w:t xml:space="preserve"> R</w:t>
            </w:r>
          </w:p>
        </w:tc>
        <w:tc>
          <w:tcPr>
            <w:tcW w:w="1018" w:type="dxa"/>
            <w:vMerge w:val="restart"/>
            <w:tcBorders>
              <w:top w:val="single" w:sz="4" w:space="0" w:color="000000"/>
              <w:left w:val="single" w:sz="4" w:space="0" w:color="000000"/>
              <w:bottom w:val="single" w:sz="4" w:space="0" w:color="000000"/>
              <w:right w:val="single" w:sz="4" w:space="0" w:color="000000"/>
            </w:tcBorders>
            <w:shd w:val="clear" w:color="auto" w:fill="9BC2E6"/>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inconclusive</w:t>
            </w:r>
          </w:p>
        </w:tc>
        <w:tc>
          <w:tcPr>
            <w:tcW w:w="1018" w:type="dxa"/>
            <w:vMerge w:val="restart"/>
            <w:tcBorders>
              <w:top w:val="single" w:sz="4" w:space="0" w:color="000000"/>
              <w:left w:val="single" w:sz="4" w:space="0" w:color="000000"/>
              <w:bottom w:val="single" w:sz="4" w:space="0" w:color="000000"/>
              <w:right w:val="single" w:sz="4" w:space="0" w:color="000000"/>
            </w:tcBorders>
            <w:shd w:val="clear" w:color="auto" w:fill="FF9999"/>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Operculo-insular ant</w:t>
            </w:r>
            <w:r>
              <w:rPr>
                <w:rFonts w:ascii="Calibri" w:eastAsia="Times New Roman" w:hAnsi="Calibri" w:cs="Calibri"/>
                <w:color w:val="000000"/>
                <w:kern w:val="24"/>
                <w:sz w:val="16"/>
                <w:szCs w:val="16"/>
                <w:lang w:eastAsia="fr-BE"/>
              </w:rPr>
              <w:t>erior</w:t>
            </w:r>
            <w:r w:rsidRPr="00FC42CA">
              <w:rPr>
                <w:rFonts w:ascii="Calibri" w:eastAsia="Times New Roman" w:hAnsi="Calibri" w:cs="Calibri"/>
                <w:color w:val="000000"/>
                <w:kern w:val="24"/>
                <w:sz w:val="16"/>
                <w:szCs w:val="16"/>
                <w:lang w:eastAsia="fr-BE"/>
              </w:rPr>
              <w:t xml:space="preserve"> R</w:t>
            </w:r>
          </w:p>
        </w:tc>
      </w:tr>
      <w:tr w:rsidR="00F0434A" w:rsidRPr="00FC42CA" w:rsidTr="005C2537">
        <w:trPr>
          <w:trHeight w:val="66"/>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7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2</w:t>
            </w:r>
          </w:p>
        </w:tc>
        <w:tc>
          <w:tcPr>
            <w:tcW w:w="407" w:type="dxa"/>
            <w:tcBorders>
              <w:top w:val="single" w:sz="4" w:space="0" w:color="000000"/>
              <w:left w:val="single" w:sz="4" w:space="0" w:color="000000"/>
              <w:bottom w:val="single" w:sz="4" w:space="0" w:color="000000"/>
              <w:right w:val="single" w:sz="4" w:space="0" w:color="000000"/>
            </w:tcBorders>
          </w:tcPr>
          <w:p w:rsidR="00F0434A" w:rsidRPr="00FC42CA" w:rsidRDefault="00F0434A" w:rsidP="005C2537">
            <w:pPr>
              <w:jc w:val="center"/>
              <w:textAlignment w:val="center"/>
              <w:rPr>
                <w:rFonts w:ascii="Calibri" w:eastAsia="Times New Roman" w:hAnsi="Calibri" w:cs="Calibri"/>
                <w:color w:val="000000"/>
                <w:kern w:val="24"/>
                <w:sz w:val="16"/>
                <w:szCs w:val="16"/>
                <w:lang w:eastAsia="fr-BE"/>
              </w:rPr>
            </w:pPr>
            <w:r>
              <w:rPr>
                <w:rFonts w:ascii="Calibri" w:eastAsia="Times New Roman" w:hAnsi="Calibri" w:cs="Calibri"/>
                <w:color w:val="000000"/>
                <w:kern w:val="24"/>
                <w:sz w:val="16"/>
                <w:szCs w:val="16"/>
                <w:lang w:eastAsia="fr-BE"/>
              </w:rPr>
              <w:t>19</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beta</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855" w:type="dxa"/>
            <w:tcBorders>
              <w:top w:val="nil"/>
              <w:left w:val="single" w:sz="4" w:space="0" w:color="000000"/>
              <w:bottom w:val="nil"/>
              <w:right w:val="dotted" w:sz="4" w:space="0" w:color="000000"/>
            </w:tcBorders>
            <w:shd w:val="clear" w:color="auto" w:fill="FFC7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9C0006"/>
                <w:kern w:val="24"/>
                <w:sz w:val="16"/>
                <w:szCs w:val="16"/>
                <w:lang w:eastAsia="fr-BE"/>
              </w:rPr>
              <w:t>D</w:t>
            </w:r>
          </w:p>
        </w:tc>
        <w:tc>
          <w:tcPr>
            <w:tcW w:w="855" w:type="dxa"/>
            <w:tcBorders>
              <w:top w:val="nil"/>
              <w:left w:val="dotted" w:sz="4" w:space="0" w:color="000000"/>
              <w:bottom w:val="nil"/>
              <w:right w:val="single" w:sz="4" w:space="0" w:color="000000"/>
            </w:tcBorders>
            <w:shd w:val="clear" w:color="auto" w:fill="FFC7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9C0006"/>
                <w:kern w:val="24"/>
                <w:sz w:val="16"/>
                <w:szCs w:val="16"/>
                <w:lang w:eastAsia="fr-BE"/>
              </w:rPr>
              <w:t>D</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r>
      <w:tr w:rsidR="00F0434A" w:rsidRPr="00FC42CA" w:rsidTr="005C2537">
        <w:trPr>
          <w:trHeight w:val="66"/>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7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3</w:t>
            </w:r>
          </w:p>
        </w:tc>
        <w:tc>
          <w:tcPr>
            <w:tcW w:w="407" w:type="dxa"/>
            <w:tcBorders>
              <w:top w:val="single" w:sz="4" w:space="0" w:color="000000"/>
              <w:left w:val="single" w:sz="4" w:space="0" w:color="000000"/>
              <w:bottom w:val="single" w:sz="4" w:space="0" w:color="000000"/>
              <w:right w:val="single" w:sz="4" w:space="0" w:color="000000"/>
            </w:tcBorders>
          </w:tcPr>
          <w:p w:rsidR="00F0434A" w:rsidRPr="00FC42CA" w:rsidRDefault="00F0434A" w:rsidP="005C2537">
            <w:pPr>
              <w:jc w:val="center"/>
              <w:textAlignment w:val="center"/>
              <w:rPr>
                <w:rFonts w:ascii="Calibri" w:eastAsia="Times New Roman" w:hAnsi="Calibri" w:cs="Calibri"/>
                <w:color w:val="000000"/>
                <w:kern w:val="24"/>
                <w:sz w:val="16"/>
                <w:szCs w:val="16"/>
                <w:lang w:eastAsia="fr-BE"/>
              </w:rPr>
            </w:pPr>
            <w:r>
              <w:rPr>
                <w:rFonts w:ascii="Calibri" w:eastAsia="Times New Roman" w:hAnsi="Calibri" w:cs="Calibri"/>
                <w:color w:val="000000"/>
                <w:kern w:val="24"/>
                <w:sz w:val="16"/>
                <w:szCs w:val="16"/>
                <w:lang w:eastAsia="fr-BE"/>
              </w:rPr>
              <w:t>19</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beta</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855" w:type="dxa"/>
            <w:tcBorders>
              <w:top w:val="nil"/>
              <w:left w:val="single" w:sz="4" w:space="0" w:color="000000"/>
              <w:bottom w:val="nil"/>
              <w:right w:val="dotted" w:sz="4" w:space="0" w:color="000000"/>
            </w:tcBorders>
            <w:shd w:val="clear" w:color="auto" w:fill="FFC7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9C0006"/>
                <w:kern w:val="24"/>
                <w:sz w:val="16"/>
                <w:szCs w:val="16"/>
                <w:lang w:eastAsia="fr-BE"/>
              </w:rPr>
              <w:t>D</w:t>
            </w:r>
          </w:p>
        </w:tc>
        <w:tc>
          <w:tcPr>
            <w:tcW w:w="855" w:type="dxa"/>
            <w:tcBorders>
              <w:top w:val="nil"/>
              <w:left w:val="dotted" w:sz="4" w:space="0" w:color="000000"/>
              <w:bottom w:val="nil"/>
              <w:right w:val="single" w:sz="4" w:space="0" w:color="000000"/>
            </w:tcBorders>
            <w:shd w:val="clear" w:color="auto" w:fill="FFC7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9C0006"/>
                <w:kern w:val="24"/>
                <w:sz w:val="16"/>
                <w:szCs w:val="16"/>
                <w:lang w:eastAsia="fr-BE"/>
              </w:rPr>
              <w:t>D</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r>
      <w:tr w:rsidR="00F0434A" w:rsidRPr="00FC42CA" w:rsidTr="005C2537">
        <w:trPr>
          <w:trHeight w:val="66"/>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7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4</w:t>
            </w:r>
          </w:p>
        </w:tc>
        <w:tc>
          <w:tcPr>
            <w:tcW w:w="407" w:type="dxa"/>
            <w:tcBorders>
              <w:top w:val="single" w:sz="4" w:space="0" w:color="000000"/>
              <w:left w:val="single" w:sz="4" w:space="0" w:color="000000"/>
              <w:bottom w:val="single" w:sz="4" w:space="0" w:color="000000"/>
              <w:right w:val="single" w:sz="4" w:space="0" w:color="000000"/>
            </w:tcBorders>
          </w:tcPr>
          <w:p w:rsidR="00F0434A" w:rsidRPr="00FC42CA" w:rsidRDefault="00F0434A" w:rsidP="005C2537">
            <w:pPr>
              <w:jc w:val="center"/>
              <w:textAlignment w:val="center"/>
              <w:rPr>
                <w:rFonts w:ascii="Calibri" w:eastAsia="Times New Roman" w:hAnsi="Calibri" w:cs="Calibri"/>
                <w:color w:val="000000"/>
                <w:kern w:val="24"/>
                <w:sz w:val="16"/>
                <w:szCs w:val="16"/>
                <w:lang w:eastAsia="fr-BE"/>
              </w:rPr>
            </w:pPr>
            <w:r>
              <w:rPr>
                <w:rFonts w:ascii="Calibri" w:eastAsia="Times New Roman" w:hAnsi="Calibri" w:cs="Calibri"/>
                <w:color w:val="000000"/>
                <w:kern w:val="24"/>
                <w:sz w:val="16"/>
                <w:szCs w:val="16"/>
                <w:lang w:eastAsia="fr-BE"/>
              </w:rPr>
              <w:t>19</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beta</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855" w:type="dxa"/>
            <w:tcBorders>
              <w:top w:val="nil"/>
              <w:left w:val="single" w:sz="4" w:space="0" w:color="000000"/>
              <w:bottom w:val="nil"/>
              <w:right w:val="dotted" w:sz="4" w:space="0" w:color="000000"/>
            </w:tcBorders>
            <w:shd w:val="clear" w:color="auto" w:fill="FFC7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9C0006"/>
                <w:kern w:val="24"/>
                <w:sz w:val="16"/>
                <w:szCs w:val="16"/>
                <w:lang w:eastAsia="fr-BE"/>
              </w:rPr>
              <w:t>D</w:t>
            </w:r>
          </w:p>
        </w:tc>
        <w:tc>
          <w:tcPr>
            <w:tcW w:w="855" w:type="dxa"/>
            <w:tcBorders>
              <w:top w:val="nil"/>
              <w:left w:val="dotted" w:sz="4" w:space="0" w:color="000000"/>
              <w:bottom w:val="nil"/>
              <w:right w:val="single" w:sz="4" w:space="0" w:color="000000"/>
            </w:tcBorders>
            <w:shd w:val="clear" w:color="auto" w:fill="FFC7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9C0006"/>
                <w:kern w:val="24"/>
                <w:sz w:val="16"/>
                <w:szCs w:val="16"/>
                <w:lang w:eastAsia="fr-BE"/>
              </w:rPr>
              <w:t>D</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r>
      <w:tr w:rsidR="00F0434A" w:rsidRPr="00FC42CA" w:rsidTr="005C2537">
        <w:trPr>
          <w:trHeight w:val="66"/>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7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5</w:t>
            </w:r>
          </w:p>
        </w:tc>
        <w:tc>
          <w:tcPr>
            <w:tcW w:w="407" w:type="dxa"/>
            <w:tcBorders>
              <w:top w:val="single" w:sz="4" w:space="0" w:color="000000"/>
              <w:left w:val="single" w:sz="4" w:space="0" w:color="000000"/>
              <w:bottom w:val="single" w:sz="4" w:space="0" w:color="000000"/>
              <w:right w:val="single" w:sz="4" w:space="0" w:color="000000"/>
            </w:tcBorders>
          </w:tcPr>
          <w:p w:rsidR="00F0434A" w:rsidRPr="00FC42CA" w:rsidRDefault="00F0434A" w:rsidP="005C2537">
            <w:pPr>
              <w:jc w:val="center"/>
              <w:textAlignment w:val="center"/>
              <w:rPr>
                <w:rFonts w:ascii="Calibri" w:eastAsia="Times New Roman" w:hAnsi="Calibri" w:cs="Calibri"/>
                <w:color w:val="000000"/>
                <w:kern w:val="24"/>
                <w:sz w:val="16"/>
                <w:szCs w:val="16"/>
                <w:lang w:eastAsia="fr-BE"/>
              </w:rPr>
            </w:pPr>
            <w:r>
              <w:rPr>
                <w:rFonts w:ascii="Calibri" w:eastAsia="Times New Roman" w:hAnsi="Calibri" w:cs="Calibri"/>
                <w:color w:val="000000"/>
                <w:kern w:val="24"/>
                <w:sz w:val="16"/>
                <w:szCs w:val="16"/>
                <w:lang w:eastAsia="fr-BE"/>
              </w:rPr>
              <w:t>19</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beta</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855" w:type="dxa"/>
            <w:tcBorders>
              <w:top w:val="nil"/>
              <w:left w:val="single" w:sz="4" w:space="0" w:color="000000"/>
              <w:bottom w:val="single" w:sz="4" w:space="0" w:color="000000"/>
              <w:right w:val="dotted" w:sz="4" w:space="0" w:color="000000"/>
            </w:tcBorders>
            <w:shd w:val="clear" w:color="auto" w:fill="FFC7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9C0006"/>
                <w:kern w:val="24"/>
                <w:sz w:val="16"/>
                <w:szCs w:val="16"/>
                <w:lang w:eastAsia="fr-BE"/>
              </w:rPr>
              <w:t>D</w:t>
            </w:r>
          </w:p>
        </w:tc>
        <w:tc>
          <w:tcPr>
            <w:tcW w:w="855" w:type="dxa"/>
            <w:tcBorders>
              <w:top w:val="nil"/>
              <w:left w:val="dotted" w:sz="4" w:space="0" w:color="000000"/>
              <w:bottom w:val="single" w:sz="4" w:space="0" w:color="000000"/>
              <w:right w:val="single" w:sz="4" w:space="0" w:color="000000"/>
            </w:tcBorders>
            <w:shd w:val="clear" w:color="auto" w:fill="C6EF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6100"/>
                <w:kern w:val="24"/>
                <w:sz w:val="16"/>
                <w:szCs w:val="16"/>
                <w:lang w:eastAsia="fr-BE"/>
              </w:rPr>
              <w:t>C</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r>
      <w:tr w:rsidR="00F0434A" w:rsidRPr="00FC42CA" w:rsidTr="005C2537">
        <w:trPr>
          <w:trHeight w:val="66"/>
        </w:trPr>
        <w:tc>
          <w:tcPr>
            <w:tcW w:w="81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2</w:t>
            </w:r>
          </w:p>
        </w:tc>
        <w:tc>
          <w:tcPr>
            <w:tcW w:w="7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1</w:t>
            </w:r>
          </w:p>
        </w:tc>
        <w:tc>
          <w:tcPr>
            <w:tcW w:w="407" w:type="dxa"/>
            <w:tcBorders>
              <w:top w:val="single" w:sz="4" w:space="0" w:color="000000"/>
              <w:left w:val="single" w:sz="4" w:space="0" w:color="000000"/>
              <w:bottom w:val="single" w:sz="4" w:space="0" w:color="000000"/>
              <w:right w:val="single" w:sz="4" w:space="0" w:color="000000"/>
            </w:tcBorders>
          </w:tcPr>
          <w:p w:rsidR="00F0434A" w:rsidRPr="00FC42CA" w:rsidRDefault="00F0434A" w:rsidP="005C2537">
            <w:pPr>
              <w:jc w:val="center"/>
              <w:textAlignment w:val="center"/>
              <w:rPr>
                <w:rFonts w:ascii="Calibri" w:eastAsia="Times New Roman" w:hAnsi="Calibri" w:cs="Calibri"/>
                <w:color w:val="000000"/>
                <w:kern w:val="24"/>
                <w:sz w:val="16"/>
                <w:szCs w:val="16"/>
                <w:lang w:eastAsia="fr-BE"/>
              </w:rPr>
            </w:pPr>
            <w:r>
              <w:rPr>
                <w:rFonts w:ascii="Calibri" w:eastAsia="Times New Roman" w:hAnsi="Calibri" w:cs="Calibri"/>
                <w:color w:val="000000"/>
                <w:kern w:val="24"/>
                <w:sz w:val="16"/>
                <w:szCs w:val="16"/>
                <w:lang w:eastAsia="fr-BE"/>
              </w:rPr>
              <w:t>19</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delta</w:t>
            </w:r>
          </w:p>
        </w:tc>
        <w:tc>
          <w:tcPr>
            <w:tcW w:w="2066"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val="en-US" w:eastAsia="fr-BE"/>
              </w:rPr>
            </w:pPr>
            <w:r w:rsidRPr="00FC42CA">
              <w:rPr>
                <w:rFonts w:ascii="Calibri" w:eastAsia="Times New Roman" w:hAnsi="Calibri" w:cs="Calibri"/>
                <w:color w:val="000000"/>
                <w:kern w:val="24"/>
                <w:sz w:val="16"/>
                <w:szCs w:val="16"/>
                <w:lang w:val="pt-BR" w:eastAsia="fr-BE"/>
              </w:rPr>
              <w:t>Orbitofrontal L, Frontopolar L, F lateral superior L, anterior cingular L, anterior operculo-insular L</w:t>
            </w:r>
          </w:p>
        </w:tc>
        <w:tc>
          <w:tcPr>
            <w:tcW w:w="855" w:type="dxa"/>
            <w:tcBorders>
              <w:top w:val="single" w:sz="4" w:space="0" w:color="000000"/>
              <w:left w:val="single" w:sz="4" w:space="0" w:color="000000"/>
              <w:bottom w:val="nil"/>
              <w:right w:val="dotted" w:sz="4" w:space="0" w:color="000000"/>
            </w:tcBorders>
            <w:shd w:val="clear" w:color="auto" w:fill="FFC7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9C0006"/>
                <w:kern w:val="24"/>
                <w:sz w:val="16"/>
                <w:szCs w:val="16"/>
                <w:lang w:eastAsia="fr-BE"/>
              </w:rPr>
              <w:t>D</w:t>
            </w:r>
          </w:p>
        </w:tc>
        <w:tc>
          <w:tcPr>
            <w:tcW w:w="855" w:type="dxa"/>
            <w:tcBorders>
              <w:top w:val="single" w:sz="4" w:space="0" w:color="000000"/>
              <w:left w:val="dotted" w:sz="4" w:space="0" w:color="000000"/>
              <w:bottom w:val="nil"/>
              <w:right w:val="single" w:sz="4" w:space="0" w:color="000000"/>
            </w:tcBorders>
            <w:shd w:val="clear" w:color="auto" w:fill="FFC7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9C0006"/>
                <w:kern w:val="24"/>
                <w:sz w:val="16"/>
                <w:szCs w:val="16"/>
                <w:lang w:eastAsia="fr-BE"/>
              </w:rPr>
              <w:t>D</w:t>
            </w:r>
          </w:p>
        </w:tc>
        <w:tc>
          <w:tcPr>
            <w:tcW w:w="1018" w:type="dxa"/>
            <w:vMerge w:val="restart"/>
            <w:tcBorders>
              <w:top w:val="single" w:sz="4" w:space="0" w:color="000000"/>
              <w:left w:val="single" w:sz="4" w:space="0" w:color="000000"/>
              <w:bottom w:val="single" w:sz="4" w:space="0" w:color="000000"/>
              <w:right w:val="single" w:sz="4" w:space="0" w:color="000000"/>
            </w:tcBorders>
            <w:shd w:val="clear" w:color="auto" w:fill="FF9999"/>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T polar L</w:t>
            </w:r>
          </w:p>
        </w:tc>
        <w:tc>
          <w:tcPr>
            <w:tcW w:w="1018" w:type="dxa"/>
            <w:vMerge w:val="restart"/>
            <w:tcBorders>
              <w:top w:val="single" w:sz="4" w:space="0" w:color="000000"/>
              <w:left w:val="single" w:sz="4" w:space="0" w:color="000000"/>
              <w:bottom w:val="single" w:sz="4" w:space="0" w:color="000000"/>
              <w:right w:val="single" w:sz="4" w:space="0" w:color="000000"/>
            </w:tcBorders>
            <w:shd w:val="clear" w:color="auto" w:fill="9BC2E6"/>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inconclusive</w:t>
            </w:r>
          </w:p>
        </w:tc>
        <w:tc>
          <w:tcPr>
            <w:tcW w:w="1018" w:type="dxa"/>
            <w:vMerge w:val="restart"/>
            <w:tcBorders>
              <w:top w:val="single" w:sz="4" w:space="0" w:color="000000"/>
              <w:left w:val="single" w:sz="4" w:space="0" w:color="000000"/>
              <w:bottom w:val="single" w:sz="4" w:space="0" w:color="000000"/>
              <w:right w:val="single" w:sz="4" w:space="0" w:color="000000"/>
            </w:tcBorders>
            <w:shd w:val="clear" w:color="auto" w:fill="FF9999"/>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T polar L</w:t>
            </w:r>
          </w:p>
        </w:tc>
      </w:tr>
      <w:tr w:rsidR="00F0434A" w:rsidRPr="00FC42CA" w:rsidTr="005C2537">
        <w:trPr>
          <w:trHeight w:val="66"/>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7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2</w:t>
            </w:r>
          </w:p>
        </w:tc>
        <w:tc>
          <w:tcPr>
            <w:tcW w:w="407" w:type="dxa"/>
            <w:tcBorders>
              <w:top w:val="single" w:sz="4" w:space="0" w:color="000000"/>
              <w:left w:val="single" w:sz="4" w:space="0" w:color="000000"/>
              <w:bottom w:val="single" w:sz="4" w:space="0" w:color="000000"/>
              <w:right w:val="single" w:sz="4" w:space="0" w:color="000000"/>
            </w:tcBorders>
          </w:tcPr>
          <w:p w:rsidR="00F0434A" w:rsidRPr="00FC42CA" w:rsidRDefault="00F0434A" w:rsidP="005C2537">
            <w:pPr>
              <w:jc w:val="center"/>
              <w:textAlignment w:val="center"/>
              <w:rPr>
                <w:rFonts w:ascii="Calibri" w:eastAsia="Times New Roman" w:hAnsi="Calibri" w:cs="Calibri"/>
                <w:color w:val="000000"/>
                <w:kern w:val="24"/>
                <w:sz w:val="16"/>
                <w:szCs w:val="16"/>
                <w:lang w:eastAsia="fr-BE"/>
              </w:rPr>
            </w:pPr>
            <w:r>
              <w:rPr>
                <w:rFonts w:ascii="Calibri" w:eastAsia="Times New Roman" w:hAnsi="Calibri" w:cs="Calibri"/>
                <w:color w:val="000000"/>
                <w:kern w:val="24"/>
                <w:sz w:val="16"/>
                <w:szCs w:val="16"/>
                <w:lang w:eastAsia="fr-BE"/>
              </w:rPr>
              <w:t>19</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theta</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855" w:type="dxa"/>
            <w:tcBorders>
              <w:top w:val="nil"/>
              <w:left w:val="single" w:sz="4" w:space="0" w:color="000000"/>
              <w:bottom w:val="nil"/>
              <w:right w:val="dotted" w:sz="4" w:space="0" w:color="000000"/>
            </w:tcBorders>
            <w:shd w:val="clear" w:color="auto" w:fill="FFC7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9C0006"/>
                <w:kern w:val="24"/>
                <w:sz w:val="16"/>
                <w:szCs w:val="16"/>
                <w:lang w:eastAsia="fr-BE"/>
              </w:rPr>
              <w:t>D</w:t>
            </w:r>
          </w:p>
        </w:tc>
        <w:tc>
          <w:tcPr>
            <w:tcW w:w="855" w:type="dxa"/>
            <w:tcBorders>
              <w:top w:val="nil"/>
              <w:left w:val="dotted" w:sz="4" w:space="0" w:color="000000"/>
              <w:bottom w:val="nil"/>
              <w:right w:val="single" w:sz="4" w:space="0" w:color="000000"/>
            </w:tcBorders>
            <w:shd w:val="clear" w:color="auto" w:fill="C6EF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6100"/>
                <w:kern w:val="24"/>
                <w:sz w:val="16"/>
                <w:szCs w:val="16"/>
                <w:lang w:eastAsia="fr-BE"/>
              </w:rPr>
              <w:t>C</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r>
      <w:tr w:rsidR="00F0434A" w:rsidRPr="00FC42CA" w:rsidTr="005C2537">
        <w:trPr>
          <w:trHeight w:val="66"/>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7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3</w:t>
            </w:r>
          </w:p>
        </w:tc>
        <w:tc>
          <w:tcPr>
            <w:tcW w:w="407" w:type="dxa"/>
            <w:tcBorders>
              <w:top w:val="single" w:sz="4" w:space="0" w:color="000000"/>
              <w:left w:val="single" w:sz="4" w:space="0" w:color="000000"/>
              <w:bottom w:val="single" w:sz="4" w:space="0" w:color="000000"/>
              <w:right w:val="single" w:sz="4" w:space="0" w:color="000000"/>
            </w:tcBorders>
          </w:tcPr>
          <w:p w:rsidR="00F0434A" w:rsidRPr="00FC42CA" w:rsidRDefault="00F0434A" w:rsidP="005C2537">
            <w:pPr>
              <w:jc w:val="center"/>
              <w:textAlignment w:val="center"/>
              <w:rPr>
                <w:rFonts w:ascii="Calibri" w:eastAsia="Times New Roman" w:hAnsi="Calibri" w:cs="Calibri"/>
                <w:color w:val="000000"/>
                <w:kern w:val="24"/>
                <w:sz w:val="16"/>
                <w:szCs w:val="16"/>
                <w:lang w:eastAsia="fr-BE"/>
              </w:rPr>
            </w:pPr>
            <w:r>
              <w:rPr>
                <w:rFonts w:ascii="Calibri" w:eastAsia="Times New Roman" w:hAnsi="Calibri" w:cs="Calibri"/>
                <w:color w:val="000000"/>
                <w:kern w:val="24"/>
                <w:sz w:val="16"/>
                <w:szCs w:val="16"/>
                <w:lang w:eastAsia="fr-BE"/>
              </w:rPr>
              <w:t>17</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delta</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855" w:type="dxa"/>
            <w:tcBorders>
              <w:top w:val="nil"/>
              <w:left w:val="single" w:sz="4" w:space="0" w:color="000000"/>
              <w:bottom w:val="nil"/>
              <w:right w:val="dotted" w:sz="4" w:space="0" w:color="000000"/>
            </w:tcBorders>
            <w:shd w:val="clear" w:color="auto" w:fill="FFC7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9C0006"/>
                <w:kern w:val="24"/>
                <w:sz w:val="16"/>
                <w:szCs w:val="16"/>
                <w:lang w:eastAsia="fr-BE"/>
              </w:rPr>
              <w:t>D</w:t>
            </w:r>
          </w:p>
        </w:tc>
        <w:tc>
          <w:tcPr>
            <w:tcW w:w="855" w:type="dxa"/>
            <w:tcBorders>
              <w:top w:val="nil"/>
              <w:left w:val="dotted" w:sz="4" w:space="0" w:color="000000"/>
              <w:bottom w:val="nil"/>
              <w:right w:val="single" w:sz="4" w:space="0" w:color="000000"/>
            </w:tcBorders>
            <w:shd w:val="clear" w:color="auto" w:fill="FFC7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9C0006"/>
                <w:kern w:val="24"/>
                <w:sz w:val="16"/>
                <w:szCs w:val="16"/>
                <w:lang w:eastAsia="fr-BE"/>
              </w:rPr>
              <w:t>D</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r>
      <w:tr w:rsidR="00F0434A" w:rsidRPr="00FC42CA" w:rsidTr="005C2537">
        <w:trPr>
          <w:trHeight w:val="66"/>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7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4</w:t>
            </w:r>
          </w:p>
        </w:tc>
        <w:tc>
          <w:tcPr>
            <w:tcW w:w="407" w:type="dxa"/>
            <w:tcBorders>
              <w:top w:val="single" w:sz="4" w:space="0" w:color="000000"/>
              <w:left w:val="single" w:sz="4" w:space="0" w:color="000000"/>
              <w:bottom w:val="single" w:sz="4" w:space="0" w:color="000000"/>
              <w:right w:val="single" w:sz="4" w:space="0" w:color="000000"/>
            </w:tcBorders>
          </w:tcPr>
          <w:p w:rsidR="00F0434A" w:rsidRPr="00FC42CA" w:rsidRDefault="00F0434A" w:rsidP="005C2537">
            <w:pPr>
              <w:jc w:val="center"/>
              <w:textAlignment w:val="center"/>
              <w:rPr>
                <w:rFonts w:ascii="Calibri" w:eastAsia="Times New Roman" w:hAnsi="Calibri" w:cs="Calibri"/>
                <w:color w:val="000000"/>
                <w:kern w:val="24"/>
                <w:sz w:val="16"/>
                <w:szCs w:val="16"/>
                <w:lang w:eastAsia="fr-BE"/>
              </w:rPr>
            </w:pPr>
            <w:r>
              <w:rPr>
                <w:rFonts w:ascii="Calibri" w:eastAsia="Times New Roman" w:hAnsi="Calibri" w:cs="Calibri"/>
                <w:color w:val="000000"/>
                <w:kern w:val="24"/>
                <w:sz w:val="16"/>
                <w:szCs w:val="16"/>
                <w:lang w:eastAsia="fr-BE"/>
              </w:rPr>
              <w:t>17</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delta</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855" w:type="dxa"/>
            <w:tcBorders>
              <w:top w:val="nil"/>
              <w:left w:val="single" w:sz="4" w:space="0" w:color="000000"/>
              <w:bottom w:val="single" w:sz="4" w:space="0" w:color="000000"/>
              <w:right w:val="dotted" w:sz="4" w:space="0" w:color="000000"/>
            </w:tcBorders>
            <w:shd w:val="clear" w:color="auto" w:fill="FFC7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9C0006"/>
                <w:kern w:val="24"/>
                <w:sz w:val="16"/>
                <w:szCs w:val="16"/>
                <w:lang w:eastAsia="fr-BE"/>
              </w:rPr>
              <w:t>D</w:t>
            </w:r>
          </w:p>
        </w:tc>
        <w:tc>
          <w:tcPr>
            <w:tcW w:w="855" w:type="dxa"/>
            <w:tcBorders>
              <w:top w:val="nil"/>
              <w:left w:val="dotted" w:sz="4" w:space="0" w:color="000000"/>
              <w:bottom w:val="single" w:sz="4" w:space="0" w:color="000000"/>
              <w:right w:val="single" w:sz="4" w:space="0" w:color="000000"/>
            </w:tcBorders>
            <w:shd w:val="clear" w:color="auto" w:fill="FFC7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9C0006"/>
                <w:kern w:val="24"/>
                <w:sz w:val="16"/>
                <w:szCs w:val="16"/>
                <w:lang w:eastAsia="fr-BE"/>
              </w:rPr>
              <w:t>D</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r>
      <w:tr w:rsidR="00F0434A" w:rsidRPr="00FC42CA" w:rsidTr="005C2537">
        <w:trPr>
          <w:trHeight w:val="66"/>
        </w:trPr>
        <w:tc>
          <w:tcPr>
            <w:tcW w:w="81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3</w:t>
            </w:r>
          </w:p>
        </w:tc>
        <w:tc>
          <w:tcPr>
            <w:tcW w:w="7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1</w:t>
            </w:r>
          </w:p>
        </w:tc>
        <w:tc>
          <w:tcPr>
            <w:tcW w:w="407" w:type="dxa"/>
            <w:tcBorders>
              <w:top w:val="single" w:sz="4" w:space="0" w:color="000000"/>
              <w:left w:val="single" w:sz="4" w:space="0" w:color="000000"/>
              <w:bottom w:val="single" w:sz="4" w:space="0" w:color="000000"/>
              <w:right w:val="single" w:sz="4" w:space="0" w:color="000000"/>
            </w:tcBorders>
          </w:tcPr>
          <w:p w:rsidR="00F0434A" w:rsidRPr="00FC42CA" w:rsidRDefault="00F0434A" w:rsidP="005C2537">
            <w:pPr>
              <w:jc w:val="center"/>
              <w:textAlignment w:val="center"/>
              <w:rPr>
                <w:rFonts w:ascii="Calibri" w:eastAsia="Times New Roman" w:hAnsi="Calibri" w:cs="Calibri"/>
                <w:color w:val="000000"/>
                <w:kern w:val="24"/>
                <w:sz w:val="16"/>
                <w:szCs w:val="16"/>
                <w:lang w:eastAsia="fr-BE"/>
              </w:rPr>
            </w:pPr>
            <w:r>
              <w:rPr>
                <w:rFonts w:ascii="Calibri" w:eastAsia="Times New Roman" w:hAnsi="Calibri" w:cs="Calibri"/>
                <w:color w:val="000000"/>
                <w:kern w:val="24"/>
                <w:sz w:val="16"/>
                <w:szCs w:val="16"/>
                <w:lang w:eastAsia="fr-BE"/>
              </w:rPr>
              <w:t>19</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alpha</w:t>
            </w:r>
          </w:p>
        </w:tc>
        <w:tc>
          <w:tcPr>
            <w:tcW w:w="2066"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R hemisphere</w:t>
            </w:r>
          </w:p>
        </w:tc>
        <w:tc>
          <w:tcPr>
            <w:tcW w:w="855" w:type="dxa"/>
            <w:tcBorders>
              <w:top w:val="single" w:sz="4" w:space="0" w:color="000000"/>
              <w:left w:val="single" w:sz="4" w:space="0" w:color="000000"/>
              <w:bottom w:val="nil"/>
              <w:right w:val="dotted" w:sz="4" w:space="0" w:color="000000"/>
            </w:tcBorders>
            <w:shd w:val="clear" w:color="auto" w:fill="FFC7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9C0006"/>
                <w:kern w:val="24"/>
                <w:sz w:val="16"/>
                <w:szCs w:val="16"/>
                <w:lang w:eastAsia="fr-BE"/>
              </w:rPr>
              <w:t>D</w:t>
            </w:r>
          </w:p>
        </w:tc>
        <w:tc>
          <w:tcPr>
            <w:tcW w:w="855" w:type="dxa"/>
            <w:tcBorders>
              <w:top w:val="single" w:sz="4" w:space="0" w:color="000000"/>
              <w:left w:val="dotted" w:sz="4" w:space="0" w:color="000000"/>
              <w:bottom w:val="nil"/>
              <w:right w:val="single" w:sz="4" w:space="0" w:color="000000"/>
            </w:tcBorders>
            <w:shd w:val="clear" w:color="auto" w:fill="FFC7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9C0006"/>
                <w:kern w:val="24"/>
                <w:sz w:val="16"/>
                <w:szCs w:val="16"/>
                <w:lang w:eastAsia="fr-BE"/>
              </w:rPr>
              <w:t>D</w:t>
            </w:r>
          </w:p>
        </w:tc>
        <w:tc>
          <w:tcPr>
            <w:tcW w:w="3054"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b/>
                <w:bCs/>
                <w:color w:val="000000"/>
                <w:kern w:val="24"/>
                <w:sz w:val="16"/>
                <w:szCs w:val="16"/>
                <w:lang w:eastAsia="fr-BE"/>
              </w:rPr>
              <w:t>n/a</w:t>
            </w:r>
          </w:p>
        </w:tc>
      </w:tr>
      <w:tr w:rsidR="00F0434A" w:rsidRPr="00FC42CA" w:rsidTr="005C2537">
        <w:trPr>
          <w:trHeight w:val="66"/>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7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2</w:t>
            </w:r>
          </w:p>
        </w:tc>
        <w:tc>
          <w:tcPr>
            <w:tcW w:w="407" w:type="dxa"/>
            <w:tcBorders>
              <w:top w:val="single" w:sz="4" w:space="0" w:color="000000"/>
              <w:left w:val="single" w:sz="4" w:space="0" w:color="000000"/>
              <w:bottom w:val="single" w:sz="4" w:space="0" w:color="000000"/>
              <w:right w:val="single" w:sz="4" w:space="0" w:color="000000"/>
            </w:tcBorders>
          </w:tcPr>
          <w:p w:rsidR="00F0434A" w:rsidRPr="00FC42CA" w:rsidRDefault="00F0434A" w:rsidP="005C2537">
            <w:pPr>
              <w:jc w:val="center"/>
              <w:textAlignment w:val="center"/>
              <w:rPr>
                <w:rFonts w:ascii="Calibri" w:eastAsia="Times New Roman" w:hAnsi="Calibri" w:cs="Calibri"/>
                <w:color w:val="000000"/>
                <w:kern w:val="24"/>
                <w:sz w:val="16"/>
                <w:szCs w:val="16"/>
                <w:lang w:eastAsia="fr-BE"/>
              </w:rPr>
            </w:pPr>
            <w:r>
              <w:rPr>
                <w:rFonts w:ascii="Calibri" w:eastAsia="Times New Roman" w:hAnsi="Calibri" w:cs="Calibri"/>
                <w:color w:val="000000"/>
                <w:kern w:val="24"/>
                <w:sz w:val="16"/>
                <w:szCs w:val="16"/>
                <w:lang w:eastAsia="fr-BE"/>
              </w:rPr>
              <w:t>18</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alpha</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855" w:type="dxa"/>
            <w:tcBorders>
              <w:top w:val="nil"/>
              <w:left w:val="single" w:sz="4" w:space="0" w:color="000000"/>
              <w:bottom w:val="single" w:sz="4" w:space="0" w:color="000000"/>
              <w:right w:val="dotted" w:sz="4" w:space="0" w:color="000000"/>
            </w:tcBorders>
            <w:shd w:val="clear" w:color="auto" w:fill="FFC7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9C0006"/>
                <w:kern w:val="24"/>
                <w:sz w:val="16"/>
                <w:szCs w:val="16"/>
                <w:lang w:eastAsia="fr-BE"/>
              </w:rPr>
              <w:t>D</w:t>
            </w:r>
          </w:p>
        </w:tc>
        <w:tc>
          <w:tcPr>
            <w:tcW w:w="855" w:type="dxa"/>
            <w:tcBorders>
              <w:top w:val="nil"/>
              <w:left w:val="dotted" w:sz="4" w:space="0" w:color="000000"/>
              <w:bottom w:val="single" w:sz="4" w:space="0" w:color="000000"/>
              <w:right w:val="single" w:sz="4" w:space="0" w:color="000000"/>
            </w:tcBorders>
            <w:shd w:val="clear" w:color="auto" w:fill="C6EF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6100"/>
                <w:kern w:val="24"/>
                <w:sz w:val="16"/>
                <w:szCs w:val="16"/>
                <w:lang w:eastAsia="fr-BE"/>
              </w:rPr>
              <w:t>C</w:t>
            </w:r>
          </w:p>
        </w:tc>
        <w:tc>
          <w:tcPr>
            <w:tcW w:w="0" w:type="auto"/>
            <w:gridSpan w:val="3"/>
            <w:vMerge/>
            <w:tcBorders>
              <w:top w:val="nil"/>
              <w:left w:val="dotted"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r>
      <w:tr w:rsidR="00F0434A" w:rsidRPr="00FC42CA" w:rsidTr="005C2537">
        <w:trPr>
          <w:trHeight w:val="66"/>
        </w:trPr>
        <w:tc>
          <w:tcPr>
            <w:tcW w:w="81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4</w:t>
            </w:r>
          </w:p>
        </w:tc>
        <w:tc>
          <w:tcPr>
            <w:tcW w:w="7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1</w:t>
            </w:r>
          </w:p>
        </w:tc>
        <w:tc>
          <w:tcPr>
            <w:tcW w:w="407" w:type="dxa"/>
            <w:tcBorders>
              <w:top w:val="single" w:sz="4" w:space="0" w:color="000000"/>
              <w:left w:val="single" w:sz="4" w:space="0" w:color="000000"/>
              <w:bottom w:val="single" w:sz="4" w:space="0" w:color="000000"/>
              <w:right w:val="single" w:sz="4" w:space="0" w:color="000000"/>
            </w:tcBorders>
          </w:tcPr>
          <w:p w:rsidR="00F0434A" w:rsidRPr="00FC42CA" w:rsidRDefault="00F0434A" w:rsidP="005C2537">
            <w:pPr>
              <w:jc w:val="center"/>
              <w:textAlignment w:val="center"/>
              <w:rPr>
                <w:rFonts w:ascii="Calibri" w:eastAsia="Times New Roman" w:hAnsi="Calibri" w:cs="Calibri"/>
                <w:color w:val="000000"/>
                <w:kern w:val="24"/>
                <w:sz w:val="16"/>
                <w:szCs w:val="16"/>
                <w:lang w:eastAsia="fr-BE"/>
              </w:rPr>
            </w:pPr>
            <w:r>
              <w:rPr>
                <w:rFonts w:ascii="Calibri" w:eastAsia="Times New Roman" w:hAnsi="Calibri" w:cs="Calibri"/>
                <w:color w:val="000000"/>
                <w:kern w:val="24"/>
                <w:sz w:val="16"/>
                <w:szCs w:val="16"/>
                <w:lang w:eastAsia="fr-BE"/>
              </w:rPr>
              <w:t>19</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theta</w:t>
            </w:r>
          </w:p>
        </w:tc>
        <w:tc>
          <w:tcPr>
            <w:tcW w:w="2066"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Central mesial R</w:t>
            </w:r>
          </w:p>
        </w:tc>
        <w:tc>
          <w:tcPr>
            <w:tcW w:w="855" w:type="dxa"/>
            <w:tcBorders>
              <w:top w:val="single" w:sz="4" w:space="0" w:color="000000"/>
              <w:left w:val="single" w:sz="4" w:space="0" w:color="000000"/>
              <w:bottom w:val="nil"/>
              <w:right w:val="dotted" w:sz="4" w:space="0" w:color="000000"/>
            </w:tcBorders>
            <w:shd w:val="clear" w:color="auto" w:fill="FFC7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9C0006"/>
                <w:kern w:val="24"/>
                <w:sz w:val="16"/>
                <w:szCs w:val="16"/>
                <w:lang w:eastAsia="fr-BE"/>
              </w:rPr>
              <w:t>D</w:t>
            </w:r>
          </w:p>
        </w:tc>
        <w:tc>
          <w:tcPr>
            <w:tcW w:w="855" w:type="dxa"/>
            <w:tcBorders>
              <w:top w:val="single" w:sz="4" w:space="0" w:color="000000"/>
              <w:left w:val="dotted" w:sz="4" w:space="0" w:color="000000"/>
              <w:bottom w:val="nil"/>
              <w:right w:val="single" w:sz="4" w:space="0" w:color="000000"/>
            </w:tcBorders>
            <w:shd w:val="clear" w:color="auto" w:fill="FFC7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9C0006"/>
                <w:kern w:val="24"/>
                <w:sz w:val="16"/>
                <w:szCs w:val="16"/>
                <w:lang w:eastAsia="fr-BE"/>
              </w:rPr>
              <w:t>D</w:t>
            </w:r>
          </w:p>
        </w:tc>
        <w:tc>
          <w:tcPr>
            <w:tcW w:w="1018" w:type="dxa"/>
            <w:vMerge w:val="restart"/>
            <w:tcBorders>
              <w:top w:val="single" w:sz="4" w:space="0" w:color="000000"/>
              <w:left w:val="single" w:sz="4" w:space="0" w:color="000000"/>
              <w:bottom w:val="single" w:sz="4" w:space="0" w:color="000000"/>
              <w:right w:val="single" w:sz="4" w:space="0" w:color="000000"/>
            </w:tcBorders>
            <w:shd w:val="clear" w:color="auto" w:fill="9BC2E6"/>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inconclusive</w:t>
            </w:r>
          </w:p>
        </w:tc>
        <w:tc>
          <w:tcPr>
            <w:tcW w:w="1018" w:type="dxa"/>
            <w:vMerge w:val="restart"/>
            <w:tcBorders>
              <w:top w:val="single" w:sz="4" w:space="0" w:color="000000"/>
              <w:left w:val="single" w:sz="4" w:space="0" w:color="000000"/>
              <w:bottom w:val="single" w:sz="4" w:space="0" w:color="000000"/>
              <w:right w:val="single" w:sz="4" w:space="0" w:color="000000"/>
            </w:tcBorders>
            <w:shd w:val="clear" w:color="auto" w:fill="9BC2E6"/>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inconclusive</w:t>
            </w:r>
          </w:p>
        </w:tc>
        <w:tc>
          <w:tcPr>
            <w:tcW w:w="1018" w:type="dxa"/>
            <w:vMerge w:val="restart"/>
            <w:tcBorders>
              <w:top w:val="single" w:sz="4" w:space="0" w:color="000000"/>
              <w:left w:val="single" w:sz="4" w:space="0" w:color="000000"/>
              <w:bottom w:val="single" w:sz="4" w:space="0" w:color="000000"/>
              <w:right w:val="single" w:sz="4" w:space="0" w:color="000000"/>
            </w:tcBorders>
            <w:shd w:val="clear" w:color="auto" w:fill="00B050"/>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Central mesial R</w:t>
            </w:r>
          </w:p>
        </w:tc>
      </w:tr>
      <w:tr w:rsidR="00F0434A" w:rsidRPr="00FC42CA" w:rsidTr="005C2537">
        <w:trPr>
          <w:trHeight w:val="66"/>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7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2</w:t>
            </w:r>
          </w:p>
        </w:tc>
        <w:tc>
          <w:tcPr>
            <w:tcW w:w="407" w:type="dxa"/>
            <w:tcBorders>
              <w:top w:val="single" w:sz="4" w:space="0" w:color="000000"/>
              <w:left w:val="single" w:sz="4" w:space="0" w:color="000000"/>
              <w:bottom w:val="single" w:sz="4" w:space="0" w:color="000000"/>
              <w:right w:val="single" w:sz="4" w:space="0" w:color="000000"/>
            </w:tcBorders>
          </w:tcPr>
          <w:p w:rsidR="00F0434A" w:rsidRPr="00FC42CA" w:rsidRDefault="00F0434A" w:rsidP="005C2537">
            <w:pPr>
              <w:jc w:val="center"/>
              <w:textAlignment w:val="center"/>
              <w:rPr>
                <w:rFonts w:ascii="Calibri" w:eastAsia="Times New Roman" w:hAnsi="Calibri" w:cs="Calibri"/>
                <w:color w:val="000000"/>
                <w:kern w:val="24"/>
                <w:sz w:val="16"/>
                <w:szCs w:val="16"/>
                <w:lang w:eastAsia="fr-BE"/>
              </w:rPr>
            </w:pPr>
            <w:r>
              <w:rPr>
                <w:rFonts w:ascii="Calibri" w:eastAsia="Times New Roman" w:hAnsi="Calibri" w:cs="Calibri"/>
                <w:color w:val="000000"/>
                <w:kern w:val="24"/>
                <w:sz w:val="16"/>
                <w:szCs w:val="16"/>
                <w:lang w:eastAsia="fr-BE"/>
              </w:rPr>
              <w:t>19</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alpha</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855" w:type="dxa"/>
            <w:tcBorders>
              <w:top w:val="nil"/>
              <w:left w:val="single" w:sz="4" w:space="0" w:color="000000"/>
              <w:bottom w:val="nil"/>
              <w:right w:val="dotted" w:sz="4" w:space="0" w:color="000000"/>
            </w:tcBorders>
            <w:shd w:val="clear" w:color="auto" w:fill="FFC7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9C0006"/>
                <w:kern w:val="24"/>
                <w:sz w:val="16"/>
                <w:szCs w:val="16"/>
                <w:lang w:eastAsia="fr-BE"/>
              </w:rPr>
              <w:t>D</w:t>
            </w:r>
          </w:p>
        </w:tc>
        <w:tc>
          <w:tcPr>
            <w:tcW w:w="855" w:type="dxa"/>
            <w:tcBorders>
              <w:top w:val="nil"/>
              <w:left w:val="dotted" w:sz="4" w:space="0" w:color="000000"/>
              <w:bottom w:val="nil"/>
              <w:right w:val="single" w:sz="4" w:space="0" w:color="000000"/>
            </w:tcBorders>
            <w:shd w:val="clear" w:color="auto" w:fill="FFC7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9C0006"/>
                <w:kern w:val="24"/>
                <w:sz w:val="16"/>
                <w:szCs w:val="16"/>
                <w:lang w:eastAsia="fr-BE"/>
              </w:rPr>
              <w:t>D</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r>
      <w:tr w:rsidR="00F0434A" w:rsidRPr="00FC42CA" w:rsidTr="005C2537">
        <w:trPr>
          <w:trHeight w:val="66"/>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7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3</w:t>
            </w:r>
          </w:p>
        </w:tc>
        <w:tc>
          <w:tcPr>
            <w:tcW w:w="407" w:type="dxa"/>
            <w:tcBorders>
              <w:top w:val="single" w:sz="4" w:space="0" w:color="000000"/>
              <w:left w:val="single" w:sz="4" w:space="0" w:color="000000"/>
              <w:bottom w:val="single" w:sz="4" w:space="0" w:color="000000"/>
              <w:right w:val="single" w:sz="4" w:space="0" w:color="000000"/>
            </w:tcBorders>
          </w:tcPr>
          <w:p w:rsidR="00F0434A" w:rsidRPr="00FC42CA" w:rsidRDefault="00F0434A" w:rsidP="005C2537">
            <w:pPr>
              <w:jc w:val="center"/>
              <w:textAlignment w:val="center"/>
              <w:rPr>
                <w:rFonts w:ascii="Calibri" w:eastAsia="Times New Roman" w:hAnsi="Calibri" w:cs="Calibri"/>
                <w:color w:val="000000"/>
                <w:kern w:val="24"/>
                <w:sz w:val="16"/>
                <w:szCs w:val="16"/>
                <w:lang w:eastAsia="fr-BE"/>
              </w:rPr>
            </w:pPr>
            <w:r>
              <w:rPr>
                <w:rFonts w:ascii="Calibri" w:eastAsia="Times New Roman" w:hAnsi="Calibri" w:cs="Calibri"/>
                <w:color w:val="000000"/>
                <w:kern w:val="24"/>
                <w:sz w:val="16"/>
                <w:szCs w:val="16"/>
                <w:lang w:eastAsia="fr-BE"/>
              </w:rPr>
              <w:t>19</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theta</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855" w:type="dxa"/>
            <w:tcBorders>
              <w:top w:val="nil"/>
              <w:left w:val="single" w:sz="4" w:space="0" w:color="000000"/>
              <w:bottom w:val="nil"/>
              <w:right w:val="dotted" w:sz="4" w:space="0" w:color="000000"/>
            </w:tcBorders>
            <w:shd w:val="clear" w:color="auto" w:fill="FFC7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9C0006"/>
                <w:kern w:val="24"/>
                <w:sz w:val="16"/>
                <w:szCs w:val="16"/>
                <w:lang w:eastAsia="fr-BE"/>
              </w:rPr>
              <w:t>D</w:t>
            </w:r>
          </w:p>
        </w:tc>
        <w:tc>
          <w:tcPr>
            <w:tcW w:w="855" w:type="dxa"/>
            <w:tcBorders>
              <w:top w:val="nil"/>
              <w:left w:val="dotted" w:sz="4" w:space="0" w:color="000000"/>
              <w:bottom w:val="nil"/>
              <w:right w:val="single" w:sz="4" w:space="0" w:color="000000"/>
            </w:tcBorders>
            <w:shd w:val="clear" w:color="auto" w:fill="FFC7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9C0006"/>
                <w:kern w:val="24"/>
                <w:sz w:val="16"/>
                <w:szCs w:val="16"/>
                <w:lang w:eastAsia="fr-BE"/>
              </w:rPr>
              <w:t>D</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r>
      <w:tr w:rsidR="00F0434A" w:rsidRPr="00FC42CA" w:rsidTr="005C2537">
        <w:trPr>
          <w:trHeight w:val="66"/>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7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4</w:t>
            </w:r>
          </w:p>
        </w:tc>
        <w:tc>
          <w:tcPr>
            <w:tcW w:w="407" w:type="dxa"/>
            <w:tcBorders>
              <w:top w:val="single" w:sz="4" w:space="0" w:color="000000"/>
              <w:left w:val="single" w:sz="4" w:space="0" w:color="000000"/>
              <w:bottom w:val="single" w:sz="4" w:space="0" w:color="000000"/>
              <w:right w:val="single" w:sz="4" w:space="0" w:color="000000"/>
            </w:tcBorders>
          </w:tcPr>
          <w:p w:rsidR="00F0434A" w:rsidRPr="00FC42CA" w:rsidRDefault="00F0434A" w:rsidP="005C2537">
            <w:pPr>
              <w:jc w:val="center"/>
              <w:textAlignment w:val="center"/>
              <w:rPr>
                <w:rFonts w:ascii="Calibri" w:eastAsia="Times New Roman" w:hAnsi="Calibri" w:cs="Calibri"/>
                <w:color w:val="000000"/>
                <w:kern w:val="24"/>
                <w:sz w:val="16"/>
                <w:szCs w:val="16"/>
                <w:lang w:eastAsia="fr-BE"/>
              </w:rPr>
            </w:pPr>
            <w:r>
              <w:rPr>
                <w:rFonts w:ascii="Calibri" w:eastAsia="Times New Roman" w:hAnsi="Calibri" w:cs="Calibri"/>
                <w:color w:val="000000"/>
                <w:kern w:val="24"/>
                <w:sz w:val="16"/>
                <w:szCs w:val="16"/>
                <w:lang w:eastAsia="fr-BE"/>
              </w:rPr>
              <w:t>19</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alpha</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855" w:type="dxa"/>
            <w:tcBorders>
              <w:top w:val="nil"/>
              <w:left w:val="single" w:sz="4" w:space="0" w:color="000000"/>
              <w:bottom w:val="single" w:sz="4" w:space="0" w:color="000000"/>
              <w:right w:val="dotted" w:sz="4" w:space="0" w:color="000000"/>
            </w:tcBorders>
            <w:shd w:val="clear" w:color="auto" w:fill="FFC7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9C0006"/>
                <w:kern w:val="24"/>
                <w:sz w:val="16"/>
                <w:szCs w:val="16"/>
                <w:lang w:eastAsia="fr-BE"/>
              </w:rPr>
              <w:t>D</w:t>
            </w:r>
          </w:p>
        </w:tc>
        <w:tc>
          <w:tcPr>
            <w:tcW w:w="855" w:type="dxa"/>
            <w:tcBorders>
              <w:top w:val="nil"/>
              <w:left w:val="dotted" w:sz="4" w:space="0" w:color="000000"/>
              <w:bottom w:val="single" w:sz="4" w:space="0" w:color="000000"/>
              <w:right w:val="single" w:sz="4" w:space="0" w:color="000000"/>
            </w:tcBorders>
            <w:shd w:val="clear" w:color="auto" w:fill="FFC7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9C0006"/>
                <w:kern w:val="24"/>
                <w:sz w:val="16"/>
                <w:szCs w:val="16"/>
                <w:lang w:eastAsia="fr-BE"/>
              </w:rPr>
              <w:t>D</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r>
      <w:tr w:rsidR="00F0434A" w:rsidRPr="00FC42CA" w:rsidTr="005C2537">
        <w:trPr>
          <w:trHeight w:val="66"/>
        </w:trPr>
        <w:tc>
          <w:tcPr>
            <w:tcW w:w="81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5</w:t>
            </w:r>
          </w:p>
        </w:tc>
        <w:tc>
          <w:tcPr>
            <w:tcW w:w="7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1</w:t>
            </w:r>
          </w:p>
        </w:tc>
        <w:tc>
          <w:tcPr>
            <w:tcW w:w="407" w:type="dxa"/>
            <w:tcBorders>
              <w:top w:val="single" w:sz="4" w:space="0" w:color="000000"/>
              <w:left w:val="single" w:sz="4" w:space="0" w:color="000000"/>
              <w:bottom w:val="single" w:sz="4" w:space="0" w:color="000000"/>
              <w:right w:val="single" w:sz="4" w:space="0" w:color="000000"/>
            </w:tcBorders>
          </w:tcPr>
          <w:p w:rsidR="00F0434A" w:rsidRPr="00FC42CA" w:rsidRDefault="00F0434A" w:rsidP="005C2537">
            <w:pPr>
              <w:jc w:val="center"/>
              <w:textAlignment w:val="center"/>
              <w:rPr>
                <w:rFonts w:ascii="Calibri" w:eastAsia="Times New Roman" w:hAnsi="Calibri" w:cs="Calibri"/>
                <w:color w:val="000000"/>
                <w:kern w:val="24"/>
                <w:sz w:val="16"/>
                <w:szCs w:val="16"/>
                <w:lang w:eastAsia="fr-BE"/>
              </w:rPr>
            </w:pPr>
            <w:r>
              <w:rPr>
                <w:rFonts w:ascii="Calibri" w:eastAsia="Times New Roman" w:hAnsi="Calibri" w:cs="Calibri"/>
                <w:color w:val="000000"/>
                <w:kern w:val="24"/>
                <w:sz w:val="16"/>
                <w:szCs w:val="16"/>
                <w:lang w:eastAsia="fr-BE"/>
              </w:rPr>
              <w:t>19</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theta</w:t>
            </w:r>
          </w:p>
        </w:tc>
        <w:tc>
          <w:tcPr>
            <w:tcW w:w="2066"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val="en-US" w:eastAsia="fr-BE"/>
              </w:rPr>
            </w:pPr>
            <w:r w:rsidRPr="00FC42CA">
              <w:rPr>
                <w:rFonts w:ascii="Calibri" w:eastAsia="Times New Roman" w:hAnsi="Calibri" w:cs="Calibri"/>
                <w:color w:val="000000"/>
                <w:kern w:val="24"/>
                <w:sz w:val="16"/>
                <w:szCs w:val="16"/>
                <w:lang w:val="pt-BR" w:eastAsia="fr-BE"/>
              </w:rPr>
              <w:t>Anterior cingular R, F superior mesial R</w:t>
            </w:r>
          </w:p>
        </w:tc>
        <w:tc>
          <w:tcPr>
            <w:tcW w:w="855" w:type="dxa"/>
            <w:tcBorders>
              <w:top w:val="single" w:sz="4" w:space="0" w:color="000000"/>
              <w:left w:val="single" w:sz="4" w:space="0" w:color="000000"/>
              <w:bottom w:val="nil"/>
              <w:right w:val="dotted" w:sz="4" w:space="0" w:color="000000"/>
            </w:tcBorders>
            <w:shd w:val="clear" w:color="auto" w:fill="FFC7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9C0006"/>
                <w:kern w:val="24"/>
                <w:sz w:val="16"/>
                <w:szCs w:val="16"/>
                <w:lang w:eastAsia="fr-BE"/>
              </w:rPr>
              <w:t>D</w:t>
            </w:r>
          </w:p>
        </w:tc>
        <w:tc>
          <w:tcPr>
            <w:tcW w:w="855" w:type="dxa"/>
            <w:tcBorders>
              <w:top w:val="single" w:sz="4" w:space="0" w:color="000000"/>
              <w:left w:val="dotted" w:sz="4" w:space="0" w:color="000000"/>
              <w:bottom w:val="nil"/>
              <w:right w:val="single" w:sz="4" w:space="0" w:color="000000"/>
            </w:tcBorders>
            <w:shd w:val="clear" w:color="auto" w:fill="FFC7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9C0006"/>
                <w:kern w:val="24"/>
                <w:sz w:val="16"/>
                <w:szCs w:val="16"/>
                <w:lang w:eastAsia="fr-BE"/>
              </w:rPr>
              <w:t>D</w:t>
            </w:r>
          </w:p>
        </w:tc>
        <w:tc>
          <w:tcPr>
            <w:tcW w:w="1018" w:type="dxa"/>
            <w:vMerge w:val="restart"/>
            <w:tcBorders>
              <w:top w:val="single" w:sz="4" w:space="0" w:color="000000"/>
              <w:left w:val="single" w:sz="4" w:space="0" w:color="000000"/>
              <w:bottom w:val="single" w:sz="4" w:space="0" w:color="000000"/>
              <w:right w:val="single" w:sz="4" w:space="0" w:color="000000"/>
            </w:tcBorders>
            <w:shd w:val="clear" w:color="auto" w:fill="9BC2E6"/>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inconclusive</w:t>
            </w:r>
          </w:p>
        </w:tc>
        <w:tc>
          <w:tcPr>
            <w:tcW w:w="1018" w:type="dxa"/>
            <w:vMerge w:val="restart"/>
            <w:tcBorders>
              <w:top w:val="single" w:sz="4" w:space="0" w:color="000000"/>
              <w:left w:val="single" w:sz="4" w:space="0" w:color="000000"/>
              <w:bottom w:val="single" w:sz="4" w:space="0" w:color="000000"/>
              <w:right w:val="single" w:sz="4" w:space="0" w:color="000000"/>
            </w:tcBorders>
            <w:shd w:val="clear" w:color="auto" w:fill="00B050"/>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anterior cingular R</w:t>
            </w:r>
          </w:p>
        </w:tc>
        <w:tc>
          <w:tcPr>
            <w:tcW w:w="1018" w:type="dxa"/>
            <w:vMerge w:val="restart"/>
            <w:tcBorders>
              <w:top w:val="single" w:sz="4" w:space="0" w:color="000000"/>
              <w:left w:val="single" w:sz="4" w:space="0" w:color="000000"/>
              <w:bottom w:val="single" w:sz="4" w:space="0" w:color="000000"/>
              <w:right w:val="single" w:sz="4" w:space="0" w:color="000000"/>
            </w:tcBorders>
            <w:shd w:val="clear" w:color="auto" w:fill="FF9999"/>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T polar R</w:t>
            </w:r>
          </w:p>
        </w:tc>
      </w:tr>
      <w:tr w:rsidR="00F0434A" w:rsidRPr="00FC42CA" w:rsidTr="005C2537">
        <w:trPr>
          <w:trHeight w:val="66"/>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7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2</w:t>
            </w:r>
          </w:p>
        </w:tc>
        <w:tc>
          <w:tcPr>
            <w:tcW w:w="407" w:type="dxa"/>
            <w:tcBorders>
              <w:top w:val="single" w:sz="4" w:space="0" w:color="000000"/>
              <w:left w:val="single" w:sz="4" w:space="0" w:color="000000"/>
              <w:bottom w:val="single" w:sz="4" w:space="0" w:color="000000"/>
              <w:right w:val="single" w:sz="4" w:space="0" w:color="000000"/>
            </w:tcBorders>
          </w:tcPr>
          <w:p w:rsidR="00F0434A" w:rsidRPr="00FC42CA" w:rsidRDefault="00F0434A" w:rsidP="005C2537">
            <w:pPr>
              <w:jc w:val="center"/>
              <w:textAlignment w:val="center"/>
              <w:rPr>
                <w:rFonts w:ascii="Calibri" w:eastAsia="Times New Roman" w:hAnsi="Calibri" w:cs="Calibri"/>
                <w:color w:val="000000"/>
                <w:kern w:val="24"/>
                <w:sz w:val="16"/>
                <w:szCs w:val="16"/>
                <w:lang w:eastAsia="fr-BE"/>
              </w:rPr>
            </w:pPr>
            <w:r>
              <w:rPr>
                <w:rFonts w:ascii="Calibri" w:eastAsia="Times New Roman" w:hAnsi="Calibri" w:cs="Calibri"/>
                <w:color w:val="000000"/>
                <w:kern w:val="24"/>
                <w:sz w:val="16"/>
                <w:szCs w:val="16"/>
                <w:lang w:eastAsia="fr-BE"/>
              </w:rPr>
              <w:t>18</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theta</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855" w:type="dxa"/>
            <w:tcBorders>
              <w:top w:val="nil"/>
              <w:left w:val="single" w:sz="4" w:space="0" w:color="000000"/>
              <w:bottom w:val="single" w:sz="4" w:space="0" w:color="000000"/>
              <w:right w:val="dotted" w:sz="4" w:space="0" w:color="000000"/>
            </w:tcBorders>
            <w:shd w:val="clear" w:color="auto" w:fill="FFC7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9C0006"/>
                <w:kern w:val="24"/>
                <w:sz w:val="16"/>
                <w:szCs w:val="16"/>
                <w:lang w:eastAsia="fr-BE"/>
              </w:rPr>
              <w:t>D</w:t>
            </w:r>
          </w:p>
        </w:tc>
        <w:tc>
          <w:tcPr>
            <w:tcW w:w="855" w:type="dxa"/>
            <w:tcBorders>
              <w:top w:val="nil"/>
              <w:left w:val="dotted" w:sz="4" w:space="0" w:color="000000"/>
              <w:bottom w:val="single" w:sz="4" w:space="0" w:color="000000"/>
              <w:right w:val="single" w:sz="4" w:space="0" w:color="000000"/>
            </w:tcBorders>
            <w:shd w:val="clear" w:color="auto" w:fill="C6EF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6100"/>
                <w:kern w:val="24"/>
                <w:sz w:val="16"/>
                <w:szCs w:val="16"/>
                <w:lang w:eastAsia="fr-BE"/>
              </w:rPr>
              <w:t>C</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r>
      <w:tr w:rsidR="00F0434A" w:rsidRPr="00FC42CA" w:rsidTr="005C2537">
        <w:trPr>
          <w:trHeight w:val="66"/>
        </w:trPr>
        <w:tc>
          <w:tcPr>
            <w:tcW w:w="81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7</w:t>
            </w:r>
          </w:p>
        </w:tc>
        <w:tc>
          <w:tcPr>
            <w:tcW w:w="7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1</w:t>
            </w:r>
          </w:p>
        </w:tc>
        <w:tc>
          <w:tcPr>
            <w:tcW w:w="407" w:type="dxa"/>
            <w:tcBorders>
              <w:top w:val="single" w:sz="4" w:space="0" w:color="000000"/>
              <w:left w:val="single" w:sz="4" w:space="0" w:color="000000"/>
              <w:bottom w:val="single" w:sz="4" w:space="0" w:color="000000"/>
              <w:right w:val="single" w:sz="4" w:space="0" w:color="000000"/>
            </w:tcBorders>
          </w:tcPr>
          <w:p w:rsidR="00F0434A" w:rsidRPr="00FC42CA" w:rsidRDefault="00F0434A" w:rsidP="005C2537">
            <w:pPr>
              <w:jc w:val="center"/>
              <w:textAlignment w:val="center"/>
              <w:rPr>
                <w:rFonts w:ascii="Calibri" w:eastAsia="Times New Roman" w:hAnsi="Calibri" w:cs="Calibri"/>
                <w:color w:val="000000"/>
                <w:kern w:val="24"/>
                <w:sz w:val="16"/>
                <w:szCs w:val="16"/>
                <w:lang w:eastAsia="fr-BE"/>
              </w:rPr>
            </w:pPr>
            <w:r>
              <w:rPr>
                <w:rFonts w:ascii="Calibri" w:eastAsia="Times New Roman" w:hAnsi="Calibri" w:cs="Calibri"/>
                <w:color w:val="000000"/>
                <w:kern w:val="24"/>
                <w:sz w:val="16"/>
                <w:szCs w:val="16"/>
                <w:lang w:eastAsia="fr-BE"/>
              </w:rPr>
              <w:t>19</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alpha</w:t>
            </w:r>
          </w:p>
        </w:tc>
        <w:tc>
          <w:tcPr>
            <w:tcW w:w="2066"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val="en-US" w:eastAsia="fr-BE"/>
              </w:rPr>
            </w:pPr>
            <w:r w:rsidRPr="00FC42CA">
              <w:rPr>
                <w:rFonts w:ascii="Calibri" w:eastAsia="Times New Roman" w:hAnsi="Calibri" w:cs="Calibri"/>
                <w:color w:val="000000"/>
                <w:kern w:val="24"/>
                <w:sz w:val="16"/>
                <w:szCs w:val="16"/>
                <w:lang w:val="pt-BR" w:eastAsia="fr-BE"/>
              </w:rPr>
              <w:t>Orbitofrontal R, Frontopolar R, F lateral superior R F lateral inferior R, F mesial R, an</w:t>
            </w:r>
            <w:r>
              <w:rPr>
                <w:rFonts w:ascii="Calibri" w:eastAsia="Times New Roman" w:hAnsi="Calibri" w:cs="Calibri"/>
                <w:color w:val="000000"/>
                <w:kern w:val="24"/>
                <w:sz w:val="16"/>
                <w:szCs w:val="16"/>
                <w:lang w:val="pt-BR" w:eastAsia="fr-BE"/>
              </w:rPr>
              <w:t>terior cingular R</w:t>
            </w:r>
          </w:p>
        </w:tc>
        <w:tc>
          <w:tcPr>
            <w:tcW w:w="855" w:type="dxa"/>
            <w:tcBorders>
              <w:top w:val="single" w:sz="4" w:space="0" w:color="000000"/>
              <w:left w:val="single" w:sz="4" w:space="0" w:color="000000"/>
              <w:bottom w:val="nil"/>
              <w:right w:val="dotted" w:sz="4" w:space="0" w:color="000000"/>
            </w:tcBorders>
            <w:shd w:val="clear" w:color="auto" w:fill="C6EF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6100"/>
                <w:kern w:val="24"/>
                <w:sz w:val="16"/>
                <w:szCs w:val="16"/>
                <w:lang w:eastAsia="fr-BE"/>
              </w:rPr>
              <w:t>C</w:t>
            </w:r>
          </w:p>
        </w:tc>
        <w:tc>
          <w:tcPr>
            <w:tcW w:w="855" w:type="dxa"/>
            <w:tcBorders>
              <w:top w:val="single" w:sz="4" w:space="0" w:color="000000"/>
              <w:left w:val="dotted" w:sz="4" w:space="0" w:color="000000"/>
              <w:bottom w:val="nil"/>
              <w:right w:val="single" w:sz="4" w:space="0" w:color="000000"/>
            </w:tcBorders>
            <w:shd w:val="clear" w:color="auto" w:fill="C6EF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6100"/>
                <w:kern w:val="24"/>
                <w:sz w:val="16"/>
                <w:szCs w:val="16"/>
                <w:lang w:eastAsia="fr-BE"/>
              </w:rPr>
              <w:t>C</w:t>
            </w:r>
          </w:p>
        </w:tc>
        <w:tc>
          <w:tcPr>
            <w:tcW w:w="1018" w:type="dxa"/>
            <w:vMerge w:val="restart"/>
            <w:tcBorders>
              <w:top w:val="single" w:sz="4" w:space="0" w:color="000000"/>
              <w:left w:val="single" w:sz="4" w:space="0" w:color="000000"/>
              <w:bottom w:val="single" w:sz="4" w:space="0" w:color="000000"/>
              <w:right w:val="single" w:sz="4" w:space="0" w:color="000000"/>
            </w:tcBorders>
            <w:shd w:val="clear" w:color="auto" w:fill="00B050"/>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anterior cingular R</w:t>
            </w:r>
          </w:p>
        </w:tc>
        <w:tc>
          <w:tcPr>
            <w:tcW w:w="1018" w:type="dxa"/>
            <w:vMerge w:val="restart"/>
            <w:tcBorders>
              <w:top w:val="single" w:sz="4" w:space="0" w:color="000000"/>
              <w:left w:val="single" w:sz="4" w:space="0" w:color="000000"/>
              <w:bottom w:val="single" w:sz="4" w:space="0" w:color="000000"/>
              <w:right w:val="single" w:sz="4" w:space="0" w:color="000000"/>
            </w:tcBorders>
            <w:shd w:val="clear" w:color="auto" w:fill="00B050"/>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anterior cingular R</w:t>
            </w:r>
          </w:p>
        </w:tc>
        <w:tc>
          <w:tcPr>
            <w:tcW w:w="1018" w:type="dxa"/>
            <w:vMerge w:val="restart"/>
            <w:tcBorders>
              <w:top w:val="single" w:sz="4" w:space="0" w:color="000000"/>
              <w:left w:val="single" w:sz="4" w:space="0" w:color="000000"/>
              <w:bottom w:val="single" w:sz="4" w:space="0" w:color="000000"/>
              <w:right w:val="single" w:sz="4" w:space="0" w:color="000000"/>
            </w:tcBorders>
            <w:shd w:val="clear" w:color="auto" w:fill="9BC2E6"/>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inconclusive</w:t>
            </w:r>
          </w:p>
        </w:tc>
      </w:tr>
      <w:tr w:rsidR="00F0434A" w:rsidRPr="00FC42CA" w:rsidTr="005C2537">
        <w:trPr>
          <w:trHeight w:val="66"/>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7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2</w:t>
            </w:r>
          </w:p>
        </w:tc>
        <w:tc>
          <w:tcPr>
            <w:tcW w:w="407" w:type="dxa"/>
            <w:tcBorders>
              <w:top w:val="single" w:sz="4" w:space="0" w:color="000000"/>
              <w:left w:val="single" w:sz="4" w:space="0" w:color="000000"/>
              <w:bottom w:val="single" w:sz="4" w:space="0" w:color="000000"/>
              <w:right w:val="single" w:sz="4" w:space="0" w:color="000000"/>
            </w:tcBorders>
          </w:tcPr>
          <w:p w:rsidR="00F0434A" w:rsidRPr="00FC42CA" w:rsidRDefault="00F0434A" w:rsidP="005C2537">
            <w:pPr>
              <w:jc w:val="center"/>
              <w:textAlignment w:val="center"/>
              <w:rPr>
                <w:rFonts w:ascii="Calibri" w:eastAsia="Times New Roman" w:hAnsi="Calibri" w:cs="Calibri"/>
                <w:color w:val="000000"/>
                <w:kern w:val="24"/>
                <w:sz w:val="16"/>
                <w:szCs w:val="16"/>
                <w:lang w:eastAsia="fr-BE"/>
              </w:rPr>
            </w:pPr>
            <w:r>
              <w:rPr>
                <w:rFonts w:ascii="Calibri" w:eastAsia="Times New Roman" w:hAnsi="Calibri" w:cs="Calibri"/>
                <w:color w:val="000000"/>
                <w:kern w:val="24"/>
                <w:sz w:val="16"/>
                <w:szCs w:val="16"/>
                <w:lang w:eastAsia="fr-BE"/>
              </w:rPr>
              <w:t>19</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alpha</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855" w:type="dxa"/>
            <w:tcBorders>
              <w:top w:val="nil"/>
              <w:left w:val="single" w:sz="4" w:space="0" w:color="000000"/>
              <w:bottom w:val="nil"/>
              <w:right w:val="dotted" w:sz="4" w:space="0" w:color="000000"/>
            </w:tcBorders>
            <w:shd w:val="clear" w:color="auto" w:fill="C6EF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6100"/>
                <w:kern w:val="24"/>
                <w:sz w:val="16"/>
                <w:szCs w:val="16"/>
                <w:lang w:eastAsia="fr-BE"/>
              </w:rPr>
              <w:t>C</w:t>
            </w:r>
          </w:p>
        </w:tc>
        <w:tc>
          <w:tcPr>
            <w:tcW w:w="855" w:type="dxa"/>
            <w:tcBorders>
              <w:top w:val="nil"/>
              <w:left w:val="dotted" w:sz="4" w:space="0" w:color="000000"/>
              <w:bottom w:val="nil"/>
              <w:right w:val="single" w:sz="4" w:space="0" w:color="000000"/>
            </w:tcBorders>
            <w:shd w:val="clear" w:color="auto" w:fill="C6EF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6100"/>
                <w:kern w:val="24"/>
                <w:sz w:val="16"/>
                <w:szCs w:val="16"/>
                <w:lang w:eastAsia="fr-BE"/>
              </w:rPr>
              <w:t>C</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r>
      <w:tr w:rsidR="00F0434A" w:rsidRPr="00FC42CA" w:rsidTr="005C2537">
        <w:trPr>
          <w:trHeight w:val="66"/>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7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3</w:t>
            </w:r>
          </w:p>
        </w:tc>
        <w:tc>
          <w:tcPr>
            <w:tcW w:w="407" w:type="dxa"/>
            <w:tcBorders>
              <w:top w:val="single" w:sz="4" w:space="0" w:color="000000"/>
              <w:left w:val="single" w:sz="4" w:space="0" w:color="000000"/>
              <w:bottom w:val="single" w:sz="4" w:space="0" w:color="000000"/>
              <w:right w:val="single" w:sz="4" w:space="0" w:color="000000"/>
            </w:tcBorders>
          </w:tcPr>
          <w:p w:rsidR="00F0434A" w:rsidRPr="00FC42CA" w:rsidRDefault="00F0434A" w:rsidP="005C2537">
            <w:pPr>
              <w:jc w:val="center"/>
              <w:textAlignment w:val="center"/>
              <w:rPr>
                <w:rFonts w:ascii="Calibri" w:eastAsia="Times New Roman" w:hAnsi="Calibri" w:cs="Calibri"/>
                <w:color w:val="000000"/>
                <w:kern w:val="24"/>
                <w:sz w:val="16"/>
                <w:szCs w:val="16"/>
                <w:lang w:eastAsia="fr-BE"/>
              </w:rPr>
            </w:pPr>
            <w:r>
              <w:rPr>
                <w:rFonts w:ascii="Calibri" w:eastAsia="Times New Roman" w:hAnsi="Calibri" w:cs="Calibri"/>
                <w:color w:val="000000"/>
                <w:kern w:val="24"/>
                <w:sz w:val="16"/>
                <w:szCs w:val="16"/>
                <w:lang w:eastAsia="fr-BE"/>
              </w:rPr>
              <w:t>19</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theta</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855" w:type="dxa"/>
            <w:tcBorders>
              <w:top w:val="nil"/>
              <w:left w:val="single" w:sz="4" w:space="0" w:color="000000"/>
              <w:bottom w:val="nil"/>
              <w:right w:val="dotted" w:sz="4" w:space="0" w:color="000000"/>
            </w:tcBorders>
            <w:shd w:val="clear" w:color="auto" w:fill="FFC7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9C0006"/>
                <w:kern w:val="24"/>
                <w:sz w:val="16"/>
                <w:szCs w:val="16"/>
                <w:lang w:eastAsia="fr-BE"/>
              </w:rPr>
              <w:t>D</w:t>
            </w:r>
          </w:p>
        </w:tc>
        <w:tc>
          <w:tcPr>
            <w:tcW w:w="855" w:type="dxa"/>
            <w:tcBorders>
              <w:top w:val="nil"/>
              <w:left w:val="dotted" w:sz="4" w:space="0" w:color="000000"/>
              <w:bottom w:val="nil"/>
              <w:right w:val="single" w:sz="4" w:space="0" w:color="000000"/>
            </w:tcBorders>
            <w:shd w:val="clear" w:color="auto" w:fill="FFC7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9C0006"/>
                <w:kern w:val="24"/>
                <w:sz w:val="16"/>
                <w:szCs w:val="16"/>
                <w:lang w:eastAsia="fr-BE"/>
              </w:rPr>
              <w:t>D</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r>
      <w:tr w:rsidR="00F0434A" w:rsidRPr="00FC42CA" w:rsidTr="005C2537">
        <w:trPr>
          <w:trHeight w:val="66"/>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7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4</w:t>
            </w:r>
          </w:p>
        </w:tc>
        <w:tc>
          <w:tcPr>
            <w:tcW w:w="407" w:type="dxa"/>
            <w:tcBorders>
              <w:top w:val="single" w:sz="4" w:space="0" w:color="000000"/>
              <w:left w:val="single" w:sz="4" w:space="0" w:color="000000"/>
              <w:bottom w:val="single" w:sz="4" w:space="0" w:color="000000"/>
              <w:right w:val="single" w:sz="4" w:space="0" w:color="000000"/>
            </w:tcBorders>
          </w:tcPr>
          <w:p w:rsidR="00F0434A" w:rsidRPr="00FC42CA" w:rsidRDefault="00F0434A" w:rsidP="005C2537">
            <w:pPr>
              <w:jc w:val="center"/>
              <w:textAlignment w:val="center"/>
              <w:rPr>
                <w:rFonts w:ascii="Calibri" w:eastAsia="Times New Roman" w:hAnsi="Calibri" w:cs="Calibri"/>
                <w:color w:val="000000"/>
                <w:kern w:val="24"/>
                <w:sz w:val="16"/>
                <w:szCs w:val="16"/>
                <w:lang w:eastAsia="fr-BE"/>
              </w:rPr>
            </w:pPr>
            <w:r>
              <w:rPr>
                <w:rFonts w:ascii="Calibri" w:eastAsia="Times New Roman" w:hAnsi="Calibri" w:cs="Calibri"/>
                <w:color w:val="000000"/>
                <w:kern w:val="24"/>
                <w:sz w:val="16"/>
                <w:szCs w:val="16"/>
                <w:lang w:eastAsia="fr-BE"/>
              </w:rPr>
              <w:t>19</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alpha</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855" w:type="dxa"/>
            <w:tcBorders>
              <w:top w:val="nil"/>
              <w:left w:val="single" w:sz="4" w:space="0" w:color="000000"/>
              <w:bottom w:val="nil"/>
              <w:right w:val="dotted" w:sz="4" w:space="0" w:color="000000"/>
            </w:tcBorders>
            <w:shd w:val="clear" w:color="auto" w:fill="C6EF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6100"/>
                <w:kern w:val="24"/>
                <w:sz w:val="16"/>
                <w:szCs w:val="16"/>
                <w:lang w:eastAsia="fr-BE"/>
              </w:rPr>
              <w:t>C</w:t>
            </w:r>
          </w:p>
        </w:tc>
        <w:tc>
          <w:tcPr>
            <w:tcW w:w="855" w:type="dxa"/>
            <w:tcBorders>
              <w:top w:val="nil"/>
              <w:left w:val="dotted" w:sz="4" w:space="0" w:color="000000"/>
              <w:bottom w:val="nil"/>
              <w:right w:val="single" w:sz="4" w:space="0" w:color="000000"/>
            </w:tcBorders>
            <w:shd w:val="clear" w:color="auto" w:fill="FFC7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9C0006"/>
                <w:kern w:val="24"/>
                <w:sz w:val="16"/>
                <w:szCs w:val="16"/>
                <w:lang w:eastAsia="fr-BE"/>
              </w:rPr>
              <w:t>D</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r>
      <w:tr w:rsidR="00F0434A" w:rsidRPr="00FC42CA" w:rsidTr="005C2537">
        <w:trPr>
          <w:trHeight w:val="66"/>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7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5</w:t>
            </w:r>
          </w:p>
        </w:tc>
        <w:tc>
          <w:tcPr>
            <w:tcW w:w="407" w:type="dxa"/>
            <w:tcBorders>
              <w:top w:val="single" w:sz="4" w:space="0" w:color="000000"/>
              <w:left w:val="single" w:sz="4" w:space="0" w:color="000000"/>
              <w:bottom w:val="single" w:sz="4" w:space="0" w:color="000000"/>
              <w:right w:val="single" w:sz="4" w:space="0" w:color="000000"/>
            </w:tcBorders>
          </w:tcPr>
          <w:p w:rsidR="00F0434A" w:rsidRPr="00FC42CA" w:rsidRDefault="00F0434A" w:rsidP="005C2537">
            <w:pPr>
              <w:jc w:val="center"/>
              <w:textAlignment w:val="center"/>
              <w:rPr>
                <w:rFonts w:ascii="Calibri" w:eastAsia="Times New Roman" w:hAnsi="Calibri" w:cs="Calibri"/>
                <w:color w:val="000000"/>
                <w:kern w:val="24"/>
                <w:sz w:val="16"/>
                <w:szCs w:val="16"/>
                <w:lang w:eastAsia="fr-BE"/>
              </w:rPr>
            </w:pPr>
            <w:r>
              <w:rPr>
                <w:rFonts w:ascii="Calibri" w:eastAsia="Times New Roman" w:hAnsi="Calibri" w:cs="Calibri"/>
                <w:color w:val="000000"/>
                <w:kern w:val="24"/>
                <w:sz w:val="16"/>
                <w:szCs w:val="16"/>
                <w:lang w:eastAsia="fr-BE"/>
              </w:rPr>
              <w:t>19</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theta</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855" w:type="dxa"/>
            <w:tcBorders>
              <w:top w:val="nil"/>
              <w:left w:val="single" w:sz="4" w:space="0" w:color="000000"/>
              <w:bottom w:val="nil"/>
              <w:right w:val="dotted" w:sz="4" w:space="0" w:color="000000"/>
            </w:tcBorders>
            <w:shd w:val="clear" w:color="auto" w:fill="C6EF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6100"/>
                <w:kern w:val="24"/>
                <w:sz w:val="16"/>
                <w:szCs w:val="16"/>
                <w:lang w:eastAsia="fr-BE"/>
              </w:rPr>
              <w:t>C</w:t>
            </w:r>
          </w:p>
        </w:tc>
        <w:tc>
          <w:tcPr>
            <w:tcW w:w="855" w:type="dxa"/>
            <w:tcBorders>
              <w:top w:val="nil"/>
              <w:left w:val="dotted" w:sz="4" w:space="0" w:color="000000"/>
              <w:bottom w:val="nil"/>
              <w:right w:val="single" w:sz="4" w:space="0" w:color="000000"/>
            </w:tcBorders>
            <w:shd w:val="clear" w:color="auto" w:fill="C6EF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6100"/>
                <w:kern w:val="24"/>
                <w:sz w:val="16"/>
                <w:szCs w:val="16"/>
                <w:lang w:eastAsia="fr-BE"/>
              </w:rPr>
              <w:t>C</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r>
      <w:tr w:rsidR="00F0434A" w:rsidRPr="00FC42CA" w:rsidTr="005C2537">
        <w:trPr>
          <w:trHeight w:val="66"/>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7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6</w:t>
            </w:r>
          </w:p>
        </w:tc>
        <w:tc>
          <w:tcPr>
            <w:tcW w:w="407" w:type="dxa"/>
            <w:tcBorders>
              <w:top w:val="single" w:sz="4" w:space="0" w:color="000000"/>
              <w:left w:val="single" w:sz="4" w:space="0" w:color="000000"/>
              <w:bottom w:val="single" w:sz="4" w:space="0" w:color="000000"/>
              <w:right w:val="single" w:sz="4" w:space="0" w:color="000000"/>
            </w:tcBorders>
          </w:tcPr>
          <w:p w:rsidR="00F0434A" w:rsidRPr="00FC42CA" w:rsidRDefault="00F0434A" w:rsidP="005C2537">
            <w:pPr>
              <w:jc w:val="center"/>
              <w:textAlignment w:val="center"/>
              <w:rPr>
                <w:rFonts w:ascii="Calibri" w:eastAsia="Times New Roman" w:hAnsi="Calibri" w:cs="Calibri"/>
                <w:color w:val="000000"/>
                <w:kern w:val="24"/>
                <w:sz w:val="16"/>
                <w:szCs w:val="16"/>
                <w:lang w:eastAsia="fr-BE"/>
              </w:rPr>
            </w:pPr>
            <w:r>
              <w:rPr>
                <w:rFonts w:ascii="Calibri" w:eastAsia="Times New Roman" w:hAnsi="Calibri" w:cs="Calibri"/>
                <w:color w:val="000000"/>
                <w:kern w:val="24"/>
                <w:sz w:val="16"/>
                <w:szCs w:val="16"/>
                <w:lang w:eastAsia="fr-BE"/>
              </w:rPr>
              <w:t>19</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alpha</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855" w:type="dxa"/>
            <w:tcBorders>
              <w:top w:val="nil"/>
              <w:left w:val="single" w:sz="4" w:space="0" w:color="000000"/>
              <w:bottom w:val="nil"/>
              <w:right w:val="dotted" w:sz="4" w:space="0" w:color="000000"/>
            </w:tcBorders>
            <w:shd w:val="clear" w:color="auto" w:fill="C6EF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6100"/>
                <w:kern w:val="24"/>
                <w:sz w:val="16"/>
                <w:szCs w:val="16"/>
                <w:lang w:eastAsia="fr-BE"/>
              </w:rPr>
              <w:t>C</w:t>
            </w:r>
          </w:p>
        </w:tc>
        <w:tc>
          <w:tcPr>
            <w:tcW w:w="855" w:type="dxa"/>
            <w:tcBorders>
              <w:top w:val="nil"/>
              <w:left w:val="dotted" w:sz="4" w:space="0" w:color="000000"/>
              <w:bottom w:val="nil"/>
              <w:right w:val="single" w:sz="4" w:space="0" w:color="000000"/>
            </w:tcBorders>
            <w:shd w:val="clear" w:color="auto" w:fill="C6EF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6100"/>
                <w:kern w:val="24"/>
                <w:sz w:val="16"/>
                <w:szCs w:val="16"/>
                <w:lang w:eastAsia="fr-BE"/>
              </w:rPr>
              <w:t>C</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r>
      <w:tr w:rsidR="00F0434A" w:rsidRPr="00FC42CA" w:rsidTr="005C2537">
        <w:trPr>
          <w:trHeight w:val="66"/>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7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7</w:t>
            </w:r>
          </w:p>
        </w:tc>
        <w:tc>
          <w:tcPr>
            <w:tcW w:w="407" w:type="dxa"/>
            <w:tcBorders>
              <w:top w:val="single" w:sz="4" w:space="0" w:color="000000"/>
              <w:left w:val="single" w:sz="4" w:space="0" w:color="000000"/>
              <w:bottom w:val="single" w:sz="4" w:space="0" w:color="000000"/>
              <w:right w:val="single" w:sz="4" w:space="0" w:color="000000"/>
            </w:tcBorders>
          </w:tcPr>
          <w:p w:rsidR="00F0434A" w:rsidRPr="00FC42CA" w:rsidRDefault="00F0434A" w:rsidP="005C2537">
            <w:pPr>
              <w:jc w:val="center"/>
              <w:textAlignment w:val="center"/>
              <w:rPr>
                <w:rFonts w:ascii="Calibri" w:eastAsia="Times New Roman" w:hAnsi="Calibri" w:cs="Calibri"/>
                <w:color w:val="000000"/>
                <w:kern w:val="24"/>
                <w:sz w:val="16"/>
                <w:szCs w:val="16"/>
                <w:lang w:eastAsia="fr-BE"/>
              </w:rPr>
            </w:pPr>
            <w:r>
              <w:rPr>
                <w:rFonts w:ascii="Calibri" w:eastAsia="Times New Roman" w:hAnsi="Calibri" w:cs="Calibri"/>
                <w:color w:val="000000"/>
                <w:kern w:val="24"/>
                <w:sz w:val="16"/>
                <w:szCs w:val="16"/>
                <w:lang w:eastAsia="fr-BE"/>
              </w:rPr>
              <w:t>19</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alpha</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855" w:type="dxa"/>
            <w:tcBorders>
              <w:top w:val="nil"/>
              <w:left w:val="single" w:sz="4" w:space="0" w:color="000000"/>
              <w:bottom w:val="single" w:sz="4" w:space="0" w:color="000000"/>
              <w:right w:val="dotted" w:sz="4" w:space="0" w:color="000000"/>
            </w:tcBorders>
            <w:shd w:val="clear" w:color="auto" w:fill="C6EF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6100"/>
                <w:kern w:val="24"/>
                <w:sz w:val="16"/>
                <w:szCs w:val="16"/>
                <w:lang w:eastAsia="fr-BE"/>
              </w:rPr>
              <w:t>C</w:t>
            </w:r>
          </w:p>
        </w:tc>
        <w:tc>
          <w:tcPr>
            <w:tcW w:w="855" w:type="dxa"/>
            <w:tcBorders>
              <w:top w:val="nil"/>
              <w:left w:val="dotted" w:sz="4" w:space="0" w:color="000000"/>
              <w:bottom w:val="single" w:sz="4" w:space="0" w:color="000000"/>
              <w:right w:val="single" w:sz="4" w:space="0" w:color="000000"/>
            </w:tcBorders>
            <w:shd w:val="clear" w:color="auto" w:fill="C6EF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6100"/>
                <w:kern w:val="24"/>
                <w:sz w:val="16"/>
                <w:szCs w:val="16"/>
                <w:lang w:eastAsia="fr-BE"/>
              </w:rPr>
              <w:t>C</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r>
      <w:tr w:rsidR="00F0434A" w:rsidRPr="00FC42CA" w:rsidTr="005C2537">
        <w:trPr>
          <w:trHeight w:val="222"/>
        </w:trPr>
        <w:tc>
          <w:tcPr>
            <w:tcW w:w="81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8</w:t>
            </w:r>
          </w:p>
        </w:tc>
        <w:tc>
          <w:tcPr>
            <w:tcW w:w="7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1</w:t>
            </w:r>
          </w:p>
        </w:tc>
        <w:tc>
          <w:tcPr>
            <w:tcW w:w="407" w:type="dxa"/>
            <w:tcBorders>
              <w:top w:val="single" w:sz="4" w:space="0" w:color="000000"/>
              <w:left w:val="single" w:sz="4" w:space="0" w:color="000000"/>
              <w:bottom w:val="single" w:sz="4" w:space="0" w:color="000000"/>
              <w:right w:val="single" w:sz="4" w:space="0" w:color="000000"/>
            </w:tcBorders>
          </w:tcPr>
          <w:p w:rsidR="00F0434A" w:rsidRPr="00FC42CA" w:rsidRDefault="00F0434A" w:rsidP="005C2537">
            <w:pPr>
              <w:jc w:val="center"/>
              <w:textAlignment w:val="center"/>
              <w:rPr>
                <w:rFonts w:ascii="Calibri" w:eastAsia="Times New Roman" w:hAnsi="Calibri" w:cs="Calibri"/>
                <w:color w:val="000000"/>
                <w:kern w:val="24"/>
                <w:sz w:val="16"/>
                <w:szCs w:val="16"/>
                <w:lang w:eastAsia="fr-BE"/>
              </w:rPr>
            </w:pPr>
            <w:r>
              <w:rPr>
                <w:rFonts w:ascii="Calibri" w:eastAsia="Times New Roman" w:hAnsi="Calibri" w:cs="Calibri"/>
                <w:color w:val="000000"/>
                <w:kern w:val="24"/>
                <w:sz w:val="16"/>
                <w:szCs w:val="16"/>
                <w:lang w:eastAsia="fr-BE"/>
              </w:rPr>
              <w:t>17</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alpha</w:t>
            </w:r>
          </w:p>
        </w:tc>
        <w:tc>
          <w:tcPr>
            <w:tcW w:w="2066"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val="en-US" w:eastAsia="fr-BE"/>
              </w:rPr>
            </w:pPr>
            <w:r w:rsidRPr="00FC42CA">
              <w:rPr>
                <w:rFonts w:ascii="Calibri" w:eastAsia="Times New Roman" w:hAnsi="Calibri" w:cs="Calibri"/>
                <w:color w:val="000000"/>
                <w:kern w:val="24"/>
                <w:sz w:val="16"/>
                <w:szCs w:val="16"/>
                <w:lang w:val="pt-BR" w:eastAsia="fr-BE"/>
              </w:rPr>
              <w:t>Orbitofrontal R, Frontopolar R, F lateral superior R F lateral inferior R, F</w:t>
            </w:r>
            <w:r>
              <w:rPr>
                <w:rFonts w:ascii="Calibri" w:eastAsia="Times New Roman" w:hAnsi="Calibri" w:cs="Calibri"/>
                <w:color w:val="000000"/>
                <w:kern w:val="24"/>
                <w:sz w:val="16"/>
                <w:szCs w:val="16"/>
                <w:lang w:val="pt-BR" w:eastAsia="fr-BE"/>
              </w:rPr>
              <w:t xml:space="preserve"> mesial R, anterior cingular R</w:t>
            </w:r>
          </w:p>
        </w:tc>
        <w:tc>
          <w:tcPr>
            <w:tcW w:w="855" w:type="dxa"/>
            <w:tcBorders>
              <w:top w:val="single" w:sz="4" w:space="0" w:color="000000"/>
              <w:left w:val="single" w:sz="4" w:space="0" w:color="000000"/>
              <w:bottom w:val="nil"/>
              <w:right w:val="dotted" w:sz="4" w:space="0" w:color="000000"/>
            </w:tcBorders>
            <w:shd w:val="clear" w:color="auto" w:fill="FFC7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9C0006"/>
                <w:kern w:val="24"/>
                <w:sz w:val="16"/>
                <w:szCs w:val="16"/>
                <w:lang w:eastAsia="fr-BE"/>
              </w:rPr>
              <w:t>D</w:t>
            </w:r>
          </w:p>
        </w:tc>
        <w:tc>
          <w:tcPr>
            <w:tcW w:w="855" w:type="dxa"/>
            <w:tcBorders>
              <w:top w:val="single" w:sz="4" w:space="0" w:color="000000"/>
              <w:left w:val="dotted" w:sz="4" w:space="0" w:color="000000"/>
              <w:bottom w:val="nil"/>
              <w:right w:val="single" w:sz="4" w:space="0" w:color="000000"/>
            </w:tcBorders>
            <w:shd w:val="clear" w:color="auto" w:fill="C6EF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6100"/>
                <w:kern w:val="24"/>
                <w:sz w:val="16"/>
                <w:szCs w:val="16"/>
                <w:lang w:eastAsia="fr-BE"/>
              </w:rPr>
              <w:t>C</w:t>
            </w:r>
          </w:p>
        </w:tc>
        <w:tc>
          <w:tcPr>
            <w:tcW w:w="1018" w:type="dxa"/>
            <w:vMerge w:val="restart"/>
            <w:tcBorders>
              <w:top w:val="single" w:sz="4" w:space="0" w:color="000000"/>
              <w:left w:val="single" w:sz="4" w:space="0" w:color="000000"/>
              <w:bottom w:val="single" w:sz="4" w:space="0" w:color="000000"/>
              <w:right w:val="single" w:sz="4" w:space="0" w:color="000000"/>
            </w:tcBorders>
            <w:shd w:val="clear" w:color="auto" w:fill="9BC2E6"/>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inconclusive</w:t>
            </w:r>
          </w:p>
        </w:tc>
        <w:tc>
          <w:tcPr>
            <w:tcW w:w="1018" w:type="dxa"/>
            <w:vMerge w:val="restart"/>
            <w:tcBorders>
              <w:top w:val="single" w:sz="4" w:space="0" w:color="000000"/>
              <w:left w:val="single" w:sz="4" w:space="0" w:color="000000"/>
              <w:bottom w:val="single" w:sz="4" w:space="0" w:color="000000"/>
              <w:right w:val="single" w:sz="4" w:space="0" w:color="000000"/>
            </w:tcBorders>
            <w:shd w:val="clear" w:color="auto" w:fill="00B050"/>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Frontopolar R</w:t>
            </w:r>
          </w:p>
        </w:tc>
        <w:tc>
          <w:tcPr>
            <w:tcW w:w="1018" w:type="dxa"/>
            <w:vMerge w:val="restart"/>
            <w:tcBorders>
              <w:top w:val="single" w:sz="4" w:space="0" w:color="000000"/>
              <w:left w:val="single" w:sz="4" w:space="0" w:color="000000"/>
              <w:bottom w:val="single" w:sz="4" w:space="0" w:color="000000"/>
              <w:right w:val="single" w:sz="4" w:space="0" w:color="000000"/>
            </w:tcBorders>
            <w:shd w:val="clear" w:color="auto" w:fill="00B050"/>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Frontopolar R</w:t>
            </w:r>
          </w:p>
        </w:tc>
      </w:tr>
      <w:tr w:rsidR="00F0434A" w:rsidRPr="00FC42CA" w:rsidTr="005C2537">
        <w:trPr>
          <w:trHeight w:val="66"/>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7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2</w:t>
            </w:r>
          </w:p>
        </w:tc>
        <w:tc>
          <w:tcPr>
            <w:tcW w:w="407" w:type="dxa"/>
            <w:tcBorders>
              <w:top w:val="single" w:sz="4" w:space="0" w:color="000000"/>
              <w:left w:val="single" w:sz="4" w:space="0" w:color="000000"/>
              <w:bottom w:val="single" w:sz="4" w:space="0" w:color="000000"/>
              <w:right w:val="single" w:sz="4" w:space="0" w:color="000000"/>
            </w:tcBorders>
          </w:tcPr>
          <w:p w:rsidR="00F0434A" w:rsidRPr="00FC42CA" w:rsidRDefault="00F0434A" w:rsidP="005C2537">
            <w:pPr>
              <w:jc w:val="center"/>
              <w:textAlignment w:val="center"/>
              <w:rPr>
                <w:rFonts w:ascii="Calibri" w:eastAsia="Times New Roman" w:hAnsi="Calibri" w:cs="Calibri"/>
                <w:color w:val="000000"/>
                <w:kern w:val="24"/>
                <w:sz w:val="16"/>
                <w:szCs w:val="16"/>
                <w:lang w:eastAsia="fr-BE"/>
              </w:rPr>
            </w:pPr>
            <w:r>
              <w:rPr>
                <w:rFonts w:ascii="Calibri" w:eastAsia="Times New Roman" w:hAnsi="Calibri" w:cs="Calibri"/>
                <w:color w:val="000000"/>
                <w:kern w:val="24"/>
                <w:sz w:val="16"/>
                <w:szCs w:val="16"/>
                <w:lang w:eastAsia="fr-BE"/>
              </w:rPr>
              <w:t>17</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theta</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855" w:type="dxa"/>
            <w:tcBorders>
              <w:top w:val="nil"/>
              <w:left w:val="single" w:sz="4" w:space="0" w:color="000000"/>
              <w:bottom w:val="nil"/>
              <w:right w:val="dotted" w:sz="4" w:space="0" w:color="000000"/>
            </w:tcBorders>
            <w:shd w:val="clear" w:color="auto" w:fill="FFC7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9C0006"/>
                <w:kern w:val="24"/>
                <w:sz w:val="16"/>
                <w:szCs w:val="16"/>
                <w:lang w:eastAsia="fr-BE"/>
              </w:rPr>
              <w:t>D</w:t>
            </w:r>
          </w:p>
        </w:tc>
        <w:tc>
          <w:tcPr>
            <w:tcW w:w="855" w:type="dxa"/>
            <w:tcBorders>
              <w:top w:val="nil"/>
              <w:left w:val="dotted" w:sz="4" w:space="0" w:color="000000"/>
              <w:bottom w:val="nil"/>
              <w:right w:val="single" w:sz="4" w:space="0" w:color="000000"/>
            </w:tcBorders>
            <w:shd w:val="clear" w:color="auto" w:fill="FFC7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9C0006"/>
                <w:kern w:val="24"/>
                <w:sz w:val="16"/>
                <w:szCs w:val="16"/>
                <w:lang w:eastAsia="fr-BE"/>
              </w:rPr>
              <w:t>D</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r>
      <w:tr w:rsidR="00F0434A" w:rsidRPr="00FC42CA" w:rsidTr="005C2537">
        <w:trPr>
          <w:trHeight w:val="66"/>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7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3</w:t>
            </w:r>
          </w:p>
        </w:tc>
        <w:tc>
          <w:tcPr>
            <w:tcW w:w="407" w:type="dxa"/>
            <w:tcBorders>
              <w:top w:val="single" w:sz="4" w:space="0" w:color="000000"/>
              <w:left w:val="single" w:sz="4" w:space="0" w:color="000000"/>
              <w:bottom w:val="single" w:sz="4" w:space="0" w:color="000000"/>
              <w:right w:val="single" w:sz="4" w:space="0" w:color="000000"/>
            </w:tcBorders>
            <w:vAlign w:val="center"/>
          </w:tcPr>
          <w:p w:rsidR="00F0434A" w:rsidRPr="00FC42CA" w:rsidRDefault="00F0434A" w:rsidP="005C2537">
            <w:pPr>
              <w:jc w:val="center"/>
              <w:textAlignment w:val="center"/>
              <w:rPr>
                <w:rFonts w:ascii="Calibri" w:eastAsia="Times New Roman" w:hAnsi="Calibri" w:cs="Calibri"/>
                <w:color w:val="000000"/>
                <w:kern w:val="24"/>
                <w:sz w:val="16"/>
                <w:szCs w:val="16"/>
                <w:lang w:eastAsia="fr-BE"/>
              </w:rPr>
            </w:pPr>
            <w:r>
              <w:rPr>
                <w:rFonts w:ascii="Calibri" w:eastAsia="Times New Roman" w:hAnsi="Calibri" w:cs="Calibri"/>
                <w:color w:val="000000"/>
                <w:kern w:val="24"/>
                <w:sz w:val="16"/>
                <w:szCs w:val="16"/>
                <w:lang w:eastAsia="fr-BE"/>
              </w:rPr>
              <w:t>17</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alpha</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855" w:type="dxa"/>
            <w:tcBorders>
              <w:top w:val="nil"/>
              <w:left w:val="single" w:sz="4" w:space="0" w:color="000000"/>
              <w:bottom w:val="single" w:sz="4" w:space="0" w:color="000000"/>
              <w:right w:val="dotted" w:sz="4" w:space="0" w:color="000000"/>
            </w:tcBorders>
            <w:shd w:val="clear" w:color="auto" w:fill="FFC7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9C0006"/>
                <w:kern w:val="24"/>
                <w:sz w:val="16"/>
                <w:szCs w:val="16"/>
                <w:lang w:eastAsia="fr-BE"/>
              </w:rPr>
              <w:t>D</w:t>
            </w:r>
          </w:p>
        </w:tc>
        <w:tc>
          <w:tcPr>
            <w:tcW w:w="855" w:type="dxa"/>
            <w:tcBorders>
              <w:top w:val="nil"/>
              <w:left w:val="dotted" w:sz="4" w:space="0" w:color="000000"/>
              <w:bottom w:val="single" w:sz="4" w:space="0" w:color="000000"/>
              <w:right w:val="single" w:sz="4" w:space="0" w:color="000000"/>
            </w:tcBorders>
            <w:shd w:val="clear" w:color="auto" w:fill="C6EF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6100"/>
                <w:kern w:val="24"/>
                <w:sz w:val="16"/>
                <w:szCs w:val="16"/>
                <w:lang w:eastAsia="fr-BE"/>
              </w:rPr>
              <w:t>C</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r>
      <w:tr w:rsidR="00F0434A" w:rsidRPr="00FC42CA" w:rsidTr="005C2537">
        <w:trPr>
          <w:trHeight w:val="66"/>
        </w:trPr>
        <w:tc>
          <w:tcPr>
            <w:tcW w:w="81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9</w:t>
            </w:r>
          </w:p>
        </w:tc>
        <w:tc>
          <w:tcPr>
            <w:tcW w:w="7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1</w:t>
            </w:r>
          </w:p>
        </w:tc>
        <w:tc>
          <w:tcPr>
            <w:tcW w:w="407" w:type="dxa"/>
            <w:tcBorders>
              <w:top w:val="single" w:sz="4" w:space="0" w:color="000000"/>
              <w:left w:val="single" w:sz="4" w:space="0" w:color="000000"/>
              <w:bottom w:val="single" w:sz="4" w:space="0" w:color="000000"/>
              <w:right w:val="single" w:sz="4" w:space="0" w:color="000000"/>
            </w:tcBorders>
          </w:tcPr>
          <w:p w:rsidR="00F0434A" w:rsidRPr="00FC42CA" w:rsidRDefault="00F0434A" w:rsidP="005C2537">
            <w:pPr>
              <w:jc w:val="center"/>
              <w:textAlignment w:val="center"/>
              <w:rPr>
                <w:rFonts w:ascii="Calibri" w:eastAsia="Times New Roman" w:hAnsi="Calibri" w:cs="Calibri"/>
                <w:color w:val="000000"/>
                <w:kern w:val="24"/>
                <w:sz w:val="16"/>
                <w:szCs w:val="16"/>
                <w:lang w:eastAsia="fr-BE"/>
              </w:rPr>
            </w:pPr>
            <w:r>
              <w:rPr>
                <w:rFonts w:ascii="Calibri" w:eastAsia="Times New Roman" w:hAnsi="Calibri" w:cs="Calibri"/>
                <w:color w:val="000000"/>
                <w:kern w:val="24"/>
                <w:sz w:val="16"/>
                <w:szCs w:val="16"/>
                <w:lang w:eastAsia="fr-BE"/>
              </w:rPr>
              <w:t>19</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alpha</w:t>
            </w:r>
          </w:p>
        </w:tc>
        <w:tc>
          <w:tcPr>
            <w:tcW w:w="2066"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val="en-US" w:eastAsia="fr-BE"/>
              </w:rPr>
            </w:pPr>
            <w:r w:rsidRPr="00FC42CA">
              <w:rPr>
                <w:rFonts w:ascii="Calibri" w:eastAsia="Times New Roman" w:hAnsi="Calibri" w:cs="Calibri"/>
                <w:color w:val="000000"/>
                <w:kern w:val="24"/>
                <w:sz w:val="16"/>
                <w:szCs w:val="16"/>
                <w:lang w:val="pt-BR" w:eastAsia="fr-BE"/>
              </w:rPr>
              <w:t>Occipital R, Parietal R, posterior operculo-insular R, TPO junction R, posterior cingular R</w:t>
            </w:r>
          </w:p>
        </w:tc>
        <w:tc>
          <w:tcPr>
            <w:tcW w:w="855" w:type="dxa"/>
            <w:tcBorders>
              <w:top w:val="single" w:sz="4" w:space="0" w:color="000000"/>
              <w:left w:val="single" w:sz="4" w:space="0" w:color="000000"/>
              <w:bottom w:val="nil"/>
              <w:right w:val="dotted" w:sz="4" w:space="0" w:color="000000"/>
            </w:tcBorders>
            <w:shd w:val="clear" w:color="auto" w:fill="C6EF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6100"/>
                <w:kern w:val="24"/>
                <w:sz w:val="16"/>
                <w:szCs w:val="16"/>
                <w:lang w:eastAsia="fr-BE"/>
              </w:rPr>
              <w:t>C</w:t>
            </w:r>
          </w:p>
        </w:tc>
        <w:tc>
          <w:tcPr>
            <w:tcW w:w="855" w:type="dxa"/>
            <w:tcBorders>
              <w:top w:val="single" w:sz="4" w:space="0" w:color="000000"/>
              <w:left w:val="dotted" w:sz="4" w:space="0" w:color="000000"/>
              <w:bottom w:val="nil"/>
              <w:right w:val="single" w:sz="4" w:space="0" w:color="000000"/>
            </w:tcBorders>
            <w:shd w:val="clear" w:color="auto" w:fill="C6EF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6100"/>
                <w:kern w:val="24"/>
                <w:sz w:val="16"/>
                <w:szCs w:val="16"/>
                <w:lang w:eastAsia="fr-BE"/>
              </w:rPr>
              <w:t>C</w:t>
            </w:r>
          </w:p>
        </w:tc>
        <w:tc>
          <w:tcPr>
            <w:tcW w:w="1018" w:type="dxa"/>
            <w:vMerge w:val="restart"/>
            <w:tcBorders>
              <w:top w:val="single" w:sz="4" w:space="0" w:color="000000"/>
              <w:left w:val="single" w:sz="4" w:space="0" w:color="000000"/>
              <w:bottom w:val="single" w:sz="4" w:space="0" w:color="000000"/>
              <w:right w:val="single" w:sz="4" w:space="0" w:color="000000"/>
            </w:tcBorders>
            <w:shd w:val="clear" w:color="auto" w:fill="00B050"/>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TPO junction R</w:t>
            </w:r>
          </w:p>
        </w:tc>
        <w:tc>
          <w:tcPr>
            <w:tcW w:w="1018" w:type="dxa"/>
            <w:vMerge w:val="restart"/>
            <w:tcBorders>
              <w:top w:val="single" w:sz="4" w:space="0" w:color="000000"/>
              <w:left w:val="single" w:sz="4" w:space="0" w:color="000000"/>
              <w:bottom w:val="single" w:sz="4" w:space="0" w:color="000000"/>
              <w:right w:val="single" w:sz="4" w:space="0" w:color="000000"/>
            </w:tcBorders>
            <w:shd w:val="clear" w:color="auto" w:fill="00B050"/>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TPO junction R</w:t>
            </w:r>
          </w:p>
        </w:tc>
        <w:tc>
          <w:tcPr>
            <w:tcW w:w="1018" w:type="dxa"/>
            <w:vMerge w:val="restart"/>
            <w:tcBorders>
              <w:top w:val="single" w:sz="4" w:space="0" w:color="000000"/>
              <w:left w:val="single" w:sz="4" w:space="0" w:color="000000"/>
              <w:bottom w:val="single" w:sz="4" w:space="0" w:color="000000"/>
              <w:right w:val="single" w:sz="4" w:space="0" w:color="000000"/>
            </w:tcBorders>
            <w:shd w:val="clear" w:color="auto" w:fill="9BC2E6"/>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inconclusive</w:t>
            </w:r>
          </w:p>
        </w:tc>
      </w:tr>
      <w:tr w:rsidR="00F0434A" w:rsidRPr="00FC42CA" w:rsidTr="005C2537">
        <w:trPr>
          <w:trHeight w:val="66"/>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7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2</w:t>
            </w:r>
          </w:p>
        </w:tc>
        <w:tc>
          <w:tcPr>
            <w:tcW w:w="407" w:type="dxa"/>
            <w:tcBorders>
              <w:top w:val="single" w:sz="4" w:space="0" w:color="000000"/>
              <w:left w:val="single" w:sz="4" w:space="0" w:color="000000"/>
              <w:bottom w:val="single" w:sz="4" w:space="0" w:color="000000"/>
              <w:right w:val="single" w:sz="4" w:space="0" w:color="000000"/>
            </w:tcBorders>
          </w:tcPr>
          <w:p w:rsidR="00F0434A" w:rsidRPr="00FC42CA" w:rsidRDefault="00F0434A" w:rsidP="005C2537">
            <w:pPr>
              <w:jc w:val="center"/>
              <w:textAlignment w:val="center"/>
              <w:rPr>
                <w:rFonts w:ascii="Calibri" w:eastAsia="Times New Roman" w:hAnsi="Calibri" w:cs="Calibri"/>
                <w:color w:val="000000"/>
                <w:kern w:val="24"/>
                <w:sz w:val="16"/>
                <w:szCs w:val="16"/>
                <w:lang w:eastAsia="fr-BE"/>
              </w:rPr>
            </w:pPr>
            <w:r>
              <w:rPr>
                <w:rFonts w:ascii="Calibri" w:eastAsia="Times New Roman" w:hAnsi="Calibri" w:cs="Calibri"/>
                <w:color w:val="000000"/>
                <w:kern w:val="24"/>
                <w:sz w:val="16"/>
                <w:szCs w:val="16"/>
                <w:lang w:eastAsia="fr-BE"/>
              </w:rPr>
              <w:t>19</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alpha</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855" w:type="dxa"/>
            <w:tcBorders>
              <w:top w:val="nil"/>
              <w:left w:val="single" w:sz="4" w:space="0" w:color="000000"/>
              <w:bottom w:val="nil"/>
              <w:right w:val="dotted" w:sz="4" w:space="0" w:color="000000"/>
            </w:tcBorders>
            <w:shd w:val="clear" w:color="auto" w:fill="C6EF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6100"/>
                <w:kern w:val="24"/>
                <w:sz w:val="16"/>
                <w:szCs w:val="16"/>
                <w:lang w:eastAsia="fr-BE"/>
              </w:rPr>
              <w:t>C</w:t>
            </w:r>
          </w:p>
        </w:tc>
        <w:tc>
          <w:tcPr>
            <w:tcW w:w="855" w:type="dxa"/>
            <w:tcBorders>
              <w:top w:val="nil"/>
              <w:left w:val="dotted" w:sz="4" w:space="0" w:color="000000"/>
              <w:bottom w:val="nil"/>
              <w:right w:val="single" w:sz="4" w:space="0" w:color="000000"/>
            </w:tcBorders>
            <w:shd w:val="clear" w:color="auto" w:fill="FFC7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9C0006"/>
                <w:kern w:val="24"/>
                <w:sz w:val="16"/>
                <w:szCs w:val="16"/>
                <w:lang w:eastAsia="fr-BE"/>
              </w:rPr>
              <w:t>D</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r>
      <w:tr w:rsidR="00F0434A" w:rsidRPr="00FC42CA" w:rsidTr="005C2537">
        <w:trPr>
          <w:trHeight w:val="66"/>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7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3</w:t>
            </w:r>
          </w:p>
        </w:tc>
        <w:tc>
          <w:tcPr>
            <w:tcW w:w="407" w:type="dxa"/>
            <w:tcBorders>
              <w:top w:val="single" w:sz="4" w:space="0" w:color="000000"/>
              <w:left w:val="single" w:sz="4" w:space="0" w:color="000000"/>
              <w:bottom w:val="single" w:sz="4" w:space="0" w:color="000000"/>
              <w:right w:val="single" w:sz="4" w:space="0" w:color="000000"/>
            </w:tcBorders>
          </w:tcPr>
          <w:p w:rsidR="00F0434A" w:rsidRPr="00FC42CA" w:rsidRDefault="00F0434A" w:rsidP="005C2537">
            <w:pPr>
              <w:jc w:val="center"/>
              <w:textAlignment w:val="center"/>
              <w:rPr>
                <w:rFonts w:ascii="Calibri" w:eastAsia="Times New Roman" w:hAnsi="Calibri" w:cs="Calibri"/>
                <w:color w:val="000000"/>
                <w:kern w:val="24"/>
                <w:sz w:val="16"/>
                <w:szCs w:val="16"/>
                <w:lang w:eastAsia="fr-BE"/>
              </w:rPr>
            </w:pPr>
            <w:r>
              <w:rPr>
                <w:rFonts w:ascii="Calibri" w:eastAsia="Times New Roman" w:hAnsi="Calibri" w:cs="Calibri"/>
                <w:color w:val="000000"/>
                <w:kern w:val="24"/>
                <w:sz w:val="16"/>
                <w:szCs w:val="16"/>
                <w:lang w:eastAsia="fr-BE"/>
              </w:rPr>
              <w:t>19</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alpha</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855" w:type="dxa"/>
            <w:tcBorders>
              <w:top w:val="nil"/>
              <w:left w:val="single" w:sz="4" w:space="0" w:color="000000"/>
              <w:bottom w:val="nil"/>
              <w:right w:val="dotted" w:sz="4" w:space="0" w:color="000000"/>
            </w:tcBorders>
            <w:shd w:val="clear" w:color="auto" w:fill="C6EF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6100"/>
                <w:kern w:val="24"/>
                <w:sz w:val="16"/>
                <w:szCs w:val="16"/>
                <w:lang w:eastAsia="fr-BE"/>
              </w:rPr>
              <w:t>C</w:t>
            </w:r>
          </w:p>
        </w:tc>
        <w:tc>
          <w:tcPr>
            <w:tcW w:w="855" w:type="dxa"/>
            <w:tcBorders>
              <w:top w:val="nil"/>
              <w:left w:val="dotted" w:sz="4" w:space="0" w:color="000000"/>
              <w:bottom w:val="nil"/>
              <w:right w:val="single" w:sz="4" w:space="0" w:color="000000"/>
            </w:tcBorders>
            <w:shd w:val="clear" w:color="auto" w:fill="C6EF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6100"/>
                <w:kern w:val="24"/>
                <w:sz w:val="16"/>
                <w:szCs w:val="16"/>
                <w:lang w:eastAsia="fr-BE"/>
              </w:rPr>
              <w:t>C</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r>
      <w:tr w:rsidR="00F0434A" w:rsidRPr="00FC42CA" w:rsidTr="005C2537">
        <w:trPr>
          <w:trHeight w:val="66"/>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7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4</w:t>
            </w:r>
          </w:p>
        </w:tc>
        <w:tc>
          <w:tcPr>
            <w:tcW w:w="407" w:type="dxa"/>
            <w:tcBorders>
              <w:top w:val="single" w:sz="4" w:space="0" w:color="000000"/>
              <w:left w:val="single" w:sz="4" w:space="0" w:color="000000"/>
              <w:bottom w:val="single" w:sz="4" w:space="0" w:color="000000"/>
              <w:right w:val="single" w:sz="4" w:space="0" w:color="000000"/>
            </w:tcBorders>
          </w:tcPr>
          <w:p w:rsidR="00F0434A" w:rsidRPr="00FC42CA" w:rsidRDefault="00F0434A" w:rsidP="005C2537">
            <w:pPr>
              <w:jc w:val="center"/>
              <w:textAlignment w:val="center"/>
              <w:rPr>
                <w:rFonts w:ascii="Calibri" w:eastAsia="Times New Roman" w:hAnsi="Calibri" w:cs="Calibri"/>
                <w:color w:val="000000"/>
                <w:kern w:val="24"/>
                <w:sz w:val="16"/>
                <w:szCs w:val="16"/>
                <w:lang w:eastAsia="fr-BE"/>
              </w:rPr>
            </w:pPr>
            <w:r>
              <w:rPr>
                <w:rFonts w:ascii="Calibri" w:eastAsia="Times New Roman" w:hAnsi="Calibri" w:cs="Calibri"/>
                <w:color w:val="000000"/>
                <w:kern w:val="24"/>
                <w:sz w:val="16"/>
                <w:szCs w:val="16"/>
                <w:lang w:eastAsia="fr-BE"/>
              </w:rPr>
              <w:t>19</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alpha</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855" w:type="dxa"/>
            <w:tcBorders>
              <w:top w:val="nil"/>
              <w:left w:val="single" w:sz="4" w:space="0" w:color="000000"/>
              <w:bottom w:val="nil"/>
              <w:right w:val="dotted" w:sz="4" w:space="0" w:color="000000"/>
            </w:tcBorders>
            <w:shd w:val="clear" w:color="auto" w:fill="C6EF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6100"/>
                <w:kern w:val="24"/>
                <w:sz w:val="16"/>
                <w:szCs w:val="16"/>
                <w:lang w:eastAsia="fr-BE"/>
              </w:rPr>
              <w:t>C</w:t>
            </w:r>
          </w:p>
        </w:tc>
        <w:tc>
          <w:tcPr>
            <w:tcW w:w="855" w:type="dxa"/>
            <w:tcBorders>
              <w:top w:val="nil"/>
              <w:left w:val="dotted" w:sz="4" w:space="0" w:color="000000"/>
              <w:bottom w:val="nil"/>
              <w:right w:val="single" w:sz="4" w:space="0" w:color="000000"/>
            </w:tcBorders>
            <w:shd w:val="clear" w:color="auto" w:fill="C6EF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6100"/>
                <w:kern w:val="24"/>
                <w:sz w:val="16"/>
                <w:szCs w:val="16"/>
                <w:lang w:eastAsia="fr-BE"/>
              </w:rPr>
              <w:t>C</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r>
      <w:tr w:rsidR="00F0434A" w:rsidRPr="00FC42CA" w:rsidTr="005C2537">
        <w:trPr>
          <w:trHeight w:val="66"/>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7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5</w:t>
            </w:r>
          </w:p>
        </w:tc>
        <w:tc>
          <w:tcPr>
            <w:tcW w:w="407" w:type="dxa"/>
            <w:tcBorders>
              <w:top w:val="single" w:sz="4" w:space="0" w:color="000000"/>
              <w:left w:val="single" w:sz="4" w:space="0" w:color="000000"/>
              <w:bottom w:val="single" w:sz="4" w:space="0" w:color="000000"/>
              <w:right w:val="single" w:sz="4" w:space="0" w:color="000000"/>
            </w:tcBorders>
          </w:tcPr>
          <w:p w:rsidR="00F0434A" w:rsidRPr="00FC42CA" w:rsidRDefault="00F0434A" w:rsidP="005C2537">
            <w:pPr>
              <w:jc w:val="center"/>
              <w:textAlignment w:val="center"/>
              <w:rPr>
                <w:rFonts w:ascii="Calibri" w:eastAsia="Times New Roman" w:hAnsi="Calibri" w:cs="Calibri"/>
                <w:color w:val="000000"/>
                <w:kern w:val="24"/>
                <w:sz w:val="16"/>
                <w:szCs w:val="16"/>
                <w:lang w:eastAsia="fr-BE"/>
              </w:rPr>
            </w:pPr>
            <w:r>
              <w:rPr>
                <w:rFonts w:ascii="Calibri" w:eastAsia="Times New Roman" w:hAnsi="Calibri" w:cs="Calibri"/>
                <w:color w:val="000000"/>
                <w:kern w:val="24"/>
                <w:sz w:val="16"/>
                <w:szCs w:val="16"/>
                <w:lang w:eastAsia="fr-BE"/>
              </w:rPr>
              <w:t>19</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alpha</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855" w:type="dxa"/>
            <w:tcBorders>
              <w:top w:val="nil"/>
              <w:left w:val="single" w:sz="4" w:space="0" w:color="000000"/>
              <w:bottom w:val="single" w:sz="4" w:space="0" w:color="000000"/>
              <w:right w:val="dotted" w:sz="4" w:space="0" w:color="000000"/>
            </w:tcBorders>
            <w:shd w:val="clear" w:color="auto" w:fill="C6EF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6100"/>
                <w:kern w:val="24"/>
                <w:sz w:val="16"/>
                <w:szCs w:val="16"/>
                <w:lang w:eastAsia="fr-BE"/>
              </w:rPr>
              <w:t>C</w:t>
            </w:r>
          </w:p>
        </w:tc>
        <w:tc>
          <w:tcPr>
            <w:tcW w:w="855" w:type="dxa"/>
            <w:tcBorders>
              <w:top w:val="nil"/>
              <w:left w:val="dotted" w:sz="4" w:space="0" w:color="000000"/>
              <w:bottom w:val="single" w:sz="4" w:space="0" w:color="000000"/>
              <w:right w:val="single" w:sz="4" w:space="0" w:color="000000"/>
            </w:tcBorders>
            <w:shd w:val="clear" w:color="auto" w:fill="FFC7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9C0006"/>
                <w:kern w:val="24"/>
                <w:sz w:val="16"/>
                <w:szCs w:val="16"/>
                <w:lang w:eastAsia="fr-BE"/>
              </w:rPr>
              <w:t>D</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r>
      <w:tr w:rsidR="00F0434A" w:rsidRPr="00FC42CA" w:rsidTr="005C2537">
        <w:trPr>
          <w:trHeight w:val="317"/>
        </w:trPr>
        <w:tc>
          <w:tcPr>
            <w:tcW w:w="816"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10</w:t>
            </w:r>
          </w:p>
        </w:tc>
        <w:tc>
          <w:tcPr>
            <w:tcW w:w="7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1</w:t>
            </w:r>
          </w:p>
        </w:tc>
        <w:tc>
          <w:tcPr>
            <w:tcW w:w="407" w:type="dxa"/>
            <w:tcBorders>
              <w:top w:val="single" w:sz="4" w:space="0" w:color="000000"/>
              <w:left w:val="single" w:sz="4" w:space="0" w:color="000000"/>
              <w:bottom w:val="single" w:sz="4" w:space="0" w:color="000000"/>
              <w:right w:val="single" w:sz="4" w:space="0" w:color="000000"/>
            </w:tcBorders>
            <w:vAlign w:val="center"/>
          </w:tcPr>
          <w:p w:rsidR="00F0434A" w:rsidRPr="00FC42CA" w:rsidRDefault="00F0434A" w:rsidP="005C2537">
            <w:pPr>
              <w:jc w:val="center"/>
              <w:textAlignment w:val="center"/>
              <w:rPr>
                <w:rFonts w:ascii="Calibri" w:eastAsia="Times New Roman" w:hAnsi="Calibri" w:cs="Calibri"/>
                <w:color w:val="000000"/>
                <w:kern w:val="24"/>
                <w:sz w:val="16"/>
                <w:szCs w:val="16"/>
                <w:lang w:eastAsia="fr-BE"/>
              </w:rPr>
            </w:pPr>
            <w:r>
              <w:rPr>
                <w:rFonts w:ascii="Calibri" w:eastAsia="Times New Roman" w:hAnsi="Calibri" w:cs="Calibri"/>
                <w:color w:val="000000"/>
                <w:kern w:val="24"/>
                <w:sz w:val="16"/>
                <w:szCs w:val="16"/>
                <w:lang w:eastAsia="fr-BE"/>
              </w:rPr>
              <w:t>19</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theta</w:t>
            </w:r>
          </w:p>
        </w:tc>
        <w:tc>
          <w:tcPr>
            <w:tcW w:w="206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L hemipshere</w:t>
            </w:r>
          </w:p>
        </w:tc>
        <w:tc>
          <w:tcPr>
            <w:tcW w:w="855" w:type="dxa"/>
            <w:tcBorders>
              <w:top w:val="single" w:sz="4" w:space="0" w:color="000000"/>
              <w:left w:val="single" w:sz="4" w:space="0" w:color="000000"/>
              <w:bottom w:val="single" w:sz="4" w:space="0" w:color="000000"/>
              <w:right w:val="dotted" w:sz="4" w:space="0" w:color="000000"/>
            </w:tcBorders>
            <w:shd w:val="clear" w:color="auto" w:fill="FFC7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9C0006"/>
                <w:kern w:val="24"/>
                <w:sz w:val="16"/>
                <w:szCs w:val="16"/>
                <w:lang w:eastAsia="fr-BE"/>
              </w:rPr>
              <w:t>D</w:t>
            </w:r>
          </w:p>
        </w:tc>
        <w:tc>
          <w:tcPr>
            <w:tcW w:w="855" w:type="dxa"/>
            <w:tcBorders>
              <w:top w:val="single" w:sz="4" w:space="0" w:color="000000"/>
              <w:left w:val="dotted" w:sz="4" w:space="0" w:color="000000"/>
              <w:bottom w:val="single" w:sz="4" w:space="0" w:color="000000"/>
              <w:right w:val="single" w:sz="4" w:space="0" w:color="000000"/>
            </w:tcBorders>
            <w:shd w:val="clear" w:color="auto" w:fill="C6EF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6100"/>
                <w:kern w:val="24"/>
                <w:sz w:val="16"/>
                <w:szCs w:val="16"/>
                <w:lang w:eastAsia="fr-BE"/>
              </w:rPr>
              <w:t>C</w:t>
            </w:r>
          </w:p>
        </w:tc>
        <w:tc>
          <w:tcPr>
            <w:tcW w:w="3054"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b/>
                <w:bCs/>
                <w:color w:val="000000"/>
                <w:kern w:val="24"/>
                <w:sz w:val="16"/>
                <w:szCs w:val="16"/>
                <w:lang w:eastAsia="fr-BE"/>
              </w:rPr>
              <w:t>n/a</w:t>
            </w:r>
          </w:p>
        </w:tc>
      </w:tr>
      <w:tr w:rsidR="00F0434A" w:rsidRPr="00FC42CA" w:rsidTr="005C2537">
        <w:trPr>
          <w:trHeight w:val="66"/>
        </w:trPr>
        <w:tc>
          <w:tcPr>
            <w:tcW w:w="81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11</w:t>
            </w:r>
          </w:p>
        </w:tc>
        <w:tc>
          <w:tcPr>
            <w:tcW w:w="7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1</w:t>
            </w:r>
          </w:p>
        </w:tc>
        <w:tc>
          <w:tcPr>
            <w:tcW w:w="407" w:type="dxa"/>
            <w:tcBorders>
              <w:top w:val="single" w:sz="4" w:space="0" w:color="000000"/>
              <w:left w:val="single" w:sz="4" w:space="0" w:color="000000"/>
              <w:bottom w:val="single" w:sz="4" w:space="0" w:color="000000"/>
              <w:right w:val="single" w:sz="4" w:space="0" w:color="000000"/>
            </w:tcBorders>
          </w:tcPr>
          <w:p w:rsidR="00F0434A" w:rsidRPr="00FC42CA" w:rsidRDefault="00F0434A" w:rsidP="005C2537">
            <w:pPr>
              <w:jc w:val="center"/>
              <w:textAlignment w:val="center"/>
              <w:rPr>
                <w:rFonts w:ascii="Calibri" w:eastAsia="Times New Roman" w:hAnsi="Calibri" w:cs="Calibri"/>
                <w:color w:val="000000"/>
                <w:kern w:val="24"/>
                <w:sz w:val="16"/>
                <w:szCs w:val="16"/>
                <w:lang w:eastAsia="fr-BE"/>
              </w:rPr>
            </w:pPr>
            <w:r>
              <w:rPr>
                <w:rFonts w:ascii="Calibri" w:eastAsia="Times New Roman" w:hAnsi="Calibri" w:cs="Calibri"/>
                <w:color w:val="000000"/>
                <w:kern w:val="24"/>
                <w:sz w:val="16"/>
                <w:szCs w:val="16"/>
                <w:lang w:eastAsia="fr-BE"/>
              </w:rPr>
              <w:t>19</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theta</w:t>
            </w:r>
          </w:p>
        </w:tc>
        <w:tc>
          <w:tcPr>
            <w:tcW w:w="2066"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L hemipshere</w:t>
            </w:r>
          </w:p>
        </w:tc>
        <w:tc>
          <w:tcPr>
            <w:tcW w:w="855" w:type="dxa"/>
            <w:tcBorders>
              <w:top w:val="single" w:sz="4" w:space="0" w:color="000000"/>
              <w:left w:val="single" w:sz="4" w:space="0" w:color="000000"/>
              <w:bottom w:val="nil"/>
              <w:right w:val="dotted" w:sz="4" w:space="0" w:color="000000"/>
            </w:tcBorders>
            <w:shd w:val="clear" w:color="auto" w:fill="FFC7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9C0006"/>
                <w:kern w:val="24"/>
                <w:sz w:val="16"/>
                <w:szCs w:val="16"/>
                <w:lang w:eastAsia="fr-BE"/>
              </w:rPr>
              <w:t>D</w:t>
            </w:r>
          </w:p>
        </w:tc>
        <w:tc>
          <w:tcPr>
            <w:tcW w:w="855" w:type="dxa"/>
            <w:tcBorders>
              <w:top w:val="single" w:sz="4" w:space="0" w:color="000000"/>
              <w:left w:val="dotted" w:sz="4" w:space="0" w:color="000000"/>
              <w:bottom w:val="nil"/>
              <w:right w:val="single" w:sz="4" w:space="0" w:color="000000"/>
            </w:tcBorders>
            <w:shd w:val="clear" w:color="auto" w:fill="FFC7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9C0006"/>
                <w:kern w:val="24"/>
                <w:sz w:val="16"/>
                <w:szCs w:val="16"/>
                <w:lang w:eastAsia="fr-BE"/>
              </w:rPr>
              <w:t>D</w:t>
            </w:r>
          </w:p>
        </w:tc>
        <w:tc>
          <w:tcPr>
            <w:tcW w:w="3054"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b/>
                <w:bCs/>
                <w:color w:val="000000"/>
                <w:kern w:val="24"/>
                <w:sz w:val="16"/>
                <w:szCs w:val="16"/>
                <w:lang w:eastAsia="fr-BE"/>
              </w:rPr>
              <w:t>n/a</w:t>
            </w:r>
          </w:p>
        </w:tc>
      </w:tr>
      <w:tr w:rsidR="00F0434A" w:rsidRPr="00FC42CA" w:rsidTr="005C2537">
        <w:trPr>
          <w:trHeight w:val="66"/>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7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2</w:t>
            </w:r>
          </w:p>
        </w:tc>
        <w:tc>
          <w:tcPr>
            <w:tcW w:w="407" w:type="dxa"/>
            <w:tcBorders>
              <w:top w:val="single" w:sz="4" w:space="0" w:color="000000"/>
              <w:left w:val="single" w:sz="4" w:space="0" w:color="000000"/>
              <w:bottom w:val="single" w:sz="4" w:space="0" w:color="000000"/>
              <w:right w:val="single" w:sz="4" w:space="0" w:color="000000"/>
            </w:tcBorders>
          </w:tcPr>
          <w:p w:rsidR="00F0434A" w:rsidRPr="00FC42CA" w:rsidRDefault="00F0434A" w:rsidP="005C2537">
            <w:pPr>
              <w:jc w:val="center"/>
              <w:textAlignment w:val="center"/>
              <w:rPr>
                <w:rFonts w:ascii="Calibri" w:eastAsia="Times New Roman" w:hAnsi="Calibri" w:cs="Calibri"/>
                <w:color w:val="000000"/>
                <w:kern w:val="24"/>
                <w:sz w:val="16"/>
                <w:szCs w:val="16"/>
                <w:lang w:eastAsia="fr-BE"/>
              </w:rPr>
            </w:pPr>
            <w:r>
              <w:rPr>
                <w:rFonts w:ascii="Calibri" w:eastAsia="Times New Roman" w:hAnsi="Calibri" w:cs="Calibri"/>
                <w:color w:val="000000"/>
                <w:kern w:val="24"/>
                <w:sz w:val="16"/>
                <w:szCs w:val="16"/>
                <w:lang w:eastAsia="fr-BE"/>
              </w:rPr>
              <w:t>19</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theta</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855" w:type="dxa"/>
            <w:tcBorders>
              <w:top w:val="nil"/>
              <w:left w:val="single" w:sz="4" w:space="0" w:color="000000"/>
              <w:bottom w:val="nil"/>
              <w:right w:val="dotted" w:sz="4" w:space="0" w:color="000000"/>
            </w:tcBorders>
            <w:shd w:val="clear" w:color="auto" w:fill="FFC7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9C0006"/>
                <w:kern w:val="24"/>
                <w:sz w:val="16"/>
                <w:szCs w:val="16"/>
                <w:lang w:eastAsia="fr-BE"/>
              </w:rPr>
              <w:t>D</w:t>
            </w:r>
          </w:p>
        </w:tc>
        <w:tc>
          <w:tcPr>
            <w:tcW w:w="855" w:type="dxa"/>
            <w:tcBorders>
              <w:top w:val="nil"/>
              <w:left w:val="dotted" w:sz="4" w:space="0" w:color="000000"/>
              <w:bottom w:val="nil"/>
              <w:right w:val="single" w:sz="4" w:space="0" w:color="000000"/>
            </w:tcBorders>
            <w:shd w:val="clear" w:color="auto" w:fill="C6EF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6100"/>
                <w:kern w:val="24"/>
                <w:sz w:val="16"/>
                <w:szCs w:val="16"/>
                <w:lang w:eastAsia="fr-BE"/>
              </w:rPr>
              <w:t>C</w:t>
            </w:r>
          </w:p>
        </w:tc>
        <w:tc>
          <w:tcPr>
            <w:tcW w:w="0" w:type="auto"/>
            <w:gridSpan w:val="3"/>
            <w:vMerge/>
            <w:tcBorders>
              <w:top w:val="nil"/>
              <w:left w:val="dotted" w:sz="4" w:space="0" w:color="000000"/>
              <w:bottom w:val="nil"/>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r>
      <w:tr w:rsidR="00F0434A" w:rsidRPr="00FC42CA" w:rsidTr="005C2537">
        <w:trPr>
          <w:trHeight w:val="66"/>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7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3</w:t>
            </w:r>
          </w:p>
        </w:tc>
        <w:tc>
          <w:tcPr>
            <w:tcW w:w="407" w:type="dxa"/>
            <w:tcBorders>
              <w:top w:val="single" w:sz="4" w:space="0" w:color="000000"/>
              <w:left w:val="single" w:sz="4" w:space="0" w:color="000000"/>
              <w:bottom w:val="single" w:sz="4" w:space="0" w:color="000000"/>
              <w:right w:val="single" w:sz="4" w:space="0" w:color="000000"/>
            </w:tcBorders>
          </w:tcPr>
          <w:p w:rsidR="00F0434A" w:rsidRPr="00FC42CA" w:rsidRDefault="00F0434A" w:rsidP="005C2537">
            <w:pPr>
              <w:jc w:val="center"/>
              <w:textAlignment w:val="center"/>
              <w:rPr>
                <w:rFonts w:ascii="Calibri" w:eastAsia="Times New Roman" w:hAnsi="Calibri" w:cs="Calibri"/>
                <w:color w:val="000000"/>
                <w:kern w:val="24"/>
                <w:sz w:val="16"/>
                <w:szCs w:val="16"/>
                <w:lang w:eastAsia="fr-BE"/>
              </w:rPr>
            </w:pPr>
            <w:r>
              <w:rPr>
                <w:rFonts w:ascii="Calibri" w:eastAsia="Times New Roman" w:hAnsi="Calibri" w:cs="Calibri"/>
                <w:color w:val="000000"/>
                <w:kern w:val="24"/>
                <w:sz w:val="16"/>
                <w:szCs w:val="16"/>
                <w:lang w:eastAsia="fr-BE"/>
              </w:rPr>
              <w:t>19</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theta</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855" w:type="dxa"/>
            <w:tcBorders>
              <w:top w:val="nil"/>
              <w:left w:val="single" w:sz="4" w:space="0" w:color="000000"/>
              <w:bottom w:val="nil"/>
              <w:right w:val="dotted" w:sz="4" w:space="0" w:color="000000"/>
            </w:tcBorders>
            <w:shd w:val="clear" w:color="auto" w:fill="FFC7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9C0006"/>
                <w:kern w:val="24"/>
                <w:sz w:val="16"/>
                <w:szCs w:val="16"/>
                <w:lang w:eastAsia="fr-BE"/>
              </w:rPr>
              <w:t>D</w:t>
            </w:r>
          </w:p>
        </w:tc>
        <w:tc>
          <w:tcPr>
            <w:tcW w:w="855" w:type="dxa"/>
            <w:tcBorders>
              <w:top w:val="nil"/>
              <w:left w:val="dotted" w:sz="4" w:space="0" w:color="000000"/>
              <w:bottom w:val="nil"/>
              <w:right w:val="single" w:sz="4" w:space="0" w:color="000000"/>
            </w:tcBorders>
            <w:shd w:val="clear" w:color="auto" w:fill="C6EF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6100"/>
                <w:kern w:val="24"/>
                <w:sz w:val="16"/>
                <w:szCs w:val="16"/>
                <w:lang w:eastAsia="fr-BE"/>
              </w:rPr>
              <w:t>C</w:t>
            </w:r>
          </w:p>
        </w:tc>
        <w:tc>
          <w:tcPr>
            <w:tcW w:w="0" w:type="auto"/>
            <w:gridSpan w:val="3"/>
            <w:vMerge/>
            <w:tcBorders>
              <w:top w:val="nil"/>
              <w:left w:val="dotted" w:sz="4" w:space="0" w:color="000000"/>
              <w:bottom w:val="nil"/>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r>
      <w:tr w:rsidR="00F0434A" w:rsidRPr="00FC42CA" w:rsidTr="005C2537">
        <w:trPr>
          <w:trHeight w:val="66"/>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7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4</w:t>
            </w:r>
          </w:p>
        </w:tc>
        <w:tc>
          <w:tcPr>
            <w:tcW w:w="407" w:type="dxa"/>
            <w:tcBorders>
              <w:top w:val="single" w:sz="4" w:space="0" w:color="000000"/>
              <w:left w:val="single" w:sz="4" w:space="0" w:color="000000"/>
              <w:bottom w:val="single" w:sz="4" w:space="0" w:color="000000"/>
              <w:right w:val="single" w:sz="4" w:space="0" w:color="000000"/>
            </w:tcBorders>
          </w:tcPr>
          <w:p w:rsidR="00F0434A" w:rsidRPr="00FC42CA" w:rsidRDefault="00F0434A" w:rsidP="005C2537">
            <w:pPr>
              <w:jc w:val="center"/>
              <w:textAlignment w:val="center"/>
              <w:rPr>
                <w:rFonts w:ascii="Calibri" w:eastAsia="Times New Roman" w:hAnsi="Calibri" w:cs="Calibri"/>
                <w:color w:val="000000"/>
                <w:kern w:val="24"/>
                <w:sz w:val="16"/>
                <w:szCs w:val="16"/>
                <w:lang w:eastAsia="fr-BE"/>
              </w:rPr>
            </w:pPr>
            <w:r>
              <w:rPr>
                <w:rFonts w:ascii="Calibri" w:eastAsia="Times New Roman" w:hAnsi="Calibri" w:cs="Calibri"/>
                <w:color w:val="000000"/>
                <w:kern w:val="24"/>
                <w:sz w:val="16"/>
                <w:szCs w:val="16"/>
                <w:lang w:eastAsia="fr-BE"/>
              </w:rPr>
              <w:t>19</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theta</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855" w:type="dxa"/>
            <w:tcBorders>
              <w:top w:val="nil"/>
              <w:left w:val="single" w:sz="4" w:space="0" w:color="000000"/>
              <w:bottom w:val="nil"/>
              <w:right w:val="dotted" w:sz="4" w:space="0" w:color="000000"/>
            </w:tcBorders>
            <w:shd w:val="clear" w:color="auto" w:fill="FFC7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9C0006"/>
                <w:kern w:val="24"/>
                <w:sz w:val="16"/>
                <w:szCs w:val="16"/>
                <w:lang w:eastAsia="fr-BE"/>
              </w:rPr>
              <w:t>D</w:t>
            </w:r>
          </w:p>
        </w:tc>
        <w:tc>
          <w:tcPr>
            <w:tcW w:w="855" w:type="dxa"/>
            <w:tcBorders>
              <w:top w:val="nil"/>
              <w:left w:val="dotted" w:sz="4" w:space="0" w:color="000000"/>
              <w:bottom w:val="nil"/>
              <w:right w:val="single" w:sz="4" w:space="0" w:color="000000"/>
            </w:tcBorders>
            <w:shd w:val="clear" w:color="auto" w:fill="C6EF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6100"/>
                <w:kern w:val="24"/>
                <w:sz w:val="16"/>
                <w:szCs w:val="16"/>
                <w:lang w:eastAsia="fr-BE"/>
              </w:rPr>
              <w:t>C</w:t>
            </w:r>
          </w:p>
        </w:tc>
        <w:tc>
          <w:tcPr>
            <w:tcW w:w="0" w:type="auto"/>
            <w:gridSpan w:val="3"/>
            <w:vMerge/>
            <w:tcBorders>
              <w:top w:val="nil"/>
              <w:left w:val="dotted" w:sz="4" w:space="0" w:color="000000"/>
              <w:bottom w:val="nil"/>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r>
      <w:tr w:rsidR="00F0434A" w:rsidRPr="00FC42CA" w:rsidTr="005C2537">
        <w:trPr>
          <w:trHeight w:val="66"/>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7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5</w:t>
            </w:r>
          </w:p>
        </w:tc>
        <w:tc>
          <w:tcPr>
            <w:tcW w:w="407" w:type="dxa"/>
            <w:tcBorders>
              <w:top w:val="single" w:sz="4" w:space="0" w:color="000000"/>
              <w:left w:val="single" w:sz="4" w:space="0" w:color="000000"/>
              <w:bottom w:val="single" w:sz="4" w:space="0" w:color="000000"/>
              <w:right w:val="single" w:sz="4" w:space="0" w:color="000000"/>
            </w:tcBorders>
          </w:tcPr>
          <w:p w:rsidR="00F0434A" w:rsidRPr="00FC42CA" w:rsidRDefault="00F0434A" w:rsidP="005C2537">
            <w:pPr>
              <w:jc w:val="center"/>
              <w:textAlignment w:val="center"/>
              <w:rPr>
                <w:rFonts w:ascii="Calibri" w:eastAsia="Times New Roman" w:hAnsi="Calibri" w:cs="Calibri"/>
                <w:color w:val="000000"/>
                <w:kern w:val="24"/>
                <w:sz w:val="16"/>
                <w:szCs w:val="16"/>
                <w:lang w:eastAsia="fr-BE"/>
              </w:rPr>
            </w:pPr>
            <w:r>
              <w:rPr>
                <w:rFonts w:ascii="Calibri" w:eastAsia="Times New Roman" w:hAnsi="Calibri" w:cs="Calibri"/>
                <w:color w:val="000000"/>
                <w:kern w:val="24"/>
                <w:sz w:val="16"/>
                <w:szCs w:val="16"/>
                <w:lang w:eastAsia="fr-BE"/>
              </w:rPr>
              <w:t>19</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theta</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855" w:type="dxa"/>
            <w:tcBorders>
              <w:top w:val="nil"/>
              <w:left w:val="single" w:sz="4" w:space="0" w:color="000000"/>
              <w:bottom w:val="single" w:sz="4" w:space="0" w:color="000000"/>
              <w:right w:val="dotted" w:sz="4" w:space="0" w:color="000000"/>
            </w:tcBorders>
            <w:shd w:val="clear" w:color="auto" w:fill="FFC7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9C0006"/>
                <w:kern w:val="24"/>
                <w:sz w:val="16"/>
                <w:szCs w:val="16"/>
                <w:lang w:eastAsia="fr-BE"/>
              </w:rPr>
              <w:t>D</w:t>
            </w:r>
          </w:p>
        </w:tc>
        <w:tc>
          <w:tcPr>
            <w:tcW w:w="855" w:type="dxa"/>
            <w:tcBorders>
              <w:top w:val="nil"/>
              <w:left w:val="dotted" w:sz="4" w:space="0" w:color="000000"/>
              <w:bottom w:val="single" w:sz="4" w:space="0" w:color="000000"/>
              <w:right w:val="single" w:sz="4" w:space="0" w:color="000000"/>
            </w:tcBorders>
            <w:shd w:val="clear" w:color="auto" w:fill="C6EF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6100"/>
                <w:kern w:val="24"/>
                <w:sz w:val="16"/>
                <w:szCs w:val="16"/>
                <w:lang w:eastAsia="fr-BE"/>
              </w:rPr>
              <w:t>C</w:t>
            </w:r>
          </w:p>
        </w:tc>
        <w:tc>
          <w:tcPr>
            <w:tcW w:w="0" w:type="auto"/>
            <w:gridSpan w:val="3"/>
            <w:vMerge/>
            <w:tcBorders>
              <w:top w:val="nil"/>
              <w:left w:val="dotted"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r>
      <w:tr w:rsidR="00F0434A" w:rsidRPr="00FC42CA" w:rsidTr="005C2537">
        <w:trPr>
          <w:trHeight w:val="66"/>
        </w:trPr>
        <w:tc>
          <w:tcPr>
            <w:tcW w:w="81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12</w:t>
            </w:r>
          </w:p>
        </w:tc>
        <w:tc>
          <w:tcPr>
            <w:tcW w:w="7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1</w:t>
            </w:r>
          </w:p>
        </w:tc>
        <w:tc>
          <w:tcPr>
            <w:tcW w:w="407" w:type="dxa"/>
            <w:tcBorders>
              <w:top w:val="single" w:sz="4" w:space="0" w:color="000000"/>
              <w:left w:val="single" w:sz="4" w:space="0" w:color="000000"/>
              <w:bottom w:val="single" w:sz="4" w:space="0" w:color="000000"/>
              <w:right w:val="single" w:sz="4" w:space="0" w:color="000000"/>
            </w:tcBorders>
          </w:tcPr>
          <w:p w:rsidR="00F0434A" w:rsidRPr="00FC42CA" w:rsidRDefault="00F0434A" w:rsidP="005C2537">
            <w:pPr>
              <w:jc w:val="center"/>
              <w:textAlignment w:val="center"/>
              <w:rPr>
                <w:rFonts w:ascii="Calibri" w:eastAsia="Times New Roman" w:hAnsi="Calibri" w:cs="Calibri"/>
                <w:color w:val="000000"/>
                <w:kern w:val="24"/>
                <w:sz w:val="16"/>
                <w:szCs w:val="16"/>
                <w:lang w:eastAsia="fr-BE"/>
              </w:rPr>
            </w:pPr>
            <w:r>
              <w:rPr>
                <w:rFonts w:ascii="Calibri" w:eastAsia="Times New Roman" w:hAnsi="Calibri" w:cs="Calibri"/>
                <w:color w:val="000000"/>
                <w:kern w:val="24"/>
                <w:sz w:val="16"/>
                <w:szCs w:val="16"/>
                <w:lang w:eastAsia="fr-BE"/>
              </w:rPr>
              <w:t>19</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theta</w:t>
            </w:r>
          </w:p>
        </w:tc>
        <w:tc>
          <w:tcPr>
            <w:tcW w:w="2066"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R hemisphere</w:t>
            </w:r>
          </w:p>
        </w:tc>
        <w:tc>
          <w:tcPr>
            <w:tcW w:w="855" w:type="dxa"/>
            <w:tcBorders>
              <w:top w:val="single" w:sz="4" w:space="0" w:color="000000"/>
              <w:left w:val="single" w:sz="4" w:space="0" w:color="000000"/>
              <w:bottom w:val="nil"/>
              <w:right w:val="dotted" w:sz="4" w:space="0" w:color="000000"/>
            </w:tcBorders>
            <w:shd w:val="clear" w:color="auto" w:fill="C6EF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6100"/>
                <w:kern w:val="24"/>
                <w:sz w:val="16"/>
                <w:szCs w:val="16"/>
                <w:lang w:eastAsia="fr-BE"/>
              </w:rPr>
              <w:t>C</w:t>
            </w:r>
          </w:p>
        </w:tc>
        <w:tc>
          <w:tcPr>
            <w:tcW w:w="855" w:type="dxa"/>
            <w:tcBorders>
              <w:top w:val="single" w:sz="4" w:space="0" w:color="000000"/>
              <w:left w:val="dotted" w:sz="4" w:space="0" w:color="000000"/>
              <w:bottom w:val="nil"/>
              <w:right w:val="single" w:sz="4" w:space="0" w:color="000000"/>
            </w:tcBorders>
            <w:shd w:val="clear" w:color="auto" w:fill="C6EF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6100"/>
                <w:kern w:val="24"/>
                <w:sz w:val="16"/>
                <w:szCs w:val="16"/>
                <w:lang w:eastAsia="fr-BE"/>
              </w:rPr>
              <w:t>C</w:t>
            </w:r>
          </w:p>
        </w:tc>
        <w:tc>
          <w:tcPr>
            <w:tcW w:w="3054"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b/>
                <w:bCs/>
                <w:color w:val="000000"/>
                <w:kern w:val="24"/>
                <w:sz w:val="16"/>
                <w:szCs w:val="16"/>
                <w:lang w:eastAsia="fr-BE"/>
              </w:rPr>
              <w:t>n/a</w:t>
            </w:r>
          </w:p>
        </w:tc>
      </w:tr>
      <w:tr w:rsidR="00F0434A" w:rsidRPr="00FC42CA" w:rsidTr="005C2537">
        <w:trPr>
          <w:trHeight w:val="66"/>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7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2</w:t>
            </w:r>
          </w:p>
        </w:tc>
        <w:tc>
          <w:tcPr>
            <w:tcW w:w="407" w:type="dxa"/>
            <w:tcBorders>
              <w:top w:val="single" w:sz="4" w:space="0" w:color="000000"/>
              <w:left w:val="single" w:sz="4" w:space="0" w:color="000000"/>
              <w:bottom w:val="single" w:sz="4" w:space="0" w:color="000000"/>
              <w:right w:val="single" w:sz="4" w:space="0" w:color="000000"/>
            </w:tcBorders>
          </w:tcPr>
          <w:p w:rsidR="00F0434A" w:rsidRPr="00FC42CA" w:rsidRDefault="00F0434A" w:rsidP="005C2537">
            <w:pPr>
              <w:jc w:val="center"/>
              <w:textAlignment w:val="center"/>
              <w:rPr>
                <w:rFonts w:ascii="Calibri" w:eastAsia="Times New Roman" w:hAnsi="Calibri" w:cs="Calibri"/>
                <w:color w:val="000000"/>
                <w:kern w:val="24"/>
                <w:sz w:val="16"/>
                <w:szCs w:val="16"/>
                <w:lang w:eastAsia="fr-BE"/>
              </w:rPr>
            </w:pPr>
            <w:r>
              <w:rPr>
                <w:rFonts w:ascii="Calibri" w:eastAsia="Times New Roman" w:hAnsi="Calibri" w:cs="Calibri"/>
                <w:color w:val="000000"/>
                <w:kern w:val="24"/>
                <w:sz w:val="16"/>
                <w:szCs w:val="16"/>
                <w:lang w:eastAsia="fr-BE"/>
              </w:rPr>
              <w:t>19</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delta</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855" w:type="dxa"/>
            <w:tcBorders>
              <w:top w:val="nil"/>
              <w:left w:val="single" w:sz="4" w:space="0" w:color="000000"/>
              <w:bottom w:val="nil"/>
              <w:right w:val="dotted" w:sz="4" w:space="0" w:color="000000"/>
            </w:tcBorders>
            <w:shd w:val="clear" w:color="auto" w:fill="C6EF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6100"/>
                <w:kern w:val="24"/>
                <w:sz w:val="16"/>
                <w:szCs w:val="16"/>
                <w:lang w:eastAsia="fr-BE"/>
              </w:rPr>
              <w:t>C</w:t>
            </w:r>
          </w:p>
        </w:tc>
        <w:tc>
          <w:tcPr>
            <w:tcW w:w="855" w:type="dxa"/>
            <w:tcBorders>
              <w:top w:val="nil"/>
              <w:left w:val="dotted" w:sz="4" w:space="0" w:color="000000"/>
              <w:bottom w:val="nil"/>
              <w:right w:val="single" w:sz="4" w:space="0" w:color="000000"/>
            </w:tcBorders>
            <w:shd w:val="clear" w:color="auto" w:fill="C6EF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6100"/>
                <w:kern w:val="24"/>
                <w:sz w:val="16"/>
                <w:szCs w:val="16"/>
                <w:lang w:eastAsia="fr-BE"/>
              </w:rPr>
              <w:t>C</w:t>
            </w:r>
          </w:p>
        </w:tc>
        <w:tc>
          <w:tcPr>
            <w:tcW w:w="0" w:type="auto"/>
            <w:gridSpan w:val="3"/>
            <w:vMerge/>
            <w:tcBorders>
              <w:top w:val="nil"/>
              <w:left w:val="dotted" w:sz="4" w:space="0" w:color="000000"/>
              <w:bottom w:val="nil"/>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r>
      <w:tr w:rsidR="00F0434A" w:rsidRPr="00FC42CA" w:rsidTr="005C2537">
        <w:trPr>
          <w:trHeight w:val="66"/>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7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3</w:t>
            </w:r>
          </w:p>
        </w:tc>
        <w:tc>
          <w:tcPr>
            <w:tcW w:w="407" w:type="dxa"/>
            <w:tcBorders>
              <w:top w:val="single" w:sz="4" w:space="0" w:color="000000"/>
              <w:left w:val="single" w:sz="4" w:space="0" w:color="000000"/>
              <w:bottom w:val="single" w:sz="4" w:space="0" w:color="000000"/>
              <w:right w:val="single" w:sz="4" w:space="0" w:color="000000"/>
            </w:tcBorders>
          </w:tcPr>
          <w:p w:rsidR="00F0434A" w:rsidRPr="00FC42CA" w:rsidRDefault="00F0434A" w:rsidP="005C2537">
            <w:pPr>
              <w:jc w:val="center"/>
              <w:textAlignment w:val="center"/>
              <w:rPr>
                <w:rFonts w:ascii="Calibri" w:eastAsia="Times New Roman" w:hAnsi="Calibri" w:cs="Calibri"/>
                <w:color w:val="000000"/>
                <w:kern w:val="24"/>
                <w:sz w:val="16"/>
                <w:szCs w:val="16"/>
                <w:lang w:eastAsia="fr-BE"/>
              </w:rPr>
            </w:pPr>
            <w:r>
              <w:rPr>
                <w:rFonts w:ascii="Calibri" w:eastAsia="Times New Roman" w:hAnsi="Calibri" w:cs="Calibri"/>
                <w:color w:val="000000"/>
                <w:kern w:val="24"/>
                <w:sz w:val="16"/>
                <w:szCs w:val="16"/>
                <w:lang w:eastAsia="fr-BE"/>
              </w:rPr>
              <w:t>19</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theta</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855" w:type="dxa"/>
            <w:tcBorders>
              <w:top w:val="nil"/>
              <w:left w:val="single" w:sz="4" w:space="0" w:color="000000"/>
              <w:bottom w:val="nil"/>
              <w:right w:val="dotted" w:sz="4" w:space="0" w:color="000000"/>
            </w:tcBorders>
            <w:shd w:val="clear" w:color="auto" w:fill="C6EF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6100"/>
                <w:kern w:val="24"/>
                <w:sz w:val="16"/>
                <w:szCs w:val="16"/>
                <w:lang w:eastAsia="fr-BE"/>
              </w:rPr>
              <w:t>C</w:t>
            </w:r>
          </w:p>
        </w:tc>
        <w:tc>
          <w:tcPr>
            <w:tcW w:w="855" w:type="dxa"/>
            <w:tcBorders>
              <w:top w:val="nil"/>
              <w:left w:val="dotted" w:sz="4" w:space="0" w:color="000000"/>
              <w:bottom w:val="nil"/>
              <w:right w:val="single" w:sz="4" w:space="0" w:color="000000"/>
            </w:tcBorders>
            <w:shd w:val="clear" w:color="auto" w:fill="C6EF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6100"/>
                <w:kern w:val="24"/>
                <w:sz w:val="16"/>
                <w:szCs w:val="16"/>
                <w:lang w:eastAsia="fr-BE"/>
              </w:rPr>
              <w:t>C</w:t>
            </w:r>
          </w:p>
        </w:tc>
        <w:tc>
          <w:tcPr>
            <w:tcW w:w="0" w:type="auto"/>
            <w:gridSpan w:val="3"/>
            <w:vMerge/>
            <w:tcBorders>
              <w:top w:val="nil"/>
              <w:left w:val="dotted" w:sz="4" w:space="0" w:color="000000"/>
              <w:bottom w:val="nil"/>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r>
      <w:tr w:rsidR="00F0434A" w:rsidRPr="00FC42CA" w:rsidTr="005C2537">
        <w:trPr>
          <w:trHeight w:val="66"/>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7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4</w:t>
            </w:r>
          </w:p>
        </w:tc>
        <w:tc>
          <w:tcPr>
            <w:tcW w:w="407" w:type="dxa"/>
            <w:tcBorders>
              <w:top w:val="single" w:sz="4" w:space="0" w:color="000000"/>
              <w:left w:val="single" w:sz="4" w:space="0" w:color="000000"/>
              <w:bottom w:val="single" w:sz="4" w:space="0" w:color="000000"/>
              <w:right w:val="single" w:sz="4" w:space="0" w:color="000000"/>
            </w:tcBorders>
          </w:tcPr>
          <w:p w:rsidR="00F0434A" w:rsidRPr="00FC42CA" w:rsidRDefault="00F0434A" w:rsidP="005C2537">
            <w:pPr>
              <w:jc w:val="center"/>
              <w:textAlignment w:val="center"/>
              <w:rPr>
                <w:rFonts w:ascii="Calibri" w:eastAsia="Times New Roman" w:hAnsi="Calibri" w:cs="Calibri"/>
                <w:color w:val="000000"/>
                <w:kern w:val="24"/>
                <w:sz w:val="16"/>
                <w:szCs w:val="16"/>
                <w:lang w:eastAsia="fr-BE"/>
              </w:rPr>
            </w:pPr>
            <w:r>
              <w:rPr>
                <w:rFonts w:ascii="Calibri" w:eastAsia="Times New Roman" w:hAnsi="Calibri" w:cs="Calibri"/>
                <w:color w:val="000000"/>
                <w:kern w:val="24"/>
                <w:sz w:val="16"/>
                <w:szCs w:val="16"/>
                <w:lang w:eastAsia="fr-BE"/>
              </w:rPr>
              <w:t>19</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theta</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855" w:type="dxa"/>
            <w:tcBorders>
              <w:top w:val="nil"/>
              <w:left w:val="single" w:sz="4" w:space="0" w:color="000000"/>
              <w:bottom w:val="nil"/>
              <w:right w:val="dotted" w:sz="4" w:space="0" w:color="000000"/>
            </w:tcBorders>
            <w:shd w:val="clear" w:color="auto" w:fill="C6EF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6100"/>
                <w:kern w:val="24"/>
                <w:sz w:val="16"/>
                <w:szCs w:val="16"/>
                <w:lang w:eastAsia="fr-BE"/>
              </w:rPr>
              <w:t>C</w:t>
            </w:r>
          </w:p>
        </w:tc>
        <w:tc>
          <w:tcPr>
            <w:tcW w:w="855" w:type="dxa"/>
            <w:tcBorders>
              <w:top w:val="nil"/>
              <w:left w:val="dotted" w:sz="4" w:space="0" w:color="000000"/>
              <w:bottom w:val="nil"/>
              <w:right w:val="single" w:sz="4" w:space="0" w:color="000000"/>
            </w:tcBorders>
            <w:shd w:val="clear" w:color="auto" w:fill="FFC7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9C0006"/>
                <w:kern w:val="24"/>
                <w:sz w:val="16"/>
                <w:szCs w:val="16"/>
                <w:lang w:eastAsia="fr-BE"/>
              </w:rPr>
              <w:t>D</w:t>
            </w:r>
          </w:p>
        </w:tc>
        <w:tc>
          <w:tcPr>
            <w:tcW w:w="0" w:type="auto"/>
            <w:gridSpan w:val="3"/>
            <w:vMerge/>
            <w:tcBorders>
              <w:top w:val="nil"/>
              <w:left w:val="dotted" w:sz="4" w:space="0" w:color="000000"/>
              <w:bottom w:val="nil"/>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r>
      <w:tr w:rsidR="00F0434A" w:rsidRPr="00FC42CA" w:rsidTr="005C2537">
        <w:trPr>
          <w:trHeight w:val="66"/>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7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5</w:t>
            </w:r>
          </w:p>
        </w:tc>
        <w:tc>
          <w:tcPr>
            <w:tcW w:w="407" w:type="dxa"/>
            <w:tcBorders>
              <w:top w:val="single" w:sz="4" w:space="0" w:color="000000"/>
              <w:left w:val="single" w:sz="4" w:space="0" w:color="000000"/>
              <w:bottom w:val="single" w:sz="4" w:space="0" w:color="000000"/>
              <w:right w:val="single" w:sz="4" w:space="0" w:color="000000"/>
            </w:tcBorders>
          </w:tcPr>
          <w:p w:rsidR="00F0434A" w:rsidRPr="00FC42CA" w:rsidRDefault="00F0434A" w:rsidP="005C2537">
            <w:pPr>
              <w:jc w:val="center"/>
              <w:textAlignment w:val="center"/>
              <w:rPr>
                <w:rFonts w:ascii="Calibri" w:eastAsia="Times New Roman" w:hAnsi="Calibri" w:cs="Calibri"/>
                <w:color w:val="000000"/>
                <w:kern w:val="24"/>
                <w:sz w:val="16"/>
                <w:szCs w:val="16"/>
                <w:lang w:eastAsia="fr-BE"/>
              </w:rPr>
            </w:pPr>
            <w:r>
              <w:rPr>
                <w:rFonts w:ascii="Calibri" w:eastAsia="Times New Roman" w:hAnsi="Calibri" w:cs="Calibri"/>
                <w:color w:val="000000"/>
                <w:kern w:val="24"/>
                <w:sz w:val="16"/>
                <w:szCs w:val="16"/>
                <w:lang w:eastAsia="fr-BE"/>
              </w:rPr>
              <w:t>19</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theta</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855" w:type="dxa"/>
            <w:tcBorders>
              <w:top w:val="nil"/>
              <w:left w:val="single" w:sz="4" w:space="0" w:color="000000"/>
              <w:bottom w:val="nil"/>
              <w:right w:val="dotted" w:sz="4" w:space="0" w:color="000000"/>
            </w:tcBorders>
            <w:shd w:val="clear" w:color="auto" w:fill="C6EF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6100"/>
                <w:kern w:val="24"/>
                <w:sz w:val="16"/>
                <w:szCs w:val="16"/>
                <w:lang w:eastAsia="fr-BE"/>
              </w:rPr>
              <w:t>C</w:t>
            </w:r>
          </w:p>
        </w:tc>
        <w:tc>
          <w:tcPr>
            <w:tcW w:w="855" w:type="dxa"/>
            <w:tcBorders>
              <w:top w:val="nil"/>
              <w:left w:val="dotted" w:sz="4" w:space="0" w:color="000000"/>
              <w:bottom w:val="nil"/>
              <w:right w:val="single" w:sz="4" w:space="0" w:color="000000"/>
            </w:tcBorders>
            <w:shd w:val="clear" w:color="auto" w:fill="C6EF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6100"/>
                <w:kern w:val="24"/>
                <w:sz w:val="16"/>
                <w:szCs w:val="16"/>
                <w:lang w:eastAsia="fr-BE"/>
              </w:rPr>
              <w:t>C</w:t>
            </w:r>
          </w:p>
        </w:tc>
        <w:tc>
          <w:tcPr>
            <w:tcW w:w="0" w:type="auto"/>
            <w:gridSpan w:val="3"/>
            <w:vMerge/>
            <w:tcBorders>
              <w:top w:val="nil"/>
              <w:left w:val="dotted" w:sz="4" w:space="0" w:color="000000"/>
              <w:bottom w:val="nil"/>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r>
      <w:tr w:rsidR="00F0434A" w:rsidRPr="00FC42CA" w:rsidTr="005C2537">
        <w:trPr>
          <w:trHeight w:val="66"/>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7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6</w:t>
            </w:r>
          </w:p>
        </w:tc>
        <w:tc>
          <w:tcPr>
            <w:tcW w:w="407" w:type="dxa"/>
            <w:tcBorders>
              <w:top w:val="single" w:sz="4" w:space="0" w:color="000000"/>
              <w:left w:val="single" w:sz="4" w:space="0" w:color="000000"/>
              <w:bottom w:val="single" w:sz="4" w:space="0" w:color="000000"/>
              <w:right w:val="single" w:sz="4" w:space="0" w:color="000000"/>
            </w:tcBorders>
          </w:tcPr>
          <w:p w:rsidR="00F0434A" w:rsidRPr="00FC42CA" w:rsidRDefault="00F0434A" w:rsidP="005C2537">
            <w:pPr>
              <w:jc w:val="center"/>
              <w:textAlignment w:val="center"/>
              <w:rPr>
                <w:rFonts w:ascii="Calibri" w:eastAsia="Times New Roman" w:hAnsi="Calibri" w:cs="Calibri"/>
                <w:color w:val="000000"/>
                <w:kern w:val="24"/>
                <w:sz w:val="16"/>
                <w:szCs w:val="16"/>
                <w:lang w:eastAsia="fr-BE"/>
              </w:rPr>
            </w:pPr>
            <w:r>
              <w:rPr>
                <w:rFonts w:ascii="Calibri" w:eastAsia="Times New Roman" w:hAnsi="Calibri" w:cs="Calibri"/>
                <w:color w:val="000000"/>
                <w:kern w:val="24"/>
                <w:sz w:val="16"/>
                <w:szCs w:val="16"/>
                <w:lang w:eastAsia="fr-BE"/>
              </w:rPr>
              <w:t>19</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theta</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855" w:type="dxa"/>
            <w:tcBorders>
              <w:top w:val="nil"/>
              <w:left w:val="single" w:sz="4" w:space="0" w:color="000000"/>
              <w:bottom w:val="nil"/>
              <w:right w:val="dotted" w:sz="4" w:space="0" w:color="000000"/>
            </w:tcBorders>
            <w:shd w:val="clear" w:color="auto" w:fill="C6EF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6100"/>
                <w:kern w:val="24"/>
                <w:sz w:val="16"/>
                <w:szCs w:val="16"/>
                <w:lang w:eastAsia="fr-BE"/>
              </w:rPr>
              <w:t>C</w:t>
            </w:r>
          </w:p>
        </w:tc>
        <w:tc>
          <w:tcPr>
            <w:tcW w:w="855" w:type="dxa"/>
            <w:tcBorders>
              <w:top w:val="nil"/>
              <w:left w:val="dotted" w:sz="4" w:space="0" w:color="000000"/>
              <w:bottom w:val="nil"/>
              <w:right w:val="single" w:sz="4" w:space="0" w:color="000000"/>
            </w:tcBorders>
            <w:shd w:val="clear" w:color="auto" w:fill="C6EF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6100"/>
                <w:kern w:val="24"/>
                <w:sz w:val="16"/>
                <w:szCs w:val="16"/>
                <w:lang w:eastAsia="fr-BE"/>
              </w:rPr>
              <w:t>C</w:t>
            </w:r>
          </w:p>
        </w:tc>
        <w:tc>
          <w:tcPr>
            <w:tcW w:w="0" w:type="auto"/>
            <w:gridSpan w:val="3"/>
            <w:vMerge/>
            <w:tcBorders>
              <w:top w:val="nil"/>
              <w:left w:val="dotted" w:sz="4" w:space="0" w:color="000000"/>
              <w:bottom w:val="nil"/>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r>
      <w:tr w:rsidR="00F0434A" w:rsidRPr="00FC42CA" w:rsidTr="005C2537">
        <w:trPr>
          <w:trHeight w:val="66"/>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7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7</w:t>
            </w:r>
          </w:p>
        </w:tc>
        <w:tc>
          <w:tcPr>
            <w:tcW w:w="407" w:type="dxa"/>
            <w:tcBorders>
              <w:top w:val="single" w:sz="4" w:space="0" w:color="000000"/>
              <w:left w:val="single" w:sz="4" w:space="0" w:color="000000"/>
              <w:bottom w:val="single" w:sz="4" w:space="0" w:color="000000"/>
              <w:right w:val="single" w:sz="4" w:space="0" w:color="000000"/>
            </w:tcBorders>
          </w:tcPr>
          <w:p w:rsidR="00F0434A" w:rsidRPr="00FC42CA" w:rsidRDefault="00F0434A" w:rsidP="005C2537">
            <w:pPr>
              <w:jc w:val="center"/>
              <w:textAlignment w:val="center"/>
              <w:rPr>
                <w:rFonts w:ascii="Calibri" w:eastAsia="Times New Roman" w:hAnsi="Calibri" w:cs="Calibri"/>
                <w:color w:val="000000"/>
                <w:kern w:val="24"/>
                <w:sz w:val="16"/>
                <w:szCs w:val="16"/>
                <w:lang w:eastAsia="fr-BE"/>
              </w:rPr>
            </w:pPr>
            <w:r>
              <w:rPr>
                <w:rFonts w:ascii="Calibri" w:eastAsia="Times New Roman" w:hAnsi="Calibri" w:cs="Calibri"/>
                <w:color w:val="000000"/>
                <w:kern w:val="24"/>
                <w:sz w:val="16"/>
                <w:szCs w:val="16"/>
                <w:lang w:eastAsia="fr-BE"/>
              </w:rPr>
              <w:t>19</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theta</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855" w:type="dxa"/>
            <w:tcBorders>
              <w:top w:val="nil"/>
              <w:left w:val="single" w:sz="4" w:space="0" w:color="000000"/>
              <w:bottom w:val="single" w:sz="4" w:space="0" w:color="000000"/>
              <w:right w:val="dotted" w:sz="4" w:space="0" w:color="000000"/>
            </w:tcBorders>
            <w:shd w:val="clear" w:color="auto" w:fill="C6EF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6100"/>
                <w:kern w:val="24"/>
                <w:sz w:val="16"/>
                <w:szCs w:val="16"/>
                <w:lang w:eastAsia="fr-BE"/>
              </w:rPr>
              <w:t>C</w:t>
            </w:r>
          </w:p>
        </w:tc>
        <w:tc>
          <w:tcPr>
            <w:tcW w:w="855" w:type="dxa"/>
            <w:tcBorders>
              <w:top w:val="nil"/>
              <w:left w:val="dotted" w:sz="4" w:space="0" w:color="000000"/>
              <w:bottom w:val="single" w:sz="4" w:space="0" w:color="000000"/>
              <w:right w:val="single" w:sz="4" w:space="0" w:color="000000"/>
            </w:tcBorders>
            <w:shd w:val="clear" w:color="auto" w:fill="FFC7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9C0006"/>
                <w:kern w:val="24"/>
                <w:sz w:val="16"/>
                <w:szCs w:val="16"/>
                <w:lang w:eastAsia="fr-BE"/>
              </w:rPr>
              <w:t>D</w:t>
            </w:r>
          </w:p>
        </w:tc>
        <w:tc>
          <w:tcPr>
            <w:tcW w:w="0" w:type="auto"/>
            <w:gridSpan w:val="3"/>
            <w:vMerge/>
            <w:tcBorders>
              <w:top w:val="nil"/>
              <w:left w:val="dotted"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r>
      <w:tr w:rsidR="00F0434A" w:rsidRPr="00FC42CA" w:rsidTr="005C2537">
        <w:trPr>
          <w:trHeight w:val="66"/>
        </w:trPr>
        <w:tc>
          <w:tcPr>
            <w:tcW w:w="81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13</w:t>
            </w:r>
          </w:p>
        </w:tc>
        <w:tc>
          <w:tcPr>
            <w:tcW w:w="7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1</w:t>
            </w:r>
          </w:p>
        </w:tc>
        <w:tc>
          <w:tcPr>
            <w:tcW w:w="407" w:type="dxa"/>
            <w:tcBorders>
              <w:top w:val="single" w:sz="4" w:space="0" w:color="000000"/>
              <w:left w:val="single" w:sz="4" w:space="0" w:color="000000"/>
              <w:bottom w:val="single" w:sz="4" w:space="0" w:color="000000"/>
              <w:right w:val="single" w:sz="4" w:space="0" w:color="000000"/>
            </w:tcBorders>
          </w:tcPr>
          <w:p w:rsidR="00F0434A" w:rsidRPr="00FC42CA" w:rsidRDefault="00F0434A" w:rsidP="005C2537">
            <w:pPr>
              <w:jc w:val="center"/>
              <w:textAlignment w:val="center"/>
              <w:rPr>
                <w:rFonts w:ascii="Calibri" w:eastAsia="Times New Roman" w:hAnsi="Calibri" w:cs="Calibri"/>
                <w:color w:val="000000"/>
                <w:kern w:val="24"/>
                <w:sz w:val="16"/>
                <w:szCs w:val="16"/>
                <w:lang w:eastAsia="fr-BE"/>
              </w:rPr>
            </w:pPr>
            <w:r>
              <w:rPr>
                <w:rFonts w:ascii="Calibri" w:eastAsia="Times New Roman" w:hAnsi="Calibri" w:cs="Calibri"/>
                <w:color w:val="000000"/>
                <w:kern w:val="24"/>
                <w:sz w:val="16"/>
                <w:szCs w:val="16"/>
                <w:lang w:eastAsia="fr-BE"/>
              </w:rPr>
              <w:t>19</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theta</w:t>
            </w:r>
          </w:p>
        </w:tc>
        <w:tc>
          <w:tcPr>
            <w:tcW w:w="2066"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val="en-US" w:eastAsia="fr-BE"/>
              </w:rPr>
            </w:pPr>
            <w:r w:rsidRPr="00FC42CA">
              <w:rPr>
                <w:rFonts w:ascii="Calibri" w:eastAsia="Times New Roman" w:hAnsi="Calibri" w:cs="Calibri"/>
                <w:color w:val="000000"/>
                <w:kern w:val="24"/>
                <w:sz w:val="16"/>
                <w:szCs w:val="16"/>
                <w:lang w:val="pt-BR" w:eastAsia="fr-BE"/>
              </w:rPr>
              <w:t>Orbitofrontal R, Frontopolar R, F lateral superior R, anterior cingular R</w:t>
            </w:r>
          </w:p>
        </w:tc>
        <w:tc>
          <w:tcPr>
            <w:tcW w:w="855" w:type="dxa"/>
            <w:tcBorders>
              <w:top w:val="single" w:sz="4" w:space="0" w:color="000000"/>
              <w:left w:val="single" w:sz="4" w:space="0" w:color="000000"/>
              <w:bottom w:val="nil"/>
              <w:right w:val="dotted" w:sz="4" w:space="0" w:color="000000"/>
            </w:tcBorders>
            <w:shd w:val="clear" w:color="auto" w:fill="FFC7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9C0006"/>
                <w:kern w:val="24"/>
                <w:sz w:val="16"/>
                <w:szCs w:val="16"/>
                <w:lang w:eastAsia="fr-BE"/>
              </w:rPr>
              <w:t>D</w:t>
            </w:r>
          </w:p>
        </w:tc>
        <w:tc>
          <w:tcPr>
            <w:tcW w:w="855" w:type="dxa"/>
            <w:tcBorders>
              <w:top w:val="single" w:sz="4" w:space="0" w:color="000000"/>
              <w:left w:val="dotted" w:sz="4" w:space="0" w:color="000000"/>
              <w:bottom w:val="nil"/>
              <w:right w:val="single" w:sz="4" w:space="0" w:color="000000"/>
            </w:tcBorders>
            <w:shd w:val="clear" w:color="auto" w:fill="FFC7CE"/>
            <w:tcMar>
              <w:top w:w="15" w:type="dxa"/>
              <w:left w:w="15" w:type="dxa"/>
              <w:bottom w:w="0" w:type="dxa"/>
              <w:right w:w="15" w:type="dxa"/>
            </w:tcMar>
            <w:vAlign w:val="center"/>
            <w:hideMark/>
          </w:tcPr>
          <w:p w:rsidR="00F0434A" w:rsidRPr="00CC5B37" w:rsidRDefault="00F0434A" w:rsidP="005C2537">
            <w:pPr>
              <w:jc w:val="center"/>
              <w:textAlignment w:val="center"/>
              <w:rPr>
                <w:rFonts w:ascii="Calibri" w:eastAsia="Times New Roman" w:hAnsi="Calibri" w:cs="Calibri"/>
                <w:color w:val="9C0006"/>
                <w:kern w:val="24"/>
                <w:sz w:val="16"/>
                <w:szCs w:val="16"/>
                <w:lang w:eastAsia="fr-BE"/>
              </w:rPr>
            </w:pPr>
            <w:r w:rsidRPr="00CC5B37">
              <w:rPr>
                <w:rFonts w:ascii="Calibri" w:eastAsia="Times New Roman" w:hAnsi="Calibri" w:cs="Calibri"/>
                <w:color w:val="9C0006"/>
                <w:kern w:val="24"/>
                <w:sz w:val="16"/>
                <w:szCs w:val="16"/>
                <w:lang w:eastAsia="fr-BE"/>
              </w:rPr>
              <w:t>D</w:t>
            </w:r>
          </w:p>
        </w:tc>
        <w:tc>
          <w:tcPr>
            <w:tcW w:w="1018" w:type="dxa"/>
            <w:vMerge w:val="restart"/>
            <w:tcBorders>
              <w:top w:val="single" w:sz="4" w:space="0" w:color="000000"/>
              <w:left w:val="single" w:sz="4" w:space="0" w:color="000000"/>
              <w:bottom w:val="single" w:sz="4" w:space="0" w:color="000000"/>
              <w:right w:val="single" w:sz="4" w:space="0" w:color="000000"/>
            </w:tcBorders>
            <w:shd w:val="clear" w:color="auto" w:fill="9BC2E6"/>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inconclusive</w:t>
            </w:r>
          </w:p>
        </w:tc>
        <w:tc>
          <w:tcPr>
            <w:tcW w:w="1018" w:type="dxa"/>
            <w:vMerge w:val="restart"/>
            <w:tcBorders>
              <w:top w:val="single" w:sz="4" w:space="0" w:color="000000"/>
              <w:left w:val="single" w:sz="4" w:space="0" w:color="000000"/>
              <w:bottom w:val="single" w:sz="4" w:space="0" w:color="000000"/>
              <w:right w:val="single" w:sz="4" w:space="0" w:color="000000"/>
            </w:tcBorders>
            <w:shd w:val="clear" w:color="auto" w:fill="9BC2E6"/>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inconclusive</w:t>
            </w:r>
          </w:p>
        </w:tc>
        <w:tc>
          <w:tcPr>
            <w:tcW w:w="1018" w:type="dxa"/>
            <w:vMerge w:val="restart"/>
            <w:tcBorders>
              <w:top w:val="single" w:sz="4" w:space="0" w:color="000000"/>
              <w:left w:val="single" w:sz="4" w:space="0" w:color="000000"/>
              <w:bottom w:val="single" w:sz="4" w:space="0" w:color="000000"/>
              <w:right w:val="single" w:sz="4" w:space="0" w:color="000000"/>
            </w:tcBorders>
            <w:shd w:val="clear" w:color="auto" w:fill="00B050"/>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F lateral superior R</w:t>
            </w:r>
          </w:p>
        </w:tc>
      </w:tr>
      <w:tr w:rsidR="00F0434A" w:rsidRPr="00FC42CA" w:rsidTr="005C2537">
        <w:trPr>
          <w:trHeight w:val="66"/>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7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2</w:t>
            </w:r>
          </w:p>
        </w:tc>
        <w:tc>
          <w:tcPr>
            <w:tcW w:w="407" w:type="dxa"/>
            <w:tcBorders>
              <w:top w:val="single" w:sz="4" w:space="0" w:color="000000"/>
              <w:left w:val="single" w:sz="4" w:space="0" w:color="000000"/>
              <w:bottom w:val="single" w:sz="4" w:space="0" w:color="000000"/>
              <w:right w:val="single" w:sz="4" w:space="0" w:color="000000"/>
            </w:tcBorders>
          </w:tcPr>
          <w:p w:rsidR="00F0434A" w:rsidRPr="00FC42CA" w:rsidRDefault="00F0434A" w:rsidP="005C2537">
            <w:pPr>
              <w:jc w:val="center"/>
              <w:textAlignment w:val="center"/>
              <w:rPr>
                <w:rFonts w:ascii="Calibri" w:eastAsia="Times New Roman" w:hAnsi="Calibri" w:cs="Calibri"/>
                <w:color w:val="000000"/>
                <w:kern w:val="24"/>
                <w:sz w:val="16"/>
                <w:szCs w:val="16"/>
                <w:lang w:eastAsia="fr-BE"/>
              </w:rPr>
            </w:pPr>
            <w:r>
              <w:rPr>
                <w:rFonts w:ascii="Calibri" w:eastAsia="Times New Roman" w:hAnsi="Calibri" w:cs="Calibri"/>
                <w:color w:val="000000"/>
                <w:kern w:val="24"/>
                <w:sz w:val="16"/>
                <w:szCs w:val="16"/>
                <w:lang w:eastAsia="fr-BE"/>
              </w:rPr>
              <w:t>18</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theta</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855" w:type="dxa"/>
            <w:tcBorders>
              <w:top w:val="nil"/>
              <w:left w:val="single" w:sz="4" w:space="0" w:color="000000"/>
              <w:bottom w:val="nil"/>
              <w:right w:val="dotted" w:sz="4" w:space="0" w:color="000000"/>
            </w:tcBorders>
            <w:shd w:val="clear" w:color="auto" w:fill="C6EF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6100"/>
                <w:kern w:val="24"/>
                <w:sz w:val="16"/>
                <w:szCs w:val="16"/>
                <w:lang w:eastAsia="fr-BE"/>
              </w:rPr>
              <w:t>C</w:t>
            </w:r>
          </w:p>
        </w:tc>
        <w:tc>
          <w:tcPr>
            <w:tcW w:w="855" w:type="dxa"/>
            <w:tcBorders>
              <w:top w:val="nil"/>
              <w:left w:val="dotted" w:sz="4" w:space="0" w:color="000000"/>
              <w:bottom w:val="nil"/>
              <w:right w:val="single" w:sz="4" w:space="0" w:color="000000"/>
            </w:tcBorders>
            <w:shd w:val="clear" w:color="auto" w:fill="C6EFCE"/>
            <w:tcMar>
              <w:top w:w="15" w:type="dxa"/>
              <w:left w:w="15" w:type="dxa"/>
              <w:bottom w:w="0" w:type="dxa"/>
              <w:right w:w="15" w:type="dxa"/>
            </w:tcMar>
            <w:vAlign w:val="center"/>
            <w:hideMark/>
          </w:tcPr>
          <w:p w:rsidR="00F0434A" w:rsidRPr="00CC5B37" w:rsidRDefault="00F0434A" w:rsidP="005C2537">
            <w:pPr>
              <w:jc w:val="center"/>
              <w:textAlignment w:val="center"/>
              <w:rPr>
                <w:rFonts w:ascii="Calibri" w:eastAsia="Times New Roman" w:hAnsi="Calibri" w:cs="Calibri"/>
                <w:color w:val="006100"/>
                <w:kern w:val="24"/>
                <w:sz w:val="16"/>
                <w:szCs w:val="16"/>
                <w:lang w:eastAsia="fr-BE"/>
              </w:rPr>
            </w:pPr>
            <w:r>
              <w:rPr>
                <w:rFonts w:ascii="Calibri" w:eastAsia="Times New Roman" w:hAnsi="Calibri" w:cs="Calibri"/>
                <w:color w:val="006100"/>
                <w:kern w:val="24"/>
                <w:sz w:val="16"/>
                <w:szCs w:val="16"/>
                <w:lang w:eastAsia="fr-BE"/>
              </w:rPr>
              <w:t>C</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r>
      <w:tr w:rsidR="00F0434A" w:rsidRPr="00FC42CA" w:rsidTr="005C2537">
        <w:trPr>
          <w:trHeight w:val="66"/>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7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3</w:t>
            </w:r>
          </w:p>
        </w:tc>
        <w:tc>
          <w:tcPr>
            <w:tcW w:w="407" w:type="dxa"/>
            <w:tcBorders>
              <w:top w:val="single" w:sz="4" w:space="0" w:color="000000"/>
              <w:left w:val="single" w:sz="4" w:space="0" w:color="000000"/>
              <w:bottom w:val="single" w:sz="4" w:space="0" w:color="000000"/>
              <w:right w:val="single" w:sz="4" w:space="0" w:color="000000"/>
            </w:tcBorders>
          </w:tcPr>
          <w:p w:rsidR="00F0434A" w:rsidRPr="00FC42CA" w:rsidRDefault="00F0434A" w:rsidP="005C2537">
            <w:pPr>
              <w:jc w:val="center"/>
              <w:textAlignment w:val="center"/>
              <w:rPr>
                <w:rFonts w:ascii="Calibri" w:eastAsia="Times New Roman" w:hAnsi="Calibri" w:cs="Calibri"/>
                <w:color w:val="000000"/>
                <w:kern w:val="24"/>
                <w:sz w:val="16"/>
                <w:szCs w:val="16"/>
                <w:lang w:eastAsia="fr-BE"/>
              </w:rPr>
            </w:pPr>
            <w:r>
              <w:rPr>
                <w:rFonts w:ascii="Calibri" w:eastAsia="Times New Roman" w:hAnsi="Calibri" w:cs="Calibri"/>
                <w:color w:val="000000"/>
                <w:kern w:val="24"/>
                <w:sz w:val="16"/>
                <w:szCs w:val="16"/>
                <w:lang w:eastAsia="fr-BE"/>
              </w:rPr>
              <w:t>19</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theta</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855" w:type="dxa"/>
            <w:tcBorders>
              <w:top w:val="nil"/>
              <w:left w:val="single" w:sz="4" w:space="0" w:color="000000"/>
              <w:bottom w:val="nil"/>
              <w:right w:val="dotted" w:sz="4" w:space="0" w:color="000000"/>
            </w:tcBorders>
            <w:shd w:val="clear" w:color="auto" w:fill="FFC7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9C0006"/>
                <w:kern w:val="24"/>
                <w:sz w:val="16"/>
                <w:szCs w:val="16"/>
                <w:lang w:eastAsia="fr-BE"/>
              </w:rPr>
              <w:t>D</w:t>
            </w:r>
          </w:p>
        </w:tc>
        <w:tc>
          <w:tcPr>
            <w:tcW w:w="855" w:type="dxa"/>
            <w:tcBorders>
              <w:top w:val="nil"/>
              <w:left w:val="dotted" w:sz="4" w:space="0" w:color="000000"/>
              <w:bottom w:val="nil"/>
              <w:right w:val="single" w:sz="4" w:space="0" w:color="000000"/>
            </w:tcBorders>
            <w:shd w:val="clear" w:color="auto" w:fill="C6EFCE"/>
            <w:tcMar>
              <w:top w:w="15" w:type="dxa"/>
              <w:left w:w="15" w:type="dxa"/>
              <w:bottom w:w="0" w:type="dxa"/>
              <w:right w:w="15" w:type="dxa"/>
            </w:tcMar>
            <w:vAlign w:val="center"/>
            <w:hideMark/>
          </w:tcPr>
          <w:p w:rsidR="00F0434A" w:rsidRPr="00CC5B37" w:rsidRDefault="00F0434A" w:rsidP="005C2537">
            <w:pPr>
              <w:jc w:val="center"/>
              <w:textAlignment w:val="center"/>
              <w:rPr>
                <w:rFonts w:ascii="Calibri" w:eastAsia="Times New Roman" w:hAnsi="Calibri" w:cs="Calibri"/>
                <w:color w:val="006100"/>
                <w:kern w:val="24"/>
                <w:sz w:val="16"/>
                <w:szCs w:val="16"/>
                <w:lang w:eastAsia="fr-BE"/>
              </w:rPr>
            </w:pPr>
            <w:r>
              <w:rPr>
                <w:rFonts w:ascii="Calibri" w:eastAsia="Times New Roman" w:hAnsi="Calibri" w:cs="Calibri"/>
                <w:color w:val="006100"/>
                <w:kern w:val="24"/>
                <w:sz w:val="16"/>
                <w:szCs w:val="16"/>
                <w:lang w:eastAsia="fr-BE"/>
              </w:rPr>
              <w:t>C</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r>
      <w:tr w:rsidR="00F0434A" w:rsidRPr="00FC42CA" w:rsidTr="005C2537">
        <w:trPr>
          <w:trHeight w:val="66"/>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7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4</w:t>
            </w:r>
          </w:p>
        </w:tc>
        <w:tc>
          <w:tcPr>
            <w:tcW w:w="407" w:type="dxa"/>
            <w:tcBorders>
              <w:top w:val="single" w:sz="4" w:space="0" w:color="000000"/>
              <w:left w:val="single" w:sz="4" w:space="0" w:color="000000"/>
              <w:bottom w:val="single" w:sz="4" w:space="0" w:color="000000"/>
              <w:right w:val="single" w:sz="4" w:space="0" w:color="000000"/>
            </w:tcBorders>
          </w:tcPr>
          <w:p w:rsidR="00F0434A" w:rsidRPr="00FC42CA" w:rsidRDefault="00F0434A" w:rsidP="005C2537">
            <w:pPr>
              <w:jc w:val="center"/>
              <w:textAlignment w:val="center"/>
              <w:rPr>
                <w:rFonts w:ascii="Calibri" w:eastAsia="Times New Roman" w:hAnsi="Calibri" w:cs="Calibri"/>
                <w:color w:val="000000"/>
                <w:kern w:val="24"/>
                <w:sz w:val="16"/>
                <w:szCs w:val="16"/>
                <w:lang w:eastAsia="fr-BE"/>
              </w:rPr>
            </w:pPr>
            <w:r>
              <w:rPr>
                <w:rFonts w:ascii="Calibri" w:eastAsia="Times New Roman" w:hAnsi="Calibri" w:cs="Calibri"/>
                <w:color w:val="000000"/>
                <w:kern w:val="24"/>
                <w:sz w:val="16"/>
                <w:szCs w:val="16"/>
                <w:lang w:eastAsia="fr-BE"/>
              </w:rPr>
              <w:t>19</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theta</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855" w:type="dxa"/>
            <w:tcBorders>
              <w:top w:val="nil"/>
              <w:left w:val="single" w:sz="4" w:space="0" w:color="000000"/>
              <w:bottom w:val="nil"/>
              <w:right w:val="dotted" w:sz="4" w:space="0" w:color="000000"/>
            </w:tcBorders>
            <w:shd w:val="clear" w:color="auto" w:fill="C6EF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6100"/>
                <w:kern w:val="24"/>
                <w:sz w:val="16"/>
                <w:szCs w:val="16"/>
                <w:lang w:eastAsia="fr-BE"/>
              </w:rPr>
              <w:t>C</w:t>
            </w:r>
          </w:p>
        </w:tc>
        <w:tc>
          <w:tcPr>
            <w:tcW w:w="855" w:type="dxa"/>
            <w:tcBorders>
              <w:top w:val="nil"/>
              <w:left w:val="dotted" w:sz="4" w:space="0" w:color="000000"/>
              <w:bottom w:val="nil"/>
              <w:right w:val="single" w:sz="4" w:space="0" w:color="000000"/>
            </w:tcBorders>
            <w:shd w:val="clear" w:color="auto" w:fill="FFC7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9C0006"/>
                <w:kern w:val="24"/>
                <w:sz w:val="16"/>
                <w:szCs w:val="16"/>
                <w:lang w:eastAsia="fr-BE"/>
              </w:rPr>
              <w:t>D</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r>
      <w:tr w:rsidR="00F0434A" w:rsidRPr="00FC42CA" w:rsidTr="005C2537">
        <w:trPr>
          <w:trHeight w:val="66"/>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7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5</w:t>
            </w:r>
          </w:p>
        </w:tc>
        <w:tc>
          <w:tcPr>
            <w:tcW w:w="407" w:type="dxa"/>
            <w:tcBorders>
              <w:top w:val="single" w:sz="4" w:space="0" w:color="000000"/>
              <w:left w:val="single" w:sz="4" w:space="0" w:color="000000"/>
              <w:bottom w:val="single" w:sz="4" w:space="0" w:color="000000"/>
              <w:right w:val="single" w:sz="4" w:space="0" w:color="000000"/>
            </w:tcBorders>
          </w:tcPr>
          <w:p w:rsidR="00F0434A" w:rsidRPr="00FC42CA" w:rsidRDefault="00F0434A" w:rsidP="005C2537">
            <w:pPr>
              <w:jc w:val="center"/>
              <w:textAlignment w:val="center"/>
              <w:rPr>
                <w:rFonts w:ascii="Calibri" w:eastAsia="Times New Roman" w:hAnsi="Calibri" w:cs="Calibri"/>
                <w:color w:val="000000"/>
                <w:kern w:val="24"/>
                <w:sz w:val="16"/>
                <w:szCs w:val="16"/>
                <w:lang w:eastAsia="fr-BE"/>
              </w:rPr>
            </w:pPr>
            <w:r>
              <w:rPr>
                <w:rFonts w:ascii="Calibri" w:eastAsia="Times New Roman" w:hAnsi="Calibri" w:cs="Calibri"/>
                <w:color w:val="000000"/>
                <w:kern w:val="24"/>
                <w:sz w:val="16"/>
                <w:szCs w:val="16"/>
                <w:lang w:eastAsia="fr-BE"/>
              </w:rPr>
              <w:t>19</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theta</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855" w:type="dxa"/>
            <w:tcBorders>
              <w:top w:val="nil"/>
              <w:left w:val="single" w:sz="4" w:space="0" w:color="000000"/>
              <w:bottom w:val="single" w:sz="4" w:space="0" w:color="000000"/>
              <w:right w:val="dotted" w:sz="4" w:space="0" w:color="000000"/>
            </w:tcBorders>
            <w:shd w:val="clear" w:color="auto" w:fill="FFC7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9C0006"/>
                <w:kern w:val="24"/>
                <w:sz w:val="16"/>
                <w:szCs w:val="16"/>
                <w:lang w:eastAsia="fr-BE"/>
              </w:rPr>
              <w:t>D</w:t>
            </w:r>
          </w:p>
        </w:tc>
        <w:tc>
          <w:tcPr>
            <w:tcW w:w="855" w:type="dxa"/>
            <w:tcBorders>
              <w:top w:val="nil"/>
              <w:left w:val="dotted" w:sz="4" w:space="0" w:color="000000"/>
              <w:bottom w:val="single" w:sz="4" w:space="0" w:color="000000"/>
              <w:right w:val="single" w:sz="4" w:space="0" w:color="000000"/>
            </w:tcBorders>
            <w:shd w:val="clear" w:color="auto" w:fill="FFC7CE"/>
            <w:tcMar>
              <w:top w:w="15" w:type="dxa"/>
              <w:left w:w="15" w:type="dxa"/>
              <w:bottom w:w="0" w:type="dxa"/>
              <w:right w:w="15" w:type="dxa"/>
            </w:tcMar>
            <w:vAlign w:val="center"/>
            <w:hideMark/>
          </w:tcPr>
          <w:p w:rsidR="00F0434A" w:rsidRPr="00CC5B37" w:rsidRDefault="00F0434A" w:rsidP="005C2537">
            <w:pPr>
              <w:jc w:val="center"/>
              <w:textAlignment w:val="center"/>
              <w:rPr>
                <w:rFonts w:ascii="Calibri" w:eastAsia="Times New Roman" w:hAnsi="Calibri" w:cs="Calibri"/>
                <w:color w:val="9C0006"/>
                <w:kern w:val="24"/>
                <w:sz w:val="16"/>
                <w:szCs w:val="16"/>
                <w:lang w:eastAsia="fr-BE"/>
              </w:rPr>
            </w:pPr>
            <w:r w:rsidRPr="00CC5B37">
              <w:rPr>
                <w:rFonts w:ascii="Calibri" w:eastAsia="Times New Roman" w:hAnsi="Calibri" w:cs="Calibri"/>
                <w:color w:val="9C0006"/>
                <w:kern w:val="24"/>
                <w:sz w:val="16"/>
                <w:szCs w:val="16"/>
                <w:lang w:eastAsia="fr-BE"/>
              </w:rPr>
              <w:t>D</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r>
      <w:tr w:rsidR="00F0434A" w:rsidRPr="00FC42CA" w:rsidTr="005C2537">
        <w:trPr>
          <w:trHeight w:val="66"/>
        </w:trPr>
        <w:tc>
          <w:tcPr>
            <w:tcW w:w="81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14</w:t>
            </w:r>
          </w:p>
        </w:tc>
        <w:tc>
          <w:tcPr>
            <w:tcW w:w="7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1</w:t>
            </w:r>
          </w:p>
        </w:tc>
        <w:tc>
          <w:tcPr>
            <w:tcW w:w="407" w:type="dxa"/>
            <w:tcBorders>
              <w:top w:val="single" w:sz="4" w:space="0" w:color="000000"/>
              <w:left w:val="single" w:sz="4" w:space="0" w:color="000000"/>
              <w:bottom w:val="single" w:sz="4" w:space="0" w:color="000000"/>
              <w:right w:val="single" w:sz="4" w:space="0" w:color="000000"/>
            </w:tcBorders>
          </w:tcPr>
          <w:p w:rsidR="00F0434A" w:rsidRPr="00FC42CA" w:rsidRDefault="00F0434A" w:rsidP="005C2537">
            <w:pPr>
              <w:jc w:val="center"/>
              <w:textAlignment w:val="center"/>
              <w:rPr>
                <w:rFonts w:ascii="Calibri" w:eastAsia="Times New Roman" w:hAnsi="Calibri" w:cs="Calibri"/>
                <w:color w:val="000000"/>
                <w:kern w:val="24"/>
                <w:sz w:val="16"/>
                <w:szCs w:val="16"/>
                <w:lang w:eastAsia="fr-BE"/>
              </w:rPr>
            </w:pPr>
            <w:r>
              <w:rPr>
                <w:rFonts w:ascii="Calibri" w:eastAsia="Times New Roman" w:hAnsi="Calibri" w:cs="Calibri"/>
                <w:color w:val="000000"/>
                <w:kern w:val="24"/>
                <w:sz w:val="16"/>
                <w:szCs w:val="16"/>
                <w:lang w:eastAsia="fr-BE"/>
              </w:rPr>
              <w:t>19</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theta</w:t>
            </w:r>
          </w:p>
        </w:tc>
        <w:tc>
          <w:tcPr>
            <w:tcW w:w="2066"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val="en-US" w:eastAsia="fr-BE"/>
              </w:rPr>
            </w:pPr>
            <w:r w:rsidRPr="00FC42CA">
              <w:rPr>
                <w:rFonts w:ascii="Calibri" w:eastAsia="Times New Roman" w:hAnsi="Calibri" w:cs="Calibri"/>
                <w:color w:val="000000"/>
                <w:kern w:val="24"/>
                <w:sz w:val="16"/>
                <w:szCs w:val="16"/>
                <w:lang w:val="en-US" w:eastAsia="fr-BE"/>
              </w:rPr>
              <w:t>Occipital L, Parietal L, posterior operculo-insular L, TPO junction L, posterior cingular L</w:t>
            </w:r>
          </w:p>
        </w:tc>
        <w:tc>
          <w:tcPr>
            <w:tcW w:w="855" w:type="dxa"/>
            <w:tcBorders>
              <w:top w:val="single" w:sz="4" w:space="0" w:color="000000"/>
              <w:left w:val="single" w:sz="4" w:space="0" w:color="000000"/>
              <w:bottom w:val="nil"/>
              <w:right w:val="dotted" w:sz="4" w:space="0" w:color="000000"/>
            </w:tcBorders>
            <w:shd w:val="clear" w:color="auto" w:fill="FFC7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9C0006"/>
                <w:kern w:val="24"/>
                <w:sz w:val="16"/>
                <w:szCs w:val="16"/>
                <w:lang w:eastAsia="fr-BE"/>
              </w:rPr>
              <w:t>D</w:t>
            </w:r>
          </w:p>
        </w:tc>
        <w:tc>
          <w:tcPr>
            <w:tcW w:w="855" w:type="dxa"/>
            <w:tcBorders>
              <w:top w:val="single" w:sz="4" w:space="0" w:color="000000"/>
              <w:left w:val="dotted" w:sz="4" w:space="0" w:color="000000"/>
              <w:bottom w:val="nil"/>
              <w:right w:val="single" w:sz="4" w:space="0" w:color="000000"/>
            </w:tcBorders>
            <w:shd w:val="clear" w:color="auto" w:fill="FFC7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9C0006"/>
                <w:kern w:val="24"/>
                <w:sz w:val="16"/>
                <w:szCs w:val="16"/>
                <w:lang w:eastAsia="fr-BE"/>
              </w:rPr>
              <w:t>D</w:t>
            </w:r>
          </w:p>
        </w:tc>
        <w:tc>
          <w:tcPr>
            <w:tcW w:w="1018" w:type="dxa"/>
            <w:vMerge w:val="restart"/>
            <w:tcBorders>
              <w:top w:val="single" w:sz="4" w:space="0" w:color="000000"/>
              <w:left w:val="single" w:sz="4" w:space="0" w:color="000000"/>
              <w:bottom w:val="single" w:sz="4" w:space="0" w:color="000000"/>
              <w:right w:val="single" w:sz="4" w:space="0" w:color="000000"/>
            </w:tcBorders>
            <w:shd w:val="clear" w:color="auto" w:fill="9BC2E6"/>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inconclusive</w:t>
            </w:r>
          </w:p>
        </w:tc>
        <w:tc>
          <w:tcPr>
            <w:tcW w:w="1018" w:type="dxa"/>
            <w:vMerge w:val="restart"/>
            <w:tcBorders>
              <w:top w:val="single" w:sz="4" w:space="0" w:color="000000"/>
              <w:left w:val="single" w:sz="4" w:space="0" w:color="000000"/>
              <w:bottom w:val="single" w:sz="4" w:space="0" w:color="000000"/>
              <w:right w:val="single" w:sz="4" w:space="0" w:color="000000"/>
            </w:tcBorders>
            <w:shd w:val="clear" w:color="auto" w:fill="00B050"/>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TPO</w:t>
            </w:r>
            <w:r>
              <w:rPr>
                <w:rFonts w:ascii="Calibri" w:eastAsia="Times New Roman" w:hAnsi="Calibri" w:cs="Calibri"/>
                <w:color w:val="000000"/>
                <w:kern w:val="24"/>
                <w:sz w:val="16"/>
                <w:szCs w:val="16"/>
                <w:lang w:eastAsia="fr-BE"/>
              </w:rPr>
              <w:t xml:space="preserve"> junction</w:t>
            </w:r>
            <w:r w:rsidRPr="00FC42CA">
              <w:rPr>
                <w:rFonts w:ascii="Calibri" w:eastAsia="Times New Roman" w:hAnsi="Calibri" w:cs="Calibri"/>
                <w:color w:val="000000"/>
                <w:kern w:val="24"/>
                <w:sz w:val="16"/>
                <w:szCs w:val="16"/>
                <w:lang w:eastAsia="fr-BE"/>
              </w:rPr>
              <w:t xml:space="preserve"> L</w:t>
            </w:r>
          </w:p>
        </w:tc>
        <w:tc>
          <w:tcPr>
            <w:tcW w:w="1018" w:type="dxa"/>
            <w:vMerge w:val="restart"/>
            <w:tcBorders>
              <w:top w:val="single" w:sz="4" w:space="0" w:color="000000"/>
              <w:left w:val="single" w:sz="4" w:space="0" w:color="000000"/>
              <w:bottom w:val="single" w:sz="4" w:space="0" w:color="000000"/>
              <w:right w:val="single" w:sz="4" w:space="0" w:color="000000"/>
            </w:tcBorders>
            <w:shd w:val="clear" w:color="auto" w:fill="00B050"/>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Occipital lateral L</w:t>
            </w:r>
          </w:p>
        </w:tc>
      </w:tr>
      <w:tr w:rsidR="00F0434A" w:rsidRPr="00FC42CA" w:rsidTr="005C2537">
        <w:trPr>
          <w:trHeight w:val="66"/>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7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2</w:t>
            </w:r>
          </w:p>
        </w:tc>
        <w:tc>
          <w:tcPr>
            <w:tcW w:w="407" w:type="dxa"/>
            <w:tcBorders>
              <w:top w:val="single" w:sz="4" w:space="0" w:color="000000"/>
              <w:left w:val="single" w:sz="4" w:space="0" w:color="000000"/>
              <w:bottom w:val="single" w:sz="4" w:space="0" w:color="000000"/>
              <w:right w:val="single" w:sz="4" w:space="0" w:color="000000"/>
            </w:tcBorders>
          </w:tcPr>
          <w:p w:rsidR="00F0434A" w:rsidRPr="00FC42CA" w:rsidRDefault="00F0434A" w:rsidP="005C2537">
            <w:pPr>
              <w:jc w:val="center"/>
              <w:textAlignment w:val="center"/>
              <w:rPr>
                <w:rFonts w:ascii="Calibri" w:eastAsia="Times New Roman" w:hAnsi="Calibri" w:cs="Calibri"/>
                <w:color w:val="000000"/>
                <w:kern w:val="24"/>
                <w:sz w:val="16"/>
                <w:szCs w:val="16"/>
                <w:lang w:eastAsia="fr-BE"/>
              </w:rPr>
            </w:pPr>
            <w:r>
              <w:rPr>
                <w:rFonts w:ascii="Calibri" w:eastAsia="Times New Roman" w:hAnsi="Calibri" w:cs="Calibri"/>
                <w:color w:val="000000"/>
                <w:kern w:val="24"/>
                <w:sz w:val="16"/>
                <w:szCs w:val="16"/>
                <w:lang w:eastAsia="fr-BE"/>
              </w:rPr>
              <w:t>19</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theta</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855" w:type="dxa"/>
            <w:tcBorders>
              <w:top w:val="nil"/>
              <w:left w:val="single" w:sz="4" w:space="0" w:color="000000"/>
              <w:bottom w:val="nil"/>
              <w:right w:val="dotted" w:sz="4" w:space="0" w:color="000000"/>
            </w:tcBorders>
            <w:shd w:val="clear" w:color="auto" w:fill="C6EF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6100"/>
                <w:kern w:val="24"/>
                <w:sz w:val="16"/>
                <w:szCs w:val="16"/>
                <w:lang w:eastAsia="fr-BE"/>
              </w:rPr>
              <w:t>C</w:t>
            </w:r>
          </w:p>
        </w:tc>
        <w:tc>
          <w:tcPr>
            <w:tcW w:w="855" w:type="dxa"/>
            <w:tcBorders>
              <w:top w:val="nil"/>
              <w:left w:val="dotted" w:sz="4" w:space="0" w:color="000000"/>
              <w:bottom w:val="nil"/>
              <w:right w:val="single" w:sz="4" w:space="0" w:color="000000"/>
            </w:tcBorders>
            <w:shd w:val="clear" w:color="auto" w:fill="C6EF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6100"/>
                <w:kern w:val="24"/>
                <w:sz w:val="16"/>
                <w:szCs w:val="16"/>
                <w:lang w:eastAsia="fr-BE"/>
              </w:rPr>
              <w:t>C</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r>
      <w:tr w:rsidR="00F0434A" w:rsidRPr="00FC42CA" w:rsidTr="005C2537">
        <w:trPr>
          <w:trHeight w:val="66"/>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7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3</w:t>
            </w:r>
          </w:p>
        </w:tc>
        <w:tc>
          <w:tcPr>
            <w:tcW w:w="407" w:type="dxa"/>
            <w:tcBorders>
              <w:top w:val="single" w:sz="4" w:space="0" w:color="000000"/>
              <w:left w:val="single" w:sz="4" w:space="0" w:color="000000"/>
              <w:bottom w:val="single" w:sz="4" w:space="0" w:color="000000"/>
              <w:right w:val="single" w:sz="4" w:space="0" w:color="000000"/>
            </w:tcBorders>
          </w:tcPr>
          <w:p w:rsidR="00F0434A" w:rsidRPr="00FC42CA" w:rsidRDefault="00F0434A" w:rsidP="005C2537">
            <w:pPr>
              <w:jc w:val="center"/>
              <w:textAlignment w:val="center"/>
              <w:rPr>
                <w:rFonts w:ascii="Calibri" w:eastAsia="Times New Roman" w:hAnsi="Calibri" w:cs="Calibri"/>
                <w:color w:val="000000"/>
                <w:kern w:val="24"/>
                <w:sz w:val="16"/>
                <w:szCs w:val="16"/>
                <w:lang w:eastAsia="fr-BE"/>
              </w:rPr>
            </w:pPr>
            <w:r>
              <w:rPr>
                <w:rFonts w:ascii="Calibri" w:eastAsia="Times New Roman" w:hAnsi="Calibri" w:cs="Calibri"/>
                <w:color w:val="000000"/>
                <w:kern w:val="24"/>
                <w:sz w:val="16"/>
                <w:szCs w:val="16"/>
                <w:lang w:eastAsia="fr-BE"/>
              </w:rPr>
              <w:t>19</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theta</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855" w:type="dxa"/>
            <w:tcBorders>
              <w:top w:val="nil"/>
              <w:left w:val="single" w:sz="4" w:space="0" w:color="000000"/>
              <w:bottom w:val="nil"/>
              <w:right w:val="dotted" w:sz="4" w:space="0" w:color="000000"/>
            </w:tcBorders>
            <w:shd w:val="clear" w:color="auto" w:fill="FFC7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9C0006"/>
                <w:kern w:val="24"/>
                <w:sz w:val="16"/>
                <w:szCs w:val="16"/>
                <w:lang w:eastAsia="fr-BE"/>
              </w:rPr>
              <w:t>D</w:t>
            </w:r>
          </w:p>
        </w:tc>
        <w:tc>
          <w:tcPr>
            <w:tcW w:w="855" w:type="dxa"/>
            <w:tcBorders>
              <w:top w:val="nil"/>
              <w:left w:val="dotted" w:sz="4" w:space="0" w:color="000000"/>
              <w:bottom w:val="nil"/>
              <w:right w:val="single" w:sz="4" w:space="0" w:color="000000"/>
            </w:tcBorders>
            <w:shd w:val="clear" w:color="auto" w:fill="FFC7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9C0006"/>
                <w:kern w:val="24"/>
                <w:sz w:val="16"/>
                <w:szCs w:val="16"/>
                <w:lang w:eastAsia="fr-BE"/>
              </w:rPr>
              <w:t>D</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r>
      <w:tr w:rsidR="00F0434A" w:rsidRPr="00FC42CA" w:rsidTr="005C2537">
        <w:trPr>
          <w:trHeight w:val="66"/>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7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4</w:t>
            </w:r>
          </w:p>
        </w:tc>
        <w:tc>
          <w:tcPr>
            <w:tcW w:w="407" w:type="dxa"/>
            <w:tcBorders>
              <w:top w:val="single" w:sz="4" w:space="0" w:color="000000"/>
              <w:left w:val="single" w:sz="4" w:space="0" w:color="000000"/>
              <w:bottom w:val="single" w:sz="4" w:space="0" w:color="000000"/>
              <w:right w:val="single" w:sz="4" w:space="0" w:color="000000"/>
            </w:tcBorders>
          </w:tcPr>
          <w:p w:rsidR="00F0434A" w:rsidRPr="00FC42CA" w:rsidRDefault="00F0434A" w:rsidP="005C2537">
            <w:pPr>
              <w:jc w:val="center"/>
              <w:textAlignment w:val="center"/>
              <w:rPr>
                <w:rFonts w:ascii="Calibri" w:eastAsia="Times New Roman" w:hAnsi="Calibri" w:cs="Calibri"/>
                <w:color w:val="000000"/>
                <w:kern w:val="24"/>
                <w:sz w:val="16"/>
                <w:szCs w:val="16"/>
                <w:lang w:eastAsia="fr-BE"/>
              </w:rPr>
            </w:pPr>
            <w:r>
              <w:rPr>
                <w:rFonts w:ascii="Calibri" w:eastAsia="Times New Roman" w:hAnsi="Calibri" w:cs="Calibri"/>
                <w:color w:val="000000"/>
                <w:kern w:val="24"/>
                <w:sz w:val="16"/>
                <w:szCs w:val="16"/>
                <w:lang w:eastAsia="fr-BE"/>
              </w:rPr>
              <w:t>19</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theta</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855" w:type="dxa"/>
            <w:tcBorders>
              <w:top w:val="nil"/>
              <w:left w:val="single" w:sz="4" w:space="0" w:color="000000"/>
              <w:bottom w:val="single" w:sz="4" w:space="0" w:color="000000"/>
              <w:right w:val="dotted" w:sz="4" w:space="0" w:color="000000"/>
            </w:tcBorders>
            <w:shd w:val="clear" w:color="auto" w:fill="FFC7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9C0006"/>
                <w:kern w:val="24"/>
                <w:sz w:val="16"/>
                <w:szCs w:val="16"/>
                <w:lang w:eastAsia="fr-BE"/>
              </w:rPr>
              <w:t>D</w:t>
            </w:r>
          </w:p>
        </w:tc>
        <w:tc>
          <w:tcPr>
            <w:tcW w:w="855" w:type="dxa"/>
            <w:tcBorders>
              <w:top w:val="nil"/>
              <w:left w:val="dotted" w:sz="4" w:space="0" w:color="000000"/>
              <w:bottom w:val="single" w:sz="4" w:space="0" w:color="000000"/>
              <w:right w:val="single" w:sz="4" w:space="0" w:color="000000"/>
            </w:tcBorders>
            <w:shd w:val="clear" w:color="auto" w:fill="C6EF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6100"/>
                <w:kern w:val="24"/>
                <w:sz w:val="16"/>
                <w:szCs w:val="16"/>
                <w:lang w:eastAsia="fr-BE"/>
              </w:rPr>
              <w:t>C</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r>
      <w:tr w:rsidR="00F0434A" w:rsidRPr="00FC42CA" w:rsidTr="005C2537">
        <w:trPr>
          <w:trHeight w:val="68"/>
        </w:trPr>
        <w:tc>
          <w:tcPr>
            <w:tcW w:w="81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15</w:t>
            </w:r>
          </w:p>
        </w:tc>
        <w:tc>
          <w:tcPr>
            <w:tcW w:w="7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1</w:t>
            </w:r>
          </w:p>
        </w:tc>
        <w:tc>
          <w:tcPr>
            <w:tcW w:w="407" w:type="dxa"/>
            <w:tcBorders>
              <w:top w:val="single" w:sz="4" w:space="0" w:color="000000"/>
              <w:left w:val="single" w:sz="4" w:space="0" w:color="000000"/>
              <w:bottom w:val="single" w:sz="4" w:space="0" w:color="000000"/>
              <w:right w:val="single" w:sz="4" w:space="0" w:color="000000"/>
            </w:tcBorders>
          </w:tcPr>
          <w:p w:rsidR="00F0434A" w:rsidRDefault="00F0434A" w:rsidP="005C2537">
            <w:pPr>
              <w:jc w:val="center"/>
              <w:textAlignment w:val="center"/>
              <w:rPr>
                <w:rFonts w:ascii="Calibri" w:eastAsia="Times New Roman" w:hAnsi="Calibri" w:cs="Calibri"/>
                <w:color w:val="000000"/>
                <w:kern w:val="24"/>
                <w:sz w:val="16"/>
                <w:szCs w:val="16"/>
                <w:lang w:eastAsia="fr-BE"/>
              </w:rPr>
            </w:pPr>
            <w:r>
              <w:rPr>
                <w:rFonts w:ascii="Calibri" w:eastAsia="Times New Roman" w:hAnsi="Calibri" w:cs="Calibri"/>
                <w:color w:val="000000"/>
                <w:kern w:val="24"/>
                <w:sz w:val="16"/>
                <w:szCs w:val="16"/>
                <w:lang w:eastAsia="fr-BE"/>
              </w:rPr>
              <w:t>17</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Pr>
                <w:rFonts w:ascii="Calibri" w:eastAsia="Times New Roman" w:hAnsi="Calibri" w:cs="Calibri"/>
                <w:color w:val="000000"/>
                <w:kern w:val="24"/>
                <w:sz w:val="16"/>
                <w:szCs w:val="16"/>
                <w:lang w:eastAsia="fr-BE"/>
              </w:rPr>
              <w:t>beta</w:t>
            </w:r>
          </w:p>
        </w:tc>
        <w:tc>
          <w:tcPr>
            <w:tcW w:w="2066"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R hemisphere</w:t>
            </w:r>
          </w:p>
        </w:tc>
        <w:tc>
          <w:tcPr>
            <w:tcW w:w="855" w:type="dxa"/>
            <w:tcBorders>
              <w:top w:val="single" w:sz="4" w:space="0" w:color="000000"/>
              <w:left w:val="single" w:sz="4" w:space="0" w:color="000000"/>
              <w:bottom w:val="nil"/>
              <w:right w:val="dotted" w:sz="4" w:space="0" w:color="000000"/>
            </w:tcBorders>
            <w:shd w:val="clear" w:color="auto" w:fill="C6EF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6100"/>
                <w:kern w:val="24"/>
                <w:sz w:val="16"/>
                <w:szCs w:val="16"/>
                <w:lang w:eastAsia="fr-BE"/>
              </w:rPr>
              <w:t>C</w:t>
            </w:r>
          </w:p>
        </w:tc>
        <w:tc>
          <w:tcPr>
            <w:tcW w:w="855" w:type="dxa"/>
            <w:tcBorders>
              <w:top w:val="single" w:sz="4" w:space="0" w:color="000000"/>
              <w:left w:val="dotted" w:sz="4" w:space="0" w:color="000000"/>
              <w:bottom w:val="nil"/>
              <w:right w:val="single" w:sz="4" w:space="0" w:color="000000"/>
            </w:tcBorders>
            <w:shd w:val="clear" w:color="auto" w:fill="FFC7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9C0006"/>
                <w:kern w:val="24"/>
                <w:sz w:val="16"/>
                <w:szCs w:val="16"/>
                <w:lang w:eastAsia="fr-BE"/>
              </w:rPr>
              <w:t>D</w:t>
            </w:r>
          </w:p>
        </w:tc>
        <w:tc>
          <w:tcPr>
            <w:tcW w:w="3054"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b/>
                <w:bCs/>
                <w:color w:val="000000"/>
                <w:kern w:val="24"/>
                <w:sz w:val="16"/>
                <w:szCs w:val="16"/>
                <w:lang w:eastAsia="fr-BE"/>
              </w:rPr>
              <w:t>n/a</w:t>
            </w:r>
          </w:p>
        </w:tc>
      </w:tr>
      <w:tr w:rsidR="00F0434A" w:rsidRPr="00FC42CA" w:rsidTr="005C2537">
        <w:trPr>
          <w:trHeight w:val="66"/>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7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2</w:t>
            </w:r>
          </w:p>
        </w:tc>
        <w:tc>
          <w:tcPr>
            <w:tcW w:w="407" w:type="dxa"/>
            <w:tcBorders>
              <w:top w:val="single" w:sz="4" w:space="0" w:color="000000"/>
              <w:left w:val="single" w:sz="4" w:space="0" w:color="000000"/>
              <w:bottom w:val="single" w:sz="4" w:space="0" w:color="000000"/>
              <w:right w:val="single" w:sz="4" w:space="0" w:color="000000"/>
            </w:tcBorders>
          </w:tcPr>
          <w:p w:rsidR="00F0434A" w:rsidRDefault="00F0434A" w:rsidP="005C2537">
            <w:pPr>
              <w:jc w:val="center"/>
              <w:textAlignment w:val="center"/>
              <w:rPr>
                <w:rFonts w:ascii="Calibri" w:eastAsia="Times New Roman" w:hAnsi="Calibri" w:cs="Calibri"/>
                <w:color w:val="000000"/>
                <w:kern w:val="24"/>
                <w:sz w:val="16"/>
                <w:szCs w:val="16"/>
                <w:lang w:eastAsia="fr-BE"/>
              </w:rPr>
            </w:pPr>
            <w:r>
              <w:rPr>
                <w:rFonts w:ascii="Calibri" w:eastAsia="Times New Roman" w:hAnsi="Calibri" w:cs="Calibri"/>
                <w:color w:val="000000"/>
                <w:kern w:val="24"/>
                <w:sz w:val="16"/>
                <w:szCs w:val="16"/>
                <w:lang w:eastAsia="fr-BE"/>
              </w:rPr>
              <w:t>18</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Pr>
                <w:rFonts w:ascii="Calibri" w:eastAsia="Times New Roman" w:hAnsi="Calibri" w:cs="Calibri"/>
                <w:color w:val="000000"/>
                <w:kern w:val="24"/>
                <w:sz w:val="16"/>
                <w:szCs w:val="16"/>
                <w:lang w:eastAsia="fr-BE"/>
              </w:rPr>
              <w:t>beta</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855" w:type="dxa"/>
            <w:tcBorders>
              <w:top w:val="nil"/>
              <w:left w:val="single" w:sz="4" w:space="0" w:color="000000"/>
              <w:bottom w:val="nil"/>
              <w:right w:val="dotted" w:sz="4" w:space="0" w:color="000000"/>
            </w:tcBorders>
            <w:shd w:val="clear" w:color="auto" w:fill="C6EF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6100"/>
                <w:kern w:val="24"/>
                <w:sz w:val="16"/>
                <w:szCs w:val="16"/>
                <w:lang w:eastAsia="fr-BE"/>
              </w:rPr>
              <w:t>C</w:t>
            </w:r>
          </w:p>
        </w:tc>
        <w:tc>
          <w:tcPr>
            <w:tcW w:w="855" w:type="dxa"/>
            <w:tcBorders>
              <w:top w:val="nil"/>
              <w:left w:val="dotted" w:sz="4" w:space="0" w:color="000000"/>
              <w:bottom w:val="nil"/>
              <w:right w:val="single" w:sz="4" w:space="0" w:color="000000"/>
            </w:tcBorders>
            <w:shd w:val="clear" w:color="auto" w:fill="C6EF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6100"/>
                <w:kern w:val="24"/>
                <w:sz w:val="16"/>
                <w:szCs w:val="16"/>
                <w:lang w:eastAsia="fr-BE"/>
              </w:rPr>
              <w:t>C</w:t>
            </w:r>
          </w:p>
        </w:tc>
        <w:tc>
          <w:tcPr>
            <w:tcW w:w="0" w:type="auto"/>
            <w:gridSpan w:val="3"/>
            <w:vMerge/>
            <w:tcBorders>
              <w:top w:val="nil"/>
              <w:left w:val="dotted" w:sz="4" w:space="0" w:color="000000"/>
              <w:bottom w:val="nil"/>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r>
      <w:tr w:rsidR="00F0434A" w:rsidRPr="00FC42CA" w:rsidTr="005C2537">
        <w:trPr>
          <w:trHeight w:val="66"/>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7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3</w:t>
            </w:r>
          </w:p>
        </w:tc>
        <w:tc>
          <w:tcPr>
            <w:tcW w:w="407" w:type="dxa"/>
            <w:tcBorders>
              <w:top w:val="single" w:sz="4" w:space="0" w:color="000000"/>
              <w:left w:val="single" w:sz="4" w:space="0" w:color="000000"/>
              <w:bottom w:val="single" w:sz="4" w:space="0" w:color="000000"/>
              <w:right w:val="single" w:sz="4" w:space="0" w:color="000000"/>
            </w:tcBorders>
          </w:tcPr>
          <w:p w:rsidR="00F0434A" w:rsidRDefault="00F0434A" w:rsidP="005C2537">
            <w:pPr>
              <w:jc w:val="center"/>
              <w:textAlignment w:val="center"/>
              <w:rPr>
                <w:rFonts w:ascii="Calibri" w:eastAsia="Times New Roman" w:hAnsi="Calibri" w:cs="Calibri"/>
                <w:color w:val="000000"/>
                <w:kern w:val="24"/>
                <w:sz w:val="16"/>
                <w:szCs w:val="16"/>
                <w:lang w:eastAsia="fr-BE"/>
              </w:rPr>
            </w:pPr>
            <w:r>
              <w:rPr>
                <w:rFonts w:ascii="Calibri" w:eastAsia="Times New Roman" w:hAnsi="Calibri" w:cs="Calibri"/>
                <w:color w:val="000000"/>
                <w:kern w:val="24"/>
                <w:sz w:val="16"/>
                <w:szCs w:val="16"/>
                <w:lang w:eastAsia="fr-BE"/>
              </w:rPr>
              <w:t>17</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Pr>
                <w:rFonts w:ascii="Calibri" w:eastAsia="Times New Roman" w:hAnsi="Calibri" w:cs="Calibri"/>
                <w:color w:val="000000"/>
                <w:kern w:val="24"/>
                <w:sz w:val="16"/>
                <w:szCs w:val="16"/>
                <w:lang w:eastAsia="fr-BE"/>
              </w:rPr>
              <w:t>beta</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855" w:type="dxa"/>
            <w:tcBorders>
              <w:top w:val="nil"/>
              <w:left w:val="single" w:sz="4" w:space="0" w:color="000000"/>
              <w:bottom w:val="single" w:sz="4" w:space="0" w:color="000000"/>
              <w:right w:val="dotted" w:sz="4" w:space="0" w:color="000000"/>
            </w:tcBorders>
            <w:shd w:val="clear" w:color="auto" w:fill="C6EF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6100"/>
                <w:kern w:val="24"/>
                <w:sz w:val="16"/>
                <w:szCs w:val="16"/>
                <w:lang w:eastAsia="fr-BE"/>
              </w:rPr>
              <w:t>C</w:t>
            </w:r>
          </w:p>
        </w:tc>
        <w:tc>
          <w:tcPr>
            <w:tcW w:w="855" w:type="dxa"/>
            <w:tcBorders>
              <w:top w:val="nil"/>
              <w:left w:val="dotted" w:sz="4" w:space="0" w:color="000000"/>
              <w:bottom w:val="single" w:sz="4" w:space="0" w:color="000000"/>
              <w:right w:val="single" w:sz="4" w:space="0" w:color="000000"/>
            </w:tcBorders>
            <w:shd w:val="clear" w:color="auto" w:fill="C6EF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6100"/>
                <w:kern w:val="24"/>
                <w:sz w:val="16"/>
                <w:szCs w:val="16"/>
                <w:lang w:eastAsia="fr-BE"/>
              </w:rPr>
              <w:t>C</w:t>
            </w:r>
          </w:p>
        </w:tc>
        <w:tc>
          <w:tcPr>
            <w:tcW w:w="0" w:type="auto"/>
            <w:gridSpan w:val="3"/>
            <w:vMerge/>
            <w:tcBorders>
              <w:top w:val="nil"/>
              <w:left w:val="dotted"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r>
      <w:tr w:rsidR="00F0434A" w:rsidRPr="00FC42CA" w:rsidTr="005C2537">
        <w:trPr>
          <w:trHeight w:val="66"/>
        </w:trPr>
        <w:tc>
          <w:tcPr>
            <w:tcW w:w="81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lastRenderedPageBreak/>
              <w:t>16</w:t>
            </w:r>
          </w:p>
        </w:tc>
        <w:tc>
          <w:tcPr>
            <w:tcW w:w="7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1</w:t>
            </w:r>
          </w:p>
        </w:tc>
        <w:tc>
          <w:tcPr>
            <w:tcW w:w="407" w:type="dxa"/>
            <w:tcBorders>
              <w:top w:val="single" w:sz="4" w:space="0" w:color="000000"/>
              <w:left w:val="single" w:sz="4" w:space="0" w:color="000000"/>
              <w:bottom w:val="single" w:sz="4" w:space="0" w:color="000000"/>
              <w:right w:val="single" w:sz="4" w:space="0" w:color="000000"/>
            </w:tcBorders>
          </w:tcPr>
          <w:p w:rsidR="00F0434A" w:rsidRPr="00FC42CA" w:rsidRDefault="00F0434A" w:rsidP="005C2537">
            <w:pPr>
              <w:jc w:val="center"/>
              <w:textAlignment w:val="center"/>
              <w:rPr>
                <w:rFonts w:ascii="Calibri" w:eastAsia="Times New Roman" w:hAnsi="Calibri" w:cs="Calibri"/>
                <w:color w:val="000000"/>
                <w:kern w:val="24"/>
                <w:sz w:val="16"/>
                <w:szCs w:val="16"/>
                <w:lang w:eastAsia="fr-BE"/>
              </w:rPr>
            </w:pPr>
            <w:r>
              <w:rPr>
                <w:rFonts w:ascii="Calibri" w:eastAsia="Times New Roman" w:hAnsi="Calibri" w:cs="Calibri"/>
                <w:color w:val="000000"/>
                <w:kern w:val="24"/>
                <w:sz w:val="16"/>
                <w:szCs w:val="16"/>
                <w:lang w:eastAsia="fr-BE"/>
              </w:rPr>
              <w:t>19</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theta</w:t>
            </w:r>
          </w:p>
        </w:tc>
        <w:tc>
          <w:tcPr>
            <w:tcW w:w="2066"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val="en-US" w:eastAsia="fr-BE"/>
              </w:rPr>
            </w:pPr>
            <w:r w:rsidRPr="00FC42CA">
              <w:rPr>
                <w:rFonts w:ascii="Calibri" w:eastAsia="Times New Roman" w:hAnsi="Calibri" w:cs="Calibri"/>
                <w:color w:val="000000"/>
                <w:kern w:val="24"/>
                <w:sz w:val="16"/>
                <w:szCs w:val="16"/>
                <w:lang w:val="pt-BR" w:eastAsia="fr-BE"/>
              </w:rPr>
              <w:t>Occipital R, Parietal R, posterior operculo-insular R, TPO junction R, posterior cingular R</w:t>
            </w:r>
          </w:p>
        </w:tc>
        <w:tc>
          <w:tcPr>
            <w:tcW w:w="855" w:type="dxa"/>
            <w:tcBorders>
              <w:top w:val="single" w:sz="4" w:space="0" w:color="000000"/>
              <w:left w:val="single" w:sz="4" w:space="0" w:color="000000"/>
              <w:bottom w:val="nil"/>
              <w:right w:val="dotted" w:sz="4" w:space="0" w:color="000000"/>
            </w:tcBorders>
            <w:shd w:val="clear" w:color="auto" w:fill="FFC7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9C0006"/>
                <w:kern w:val="24"/>
                <w:sz w:val="16"/>
                <w:szCs w:val="16"/>
                <w:lang w:eastAsia="fr-BE"/>
              </w:rPr>
              <w:t>D</w:t>
            </w:r>
          </w:p>
        </w:tc>
        <w:tc>
          <w:tcPr>
            <w:tcW w:w="855" w:type="dxa"/>
            <w:tcBorders>
              <w:top w:val="single" w:sz="4" w:space="0" w:color="000000"/>
              <w:left w:val="dotted" w:sz="4" w:space="0" w:color="000000"/>
              <w:bottom w:val="nil"/>
              <w:right w:val="single" w:sz="4" w:space="0" w:color="000000"/>
            </w:tcBorders>
            <w:shd w:val="clear" w:color="auto" w:fill="FFC7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9C0006"/>
                <w:kern w:val="24"/>
                <w:sz w:val="16"/>
                <w:szCs w:val="16"/>
                <w:lang w:eastAsia="fr-BE"/>
              </w:rPr>
              <w:t>D</w:t>
            </w:r>
          </w:p>
        </w:tc>
        <w:tc>
          <w:tcPr>
            <w:tcW w:w="1018" w:type="dxa"/>
            <w:vMerge w:val="restart"/>
            <w:tcBorders>
              <w:top w:val="single" w:sz="4" w:space="0" w:color="000000"/>
              <w:left w:val="single" w:sz="4" w:space="0" w:color="000000"/>
              <w:bottom w:val="single" w:sz="4" w:space="0" w:color="000000"/>
              <w:right w:val="single" w:sz="4" w:space="0" w:color="000000"/>
            </w:tcBorders>
            <w:shd w:val="clear" w:color="auto" w:fill="FF9999"/>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T mesial D</w:t>
            </w:r>
          </w:p>
        </w:tc>
        <w:tc>
          <w:tcPr>
            <w:tcW w:w="1018" w:type="dxa"/>
            <w:vMerge w:val="restart"/>
            <w:tcBorders>
              <w:top w:val="single" w:sz="4" w:space="0" w:color="000000"/>
              <w:left w:val="single" w:sz="4" w:space="0" w:color="000000"/>
              <w:bottom w:val="single" w:sz="4" w:space="0" w:color="000000"/>
              <w:right w:val="single" w:sz="4" w:space="0" w:color="000000"/>
            </w:tcBorders>
            <w:shd w:val="clear" w:color="auto" w:fill="00B050"/>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Occipital lateral R</w:t>
            </w:r>
          </w:p>
        </w:tc>
        <w:tc>
          <w:tcPr>
            <w:tcW w:w="1018" w:type="dxa"/>
            <w:vMerge w:val="restart"/>
            <w:tcBorders>
              <w:top w:val="single" w:sz="4" w:space="0" w:color="000000"/>
              <w:left w:val="single" w:sz="4" w:space="0" w:color="000000"/>
              <w:bottom w:val="single" w:sz="4" w:space="0" w:color="000000"/>
              <w:right w:val="single" w:sz="4" w:space="0" w:color="000000"/>
            </w:tcBorders>
            <w:shd w:val="clear" w:color="auto" w:fill="00B050"/>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Occipital lateral L R</w:t>
            </w:r>
          </w:p>
        </w:tc>
      </w:tr>
      <w:tr w:rsidR="00F0434A" w:rsidRPr="00FC42CA" w:rsidTr="005C2537">
        <w:trPr>
          <w:trHeight w:val="66"/>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7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2</w:t>
            </w:r>
          </w:p>
        </w:tc>
        <w:tc>
          <w:tcPr>
            <w:tcW w:w="407" w:type="dxa"/>
            <w:tcBorders>
              <w:top w:val="single" w:sz="4" w:space="0" w:color="000000"/>
              <w:left w:val="single" w:sz="4" w:space="0" w:color="000000"/>
              <w:bottom w:val="single" w:sz="4" w:space="0" w:color="000000"/>
              <w:right w:val="single" w:sz="4" w:space="0" w:color="000000"/>
            </w:tcBorders>
          </w:tcPr>
          <w:p w:rsidR="00F0434A" w:rsidRPr="00FC42CA" w:rsidRDefault="00F0434A" w:rsidP="005C2537">
            <w:pPr>
              <w:jc w:val="center"/>
              <w:textAlignment w:val="center"/>
              <w:rPr>
                <w:rFonts w:ascii="Calibri" w:eastAsia="Times New Roman" w:hAnsi="Calibri" w:cs="Calibri"/>
                <w:color w:val="000000"/>
                <w:kern w:val="24"/>
                <w:sz w:val="16"/>
                <w:szCs w:val="16"/>
                <w:lang w:eastAsia="fr-BE"/>
              </w:rPr>
            </w:pPr>
            <w:r>
              <w:rPr>
                <w:rFonts w:ascii="Calibri" w:eastAsia="Times New Roman" w:hAnsi="Calibri" w:cs="Calibri"/>
                <w:color w:val="000000"/>
                <w:kern w:val="24"/>
                <w:sz w:val="16"/>
                <w:szCs w:val="16"/>
                <w:lang w:eastAsia="fr-BE"/>
              </w:rPr>
              <w:t>19</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theta</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855" w:type="dxa"/>
            <w:tcBorders>
              <w:top w:val="nil"/>
              <w:left w:val="single" w:sz="4" w:space="0" w:color="000000"/>
              <w:bottom w:val="nil"/>
              <w:right w:val="dotted" w:sz="4" w:space="0" w:color="000000"/>
            </w:tcBorders>
            <w:shd w:val="clear" w:color="auto" w:fill="FFC7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9C0006"/>
                <w:kern w:val="24"/>
                <w:sz w:val="16"/>
                <w:szCs w:val="16"/>
                <w:lang w:eastAsia="fr-BE"/>
              </w:rPr>
              <w:t>D</w:t>
            </w:r>
          </w:p>
        </w:tc>
        <w:tc>
          <w:tcPr>
            <w:tcW w:w="855" w:type="dxa"/>
            <w:tcBorders>
              <w:top w:val="nil"/>
              <w:left w:val="dotted" w:sz="4" w:space="0" w:color="000000"/>
              <w:bottom w:val="nil"/>
              <w:right w:val="single" w:sz="4" w:space="0" w:color="000000"/>
            </w:tcBorders>
            <w:shd w:val="clear" w:color="auto" w:fill="C6EF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6100"/>
                <w:kern w:val="24"/>
                <w:sz w:val="16"/>
                <w:szCs w:val="16"/>
                <w:lang w:eastAsia="fr-BE"/>
              </w:rPr>
              <w:t>C</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r>
      <w:tr w:rsidR="00F0434A" w:rsidRPr="00FC42CA" w:rsidTr="005C2537">
        <w:trPr>
          <w:trHeight w:val="66"/>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7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3</w:t>
            </w:r>
          </w:p>
        </w:tc>
        <w:tc>
          <w:tcPr>
            <w:tcW w:w="407" w:type="dxa"/>
            <w:tcBorders>
              <w:top w:val="single" w:sz="4" w:space="0" w:color="000000"/>
              <w:left w:val="single" w:sz="4" w:space="0" w:color="000000"/>
              <w:bottom w:val="single" w:sz="4" w:space="0" w:color="000000"/>
              <w:right w:val="single" w:sz="4" w:space="0" w:color="000000"/>
            </w:tcBorders>
          </w:tcPr>
          <w:p w:rsidR="00F0434A" w:rsidRPr="00FC42CA" w:rsidRDefault="00F0434A" w:rsidP="005C2537">
            <w:pPr>
              <w:jc w:val="center"/>
              <w:textAlignment w:val="center"/>
              <w:rPr>
                <w:rFonts w:ascii="Calibri" w:eastAsia="Times New Roman" w:hAnsi="Calibri" w:cs="Calibri"/>
                <w:color w:val="000000"/>
                <w:kern w:val="24"/>
                <w:sz w:val="16"/>
                <w:szCs w:val="16"/>
                <w:lang w:eastAsia="fr-BE"/>
              </w:rPr>
            </w:pPr>
            <w:r>
              <w:rPr>
                <w:rFonts w:ascii="Calibri" w:eastAsia="Times New Roman" w:hAnsi="Calibri" w:cs="Calibri"/>
                <w:color w:val="000000"/>
                <w:kern w:val="24"/>
                <w:sz w:val="16"/>
                <w:szCs w:val="16"/>
                <w:lang w:eastAsia="fr-BE"/>
              </w:rPr>
              <w:t>18</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theta</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855" w:type="dxa"/>
            <w:tcBorders>
              <w:top w:val="nil"/>
              <w:left w:val="single" w:sz="4" w:space="0" w:color="000000"/>
              <w:bottom w:val="nil"/>
              <w:right w:val="dotted" w:sz="4" w:space="0" w:color="000000"/>
            </w:tcBorders>
            <w:shd w:val="clear" w:color="auto" w:fill="FFC7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9C0006"/>
                <w:kern w:val="24"/>
                <w:sz w:val="16"/>
                <w:szCs w:val="16"/>
                <w:lang w:eastAsia="fr-BE"/>
              </w:rPr>
              <w:t>D</w:t>
            </w:r>
          </w:p>
        </w:tc>
        <w:tc>
          <w:tcPr>
            <w:tcW w:w="855" w:type="dxa"/>
            <w:tcBorders>
              <w:top w:val="nil"/>
              <w:left w:val="dotted" w:sz="4" w:space="0" w:color="000000"/>
              <w:bottom w:val="nil"/>
              <w:right w:val="single" w:sz="4" w:space="0" w:color="000000"/>
            </w:tcBorders>
            <w:shd w:val="clear" w:color="auto" w:fill="FFC7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9C0006"/>
                <w:kern w:val="24"/>
                <w:sz w:val="16"/>
                <w:szCs w:val="16"/>
                <w:lang w:eastAsia="fr-BE"/>
              </w:rPr>
              <w:t>D</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r>
      <w:tr w:rsidR="00F0434A" w:rsidRPr="00FC42CA" w:rsidTr="005C2537">
        <w:trPr>
          <w:trHeight w:val="66"/>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7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4</w:t>
            </w:r>
          </w:p>
        </w:tc>
        <w:tc>
          <w:tcPr>
            <w:tcW w:w="407" w:type="dxa"/>
            <w:tcBorders>
              <w:top w:val="single" w:sz="4" w:space="0" w:color="000000"/>
              <w:left w:val="single" w:sz="4" w:space="0" w:color="000000"/>
              <w:bottom w:val="single" w:sz="4" w:space="0" w:color="000000"/>
              <w:right w:val="single" w:sz="4" w:space="0" w:color="000000"/>
            </w:tcBorders>
          </w:tcPr>
          <w:p w:rsidR="00F0434A" w:rsidRPr="00FC42CA" w:rsidRDefault="00F0434A" w:rsidP="005C2537">
            <w:pPr>
              <w:jc w:val="center"/>
              <w:textAlignment w:val="center"/>
              <w:rPr>
                <w:rFonts w:ascii="Calibri" w:eastAsia="Times New Roman" w:hAnsi="Calibri" w:cs="Calibri"/>
                <w:color w:val="000000"/>
                <w:kern w:val="24"/>
                <w:sz w:val="16"/>
                <w:szCs w:val="16"/>
                <w:lang w:eastAsia="fr-BE"/>
              </w:rPr>
            </w:pPr>
            <w:r>
              <w:rPr>
                <w:rFonts w:ascii="Calibri" w:eastAsia="Times New Roman" w:hAnsi="Calibri" w:cs="Calibri"/>
                <w:color w:val="000000"/>
                <w:kern w:val="24"/>
                <w:sz w:val="16"/>
                <w:szCs w:val="16"/>
                <w:lang w:eastAsia="fr-BE"/>
              </w:rPr>
              <w:t>19</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theta</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855" w:type="dxa"/>
            <w:tcBorders>
              <w:top w:val="nil"/>
              <w:left w:val="single" w:sz="4" w:space="0" w:color="000000"/>
              <w:bottom w:val="single" w:sz="4" w:space="0" w:color="000000"/>
              <w:right w:val="dotted" w:sz="4" w:space="0" w:color="000000"/>
            </w:tcBorders>
            <w:shd w:val="clear" w:color="auto" w:fill="FFC7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9C0006"/>
                <w:kern w:val="24"/>
                <w:sz w:val="16"/>
                <w:szCs w:val="16"/>
                <w:lang w:eastAsia="fr-BE"/>
              </w:rPr>
              <w:t>D</w:t>
            </w:r>
          </w:p>
        </w:tc>
        <w:tc>
          <w:tcPr>
            <w:tcW w:w="855" w:type="dxa"/>
            <w:tcBorders>
              <w:top w:val="nil"/>
              <w:left w:val="dotted" w:sz="4" w:space="0" w:color="000000"/>
              <w:bottom w:val="single" w:sz="4" w:space="0" w:color="000000"/>
              <w:right w:val="single" w:sz="4" w:space="0" w:color="000000"/>
            </w:tcBorders>
            <w:shd w:val="clear" w:color="auto" w:fill="C6EF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6100"/>
                <w:kern w:val="24"/>
                <w:sz w:val="16"/>
                <w:szCs w:val="16"/>
                <w:lang w:eastAsia="fr-BE"/>
              </w:rPr>
              <w:t>C</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r>
      <w:tr w:rsidR="00F0434A" w:rsidRPr="00FC42CA" w:rsidTr="005C2537">
        <w:trPr>
          <w:trHeight w:val="70"/>
        </w:trPr>
        <w:tc>
          <w:tcPr>
            <w:tcW w:w="81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22</w:t>
            </w:r>
          </w:p>
        </w:tc>
        <w:tc>
          <w:tcPr>
            <w:tcW w:w="7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1</w:t>
            </w:r>
          </w:p>
        </w:tc>
        <w:tc>
          <w:tcPr>
            <w:tcW w:w="407" w:type="dxa"/>
            <w:tcBorders>
              <w:top w:val="single" w:sz="4" w:space="0" w:color="000000"/>
              <w:left w:val="single" w:sz="4" w:space="0" w:color="000000"/>
              <w:bottom w:val="single" w:sz="4" w:space="0" w:color="000000"/>
              <w:right w:val="single" w:sz="4" w:space="0" w:color="000000"/>
            </w:tcBorders>
          </w:tcPr>
          <w:p w:rsidR="00F0434A" w:rsidRPr="00FC42CA" w:rsidRDefault="00F0434A" w:rsidP="005C2537">
            <w:pPr>
              <w:jc w:val="center"/>
              <w:textAlignment w:val="center"/>
              <w:rPr>
                <w:rFonts w:ascii="Calibri" w:eastAsia="Times New Roman" w:hAnsi="Calibri" w:cs="Calibri"/>
                <w:color w:val="000000"/>
                <w:kern w:val="24"/>
                <w:sz w:val="16"/>
                <w:szCs w:val="16"/>
                <w:lang w:eastAsia="fr-BE"/>
              </w:rPr>
            </w:pPr>
            <w:r>
              <w:rPr>
                <w:rFonts w:ascii="Calibri" w:eastAsia="Times New Roman" w:hAnsi="Calibri" w:cs="Calibri"/>
                <w:color w:val="000000"/>
                <w:kern w:val="24"/>
                <w:sz w:val="16"/>
                <w:szCs w:val="16"/>
                <w:lang w:eastAsia="fr-BE"/>
              </w:rPr>
              <w:t>19</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alpha</w:t>
            </w:r>
          </w:p>
        </w:tc>
        <w:tc>
          <w:tcPr>
            <w:tcW w:w="2066"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val="en-US" w:eastAsia="fr-BE"/>
              </w:rPr>
            </w:pPr>
            <w:r w:rsidRPr="00FC42CA">
              <w:rPr>
                <w:rFonts w:ascii="Calibri" w:eastAsia="Times New Roman" w:hAnsi="Calibri" w:cs="Calibri"/>
                <w:color w:val="000000"/>
                <w:kern w:val="24"/>
                <w:sz w:val="16"/>
                <w:szCs w:val="16"/>
                <w:lang w:val="pt-BR" w:eastAsia="fr-BE"/>
              </w:rPr>
              <w:t>F lateral inferior R, operculo-insular ant R</w:t>
            </w:r>
          </w:p>
        </w:tc>
        <w:tc>
          <w:tcPr>
            <w:tcW w:w="855" w:type="dxa"/>
            <w:tcBorders>
              <w:top w:val="single" w:sz="4" w:space="0" w:color="000000"/>
              <w:left w:val="single" w:sz="4" w:space="0" w:color="000000"/>
              <w:bottom w:val="nil"/>
              <w:right w:val="dotted" w:sz="4" w:space="0" w:color="000000"/>
            </w:tcBorders>
            <w:shd w:val="clear" w:color="auto" w:fill="FFC7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9C0006"/>
                <w:kern w:val="24"/>
                <w:sz w:val="16"/>
                <w:szCs w:val="16"/>
                <w:lang w:eastAsia="fr-BE"/>
              </w:rPr>
              <w:t>D</w:t>
            </w:r>
          </w:p>
        </w:tc>
        <w:tc>
          <w:tcPr>
            <w:tcW w:w="855" w:type="dxa"/>
            <w:tcBorders>
              <w:top w:val="single" w:sz="4" w:space="0" w:color="000000"/>
              <w:left w:val="dotted" w:sz="4" w:space="0" w:color="000000"/>
              <w:bottom w:val="nil"/>
              <w:right w:val="single" w:sz="4" w:space="0" w:color="000000"/>
            </w:tcBorders>
            <w:shd w:val="clear" w:color="auto" w:fill="C6EF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6100"/>
                <w:kern w:val="24"/>
                <w:sz w:val="16"/>
                <w:szCs w:val="16"/>
                <w:lang w:eastAsia="fr-BE"/>
              </w:rPr>
              <w:t>C</w:t>
            </w:r>
          </w:p>
        </w:tc>
        <w:tc>
          <w:tcPr>
            <w:tcW w:w="1018" w:type="dxa"/>
            <w:vMerge w:val="restart"/>
            <w:tcBorders>
              <w:top w:val="single" w:sz="4" w:space="0" w:color="000000"/>
              <w:left w:val="single" w:sz="4" w:space="0" w:color="000000"/>
              <w:bottom w:val="single" w:sz="4" w:space="0" w:color="000000"/>
              <w:right w:val="single" w:sz="4" w:space="0" w:color="000000"/>
            </w:tcBorders>
            <w:shd w:val="clear" w:color="auto" w:fill="9BC2E6"/>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inconclusive</w:t>
            </w:r>
          </w:p>
        </w:tc>
        <w:tc>
          <w:tcPr>
            <w:tcW w:w="1018" w:type="dxa"/>
            <w:vMerge w:val="restart"/>
            <w:tcBorders>
              <w:top w:val="single" w:sz="4" w:space="0" w:color="000000"/>
              <w:left w:val="single" w:sz="4" w:space="0" w:color="000000"/>
              <w:bottom w:val="single" w:sz="4" w:space="0" w:color="000000"/>
              <w:right w:val="single" w:sz="4" w:space="0" w:color="000000"/>
            </w:tcBorders>
            <w:shd w:val="clear" w:color="auto" w:fill="00B050"/>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operculo-insular ant</w:t>
            </w:r>
            <w:r>
              <w:rPr>
                <w:rFonts w:ascii="Calibri" w:eastAsia="Times New Roman" w:hAnsi="Calibri" w:cs="Calibri"/>
                <w:color w:val="000000"/>
                <w:kern w:val="24"/>
                <w:sz w:val="16"/>
                <w:szCs w:val="16"/>
                <w:lang w:eastAsia="fr-BE"/>
              </w:rPr>
              <w:t>erior</w:t>
            </w:r>
            <w:r w:rsidRPr="00FC42CA">
              <w:rPr>
                <w:rFonts w:ascii="Calibri" w:eastAsia="Times New Roman" w:hAnsi="Calibri" w:cs="Calibri"/>
                <w:color w:val="000000"/>
                <w:kern w:val="24"/>
                <w:sz w:val="16"/>
                <w:szCs w:val="16"/>
                <w:lang w:eastAsia="fr-BE"/>
              </w:rPr>
              <w:t xml:space="preserve"> R</w:t>
            </w:r>
          </w:p>
        </w:tc>
        <w:tc>
          <w:tcPr>
            <w:tcW w:w="1018" w:type="dxa"/>
            <w:vMerge w:val="restart"/>
            <w:tcBorders>
              <w:top w:val="single" w:sz="4" w:space="0" w:color="000000"/>
              <w:left w:val="single" w:sz="4" w:space="0" w:color="000000"/>
              <w:bottom w:val="single" w:sz="4" w:space="0" w:color="000000"/>
              <w:right w:val="single" w:sz="4" w:space="0" w:color="000000"/>
            </w:tcBorders>
            <w:shd w:val="clear" w:color="auto" w:fill="00B050"/>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F lateral inferior R</w:t>
            </w:r>
          </w:p>
        </w:tc>
      </w:tr>
      <w:tr w:rsidR="00F0434A" w:rsidRPr="00FC42CA" w:rsidTr="005C2537">
        <w:trPr>
          <w:trHeight w:val="68"/>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7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2</w:t>
            </w:r>
          </w:p>
        </w:tc>
        <w:tc>
          <w:tcPr>
            <w:tcW w:w="407" w:type="dxa"/>
            <w:tcBorders>
              <w:top w:val="single" w:sz="4" w:space="0" w:color="000000"/>
              <w:left w:val="single" w:sz="4" w:space="0" w:color="000000"/>
              <w:bottom w:val="single" w:sz="4" w:space="0" w:color="000000"/>
              <w:right w:val="single" w:sz="4" w:space="0" w:color="000000"/>
            </w:tcBorders>
          </w:tcPr>
          <w:p w:rsidR="00F0434A" w:rsidRPr="00FC42CA" w:rsidRDefault="00F0434A" w:rsidP="005C2537">
            <w:pPr>
              <w:jc w:val="center"/>
              <w:textAlignment w:val="center"/>
              <w:rPr>
                <w:rFonts w:ascii="Calibri" w:eastAsia="Times New Roman" w:hAnsi="Calibri" w:cs="Calibri"/>
                <w:color w:val="000000"/>
                <w:kern w:val="24"/>
                <w:sz w:val="16"/>
                <w:szCs w:val="16"/>
                <w:lang w:eastAsia="fr-BE"/>
              </w:rPr>
            </w:pPr>
            <w:r>
              <w:rPr>
                <w:rFonts w:ascii="Calibri" w:eastAsia="Times New Roman" w:hAnsi="Calibri" w:cs="Calibri"/>
                <w:color w:val="000000"/>
                <w:kern w:val="24"/>
                <w:sz w:val="16"/>
                <w:szCs w:val="16"/>
                <w:lang w:eastAsia="fr-BE"/>
              </w:rPr>
              <w:t>19</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alpha</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855" w:type="dxa"/>
            <w:tcBorders>
              <w:top w:val="nil"/>
              <w:left w:val="single" w:sz="4" w:space="0" w:color="000000"/>
              <w:bottom w:val="nil"/>
              <w:right w:val="dotted" w:sz="4" w:space="0" w:color="000000"/>
            </w:tcBorders>
            <w:shd w:val="clear" w:color="auto" w:fill="FFC7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9C0006"/>
                <w:kern w:val="24"/>
                <w:sz w:val="16"/>
                <w:szCs w:val="16"/>
                <w:lang w:eastAsia="fr-BE"/>
              </w:rPr>
              <w:t>D</w:t>
            </w:r>
          </w:p>
        </w:tc>
        <w:tc>
          <w:tcPr>
            <w:tcW w:w="855" w:type="dxa"/>
            <w:tcBorders>
              <w:top w:val="nil"/>
              <w:left w:val="dotted" w:sz="4" w:space="0" w:color="000000"/>
              <w:bottom w:val="nil"/>
              <w:right w:val="single" w:sz="4" w:space="0" w:color="000000"/>
            </w:tcBorders>
            <w:shd w:val="clear" w:color="auto" w:fill="FFC7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9C0006"/>
                <w:kern w:val="24"/>
                <w:sz w:val="16"/>
                <w:szCs w:val="16"/>
                <w:lang w:eastAsia="fr-BE"/>
              </w:rPr>
              <w:t>D</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r>
      <w:tr w:rsidR="00F0434A" w:rsidRPr="00FC42CA" w:rsidTr="005C2537">
        <w:trPr>
          <w:trHeight w:val="68"/>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7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3</w:t>
            </w:r>
          </w:p>
        </w:tc>
        <w:tc>
          <w:tcPr>
            <w:tcW w:w="407" w:type="dxa"/>
            <w:tcBorders>
              <w:top w:val="single" w:sz="4" w:space="0" w:color="000000"/>
              <w:left w:val="single" w:sz="4" w:space="0" w:color="000000"/>
              <w:bottom w:val="single" w:sz="4" w:space="0" w:color="000000"/>
              <w:right w:val="single" w:sz="4" w:space="0" w:color="000000"/>
            </w:tcBorders>
          </w:tcPr>
          <w:p w:rsidR="00F0434A" w:rsidRPr="00FC42CA" w:rsidRDefault="00F0434A" w:rsidP="005C2537">
            <w:pPr>
              <w:jc w:val="center"/>
              <w:textAlignment w:val="center"/>
              <w:rPr>
                <w:rFonts w:ascii="Calibri" w:eastAsia="Times New Roman" w:hAnsi="Calibri" w:cs="Calibri"/>
                <w:color w:val="000000"/>
                <w:kern w:val="24"/>
                <w:sz w:val="16"/>
                <w:szCs w:val="16"/>
                <w:lang w:eastAsia="fr-BE"/>
              </w:rPr>
            </w:pPr>
            <w:r>
              <w:rPr>
                <w:rFonts w:ascii="Calibri" w:eastAsia="Times New Roman" w:hAnsi="Calibri" w:cs="Calibri"/>
                <w:color w:val="000000"/>
                <w:kern w:val="24"/>
                <w:sz w:val="16"/>
                <w:szCs w:val="16"/>
                <w:lang w:eastAsia="fr-BE"/>
              </w:rPr>
              <w:t>19</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alpha</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855" w:type="dxa"/>
            <w:tcBorders>
              <w:top w:val="nil"/>
              <w:left w:val="single" w:sz="4" w:space="0" w:color="000000"/>
              <w:bottom w:val="nil"/>
              <w:right w:val="dotted" w:sz="4" w:space="0" w:color="000000"/>
            </w:tcBorders>
            <w:shd w:val="clear" w:color="auto" w:fill="FFC7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9C0006"/>
                <w:kern w:val="24"/>
                <w:sz w:val="16"/>
                <w:szCs w:val="16"/>
                <w:lang w:eastAsia="fr-BE"/>
              </w:rPr>
              <w:t>D</w:t>
            </w:r>
          </w:p>
        </w:tc>
        <w:tc>
          <w:tcPr>
            <w:tcW w:w="855" w:type="dxa"/>
            <w:tcBorders>
              <w:top w:val="nil"/>
              <w:left w:val="dotted" w:sz="4" w:space="0" w:color="000000"/>
              <w:bottom w:val="nil"/>
              <w:right w:val="single" w:sz="4" w:space="0" w:color="000000"/>
            </w:tcBorders>
            <w:shd w:val="clear" w:color="auto" w:fill="C6EF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6100"/>
                <w:kern w:val="24"/>
                <w:sz w:val="16"/>
                <w:szCs w:val="16"/>
                <w:lang w:eastAsia="fr-BE"/>
              </w:rPr>
              <w:t>C</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r>
      <w:tr w:rsidR="00F0434A" w:rsidRPr="00FC42CA" w:rsidTr="005C2537">
        <w:trPr>
          <w:trHeight w:val="68"/>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7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4</w:t>
            </w:r>
          </w:p>
        </w:tc>
        <w:tc>
          <w:tcPr>
            <w:tcW w:w="407" w:type="dxa"/>
            <w:tcBorders>
              <w:top w:val="single" w:sz="4" w:space="0" w:color="000000"/>
              <w:left w:val="single" w:sz="4" w:space="0" w:color="000000"/>
              <w:bottom w:val="single" w:sz="4" w:space="0" w:color="000000"/>
              <w:right w:val="single" w:sz="4" w:space="0" w:color="000000"/>
            </w:tcBorders>
          </w:tcPr>
          <w:p w:rsidR="00F0434A" w:rsidRPr="00FC42CA" w:rsidRDefault="00F0434A" w:rsidP="005C2537">
            <w:pPr>
              <w:jc w:val="center"/>
              <w:textAlignment w:val="center"/>
              <w:rPr>
                <w:rFonts w:ascii="Calibri" w:eastAsia="Times New Roman" w:hAnsi="Calibri" w:cs="Calibri"/>
                <w:color w:val="000000"/>
                <w:kern w:val="24"/>
                <w:sz w:val="16"/>
                <w:szCs w:val="16"/>
                <w:lang w:eastAsia="fr-BE"/>
              </w:rPr>
            </w:pPr>
            <w:r>
              <w:rPr>
                <w:rFonts w:ascii="Calibri" w:eastAsia="Times New Roman" w:hAnsi="Calibri" w:cs="Calibri"/>
                <w:color w:val="000000"/>
                <w:kern w:val="24"/>
                <w:sz w:val="16"/>
                <w:szCs w:val="16"/>
                <w:lang w:eastAsia="fr-BE"/>
              </w:rPr>
              <w:t>19</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alpha</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855" w:type="dxa"/>
            <w:tcBorders>
              <w:top w:val="nil"/>
              <w:left w:val="single" w:sz="4" w:space="0" w:color="000000"/>
              <w:bottom w:val="single" w:sz="4" w:space="0" w:color="000000"/>
              <w:right w:val="dotted" w:sz="4" w:space="0" w:color="000000"/>
            </w:tcBorders>
            <w:shd w:val="clear" w:color="auto" w:fill="FFC7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9C0006"/>
                <w:kern w:val="24"/>
                <w:sz w:val="16"/>
                <w:szCs w:val="16"/>
                <w:lang w:eastAsia="fr-BE"/>
              </w:rPr>
              <w:t>D</w:t>
            </w:r>
          </w:p>
        </w:tc>
        <w:tc>
          <w:tcPr>
            <w:tcW w:w="855" w:type="dxa"/>
            <w:tcBorders>
              <w:top w:val="nil"/>
              <w:left w:val="dotted" w:sz="4" w:space="0" w:color="000000"/>
              <w:bottom w:val="single" w:sz="4" w:space="0" w:color="000000"/>
              <w:right w:val="single" w:sz="4" w:space="0" w:color="000000"/>
            </w:tcBorders>
            <w:shd w:val="clear" w:color="auto" w:fill="C6EF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6100"/>
                <w:kern w:val="24"/>
                <w:sz w:val="16"/>
                <w:szCs w:val="16"/>
                <w:lang w:eastAsia="fr-BE"/>
              </w:rPr>
              <w:t>C</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r>
      <w:tr w:rsidR="00F0434A" w:rsidRPr="00FC42CA" w:rsidTr="005C2537">
        <w:trPr>
          <w:trHeight w:val="68"/>
        </w:trPr>
        <w:tc>
          <w:tcPr>
            <w:tcW w:w="81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24</w:t>
            </w:r>
          </w:p>
        </w:tc>
        <w:tc>
          <w:tcPr>
            <w:tcW w:w="7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1</w:t>
            </w:r>
          </w:p>
        </w:tc>
        <w:tc>
          <w:tcPr>
            <w:tcW w:w="407" w:type="dxa"/>
            <w:tcBorders>
              <w:top w:val="single" w:sz="4" w:space="0" w:color="000000"/>
              <w:left w:val="single" w:sz="4" w:space="0" w:color="000000"/>
              <w:bottom w:val="single" w:sz="4" w:space="0" w:color="000000"/>
              <w:right w:val="single" w:sz="4" w:space="0" w:color="000000"/>
            </w:tcBorders>
          </w:tcPr>
          <w:p w:rsidR="00F0434A" w:rsidRPr="00FC42CA" w:rsidRDefault="00F0434A" w:rsidP="005C2537">
            <w:pPr>
              <w:jc w:val="center"/>
              <w:textAlignment w:val="center"/>
              <w:rPr>
                <w:rFonts w:ascii="Calibri" w:eastAsia="Times New Roman" w:hAnsi="Calibri" w:cs="Calibri"/>
                <w:color w:val="000000"/>
                <w:kern w:val="24"/>
                <w:sz w:val="16"/>
                <w:szCs w:val="16"/>
                <w:lang w:eastAsia="fr-BE"/>
              </w:rPr>
            </w:pPr>
            <w:r>
              <w:rPr>
                <w:rFonts w:ascii="Calibri" w:eastAsia="Times New Roman" w:hAnsi="Calibri" w:cs="Calibri"/>
                <w:color w:val="000000"/>
                <w:kern w:val="24"/>
                <w:sz w:val="16"/>
                <w:szCs w:val="16"/>
                <w:lang w:eastAsia="fr-BE"/>
              </w:rPr>
              <w:t>19</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alpha</w:t>
            </w:r>
          </w:p>
        </w:tc>
        <w:tc>
          <w:tcPr>
            <w:tcW w:w="2066"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Orbitofrontal R, Frontopolar R</w:t>
            </w:r>
          </w:p>
        </w:tc>
        <w:tc>
          <w:tcPr>
            <w:tcW w:w="855" w:type="dxa"/>
            <w:tcBorders>
              <w:top w:val="single" w:sz="4" w:space="0" w:color="000000"/>
              <w:left w:val="single" w:sz="4" w:space="0" w:color="000000"/>
              <w:bottom w:val="nil"/>
              <w:right w:val="dotted" w:sz="4" w:space="0" w:color="000000"/>
            </w:tcBorders>
            <w:shd w:val="clear" w:color="auto" w:fill="FFC7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9C0006"/>
                <w:kern w:val="24"/>
                <w:sz w:val="16"/>
                <w:szCs w:val="16"/>
                <w:lang w:eastAsia="fr-BE"/>
              </w:rPr>
              <w:t>D</w:t>
            </w:r>
          </w:p>
        </w:tc>
        <w:tc>
          <w:tcPr>
            <w:tcW w:w="855" w:type="dxa"/>
            <w:tcBorders>
              <w:top w:val="single" w:sz="4" w:space="0" w:color="000000"/>
              <w:left w:val="dotted" w:sz="4" w:space="0" w:color="000000"/>
              <w:bottom w:val="nil"/>
              <w:right w:val="single" w:sz="4" w:space="0" w:color="000000"/>
            </w:tcBorders>
            <w:shd w:val="clear" w:color="auto" w:fill="FFC7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9C0006"/>
                <w:kern w:val="24"/>
                <w:sz w:val="16"/>
                <w:szCs w:val="16"/>
                <w:lang w:eastAsia="fr-BE"/>
              </w:rPr>
              <w:t>D</w:t>
            </w:r>
          </w:p>
        </w:tc>
        <w:tc>
          <w:tcPr>
            <w:tcW w:w="1018" w:type="dxa"/>
            <w:vMerge w:val="restart"/>
            <w:tcBorders>
              <w:top w:val="single" w:sz="4" w:space="0" w:color="000000"/>
              <w:left w:val="single" w:sz="4" w:space="0" w:color="000000"/>
              <w:bottom w:val="single" w:sz="4" w:space="0" w:color="000000"/>
              <w:right w:val="single" w:sz="4" w:space="0" w:color="000000"/>
            </w:tcBorders>
            <w:shd w:val="clear" w:color="auto" w:fill="9BC2E6"/>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inconclusive</w:t>
            </w:r>
          </w:p>
        </w:tc>
        <w:tc>
          <w:tcPr>
            <w:tcW w:w="1018" w:type="dxa"/>
            <w:vMerge w:val="restart"/>
            <w:tcBorders>
              <w:top w:val="single" w:sz="4" w:space="0" w:color="000000"/>
              <w:left w:val="single" w:sz="4" w:space="0" w:color="000000"/>
              <w:bottom w:val="single" w:sz="4" w:space="0" w:color="000000"/>
              <w:right w:val="single" w:sz="4" w:space="0" w:color="000000"/>
            </w:tcBorders>
            <w:shd w:val="clear" w:color="auto" w:fill="9BC2E6"/>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inconclusive</w:t>
            </w:r>
          </w:p>
        </w:tc>
        <w:tc>
          <w:tcPr>
            <w:tcW w:w="1018" w:type="dxa"/>
            <w:vMerge w:val="restart"/>
            <w:tcBorders>
              <w:top w:val="single" w:sz="4" w:space="0" w:color="000000"/>
              <w:left w:val="single" w:sz="4" w:space="0" w:color="000000"/>
              <w:bottom w:val="single" w:sz="4" w:space="0" w:color="000000"/>
              <w:right w:val="single" w:sz="4" w:space="0" w:color="000000"/>
            </w:tcBorders>
            <w:shd w:val="clear" w:color="auto" w:fill="00B050"/>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Orbitofrontal R</w:t>
            </w:r>
          </w:p>
        </w:tc>
      </w:tr>
      <w:tr w:rsidR="00F0434A" w:rsidRPr="00FC42CA" w:rsidTr="005C2537">
        <w:trPr>
          <w:trHeight w:val="66"/>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7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2</w:t>
            </w:r>
          </w:p>
        </w:tc>
        <w:tc>
          <w:tcPr>
            <w:tcW w:w="407" w:type="dxa"/>
            <w:tcBorders>
              <w:top w:val="single" w:sz="4" w:space="0" w:color="000000"/>
              <w:left w:val="single" w:sz="4" w:space="0" w:color="000000"/>
              <w:bottom w:val="single" w:sz="4" w:space="0" w:color="000000"/>
              <w:right w:val="single" w:sz="4" w:space="0" w:color="000000"/>
            </w:tcBorders>
          </w:tcPr>
          <w:p w:rsidR="00F0434A" w:rsidRPr="00FC42CA" w:rsidRDefault="00F0434A" w:rsidP="005C2537">
            <w:pPr>
              <w:jc w:val="center"/>
              <w:textAlignment w:val="center"/>
              <w:rPr>
                <w:rFonts w:ascii="Calibri" w:eastAsia="Times New Roman" w:hAnsi="Calibri" w:cs="Calibri"/>
                <w:color w:val="000000"/>
                <w:kern w:val="24"/>
                <w:sz w:val="16"/>
                <w:szCs w:val="16"/>
                <w:lang w:eastAsia="fr-BE"/>
              </w:rPr>
            </w:pPr>
            <w:r>
              <w:rPr>
                <w:rFonts w:ascii="Calibri" w:eastAsia="Times New Roman" w:hAnsi="Calibri" w:cs="Calibri"/>
                <w:color w:val="000000"/>
                <w:kern w:val="24"/>
                <w:sz w:val="16"/>
                <w:szCs w:val="16"/>
                <w:lang w:eastAsia="fr-BE"/>
              </w:rPr>
              <w:t>19</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alpha</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855" w:type="dxa"/>
            <w:tcBorders>
              <w:top w:val="nil"/>
              <w:left w:val="single" w:sz="4" w:space="0" w:color="000000"/>
              <w:bottom w:val="nil"/>
              <w:right w:val="dotted" w:sz="4" w:space="0" w:color="000000"/>
            </w:tcBorders>
            <w:shd w:val="clear" w:color="auto" w:fill="FFC7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9C0006"/>
                <w:kern w:val="24"/>
                <w:sz w:val="16"/>
                <w:szCs w:val="16"/>
                <w:lang w:eastAsia="fr-BE"/>
              </w:rPr>
              <w:t>D</w:t>
            </w:r>
          </w:p>
        </w:tc>
        <w:tc>
          <w:tcPr>
            <w:tcW w:w="855" w:type="dxa"/>
            <w:tcBorders>
              <w:top w:val="nil"/>
              <w:left w:val="dotted" w:sz="4" w:space="0" w:color="000000"/>
              <w:bottom w:val="nil"/>
              <w:right w:val="single" w:sz="4" w:space="0" w:color="000000"/>
            </w:tcBorders>
            <w:shd w:val="clear" w:color="auto" w:fill="FFC7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9C0006"/>
                <w:kern w:val="24"/>
                <w:sz w:val="16"/>
                <w:szCs w:val="16"/>
                <w:lang w:eastAsia="fr-BE"/>
              </w:rPr>
              <w:t>D</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r>
      <w:tr w:rsidR="00F0434A" w:rsidRPr="00FC42CA" w:rsidTr="005C2537">
        <w:trPr>
          <w:trHeight w:val="66"/>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7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3</w:t>
            </w:r>
          </w:p>
        </w:tc>
        <w:tc>
          <w:tcPr>
            <w:tcW w:w="407" w:type="dxa"/>
            <w:tcBorders>
              <w:top w:val="single" w:sz="4" w:space="0" w:color="000000"/>
              <w:left w:val="single" w:sz="4" w:space="0" w:color="000000"/>
              <w:bottom w:val="single" w:sz="4" w:space="0" w:color="000000"/>
              <w:right w:val="single" w:sz="4" w:space="0" w:color="000000"/>
            </w:tcBorders>
          </w:tcPr>
          <w:p w:rsidR="00F0434A" w:rsidRPr="00FC42CA" w:rsidRDefault="00F0434A" w:rsidP="005C2537">
            <w:pPr>
              <w:jc w:val="center"/>
              <w:textAlignment w:val="center"/>
              <w:rPr>
                <w:rFonts w:ascii="Calibri" w:eastAsia="Times New Roman" w:hAnsi="Calibri" w:cs="Calibri"/>
                <w:color w:val="000000"/>
                <w:kern w:val="24"/>
                <w:sz w:val="16"/>
                <w:szCs w:val="16"/>
                <w:lang w:eastAsia="fr-BE"/>
              </w:rPr>
            </w:pPr>
            <w:r>
              <w:rPr>
                <w:rFonts w:ascii="Calibri" w:eastAsia="Times New Roman" w:hAnsi="Calibri" w:cs="Calibri"/>
                <w:color w:val="000000"/>
                <w:kern w:val="24"/>
                <w:sz w:val="16"/>
                <w:szCs w:val="16"/>
                <w:lang w:eastAsia="fr-BE"/>
              </w:rPr>
              <w:t>19</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alpha</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855" w:type="dxa"/>
            <w:tcBorders>
              <w:top w:val="nil"/>
              <w:left w:val="single" w:sz="4" w:space="0" w:color="000000"/>
              <w:bottom w:val="nil"/>
              <w:right w:val="dotted" w:sz="4" w:space="0" w:color="000000"/>
            </w:tcBorders>
            <w:shd w:val="clear" w:color="auto" w:fill="C6EF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6100"/>
                <w:kern w:val="24"/>
                <w:sz w:val="16"/>
                <w:szCs w:val="16"/>
                <w:lang w:eastAsia="fr-BE"/>
              </w:rPr>
              <w:t>C</w:t>
            </w:r>
          </w:p>
        </w:tc>
        <w:tc>
          <w:tcPr>
            <w:tcW w:w="855" w:type="dxa"/>
            <w:tcBorders>
              <w:top w:val="nil"/>
              <w:left w:val="dotted" w:sz="4" w:space="0" w:color="000000"/>
              <w:bottom w:val="nil"/>
              <w:right w:val="single" w:sz="4" w:space="0" w:color="000000"/>
            </w:tcBorders>
            <w:shd w:val="clear" w:color="auto" w:fill="FFC7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9C0006"/>
                <w:kern w:val="24"/>
                <w:sz w:val="16"/>
                <w:szCs w:val="16"/>
                <w:lang w:eastAsia="fr-BE"/>
              </w:rPr>
              <w:t>D</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r>
      <w:tr w:rsidR="00F0434A" w:rsidRPr="00FC42CA" w:rsidTr="005C2537">
        <w:trPr>
          <w:trHeight w:val="66"/>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7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4</w:t>
            </w:r>
          </w:p>
        </w:tc>
        <w:tc>
          <w:tcPr>
            <w:tcW w:w="407" w:type="dxa"/>
            <w:tcBorders>
              <w:top w:val="single" w:sz="4" w:space="0" w:color="000000"/>
              <w:left w:val="single" w:sz="4" w:space="0" w:color="000000"/>
              <w:bottom w:val="single" w:sz="4" w:space="0" w:color="000000"/>
              <w:right w:val="single" w:sz="4" w:space="0" w:color="000000"/>
            </w:tcBorders>
          </w:tcPr>
          <w:p w:rsidR="00F0434A" w:rsidRPr="00FC42CA" w:rsidRDefault="00F0434A" w:rsidP="005C2537">
            <w:pPr>
              <w:jc w:val="center"/>
              <w:textAlignment w:val="center"/>
              <w:rPr>
                <w:rFonts w:ascii="Calibri" w:eastAsia="Times New Roman" w:hAnsi="Calibri" w:cs="Calibri"/>
                <w:color w:val="000000"/>
                <w:kern w:val="24"/>
                <w:sz w:val="16"/>
                <w:szCs w:val="16"/>
                <w:lang w:eastAsia="fr-BE"/>
              </w:rPr>
            </w:pPr>
            <w:r>
              <w:rPr>
                <w:rFonts w:ascii="Calibri" w:eastAsia="Times New Roman" w:hAnsi="Calibri" w:cs="Calibri"/>
                <w:color w:val="000000"/>
                <w:kern w:val="24"/>
                <w:sz w:val="16"/>
                <w:szCs w:val="16"/>
                <w:lang w:eastAsia="fr-BE"/>
              </w:rPr>
              <w:t>19</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alpha</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855" w:type="dxa"/>
            <w:tcBorders>
              <w:top w:val="nil"/>
              <w:left w:val="single" w:sz="4" w:space="0" w:color="000000"/>
              <w:bottom w:val="single" w:sz="4" w:space="0" w:color="000000"/>
              <w:right w:val="dotted" w:sz="4" w:space="0" w:color="000000"/>
            </w:tcBorders>
            <w:shd w:val="clear" w:color="auto" w:fill="FFC7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9C0006"/>
                <w:kern w:val="24"/>
                <w:sz w:val="16"/>
                <w:szCs w:val="16"/>
                <w:lang w:eastAsia="fr-BE"/>
              </w:rPr>
              <w:t>D</w:t>
            </w:r>
          </w:p>
        </w:tc>
        <w:tc>
          <w:tcPr>
            <w:tcW w:w="855" w:type="dxa"/>
            <w:tcBorders>
              <w:top w:val="nil"/>
              <w:left w:val="dotted" w:sz="4" w:space="0" w:color="000000"/>
              <w:bottom w:val="single" w:sz="4" w:space="0" w:color="000000"/>
              <w:right w:val="single" w:sz="4" w:space="0" w:color="000000"/>
            </w:tcBorders>
            <w:shd w:val="clear" w:color="auto" w:fill="FFC7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9C0006"/>
                <w:kern w:val="24"/>
                <w:sz w:val="16"/>
                <w:szCs w:val="16"/>
                <w:lang w:eastAsia="fr-BE"/>
              </w:rPr>
              <w:t>D</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r>
      <w:tr w:rsidR="00F0434A" w:rsidRPr="00FC42CA" w:rsidTr="005C2537">
        <w:trPr>
          <w:trHeight w:val="342"/>
        </w:trPr>
        <w:tc>
          <w:tcPr>
            <w:tcW w:w="757" w:type="dxa"/>
            <w:tcBorders>
              <w:top w:val="single" w:sz="4" w:space="0" w:color="000000"/>
              <w:left w:val="nil"/>
              <w:bottom w:val="single" w:sz="4" w:space="0" w:color="000000"/>
              <w:right w:val="nil"/>
            </w:tcBorders>
          </w:tcPr>
          <w:p w:rsidR="00F0434A" w:rsidRDefault="00F0434A" w:rsidP="005C2537">
            <w:pPr>
              <w:rPr>
                <w:rFonts w:ascii="Calibri" w:eastAsia="Times New Roman" w:hAnsi="Calibri" w:cs="Calibri"/>
                <w:b/>
                <w:bCs/>
                <w:color w:val="000000"/>
                <w:kern w:val="24"/>
                <w:sz w:val="16"/>
                <w:szCs w:val="16"/>
                <w:lang w:eastAsia="fr-BE"/>
              </w:rPr>
            </w:pPr>
          </w:p>
        </w:tc>
        <w:tc>
          <w:tcPr>
            <w:tcW w:w="2330" w:type="dxa"/>
            <w:gridSpan w:val="4"/>
            <w:tcBorders>
              <w:top w:val="single" w:sz="4" w:space="0" w:color="000000"/>
              <w:left w:val="nil"/>
              <w:bottom w:val="single" w:sz="4" w:space="0" w:color="000000"/>
              <w:right w:val="nil"/>
            </w:tcBorders>
            <w:shd w:val="clear" w:color="auto" w:fill="auto"/>
            <w:tcMar>
              <w:top w:w="15" w:type="dxa"/>
              <w:left w:w="15" w:type="dxa"/>
              <w:bottom w:w="0" w:type="dxa"/>
              <w:right w:w="15" w:type="dxa"/>
            </w:tcMar>
            <w:vAlign w:val="center"/>
            <w:hideMark/>
          </w:tcPr>
          <w:p w:rsidR="00F0434A" w:rsidRPr="00FC42CA" w:rsidRDefault="00F0434A" w:rsidP="005C2537">
            <w:pPr>
              <w:rPr>
                <w:rFonts w:ascii="Arial" w:eastAsia="Times New Roman" w:hAnsi="Arial" w:cs="Arial"/>
                <w:sz w:val="36"/>
                <w:szCs w:val="36"/>
                <w:lang w:eastAsia="fr-BE"/>
              </w:rPr>
            </w:pPr>
            <w:r>
              <w:rPr>
                <w:rFonts w:ascii="Calibri" w:eastAsia="Times New Roman" w:hAnsi="Calibri" w:cs="Calibri"/>
                <w:b/>
                <w:bCs/>
                <w:color w:val="000000"/>
                <w:kern w:val="24"/>
                <w:sz w:val="16"/>
                <w:szCs w:val="16"/>
                <w:lang w:eastAsia="fr-BE"/>
              </w:rPr>
              <w:t>ILAE CLASS 2</w:t>
            </w:r>
            <w:r w:rsidRPr="00FC42CA">
              <w:rPr>
                <w:rFonts w:ascii="Calibri" w:eastAsia="Times New Roman" w:hAnsi="Calibri" w:cs="Calibri"/>
                <w:b/>
                <w:bCs/>
                <w:color w:val="000000"/>
                <w:kern w:val="24"/>
                <w:sz w:val="16"/>
                <w:szCs w:val="16"/>
                <w:lang w:eastAsia="fr-BE"/>
              </w:rPr>
              <w:t>-6 patients</w:t>
            </w:r>
          </w:p>
        </w:tc>
        <w:tc>
          <w:tcPr>
            <w:tcW w:w="2066" w:type="dxa"/>
            <w:tcBorders>
              <w:top w:val="single" w:sz="4" w:space="0" w:color="000000"/>
              <w:left w:val="nil"/>
              <w:bottom w:val="single" w:sz="4" w:space="0" w:color="000000"/>
              <w:right w:val="nil"/>
            </w:tcBorders>
            <w:shd w:val="clear" w:color="auto" w:fill="auto"/>
            <w:tcMar>
              <w:top w:w="15" w:type="dxa"/>
              <w:left w:w="15" w:type="dxa"/>
              <w:bottom w:w="0" w:type="dxa"/>
              <w:right w:w="15" w:type="dxa"/>
            </w:tcMar>
            <w:vAlign w:val="bottom"/>
            <w:hideMark/>
          </w:tcPr>
          <w:p w:rsidR="00F0434A" w:rsidRPr="00FC42CA" w:rsidRDefault="00F0434A" w:rsidP="005C2537">
            <w:pPr>
              <w:rPr>
                <w:rFonts w:ascii="Times New Roman" w:eastAsia="Times New Roman" w:hAnsi="Times New Roman" w:cs="Times New Roman"/>
                <w:sz w:val="20"/>
                <w:szCs w:val="20"/>
                <w:lang w:eastAsia="fr-BE"/>
              </w:rPr>
            </w:pPr>
          </w:p>
        </w:tc>
        <w:tc>
          <w:tcPr>
            <w:tcW w:w="855" w:type="dxa"/>
            <w:tcBorders>
              <w:top w:val="single" w:sz="4" w:space="0" w:color="000000"/>
              <w:left w:val="nil"/>
              <w:bottom w:val="single" w:sz="4" w:space="0" w:color="000000"/>
              <w:right w:val="nil"/>
            </w:tcBorders>
            <w:shd w:val="clear" w:color="auto" w:fill="auto"/>
            <w:tcMar>
              <w:top w:w="15" w:type="dxa"/>
              <w:left w:w="15" w:type="dxa"/>
              <w:bottom w:w="0" w:type="dxa"/>
              <w:right w:w="15" w:type="dxa"/>
            </w:tcMar>
            <w:vAlign w:val="bottom"/>
            <w:hideMark/>
          </w:tcPr>
          <w:p w:rsidR="00F0434A" w:rsidRPr="00FC42CA" w:rsidRDefault="00F0434A" w:rsidP="005C2537">
            <w:pPr>
              <w:rPr>
                <w:rFonts w:ascii="Times New Roman" w:eastAsia="Times New Roman" w:hAnsi="Times New Roman" w:cs="Times New Roman"/>
                <w:sz w:val="20"/>
                <w:szCs w:val="20"/>
                <w:lang w:eastAsia="fr-BE"/>
              </w:rPr>
            </w:pPr>
          </w:p>
        </w:tc>
        <w:tc>
          <w:tcPr>
            <w:tcW w:w="855" w:type="dxa"/>
            <w:tcBorders>
              <w:top w:val="single" w:sz="4" w:space="0" w:color="000000"/>
              <w:left w:val="nil"/>
              <w:bottom w:val="single" w:sz="4" w:space="0" w:color="000000"/>
              <w:right w:val="nil"/>
            </w:tcBorders>
            <w:shd w:val="clear" w:color="auto" w:fill="auto"/>
            <w:tcMar>
              <w:top w:w="15" w:type="dxa"/>
              <w:left w:w="15" w:type="dxa"/>
              <w:bottom w:w="0" w:type="dxa"/>
              <w:right w:w="15" w:type="dxa"/>
            </w:tcMar>
            <w:vAlign w:val="bottom"/>
            <w:hideMark/>
          </w:tcPr>
          <w:p w:rsidR="00F0434A" w:rsidRPr="00FC42CA" w:rsidRDefault="00F0434A" w:rsidP="005C2537">
            <w:pPr>
              <w:rPr>
                <w:rFonts w:ascii="Times New Roman" w:eastAsia="Times New Roman" w:hAnsi="Times New Roman" w:cs="Times New Roman"/>
                <w:sz w:val="20"/>
                <w:szCs w:val="20"/>
                <w:lang w:eastAsia="fr-BE"/>
              </w:rPr>
            </w:pPr>
          </w:p>
        </w:tc>
        <w:tc>
          <w:tcPr>
            <w:tcW w:w="1018" w:type="dxa"/>
            <w:tcBorders>
              <w:top w:val="single" w:sz="4" w:space="0" w:color="000000"/>
              <w:left w:val="nil"/>
              <w:bottom w:val="single" w:sz="4" w:space="0" w:color="000000"/>
              <w:right w:val="nil"/>
            </w:tcBorders>
            <w:shd w:val="clear" w:color="auto" w:fill="auto"/>
            <w:tcMar>
              <w:top w:w="15" w:type="dxa"/>
              <w:left w:w="15" w:type="dxa"/>
              <w:bottom w:w="0" w:type="dxa"/>
              <w:right w:w="15" w:type="dxa"/>
            </w:tcMar>
            <w:vAlign w:val="bottom"/>
            <w:hideMark/>
          </w:tcPr>
          <w:p w:rsidR="00F0434A" w:rsidRPr="00FC42CA" w:rsidRDefault="00F0434A" w:rsidP="005C2537">
            <w:pPr>
              <w:rPr>
                <w:rFonts w:ascii="Times New Roman" w:eastAsia="Times New Roman" w:hAnsi="Times New Roman" w:cs="Times New Roman"/>
                <w:sz w:val="20"/>
                <w:szCs w:val="20"/>
                <w:lang w:eastAsia="fr-BE"/>
              </w:rPr>
            </w:pPr>
          </w:p>
        </w:tc>
        <w:tc>
          <w:tcPr>
            <w:tcW w:w="1018" w:type="dxa"/>
            <w:tcBorders>
              <w:top w:val="single" w:sz="4" w:space="0" w:color="000000"/>
              <w:left w:val="nil"/>
              <w:bottom w:val="single" w:sz="4" w:space="0" w:color="000000"/>
              <w:right w:val="nil"/>
            </w:tcBorders>
            <w:shd w:val="clear" w:color="auto" w:fill="auto"/>
            <w:tcMar>
              <w:top w:w="15" w:type="dxa"/>
              <w:left w:w="15" w:type="dxa"/>
              <w:bottom w:w="0" w:type="dxa"/>
              <w:right w:w="15" w:type="dxa"/>
            </w:tcMar>
            <w:vAlign w:val="bottom"/>
            <w:hideMark/>
          </w:tcPr>
          <w:p w:rsidR="00F0434A" w:rsidRPr="00FC42CA" w:rsidRDefault="00F0434A" w:rsidP="005C2537">
            <w:pPr>
              <w:rPr>
                <w:rFonts w:ascii="Times New Roman" w:eastAsia="Times New Roman" w:hAnsi="Times New Roman" w:cs="Times New Roman"/>
                <w:sz w:val="20"/>
                <w:szCs w:val="20"/>
                <w:lang w:eastAsia="fr-BE"/>
              </w:rPr>
            </w:pPr>
          </w:p>
        </w:tc>
        <w:tc>
          <w:tcPr>
            <w:tcW w:w="1018" w:type="dxa"/>
            <w:tcBorders>
              <w:top w:val="single" w:sz="4" w:space="0" w:color="000000"/>
              <w:left w:val="nil"/>
              <w:bottom w:val="single" w:sz="4" w:space="0" w:color="000000"/>
              <w:right w:val="nil"/>
            </w:tcBorders>
            <w:shd w:val="clear" w:color="auto" w:fill="auto"/>
            <w:tcMar>
              <w:top w:w="15" w:type="dxa"/>
              <w:left w:w="15" w:type="dxa"/>
              <w:bottom w:w="0" w:type="dxa"/>
              <w:right w:w="15" w:type="dxa"/>
            </w:tcMar>
            <w:vAlign w:val="bottom"/>
            <w:hideMark/>
          </w:tcPr>
          <w:p w:rsidR="00F0434A" w:rsidRPr="00FC42CA" w:rsidRDefault="00F0434A" w:rsidP="005C2537">
            <w:pPr>
              <w:rPr>
                <w:rFonts w:ascii="Times New Roman" w:eastAsia="Times New Roman" w:hAnsi="Times New Roman" w:cs="Times New Roman"/>
                <w:sz w:val="20"/>
                <w:szCs w:val="20"/>
                <w:lang w:eastAsia="fr-BE"/>
              </w:rPr>
            </w:pPr>
          </w:p>
        </w:tc>
      </w:tr>
      <w:tr w:rsidR="00F0434A" w:rsidRPr="00FC42CA" w:rsidTr="005C2537">
        <w:trPr>
          <w:trHeight w:val="68"/>
        </w:trPr>
        <w:tc>
          <w:tcPr>
            <w:tcW w:w="81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6</w:t>
            </w:r>
          </w:p>
        </w:tc>
        <w:tc>
          <w:tcPr>
            <w:tcW w:w="7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1</w:t>
            </w:r>
          </w:p>
        </w:tc>
        <w:tc>
          <w:tcPr>
            <w:tcW w:w="407" w:type="dxa"/>
            <w:tcBorders>
              <w:top w:val="single" w:sz="4" w:space="0" w:color="000000"/>
              <w:left w:val="single" w:sz="4" w:space="0" w:color="000000"/>
              <w:bottom w:val="single" w:sz="4" w:space="0" w:color="000000"/>
              <w:right w:val="single" w:sz="4" w:space="0" w:color="000000"/>
            </w:tcBorders>
          </w:tcPr>
          <w:p w:rsidR="00F0434A" w:rsidRPr="00FC42CA" w:rsidRDefault="00F0434A" w:rsidP="005C2537">
            <w:pPr>
              <w:jc w:val="center"/>
              <w:textAlignment w:val="center"/>
              <w:rPr>
                <w:rFonts w:ascii="Calibri" w:eastAsia="Times New Roman" w:hAnsi="Calibri" w:cs="Calibri"/>
                <w:color w:val="000000"/>
                <w:kern w:val="24"/>
                <w:sz w:val="16"/>
                <w:szCs w:val="16"/>
                <w:lang w:eastAsia="fr-BE"/>
              </w:rPr>
            </w:pPr>
            <w:r>
              <w:rPr>
                <w:rFonts w:ascii="Calibri" w:eastAsia="Times New Roman" w:hAnsi="Calibri" w:cs="Calibri"/>
                <w:color w:val="000000"/>
                <w:kern w:val="24"/>
                <w:sz w:val="16"/>
                <w:szCs w:val="16"/>
                <w:lang w:eastAsia="fr-BE"/>
              </w:rPr>
              <w:t>19</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beta</w:t>
            </w:r>
          </w:p>
        </w:tc>
        <w:tc>
          <w:tcPr>
            <w:tcW w:w="2066"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L hemisphere</w:t>
            </w:r>
          </w:p>
        </w:tc>
        <w:tc>
          <w:tcPr>
            <w:tcW w:w="855" w:type="dxa"/>
            <w:tcBorders>
              <w:top w:val="single" w:sz="4" w:space="0" w:color="000000"/>
              <w:left w:val="single" w:sz="4" w:space="0" w:color="000000"/>
              <w:bottom w:val="nil"/>
              <w:right w:val="dotted" w:sz="4" w:space="0" w:color="000000"/>
            </w:tcBorders>
            <w:shd w:val="clear" w:color="auto" w:fill="C6EF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6100"/>
                <w:kern w:val="24"/>
                <w:sz w:val="16"/>
                <w:szCs w:val="16"/>
                <w:lang w:eastAsia="fr-BE"/>
              </w:rPr>
              <w:t>D</w:t>
            </w:r>
          </w:p>
        </w:tc>
        <w:tc>
          <w:tcPr>
            <w:tcW w:w="855" w:type="dxa"/>
            <w:tcBorders>
              <w:top w:val="single" w:sz="4" w:space="0" w:color="000000"/>
              <w:left w:val="dotted" w:sz="4" w:space="0" w:color="000000"/>
              <w:bottom w:val="nil"/>
              <w:right w:val="single" w:sz="4" w:space="0" w:color="000000"/>
            </w:tcBorders>
            <w:shd w:val="clear" w:color="auto" w:fill="C6EF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6100"/>
                <w:kern w:val="24"/>
                <w:sz w:val="16"/>
                <w:szCs w:val="16"/>
                <w:lang w:eastAsia="fr-BE"/>
              </w:rPr>
              <w:t>D</w:t>
            </w:r>
          </w:p>
        </w:tc>
        <w:tc>
          <w:tcPr>
            <w:tcW w:w="3054"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b/>
                <w:bCs/>
                <w:color w:val="000000"/>
                <w:kern w:val="24"/>
                <w:sz w:val="16"/>
                <w:szCs w:val="16"/>
                <w:lang w:eastAsia="fr-BE"/>
              </w:rPr>
              <w:t>n/a</w:t>
            </w:r>
          </w:p>
        </w:tc>
      </w:tr>
      <w:tr w:rsidR="00F0434A" w:rsidRPr="00FC42CA" w:rsidTr="005C2537">
        <w:trPr>
          <w:trHeight w:val="68"/>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7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2</w:t>
            </w:r>
          </w:p>
        </w:tc>
        <w:tc>
          <w:tcPr>
            <w:tcW w:w="407" w:type="dxa"/>
            <w:tcBorders>
              <w:top w:val="single" w:sz="4" w:space="0" w:color="000000"/>
              <w:left w:val="single" w:sz="4" w:space="0" w:color="000000"/>
              <w:bottom w:val="single" w:sz="4" w:space="0" w:color="000000"/>
              <w:right w:val="single" w:sz="4" w:space="0" w:color="000000"/>
            </w:tcBorders>
          </w:tcPr>
          <w:p w:rsidR="00F0434A" w:rsidRPr="00FC42CA" w:rsidRDefault="00F0434A" w:rsidP="005C2537">
            <w:pPr>
              <w:jc w:val="center"/>
              <w:textAlignment w:val="center"/>
              <w:rPr>
                <w:rFonts w:ascii="Calibri" w:eastAsia="Times New Roman" w:hAnsi="Calibri" w:cs="Calibri"/>
                <w:color w:val="000000"/>
                <w:kern w:val="24"/>
                <w:sz w:val="16"/>
                <w:szCs w:val="16"/>
                <w:lang w:eastAsia="fr-BE"/>
              </w:rPr>
            </w:pPr>
            <w:r>
              <w:rPr>
                <w:rFonts w:ascii="Calibri" w:eastAsia="Times New Roman" w:hAnsi="Calibri" w:cs="Calibri"/>
                <w:color w:val="000000"/>
                <w:kern w:val="24"/>
                <w:sz w:val="16"/>
                <w:szCs w:val="16"/>
                <w:lang w:eastAsia="fr-BE"/>
              </w:rPr>
              <w:t>19</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beta</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855" w:type="dxa"/>
            <w:tcBorders>
              <w:top w:val="nil"/>
              <w:left w:val="single" w:sz="4" w:space="0" w:color="000000"/>
              <w:bottom w:val="nil"/>
              <w:right w:val="dotted" w:sz="4" w:space="0" w:color="000000"/>
            </w:tcBorders>
            <w:shd w:val="clear" w:color="auto" w:fill="FFC7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9C0006"/>
                <w:kern w:val="24"/>
                <w:sz w:val="16"/>
                <w:szCs w:val="16"/>
                <w:lang w:eastAsia="fr-BE"/>
              </w:rPr>
              <w:t>C</w:t>
            </w:r>
          </w:p>
        </w:tc>
        <w:tc>
          <w:tcPr>
            <w:tcW w:w="855" w:type="dxa"/>
            <w:tcBorders>
              <w:top w:val="nil"/>
              <w:left w:val="dotted" w:sz="4" w:space="0" w:color="000000"/>
              <w:bottom w:val="nil"/>
              <w:right w:val="single" w:sz="4" w:space="0" w:color="000000"/>
            </w:tcBorders>
            <w:shd w:val="clear" w:color="auto" w:fill="C6EF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6100"/>
                <w:kern w:val="24"/>
                <w:sz w:val="16"/>
                <w:szCs w:val="16"/>
                <w:lang w:eastAsia="fr-BE"/>
              </w:rPr>
              <w:t>D</w:t>
            </w:r>
          </w:p>
        </w:tc>
        <w:tc>
          <w:tcPr>
            <w:tcW w:w="0" w:type="auto"/>
            <w:gridSpan w:val="3"/>
            <w:vMerge/>
            <w:tcBorders>
              <w:top w:val="nil"/>
              <w:left w:val="dotted" w:sz="4" w:space="0" w:color="000000"/>
              <w:bottom w:val="nil"/>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r>
      <w:tr w:rsidR="00F0434A" w:rsidRPr="00FC42CA" w:rsidTr="005C2537">
        <w:trPr>
          <w:trHeight w:val="66"/>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7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3</w:t>
            </w:r>
          </w:p>
        </w:tc>
        <w:tc>
          <w:tcPr>
            <w:tcW w:w="407" w:type="dxa"/>
            <w:tcBorders>
              <w:top w:val="single" w:sz="4" w:space="0" w:color="000000"/>
              <w:left w:val="single" w:sz="4" w:space="0" w:color="000000"/>
              <w:bottom w:val="single" w:sz="4" w:space="0" w:color="000000"/>
              <w:right w:val="single" w:sz="4" w:space="0" w:color="000000"/>
            </w:tcBorders>
          </w:tcPr>
          <w:p w:rsidR="00F0434A" w:rsidRPr="00FC42CA" w:rsidRDefault="00F0434A" w:rsidP="005C2537">
            <w:pPr>
              <w:jc w:val="center"/>
              <w:textAlignment w:val="center"/>
              <w:rPr>
                <w:rFonts w:ascii="Calibri" w:eastAsia="Times New Roman" w:hAnsi="Calibri" w:cs="Calibri"/>
                <w:color w:val="000000"/>
                <w:kern w:val="24"/>
                <w:sz w:val="16"/>
                <w:szCs w:val="16"/>
                <w:lang w:eastAsia="fr-BE"/>
              </w:rPr>
            </w:pPr>
            <w:r>
              <w:rPr>
                <w:rFonts w:ascii="Calibri" w:eastAsia="Times New Roman" w:hAnsi="Calibri" w:cs="Calibri"/>
                <w:color w:val="000000"/>
                <w:kern w:val="24"/>
                <w:sz w:val="16"/>
                <w:szCs w:val="16"/>
                <w:lang w:eastAsia="fr-BE"/>
              </w:rPr>
              <w:t>19</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beta</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855" w:type="dxa"/>
            <w:tcBorders>
              <w:top w:val="nil"/>
              <w:left w:val="single" w:sz="4" w:space="0" w:color="000000"/>
              <w:bottom w:val="nil"/>
              <w:right w:val="dotted" w:sz="4" w:space="0" w:color="000000"/>
            </w:tcBorders>
            <w:shd w:val="clear" w:color="auto" w:fill="C6EF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6100"/>
                <w:kern w:val="24"/>
                <w:sz w:val="16"/>
                <w:szCs w:val="16"/>
                <w:lang w:eastAsia="fr-BE"/>
              </w:rPr>
              <w:t>D</w:t>
            </w:r>
          </w:p>
        </w:tc>
        <w:tc>
          <w:tcPr>
            <w:tcW w:w="855" w:type="dxa"/>
            <w:tcBorders>
              <w:top w:val="nil"/>
              <w:left w:val="dotted" w:sz="4" w:space="0" w:color="000000"/>
              <w:bottom w:val="nil"/>
              <w:right w:val="single" w:sz="4" w:space="0" w:color="000000"/>
            </w:tcBorders>
            <w:shd w:val="clear" w:color="auto" w:fill="C6EF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6100"/>
                <w:kern w:val="24"/>
                <w:sz w:val="16"/>
                <w:szCs w:val="16"/>
                <w:lang w:eastAsia="fr-BE"/>
              </w:rPr>
              <w:t>D</w:t>
            </w:r>
          </w:p>
        </w:tc>
        <w:tc>
          <w:tcPr>
            <w:tcW w:w="0" w:type="auto"/>
            <w:gridSpan w:val="3"/>
            <w:vMerge/>
            <w:tcBorders>
              <w:top w:val="nil"/>
              <w:left w:val="dotted" w:sz="4" w:space="0" w:color="000000"/>
              <w:bottom w:val="nil"/>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r>
      <w:tr w:rsidR="00F0434A" w:rsidRPr="00FC42CA" w:rsidTr="005C2537">
        <w:trPr>
          <w:trHeight w:val="66"/>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7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4</w:t>
            </w:r>
          </w:p>
        </w:tc>
        <w:tc>
          <w:tcPr>
            <w:tcW w:w="407" w:type="dxa"/>
            <w:tcBorders>
              <w:top w:val="single" w:sz="4" w:space="0" w:color="000000"/>
              <w:left w:val="single" w:sz="4" w:space="0" w:color="000000"/>
              <w:bottom w:val="single" w:sz="4" w:space="0" w:color="000000"/>
              <w:right w:val="single" w:sz="4" w:space="0" w:color="000000"/>
            </w:tcBorders>
          </w:tcPr>
          <w:p w:rsidR="00F0434A" w:rsidRPr="00FC42CA" w:rsidRDefault="00F0434A" w:rsidP="005C2537">
            <w:pPr>
              <w:jc w:val="center"/>
              <w:textAlignment w:val="center"/>
              <w:rPr>
                <w:rFonts w:ascii="Calibri" w:eastAsia="Times New Roman" w:hAnsi="Calibri" w:cs="Calibri"/>
                <w:color w:val="000000"/>
                <w:kern w:val="24"/>
                <w:sz w:val="16"/>
                <w:szCs w:val="16"/>
                <w:lang w:eastAsia="fr-BE"/>
              </w:rPr>
            </w:pPr>
            <w:r>
              <w:rPr>
                <w:rFonts w:ascii="Calibri" w:eastAsia="Times New Roman" w:hAnsi="Calibri" w:cs="Calibri"/>
                <w:color w:val="000000"/>
                <w:kern w:val="24"/>
                <w:sz w:val="16"/>
                <w:szCs w:val="16"/>
                <w:lang w:eastAsia="fr-BE"/>
              </w:rPr>
              <w:t>19</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beta</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855" w:type="dxa"/>
            <w:tcBorders>
              <w:top w:val="nil"/>
              <w:left w:val="single" w:sz="4" w:space="0" w:color="000000"/>
              <w:bottom w:val="nil"/>
              <w:right w:val="dotted" w:sz="4" w:space="0" w:color="000000"/>
            </w:tcBorders>
            <w:shd w:val="clear" w:color="auto" w:fill="C6EF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6100"/>
                <w:kern w:val="24"/>
                <w:sz w:val="16"/>
                <w:szCs w:val="16"/>
                <w:lang w:eastAsia="fr-BE"/>
              </w:rPr>
              <w:t>D</w:t>
            </w:r>
          </w:p>
        </w:tc>
        <w:tc>
          <w:tcPr>
            <w:tcW w:w="855" w:type="dxa"/>
            <w:tcBorders>
              <w:top w:val="nil"/>
              <w:left w:val="dotted" w:sz="4" w:space="0" w:color="000000"/>
              <w:bottom w:val="nil"/>
              <w:right w:val="single" w:sz="4" w:space="0" w:color="000000"/>
            </w:tcBorders>
            <w:shd w:val="clear" w:color="auto" w:fill="C6EF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6100"/>
                <w:kern w:val="24"/>
                <w:sz w:val="16"/>
                <w:szCs w:val="16"/>
                <w:lang w:eastAsia="fr-BE"/>
              </w:rPr>
              <w:t>D</w:t>
            </w:r>
          </w:p>
        </w:tc>
        <w:tc>
          <w:tcPr>
            <w:tcW w:w="0" w:type="auto"/>
            <w:gridSpan w:val="3"/>
            <w:vMerge/>
            <w:tcBorders>
              <w:top w:val="nil"/>
              <w:left w:val="dotted" w:sz="4" w:space="0" w:color="000000"/>
              <w:bottom w:val="nil"/>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r>
      <w:tr w:rsidR="00F0434A" w:rsidRPr="00FC42CA" w:rsidTr="005C2537">
        <w:trPr>
          <w:trHeight w:val="66"/>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7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5</w:t>
            </w:r>
          </w:p>
        </w:tc>
        <w:tc>
          <w:tcPr>
            <w:tcW w:w="407" w:type="dxa"/>
            <w:tcBorders>
              <w:top w:val="single" w:sz="4" w:space="0" w:color="000000"/>
              <w:left w:val="single" w:sz="4" w:space="0" w:color="000000"/>
              <w:bottom w:val="single" w:sz="4" w:space="0" w:color="000000"/>
              <w:right w:val="single" w:sz="4" w:space="0" w:color="000000"/>
            </w:tcBorders>
          </w:tcPr>
          <w:p w:rsidR="00F0434A" w:rsidRPr="00FC42CA" w:rsidRDefault="00F0434A" w:rsidP="005C2537">
            <w:pPr>
              <w:jc w:val="center"/>
              <w:textAlignment w:val="center"/>
              <w:rPr>
                <w:rFonts w:ascii="Calibri" w:eastAsia="Times New Roman" w:hAnsi="Calibri" w:cs="Calibri"/>
                <w:color w:val="000000"/>
                <w:kern w:val="24"/>
                <w:sz w:val="16"/>
                <w:szCs w:val="16"/>
                <w:lang w:eastAsia="fr-BE"/>
              </w:rPr>
            </w:pPr>
            <w:r>
              <w:rPr>
                <w:rFonts w:ascii="Calibri" w:eastAsia="Times New Roman" w:hAnsi="Calibri" w:cs="Calibri"/>
                <w:color w:val="000000"/>
                <w:kern w:val="24"/>
                <w:sz w:val="16"/>
                <w:szCs w:val="16"/>
                <w:lang w:eastAsia="fr-BE"/>
              </w:rPr>
              <w:t>19</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beta</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855" w:type="dxa"/>
            <w:tcBorders>
              <w:top w:val="nil"/>
              <w:left w:val="single" w:sz="4" w:space="0" w:color="000000"/>
              <w:bottom w:val="single" w:sz="4" w:space="0" w:color="000000"/>
              <w:right w:val="dotted" w:sz="4" w:space="0" w:color="000000"/>
            </w:tcBorders>
            <w:shd w:val="clear" w:color="auto" w:fill="C6EF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6100"/>
                <w:kern w:val="24"/>
                <w:sz w:val="16"/>
                <w:szCs w:val="16"/>
                <w:lang w:eastAsia="fr-BE"/>
              </w:rPr>
              <w:t>D</w:t>
            </w:r>
          </w:p>
        </w:tc>
        <w:tc>
          <w:tcPr>
            <w:tcW w:w="855" w:type="dxa"/>
            <w:tcBorders>
              <w:top w:val="nil"/>
              <w:left w:val="dotted" w:sz="4" w:space="0" w:color="000000"/>
              <w:bottom w:val="single" w:sz="4" w:space="0" w:color="000000"/>
              <w:right w:val="single" w:sz="4" w:space="0" w:color="000000"/>
            </w:tcBorders>
            <w:shd w:val="clear" w:color="auto" w:fill="C6EF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6100"/>
                <w:kern w:val="24"/>
                <w:sz w:val="16"/>
                <w:szCs w:val="16"/>
                <w:lang w:eastAsia="fr-BE"/>
              </w:rPr>
              <w:t>D</w:t>
            </w:r>
          </w:p>
        </w:tc>
        <w:tc>
          <w:tcPr>
            <w:tcW w:w="0" w:type="auto"/>
            <w:gridSpan w:val="3"/>
            <w:vMerge/>
            <w:tcBorders>
              <w:top w:val="nil"/>
              <w:left w:val="dotted"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r>
      <w:tr w:rsidR="00F0434A" w:rsidRPr="00FC42CA" w:rsidTr="005C2537">
        <w:trPr>
          <w:trHeight w:val="147"/>
        </w:trPr>
        <w:tc>
          <w:tcPr>
            <w:tcW w:w="816"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17</w:t>
            </w:r>
          </w:p>
        </w:tc>
        <w:tc>
          <w:tcPr>
            <w:tcW w:w="7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1</w:t>
            </w:r>
          </w:p>
        </w:tc>
        <w:tc>
          <w:tcPr>
            <w:tcW w:w="407" w:type="dxa"/>
            <w:tcBorders>
              <w:top w:val="single" w:sz="4" w:space="0" w:color="000000"/>
              <w:left w:val="single" w:sz="4" w:space="0" w:color="000000"/>
              <w:bottom w:val="single" w:sz="4" w:space="0" w:color="000000"/>
              <w:right w:val="single" w:sz="4" w:space="0" w:color="000000"/>
            </w:tcBorders>
            <w:vAlign w:val="center"/>
          </w:tcPr>
          <w:p w:rsidR="00F0434A" w:rsidRPr="00FC42CA" w:rsidRDefault="00F0434A" w:rsidP="005C2537">
            <w:pPr>
              <w:jc w:val="center"/>
              <w:textAlignment w:val="center"/>
              <w:rPr>
                <w:rFonts w:ascii="Calibri" w:eastAsia="Times New Roman" w:hAnsi="Calibri" w:cs="Calibri"/>
                <w:color w:val="000000"/>
                <w:kern w:val="24"/>
                <w:sz w:val="16"/>
                <w:szCs w:val="16"/>
                <w:lang w:eastAsia="fr-BE"/>
              </w:rPr>
            </w:pPr>
            <w:r>
              <w:rPr>
                <w:rFonts w:ascii="Calibri" w:eastAsia="Times New Roman" w:hAnsi="Calibri" w:cs="Calibri"/>
                <w:color w:val="000000"/>
                <w:kern w:val="24"/>
                <w:sz w:val="16"/>
                <w:szCs w:val="16"/>
                <w:lang w:eastAsia="fr-BE"/>
              </w:rPr>
              <w:t>18</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theta</w:t>
            </w:r>
          </w:p>
        </w:tc>
        <w:tc>
          <w:tcPr>
            <w:tcW w:w="206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val="en-US" w:eastAsia="fr-BE"/>
              </w:rPr>
            </w:pPr>
            <w:r w:rsidRPr="00FC42CA">
              <w:rPr>
                <w:rFonts w:ascii="Calibri" w:eastAsia="Times New Roman" w:hAnsi="Calibri" w:cs="Calibri"/>
                <w:color w:val="000000"/>
                <w:kern w:val="24"/>
                <w:sz w:val="16"/>
                <w:szCs w:val="16"/>
                <w:lang w:val="en-US" w:eastAsia="fr-BE"/>
              </w:rPr>
              <w:t>F lateral superior L, F lateral inferior L, F mesial superior L, Frontopolar L</w:t>
            </w:r>
          </w:p>
        </w:tc>
        <w:tc>
          <w:tcPr>
            <w:tcW w:w="855" w:type="dxa"/>
            <w:tcBorders>
              <w:top w:val="single" w:sz="4" w:space="0" w:color="000000"/>
              <w:left w:val="single" w:sz="4" w:space="0" w:color="000000"/>
              <w:bottom w:val="single" w:sz="4" w:space="0" w:color="000000"/>
              <w:right w:val="dotted" w:sz="4" w:space="0" w:color="000000"/>
            </w:tcBorders>
            <w:shd w:val="clear" w:color="auto" w:fill="FFC7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9C0006"/>
                <w:kern w:val="24"/>
                <w:sz w:val="16"/>
                <w:szCs w:val="16"/>
                <w:lang w:eastAsia="fr-BE"/>
              </w:rPr>
              <w:t>C</w:t>
            </w:r>
          </w:p>
        </w:tc>
        <w:tc>
          <w:tcPr>
            <w:tcW w:w="855" w:type="dxa"/>
            <w:tcBorders>
              <w:top w:val="single" w:sz="4" w:space="0" w:color="000000"/>
              <w:left w:val="dotted" w:sz="4" w:space="0" w:color="000000"/>
              <w:bottom w:val="single" w:sz="4" w:space="0" w:color="000000"/>
              <w:right w:val="single" w:sz="4" w:space="0" w:color="000000"/>
            </w:tcBorders>
            <w:shd w:val="clear" w:color="auto" w:fill="C6EF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6100"/>
                <w:kern w:val="24"/>
                <w:sz w:val="16"/>
                <w:szCs w:val="16"/>
                <w:lang w:eastAsia="fr-BE"/>
              </w:rPr>
              <w:t>D</w:t>
            </w:r>
          </w:p>
        </w:tc>
        <w:tc>
          <w:tcPr>
            <w:tcW w:w="1018" w:type="dxa"/>
            <w:tcBorders>
              <w:top w:val="single" w:sz="4" w:space="0" w:color="000000"/>
              <w:left w:val="single" w:sz="4" w:space="0" w:color="000000"/>
              <w:bottom w:val="single" w:sz="4" w:space="0" w:color="000000"/>
              <w:right w:val="single" w:sz="4" w:space="0" w:color="000000"/>
            </w:tcBorders>
            <w:shd w:val="clear" w:color="auto" w:fill="FF9999"/>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Frontal superior lateral L</w:t>
            </w:r>
          </w:p>
        </w:tc>
        <w:tc>
          <w:tcPr>
            <w:tcW w:w="1018" w:type="dxa"/>
            <w:tcBorders>
              <w:top w:val="single" w:sz="4" w:space="0" w:color="000000"/>
              <w:left w:val="single" w:sz="4" w:space="0" w:color="000000"/>
              <w:bottom w:val="single" w:sz="4" w:space="0" w:color="000000"/>
              <w:right w:val="single" w:sz="4" w:space="0" w:color="000000"/>
            </w:tcBorders>
            <w:shd w:val="clear" w:color="auto" w:fill="9BC2E6"/>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inconclusive</w:t>
            </w:r>
          </w:p>
        </w:tc>
        <w:tc>
          <w:tcPr>
            <w:tcW w:w="1018" w:type="dxa"/>
            <w:tcBorders>
              <w:top w:val="single" w:sz="4" w:space="0" w:color="000000"/>
              <w:left w:val="single" w:sz="4" w:space="0" w:color="000000"/>
              <w:bottom w:val="single" w:sz="4" w:space="0" w:color="000000"/>
              <w:right w:val="single" w:sz="4" w:space="0" w:color="000000"/>
            </w:tcBorders>
            <w:shd w:val="clear" w:color="auto" w:fill="9BC2E6"/>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inconclusive</w:t>
            </w:r>
          </w:p>
        </w:tc>
      </w:tr>
      <w:tr w:rsidR="00F0434A" w:rsidRPr="00FC42CA" w:rsidTr="005C2537">
        <w:trPr>
          <w:trHeight w:val="66"/>
        </w:trPr>
        <w:tc>
          <w:tcPr>
            <w:tcW w:w="81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18</w:t>
            </w:r>
          </w:p>
        </w:tc>
        <w:tc>
          <w:tcPr>
            <w:tcW w:w="7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1</w:t>
            </w:r>
          </w:p>
        </w:tc>
        <w:tc>
          <w:tcPr>
            <w:tcW w:w="407" w:type="dxa"/>
            <w:tcBorders>
              <w:top w:val="single" w:sz="4" w:space="0" w:color="000000"/>
              <w:left w:val="single" w:sz="4" w:space="0" w:color="000000"/>
              <w:bottom w:val="single" w:sz="4" w:space="0" w:color="000000"/>
              <w:right w:val="single" w:sz="4" w:space="0" w:color="000000"/>
            </w:tcBorders>
          </w:tcPr>
          <w:p w:rsidR="00F0434A" w:rsidRPr="00FC42CA" w:rsidRDefault="00F0434A" w:rsidP="005C2537">
            <w:pPr>
              <w:jc w:val="center"/>
              <w:textAlignment w:val="center"/>
              <w:rPr>
                <w:rFonts w:ascii="Calibri" w:eastAsia="Times New Roman" w:hAnsi="Calibri" w:cs="Calibri"/>
                <w:color w:val="000000"/>
                <w:kern w:val="24"/>
                <w:sz w:val="16"/>
                <w:szCs w:val="16"/>
                <w:lang w:eastAsia="fr-BE"/>
              </w:rPr>
            </w:pPr>
            <w:r>
              <w:rPr>
                <w:rFonts w:ascii="Calibri" w:eastAsia="Times New Roman" w:hAnsi="Calibri" w:cs="Calibri"/>
                <w:color w:val="000000"/>
                <w:kern w:val="24"/>
                <w:sz w:val="16"/>
                <w:szCs w:val="16"/>
                <w:lang w:eastAsia="fr-BE"/>
              </w:rPr>
              <w:t>18</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alpha</w:t>
            </w:r>
          </w:p>
        </w:tc>
        <w:tc>
          <w:tcPr>
            <w:tcW w:w="2066"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val="en-US" w:eastAsia="fr-BE"/>
              </w:rPr>
            </w:pPr>
            <w:r w:rsidRPr="00FC42CA">
              <w:rPr>
                <w:rFonts w:ascii="Calibri" w:eastAsia="Times New Roman" w:hAnsi="Calibri" w:cs="Calibri"/>
                <w:color w:val="000000"/>
                <w:kern w:val="24"/>
                <w:sz w:val="16"/>
                <w:szCs w:val="16"/>
                <w:lang w:val="pt-BR" w:eastAsia="fr-BE"/>
              </w:rPr>
              <w:t>F lateral inferior R, anterior operculo-insular R</w:t>
            </w:r>
          </w:p>
        </w:tc>
        <w:tc>
          <w:tcPr>
            <w:tcW w:w="855" w:type="dxa"/>
            <w:tcBorders>
              <w:top w:val="single" w:sz="4" w:space="0" w:color="000000"/>
              <w:left w:val="single" w:sz="4" w:space="0" w:color="000000"/>
              <w:bottom w:val="nil"/>
              <w:right w:val="dotted" w:sz="4" w:space="0" w:color="000000"/>
            </w:tcBorders>
            <w:shd w:val="clear" w:color="auto" w:fill="FFC7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9C0006"/>
                <w:kern w:val="24"/>
                <w:sz w:val="16"/>
                <w:szCs w:val="16"/>
                <w:lang w:eastAsia="fr-BE"/>
              </w:rPr>
              <w:t>C</w:t>
            </w:r>
          </w:p>
        </w:tc>
        <w:tc>
          <w:tcPr>
            <w:tcW w:w="855" w:type="dxa"/>
            <w:tcBorders>
              <w:top w:val="single" w:sz="4" w:space="0" w:color="000000"/>
              <w:left w:val="dotted" w:sz="4" w:space="0" w:color="000000"/>
              <w:bottom w:val="nil"/>
              <w:right w:val="single" w:sz="4" w:space="0" w:color="000000"/>
            </w:tcBorders>
            <w:shd w:val="clear" w:color="auto" w:fill="FFC7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9C0006"/>
                <w:kern w:val="24"/>
                <w:sz w:val="16"/>
                <w:szCs w:val="16"/>
                <w:lang w:eastAsia="fr-BE"/>
              </w:rPr>
              <w:t>C</w:t>
            </w:r>
          </w:p>
        </w:tc>
        <w:tc>
          <w:tcPr>
            <w:tcW w:w="1018" w:type="dxa"/>
            <w:vMerge w:val="restart"/>
            <w:tcBorders>
              <w:top w:val="single" w:sz="4" w:space="0" w:color="000000"/>
              <w:left w:val="single" w:sz="4" w:space="0" w:color="000000"/>
              <w:bottom w:val="single" w:sz="4" w:space="0" w:color="000000"/>
              <w:right w:val="single" w:sz="4" w:space="0" w:color="000000"/>
            </w:tcBorders>
            <w:shd w:val="clear" w:color="auto" w:fill="FF9999"/>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Operculo-insular ant</w:t>
            </w:r>
            <w:r>
              <w:rPr>
                <w:rFonts w:ascii="Calibri" w:eastAsia="Times New Roman" w:hAnsi="Calibri" w:cs="Calibri"/>
                <w:color w:val="000000"/>
                <w:kern w:val="24"/>
                <w:sz w:val="16"/>
                <w:szCs w:val="16"/>
                <w:lang w:eastAsia="fr-BE"/>
              </w:rPr>
              <w:t>erior</w:t>
            </w:r>
            <w:r w:rsidRPr="00FC42CA">
              <w:rPr>
                <w:rFonts w:ascii="Calibri" w:eastAsia="Times New Roman" w:hAnsi="Calibri" w:cs="Calibri"/>
                <w:color w:val="000000"/>
                <w:kern w:val="24"/>
                <w:sz w:val="16"/>
                <w:szCs w:val="16"/>
                <w:lang w:eastAsia="fr-BE"/>
              </w:rPr>
              <w:t xml:space="preserve"> R</w:t>
            </w:r>
          </w:p>
        </w:tc>
        <w:tc>
          <w:tcPr>
            <w:tcW w:w="1018" w:type="dxa"/>
            <w:vMerge w:val="restart"/>
            <w:tcBorders>
              <w:top w:val="single" w:sz="4" w:space="0" w:color="000000"/>
              <w:left w:val="single" w:sz="4" w:space="0" w:color="000000"/>
              <w:bottom w:val="single" w:sz="4" w:space="0" w:color="000000"/>
              <w:right w:val="single" w:sz="4" w:space="0" w:color="000000"/>
            </w:tcBorders>
            <w:shd w:val="clear" w:color="auto" w:fill="FF9999"/>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F inferior lateral R</w:t>
            </w:r>
          </w:p>
        </w:tc>
        <w:tc>
          <w:tcPr>
            <w:tcW w:w="1018" w:type="dxa"/>
            <w:vMerge w:val="restart"/>
            <w:tcBorders>
              <w:top w:val="single" w:sz="4" w:space="0" w:color="000000"/>
              <w:left w:val="single" w:sz="4" w:space="0" w:color="000000"/>
              <w:bottom w:val="single" w:sz="4" w:space="0" w:color="000000"/>
              <w:right w:val="single" w:sz="4" w:space="0" w:color="000000"/>
            </w:tcBorders>
            <w:shd w:val="clear" w:color="auto" w:fill="9BC2E6"/>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inconclusive</w:t>
            </w:r>
          </w:p>
        </w:tc>
      </w:tr>
      <w:tr w:rsidR="00F0434A" w:rsidRPr="00FC42CA" w:rsidTr="005C2537">
        <w:trPr>
          <w:trHeight w:val="66"/>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7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2</w:t>
            </w:r>
          </w:p>
        </w:tc>
        <w:tc>
          <w:tcPr>
            <w:tcW w:w="407" w:type="dxa"/>
            <w:tcBorders>
              <w:top w:val="single" w:sz="4" w:space="0" w:color="000000"/>
              <w:left w:val="single" w:sz="4" w:space="0" w:color="000000"/>
              <w:bottom w:val="single" w:sz="4" w:space="0" w:color="000000"/>
              <w:right w:val="single" w:sz="4" w:space="0" w:color="000000"/>
            </w:tcBorders>
          </w:tcPr>
          <w:p w:rsidR="00F0434A" w:rsidRPr="00FC42CA" w:rsidRDefault="00F0434A" w:rsidP="005C2537">
            <w:pPr>
              <w:jc w:val="center"/>
              <w:textAlignment w:val="center"/>
              <w:rPr>
                <w:rFonts w:ascii="Calibri" w:eastAsia="Times New Roman" w:hAnsi="Calibri" w:cs="Calibri"/>
                <w:color w:val="000000"/>
                <w:kern w:val="24"/>
                <w:sz w:val="16"/>
                <w:szCs w:val="16"/>
                <w:lang w:eastAsia="fr-BE"/>
              </w:rPr>
            </w:pPr>
            <w:r>
              <w:rPr>
                <w:rFonts w:ascii="Calibri" w:eastAsia="Times New Roman" w:hAnsi="Calibri" w:cs="Calibri"/>
                <w:color w:val="000000"/>
                <w:kern w:val="24"/>
                <w:sz w:val="16"/>
                <w:szCs w:val="16"/>
                <w:lang w:eastAsia="fr-BE"/>
              </w:rPr>
              <w:t>18</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alpha</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855" w:type="dxa"/>
            <w:tcBorders>
              <w:top w:val="nil"/>
              <w:left w:val="single" w:sz="4" w:space="0" w:color="000000"/>
              <w:bottom w:val="nil"/>
              <w:right w:val="dotted" w:sz="4" w:space="0" w:color="000000"/>
            </w:tcBorders>
            <w:shd w:val="clear" w:color="auto" w:fill="FFC7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9C0006"/>
                <w:kern w:val="24"/>
                <w:sz w:val="16"/>
                <w:szCs w:val="16"/>
                <w:lang w:eastAsia="fr-BE"/>
              </w:rPr>
              <w:t>C</w:t>
            </w:r>
          </w:p>
        </w:tc>
        <w:tc>
          <w:tcPr>
            <w:tcW w:w="855" w:type="dxa"/>
            <w:tcBorders>
              <w:top w:val="nil"/>
              <w:left w:val="dotted" w:sz="4" w:space="0" w:color="000000"/>
              <w:bottom w:val="nil"/>
              <w:right w:val="single" w:sz="4" w:space="0" w:color="000000"/>
            </w:tcBorders>
            <w:shd w:val="clear" w:color="auto" w:fill="FFC7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9C0006"/>
                <w:kern w:val="24"/>
                <w:sz w:val="16"/>
                <w:szCs w:val="16"/>
                <w:lang w:eastAsia="fr-BE"/>
              </w:rPr>
              <w:t>C</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r>
      <w:tr w:rsidR="00F0434A" w:rsidRPr="00FC42CA" w:rsidTr="005C2537">
        <w:trPr>
          <w:trHeight w:val="66"/>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7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3</w:t>
            </w:r>
          </w:p>
        </w:tc>
        <w:tc>
          <w:tcPr>
            <w:tcW w:w="407" w:type="dxa"/>
            <w:tcBorders>
              <w:top w:val="single" w:sz="4" w:space="0" w:color="000000"/>
              <w:left w:val="single" w:sz="4" w:space="0" w:color="000000"/>
              <w:bottom w:val="single" w:sz="4" w:space="0" w:color="000000"/>
              <w:right w:val="single" w:sz="4" w:space="0" w:color="000000"/>
            </w:tcBorders>
          </w:tcPr>
          <w:p w:rsidR="00F0434A" w:rsidRPr="00FC42CA" w:rsidRDefault="00F0434A" w:rsidP="005C2537">
            <w:pPr>
              <w:jc w:val="center"/>
              <w:textAlignment w:val="center"/>
              <w:rPr>
                <w:rFonts w:ascii="Calibri" w:eastAsia="Times New Roman" w:hAnsi="Calibri" w:cs="Calibri"/>
                <w:color w:val="000000"/>
                <w:kern w:val="24"/>
                <w:sz w:val="16"/>
                <w:szCs w:val="16"/>
                <w:lang w:eastAsia="fr-BE"/>
              </w:rPr>
            </w:pPr>
            <w:r>
              <w:rPr>
                <w:rFonts w:ascii="Calibri" w:eastAsia="Times New Roman" w:hAnsi="Calibri" w:cs="Calibri"/>
                <w:color w:val="000000"/>
                <w:kern w:val="24"/>
                <w:sz w:val="16"/>
                <w:szCs w:val="16"/>
                <w:lang w:eastAsia="fr-BE"/>
              </w:rPr>
              <w:t>18</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alpha</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855" w:type="dxa"/>
            <w:tcBorders>
              <w:top w:val="nil"/>
              <w:left w:val="single" w:sz="4" w:space="0" w:color="000000"/>
              <w:bottom w:val="nil"/>
              <w:right w:val="dotted" w:sz="4" w:space="0" w:color="000000"/>
            </w:tcBorders>
            <w:shd w:val="clear" w:color="auto" w:fill="FFC7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9C0006"/>
                <w:kern w:val="24"/>
                <w:sz w:val="16"/>
                <w:szCs w:val="16"/>
                <w:lang w:eastAsia="fr-BE"/>
              </w:rPr>
              <w:t>C</w:t>
            </w:r>
          </w:p>
        </w:tc>
        <w:tc>
          <w:tcPr>
            <w:tcW w:w="855" w:type="dxa"/>
            <w:tcBorders>
              <w:top w:val="nil"/>
              <w:left w:val="dotted" w:sz="4" w:space="0" w:color="000000"/>
              <w:bottom w:val="nil"/>
              <w:right w:val="single" w:sz="4" w:space="0" w:color="000000"/>
            </w:tcBorders>
            <w:shd w:val="clear" w:color="auto" w:fill="C6EF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6100"/>
                <w:kern w:val="24"/>
                <w:sz w:val="16"/>
                <w:szCs w:val="16"/>
                <w:lang w:eastAsia="fr-BE"/>
              </w:rPr>
              <w:t>D</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r>
      <w:tr w:rsidR="00F0434A" w:rsidRPr="00FC42CA" w:rsidTr="005C2537">
        <w:trPr>
          <w:trHeight w:val="66"/>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7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4</w:t>
            </w:r>
          </w:p>
        </w:tc>
        <w:tc>
          <w:tcPr>
            <w:tcW w:w="407" w:type="dxa"/>
            <w:tcBorders>
              <w:top w:val="single" w:sz="4" w:space="0" w:color="000000"/>
              <w:left w:val="single" w:sz="4" w:space="0" w:color="000000"/>
              <w:bottom w:val="single" w:sz="4" w:space="0" w:color="000000"/>
              <w:right w:val="single" w:sz="4" w:space="0" w:color="000000"/>
            </w:tcBorders>
          </w:tcPr>
          <w:p w:rsidR="00F0434A" w:rsidRPr="00FC42CA" w:rsidRDefault="00F0434A" w:rsidP="005C2537">
            <w:pPr>
              <w:jc w:val="center"/>
              <w:textAlignment w:val="center"/>
              <w:rPr>
                <w:rFonts w:ascii="Calibri" w:eastAsia="Times New Roman" w:hAnsi="Calibri" w:cs="Calibri"/>
                <w:color w:val="000000"/>
                <w:kern w:val="24"/>
                <w:sz w:val="16"/>
                <w:szCs w:val="16"/>
                <w:lang w:eastAsia="fr-BE"/>
              </w:rPr>
            </w:pPr>
            <w:r>
              <w:rPr>
                <w:rFonts w:ascii="Calibri" w:eastAsia="Times New Roman" w:hAnsi="Calibri" w:cs="Calibri"/>
                <w:color w:val="000000"/>
                <w:kern w:val="24"/>
                <w:sz w:val="16"/>
                <w:szCs w:val="16"/>
                <w:lang w:eastAsia="fr-BE"/>
              </w:rPr>
              <w:t>18</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alpha</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855" w:type="dxa"/>
            <w:tcBorders>
              <w:top w:val="nil"/>
              <w:left w:val="single" w:sz="4" w:space="0" w:color="000000"/>
              <w:bottom w:val="nil"/>
              <w:right w:val="dotted" w:sz="4" w:space="0" w:color="000000"/>
            </w:tcBorders>
            <w:shd w:val="clear" w:color="auto" w:fill="FFC7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9C0006"/>
                <w:kern w:val="24"/>
                <w:sz w:val="16"/>
                <w:szCs w:val="16"/>
                <w:lang w:eastAsia="fr-BE"/>
              </w:rPr>
              <w:t>C</w:t>
            </w:r>
          </w:p>
        </w:tc>
        <w:tc>
          <w:tcPr>
            <w:tcW w:w="855" w:type="dxa"/>
            <w:tcBorders>
              <w:top w:val="nil"/>
              <w:left w:val="dotted" w:sz="4" w:space="0" w:color="000000"/>
              <w:bottom w:val="nil"/>
              <w:right w:val="single" w:sz="4" w:space="0" w:color="000000"/>
            </w:tcBorders>
            <w:shd w:val="clear" w:color="auto" w:fill="C6EF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6100"/>
                <w:kern w:val="24"/>
                <w:sz w:val="16"/>
                <w:szCs w:val="16"/>
                <w:lang w:eastAsia="fr-BE"/>
              </w:rPr>
              <w:t>D</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r>
      <w:tr w:rsidR="00F0434A" w:rsidRPr="00FC42CA" w:rsidTr="005C2537">
        <w:trPr>
          <w:trHeight w:val="66"/>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7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5</w:t>
            </w:r>
          </w:p>
        </w:tc>
        <w:tc>
          <w:tcPr>
            <w:tcW w:w="407" w:type="dxa"/>
            <w:tcBorders>
              <w:top w:val="single" w:sz="4" w:space="0" w:color="000000"/>
              <w:left w:val="single" w:sz="4" w:space="0" w:color="000000"/>
              <w:bottom w:val="single" w:sz="4" w:space="0" w:color="000000"/>
              <w:right w:val="single" w:sz="4" w:space="0" w:color="000000"/>
            </w:tcBorders>
          </w:tcPr>
          <w:p w:rsidR="00F0434A" w:rsidRPr="00FC42CA" w:rsidRDefault="00F0434A" w:rsidP="005C2537">
            <w:pPr>
              <w:jc w:val="center"/>
              <w:textAlignment w:val="center"/>
              <w:rPr>
                <w:rFonts w:ascii="Calibri" w:eastAsia="Times New Roman" w:hAnsi="Calibri" w:cs="Calibri"/>
                <w:color w:val="000000"/>
                <w:kern w:val="24"/>
                <w:sz w:val="16"/>
                <w:szCs w:val="16"/>
                <w:lang w:eastAsia="fr-BE"/>
              </w:rPr>
            </w:pPr>
            <w:r>
              <w:rPr>
                <w:rFonts w:ascii="Calibri" w:eastAsia="Times New Roman" w:hAnsi="Calibri" w:cs="Calibri"/>
                <w:color w:val="000000"/>
                <w:kern w:val="24"/>
                <w:sz w:val="16"/>
                <w:szCs w:val="16"/>
                <w:lang w:eastAsia="fr-BE"/>
              </w:rPr>
              <w:t>18</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alpha</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855" w:type="dxa"/>
            <w:tcBorders>
              <w:top w:val="nil"/>
              <w:left w:val="single" w:sz="4" w:space="0" w:color="000000"/>
              <w:bottom w:val="single" w:sz="4" w:space="0" w:color="000000"/>
              <w:right w:val="dotted" w:sz="4" w:space="0" w:color="000000"/>
            </w:tcBorders>
            <w:shd w:val="clear" w:color="auto" w:fill="C6EF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6100"/>
                <w:kern w:val="24"/>
                <w:sz w:val="16"/>
                <w:szCs w:val="16"/>
                <w:lang w:eastAsia="fr-BE"/>
              </w:rPr>
              <w:t>D</w:t>
            </w:r>
          </w:p>
        </w:tc>
        <w:tc>
          <w:tcPr>
            <w:tcW w:w="855" w:type="dxa"/>
            <w:tcBorders>
              <w:top w:val="nil"/>
              <w:left w:val="dotted" w:sz="4" w:space="0" w:color="000000"/>
              <w:bottom w:val="single" w:sz="4" w:space="0" w:color="000000"/>
              <w:right w:val="single" w:sz="4" w:space="0" w:color="000000"/>
            </w:tcBorders>
            <w:shd w:val="clear" w:color="auto" w:fill="C6EF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6100"/>
                <w:kern w:val="24"/>
                <w:sz w:val="16"/>
                <w:szCs w:val="16"/>
                <w:lang w:eastAsia="fr-BE"/>
              </w:rPr>
              <w:t>D</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r>
      <w:tr w:rsidR="00F0434A" w:rsidRPr="00FC42CA" w:rsidTr="005C2537">
        <w:trPr>
          <w:trHeight w:val="70"/>
        </w:trPr>
        <w:tc>
          <w:tcPr>
            <w:tcW w:w="81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19</w:t>
            </w:r>
          </w:p>
        </w:tc>
        <w:tc>
          <w:tcPr>
            <w:tcW w:w="7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1</w:t>
            </w:r>
          </w:p>
        </w:tc>
        <w:tc>
          <w:tcPr>
            <w:tcW w:w="407" w:type="dxa"/>
            <w:tcBorders>
              <w:top w:val="single" w:sz="4" w:space="0" w:color="000000"/>
              <w:left w:val="single" w:sz="4" w:space="0" w:color="000000"/>
              <w:bottom w:val="single" w:sz="4" w:space="0" w:color="000000"/>
              <w:right w:val="single" w:sz="4" w:space="0" w:color="000000"/>
            </w:tcBorders>
          </w:tcPr>
          <w:p w:rsidR="00F0434A" w:rsidRPr="00FC42CA" w:rsidRDefault="00F0434A" w:rsidP="005C2537">
            <w:pPr>
              <w:jc w:val="center"/>
              <w:textAlignment w:val="center"/>
              <w:rPr>
                <w:rFonts w:ascii="Calibri" w:eastAsia="Times New Roman" w:hAnsi="Calibri" w:cs="Calibri"/>
                <w:color w:val="000000"/>
                <w:kern w:val="24"/>
                <w:sz w:val="16"/>
                <w:szCs w:val="16"/>
                <w:lang w:eastAsia="fr-BE"/>
              </w:rPr>
            </w:pPr>
            <w:r>
              <w:rPr>
                <w:rFonts w:ascii="Calibri" w:eastAsia="Times New Roman" w:hAnsi="Calibri" w:cs="Calibri"/>
                <w:color w:val="000000"/>
                <w:kern w:val="24"/>
                <w:sz w:val="16"/>
                <w:szCs w:val="16"/>
                <w:lang w:eastAsia="fr-BE"/>
              </w:rPr>
              <w:t>19</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alpha</w:t>
            </w:r>
          </w:p>
        </w:tc>
        <w:tc>
          <w:tcPr>
            <w:tcW w:w="2066"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Orbitofrontal L, Frontopolar L</w:t>
            </w:r>
          </w:p>
        </w:tc>
        <w:tc>
          <w:tcPr>
            <w:tcW w:w="855" w:type="dxa"/>
            <w:tcBorders>
              <w:top w:val="single" w:sz="4" w:space="0" w:color="000000"/>
              <w:left w:val="single" w:sz="4" w:space="0" w:color="000000"/>
              <w:bottom w:val="nil"/>
              <w:right w:val="dotted" w:sz="4" w:space="0" w:color="000000"/>
            </w:tcBorders>
            <w:shd w:val="clear" w:color="auto" w:fill="C6EF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6100"/>
                <w:kern w:val="24"/>
                <w:sz w:val="16"/>
                <w:szCs w:val="16"/>
                <w:lang w:eastAsia="fr-BE"/>
              </w:rPr>
              <w:t>D</w:t>
            </w:r>
          </w:p>
        </w:tc>
        <w:tc>
          <w:tcPr>
            <w:tcW w:w="855" w:type="dxa"/>
            <w:tcBorders>
              <w:top w:val="single" w:sz="4" w:space="0" w:color="000000"/>
              <w:left w:val="dotted" w:sz="4" w:space="0" w:color="000000"/>
              <w:bottom w:val="nil"/>
              <w:right w:val="single" w:sz="4" w:space="0" w:color="000000"/>
            </w:tcBorders>
            <w:shd w:val="clear" w:color="auto" w:fill="C6EF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6100"/>
                <w:kern w:val="24"/>
                <w:sz w:val="16"/>
                <w:szCs w:val="16"/>
                <w:lang w:eastAsia="fr-BE"/>
              </w:rPr>
              <w:t>D</w:t>
            </w:r>
          </w:p>
        </w:tc>
        <w:tc>
          <w:tcPr>
            <w:tcW w:w="1018" w:type="dxa"/>
            <w:vMerge w:val="restart"/>
            <w:tcBorders>
              <w:top w:val="single" w:sz="4" w:space="0" w:color="000000"/>
              <w:left w:val="single" w:sz="4" w:space="0" w:color="000000"/>
              <w:bottom w:val="single" w:sz="4" w:space="0" w:color="000000"/>
              <w:right w:val="single" w:sz="4" w:space="0" w:color="000000"/>
            </w:tcBorders>
            <w:shd w:val="clear" w:color="auto" w:fill="9BC2E6"/>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inconclusive</w:t>
            </w:r>
          </w:p>
        </w:tc>
        <w:tc>
          <w:tcPr>
            <w:tcW w:w="1018" w:type="dxa"/>
            <w:vMerge w:val="restart"/>
            <w:tcBorders>
              <w:top w:val="single" w:sz="4" w:space="0" w:color="000000"/>
              <w:left w:val="single" w:sz="4" w:space="0" w:color="000000"/>
              <w:bottom w:val="single" w:sz="4" w:space="0" w:color="000000"/>
              <w:right w:val="single" w:sz="4" w:space="0" w:color="000000"/>
            </w:tcBorders>
            <w:shd w:val="clear" w:color="auto" w:fill="9BC2E6"/>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inconclusive</w:t>
            </w:r>
          </w:p>
        </w:tc>
        <w:tc>
          <w:tcPr>
            <w:tcW w:w="1018" w:type="dxa"/>
            <w:vMerge w:val="restart"/>
            <w:tcBorders>
              <w:top w:val="single" w:sz="4" w:space="0" w:color="000000"/>
              <w:left w:val="single" w:sz="4" w:space="0" w:color="000000"/>
              <w:bottom w:val="single" w:sz="4" w:space="0" w:color="000000"/>
              <w:right w:val="single" w:sz="4" w:space="0" w:color="000000"/>
            </w:tcBorders>
            <w:shd w:val="clear" w:color="auto" w:fill="00B050"/>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Operculo-insular ant</w:t>
            </w:r>
            <w:r>
              <w:rPr>
                <w:rFonts w:ascii="Calibri" w:eastAsia="Times New Roman" w:hAnsi="Calibri" w:cs="Calibri"/>
                <w:color w:val="000000"/>
                <w:kern w:val="24"/>
                <w:sz w:val="16"/>
                <w:szCs w:val="16"/>
                <w:lang w:eastAsia="fr-BE"/>
              </w:rPr>
              <w:t>erior</w:t>
            </w:r>
            <w:r w:rsidRPr="00FC42CA">
              <w:rPr>
                <w:rFonts w:ascii="Calibri" w:eastAsia="Times New Roman" w:hAnsi="Calibri" w:cs="Calibri"/>
                <w:color w:val="000000"/>
                <w:kern w:val="24"/>
                <w:sz w:val="16"/>
                <w:szCs w:val="16"/>
                <w:lang w:eastAsia="fr-BE"/>
              </w:rPr>
              <w:t xml:space="preserve"> L</w:t>
            </w:r>
          </w:p>
        </w:tc>
      </w:tr>
      <w:tr w:rsidR="00F0434A" w:rsidRPr="00FC42CA" w:rsidTr="005C2537">
        <w:trPr>
          <w:trHeight w:val="7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7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2</w:t>
            </w:r>
          </w:p>
        </w:tc>
        <w:tc>
          <w:tcPr>
            <w:tcW w:w="407" w:type="dxa"/>
            <w:tcBorders>
              <w:top w:val="single" w:sz="4" w:space="0" w:color="000000"/>
              <w:left w:val="single" w:sz="4" w:space="0" w:color="000000"/>
              <w:bottom w:val="single" w:sz="4" w:space="0" w:color="000000"/>
              <w:right w:val="single" w:sz="4" w:space="0" w:color="000000"/>
            </w:tcBorders>
          </w:tcPr>
          <w:p w:rsidR="00F0434A" w:rsidRPr="00FC42CA" w:rsidRDefault="00F0434A" w:rsidP="005C2537">
            <w:pPr>
              <w:jc w:val="center"/>
              <w:textAlignment w:val="center"/>
              <w:rPr>
                <w:rFonts w:ascii="Calibri" w:eastAsia="Times New Roman" w:hAnsi="Calibri" w:cs="Calibri"/>
                <w:color w:val="000000"/>
                <w:kern w:val="24"/>
                <w:sz w:val="16"/>
                <w:szCs w:val="16"/>
                <w:lang w:eastAsia="fr-BE"/>
              </w:rPr>
            </w:pPr>
            <w:r>
              <w:rPr>
                <w:rFonts w:ascii="Calibri" w:eastAsia="Times New Roman" w:hAnsi="Calibri" w:cs="Calibri"/>
                <w:color w:val="000000"/>
                <w:kern w:val="24"/>
                <w:sz w:val="16"/>
                <w:szCs w:val="16"/>
                <w:lang w:eastAsia="fr-BE"/>
              </w:rPr>
              <w:t>19</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beta</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855" w:type="dxa"/>
            <w:tcBorders>
              <w:top w:val="nil"/>
              <w:left w:val="single" w:sz="4" w:space="0" w:color="000000"/>
              <w:bottom w:val="nil"/>
              <w:right w:val="dotted" w:sz="4" w:space="0" w:color="000000"/>
            </w:tcBorders>
            <w:shd w:val="clear" w:color="auto" w:fill="C6EF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6100"/>
                <w:kern w:val="24"/>
                <w:sz w:val="16"/>
                <w:szCs w:val="16"/>
                <w:lang w:eastAsia="fr-BE"/>
              </w:rPr>
              <w:t>D</w:t>
            </w:r>
          </w:p>
        </w:tc>
        <w:tc>
          <w:tcPr>
            <w:tcW w:w="855" w:type="dxa"/>
            <w:tcBorders>
              <w:top w:val="nil"/>
              <w:left w:val="dotted" w:sz="4" w:space="0" w:color="000000"/>
              <w:bottom w:val="nil"/>
              <w:right w:val="single" w:sz="4" w:space="0" w:color="000000"/>
            </w:tcBorders>
            <w:shd w:val="clear" w:color="auto" w:fill="C6EF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6100"/>
                <w:kern w:val="24"/>
                <w:sz w:val="16"/>
                <w:szCs w:val="16"/>
                <w:lang w:eastAsia="fr-BE"/>
              </w:rPr>
              <w:t>D</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r>
      <w:tr w:rsidR="00F0434A" w:rsidRPr="00FC42CA" w:rsidTr="005C2537">
        <w:trPr>
          <w:trHeight w:val="66"/>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7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3</w:t>
            </w:r>
          </w:p>
        </w:tc>
        <w:tc>
          <w:tcPr>
            <w:tcW w:w="407" w:type="dxa"/>
            <w:tcBorders>
              <w:top w:val="single" w:sz="4" w:space="0" w:color="000000"/>
              <w:left w:val="single" w:sz="4" w:space="0" w:color="000000"/>
              <w:bottom w:val="single" w:sz="4" w:space="0" w:color="000000"/>
              <w:right w:val="single" w:sz="4" w:space="0" w:color="000000"/>
            </w:tcBorders>
          </w:tcPr>
          <w:p w:rsidR="00F0434A" w:rsidRPr="00FC42CA" w:rsidRDefault="00F0434A" w:rsidP="005C2537">
            <w:pPr>
              <w:jc w:val="center"/>
              <w:textAlignment w:val="center"/>
              <w:rPr>
                <w:rFonts w:ascii="Calibri" w:eastAsia="Times New Roman" w:hAnsi="Calibri" w:cs="Calibri"/>
                <w:color w:val="000000"/>
                <w:kern w:val="24"/>
                <w:sz w:val="16"/>
                <w:szCs w:val="16"/>
                <w:lang w:eastAsia="fr-BE"/>
              </w:rPr>
            </w:pPr>
            <w:r>
              <w:rPr>
                <w:rFonts w:ascii="Calibri" w:eastAsia="Times New Roman" w:hAnsi="Calibri" w:cs="Calibri"/>
                <w:color w:val="000000"/>
                <w:kern w:val="24"/>
                <w:sz w:val="16"/>
                <w:szCs w:val="16"/>
                <w:lang w:eastAsia="fr-BE"/>
              </w:rPr>
              <w:t>19</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theta</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855" w:type="dxa"/>
            <w:tcBorders>
              <w:top w:val="nil"/>
              <w:left w:val="single" w:sz="4" w:space="0" w:color="000000"/>
              <w:bottom w:val="single" w:sz="4" w:space="0" w:color="000000"/>
              <w:right w:val="dotted" w:sz="4" w:space="0" w:color="000000"/>
            </w:tcBorders>
            <w:shd w:val="clear" w:color="auto" w:fill="C6EF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6100"/>
                <w:kern w:val="24"/>
                <w:sz w:val="16"/>
                <w:szCs w:val="16"/>
                <w:lang w:eastAsia="fr-BE"/>
              </w:rPr>
              <w:t>D</w:t>
            </w:r>
          </w:p>
        </w:tc>
        <w:tc>
          <w:tcPr>
            <w:tcW w:w="855" w:type="dxa"/>
            <w:tcBorders>
              <w:top w:val="nil"/>
              <w:left w:val="dotted" w:sz="4" w:space="0" w:color="000000"/>
              <w:bottom w:val="single" w:sz="4" w:space="0" w:color="000000"/>
              <w:right w:val="single" w:sz="4" w:space="0" w:color="000000"/>
            </w:tcBorders>
            <w:shd w:val="clear" w:color="auto" w:fill="C6EF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6100"/>
                <w:kern w:val="24"/>
                <w:sz w:val="16"/>
                <w:szCs w:val="16"/>
                <w:lang w:eastAsia="fr-BE"/>
              </w:rPr>
              <w:t>D</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r>
      <w:tr w:rsidR="00F0434A" w:rsidRPr="00FC42CA" w:rsidTr="005C2537">
        <w:trPr>
          <w:trHeight w:val="66"/>
        </w:trPr>
        <w:tc>
          <w:tcPr>
            <w:tcW w:w="81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20</w:t>
            </w:r>
          </w:p>
        </w:tc>
        <w:tc>
          <w:tcPr>
            <w:tcW w:w="7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1</w:t>
            </w:r>
          </w:p>
        </w:tc>
        <w:tc>
          <w:tcPr>
            <w:tcW w:w="407" w:type="dxa"/>
            <w:tcBorders>
              <w:top w:val="single" w:sz="4" w:space="0" w:color="000000"/>
              <w:left w:val="single" w:sz="4" w:space="0" w:color="000000"/>
              <w:bottom w:val="single" w:sz="4" w:space="0" w:color="000000"/>
              <w:right w:val="single" w:sz="4" w:space="0" w:color="000000"/>
            </w:tcBorders>
          </w:tcPr>
          <w:p w:rsidR="00F0434A" w:rsidRPr="00FC42CA" w:rsidRDefault="00F0434A" w:rsidP="005C2537">
            <w:pPr>
              <w:jc w:val="center"/>
              <w:textAlignment w:val="center"/>
              <w:rPr>
                <w:rFonts w:ascii="Calibri" w:eastAsia="Times New Roman" w:hAnsi="Calibri" w:cs="Calibri"/>
                <w:color w:val="000000"/>
                <w:kern w:val="24"/>
                <w:sz w:val="16"/>
                <w:szCs w:val="16"/>
                <w:lang w:eastAsia="fr-BE"/>
              </w:rPr>
            </w:pPr>
            <w:r>
              <w:rPr>
                <w:rFonts w:ascii="Calibri" w:eastAsia="Times New Roman" w:hAnsi="Calibri" w:cs="Calibri"/>
                <w:color w:val="000000"/>
                <w:kern w:val="24"/>
                <w:sz w:val="16"/>
                <w:szCs w:val="16"/>
                <w:lang w:eastAsia="fr-BE"/>
              </w:rPr>
              <w:t>19</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delta</w:t>
            </w:r>
          </w:p>
        </w:tc>
        <w:tc>
          <w:tcPr>
            <w:tcW w:w="2066"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val="en-US" w:eastAsia="fr-BE"/>
              </w:rPr>
            </w:pPr>
            <w:r w:rsidRPr="00FC42CA">
              <w:rPr>
                <w:rFonts w:ascii="Calibri" w:eastAsia="Times New Roman" w:hAnsi="Calibri" w:cs="Calibri"/>
                <w:color w:val="000000"/>
                <w:kern w:val="24"/>
                <w:sz w:val="16"/>
                <w:szCs w:val="16"/>
                <w:lang w:val="pt-BR" w:eastAsia="fr-BE"/>
              </w:rPr>
              <w:t>F lateral inferior R, operculo-insular Ant R</w:t>
            </w:r>
          </w:p>
        </w:tc>
        <w:tc>
          <w:tcPr>
            <w:tcW w:w="855" w:type="dxa"/>
            <w:tcBorders>
              <w:top w:val="single" w:sz="4" w:space="0" w:color="000000"/>
              <w:left w:val="single" w:sz="4" w:space="0" w:color="000000"/>
              <w:bottom w:val="nil"/>
              <w:right w:val="dotted" w:sz="4" w:space="0" w:color="000000"/>
            </w:tcBorders>
            <w:shd w:val="clear" w:color="auto" w:fill="C6F2CE"/>
            <w:tcMar>
              <w:top w:w="15" w:type="dxa"/>
              <w:left w:w="15" w:type="dxa"/>
              <w:bottom w:w="0" w:type="dxa"/>
              <w:right w:w="15" w:type="dxa"/>
            </w:tcMar>
            <w:vAlign w:val="center"/>
            <w:hideMark/>
          </w:tcPr>
          <w:p w:rsidR="00F0434A" w:rsidRPr="00974EC3" w:rsidRDefault="00F0434A" w:rsidP="005C2537">
            <w:pPr>
              <w:jc w:val="center"/>
              <w:textAlignment w:val="center"/>
              <w:rPr>
                <w:rFonts w:ascii="Calibri" w:eastAsia="Times New Roman" w:hAnsi="Calibri" w:cs="Calibri"/>
                <w:color w:val="006100"/>
                <w:kern w:val="24"/>
                <w:sz w:val="16"/>
                <w:szCs w:val="16"/>
                <w:lang w:eastAsia="fr-BE"/>
              </w:rPr>
            </w:pPr>
            <w:r>
              <w:rPr>
                <w:rFonts w:ascii="Calibri" w:eastAsia="Times New Roman" w:hAnsi="Calibri" w:cs="Calibri"/>
                <w:color w:val="006100"/>
                <w:kern w:val="24"/>
                <w:sz w:val="16"/>
                <w:szCs w:val="16"/>
                <w:lang w:eastAsia="fr-BE"/>
              </w:rPr>
              <w:t>D</w:t>
            </w:r>
          </w:p>
        </w:tc>
        <w:tc>
          <w:tcPr>
            <w:tcW w:w="855" w:type="dxa"/>
            <w:tcBorders>
              <w:top w:val="single" w:sz="4" w:space="0" w:color="000000"/>
              <w:left w:val="dotted" w:sz="4" w:space="0" w:color="000000"/>
              <w:bottom w:val="nil"/>
              <w:right w:val="single" w:sz="4" w:space="0" w:color="000000"/>
            </w:tcBorders>
            <w:shd w:val="clear" w:color="auto" w:fill="C6EF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6100"/>
                <w:kern w:val="24"/>
                <w:sz w:val="16"/>
                <w:szCs w:val="16"/>
                <w:lang w:eastAsia="fr-BE"/>
              </w:rPr>
              <w:t>D</w:t>
            </w:r>
          </w:p>
        </w:tc>
        <w:tc>
          <w:tcPr>
            <w:tcW w:w="1018" w:type="dxa"/>
            <w:vMerge w:val="restart"/>
            <w:tcBorders>
              <w:top w:val="single" w:sz="4" w:space="0" w:color="000000"/>
              <w:left w:val="single" w:sz="4" w:space="0" w:color="000000"/>
              <w:bottom w:val="single" w:sz="4" w:space="0" w:color="000000"/>
              <w:right w:val="single" w:sz="4" w:space="0" w:color="000000"/>
            </w:tcBorders>
            <w:shd w:val="clear" w:color="auto" w:fill="00B050"/>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anterior cingular R</w:t>
            </w:r>
          </w:p>
        </w:tc>
        <w:tc>
          <w:tcPr>
            <w:tcW w:w="1018" w:type="dxa"/>
            <w:vMerge w:val="restart"/>
            <w:tcBorders>
              <w:top w:val="single" w:sz="4" w:space="0" w:color="000000"/>
              <w:left w:val="single" w:sz="4" w:space="0" w:color="000000"/>
              <w:bottom w:val="single" w:sz="4" w:space="0" w:color="000000"/>
              <w:right w:val="single" w:sz="4" w:space="0" w:color="000000"/>
            </w:tcBorders>
            <w:shd w:val="clear" w:color="auto" w:fill="00B050"/>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Pr>
                <w:rFonts w:ascii="Calibri" w:eastAsia="Times New Roman" w:hAnsi="Calibri" w:cs="Calibri"/>
                <w:color w:val="000000"/>
                <w:kern w:val="24"/>
                <w:sz w:val="16"/>
                <w:szCs w:val="16"/>
                <w:lang w:eastAsia="fr-BE"/>
              </w:rPr>
              <w:t>Posterior cingular</w:t>
            </w:r>
            <w:r w:rsidRPr="00FC42CA">
              <w:rPr>
                <w:rFonts w:ascii="Calibri" w:eastAsia="Times New Roman" w:hAnsi="Calibri" w:cs="Calibri"/>
                <w:color w:val="000000"/>
                <w:kern w:val="24"/>
                <w:sz w:val="16"/>
                <w:szCs w:val="16"/>
                <w:lang w:eastAsia="fr-BE"/>
              </w:rPr>
              <w:t xml:space="preserve"> R</w:t>
            </w:r>
          </w:p>
        </w:tc>
        <w:tc>
          <w:tcPr>
            <w:tcW w:w="1018" w:type="dxa"/>
            <w:vMerge w:val="restart"/>
            <w:tcBorders>
              <w:top w:val="single" w:sz="4" w:space="0" w:color="000000"/>
              <w:left w:val="single" w:sz="4" w:space="0" w:color="000000"/>
              <w:bottom w:val="single" w:sz="4" w:space="0" w:color="000000"/>
              <w:right w:val="single" w:sz="4" w:space="0" w:color="000000"/>
            </w:tcBorders>
            <w:shd w:val="clear" w:color="auto" w:fill="FF9999"/>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Operculo-insular ant</w:t>
            </w:r>
            <w:r>
              <w:rPr>
                <w:rFonts w:ascii="Calibri" w:eastAsia="Times New Roman" w:hAnsi="Calibri" w:cs="Calibri"/>
                <w:color w:val="000000"/>
                <w:kern w:val="24"/>
                <w:sz w:val="16"/>
                <w:szCs w:val="16"/>
                <w:lang w:eastAsia="fr-BE"/>
              </w:rPr>
              <w:t>erior</w:t>
            </w:r>
            <w:r w:rsidRPr="00FC42CA">
              <w:rPr>
                <w:rFonts w:ascii="Calibri" w:eastAsia="Times New Roman" w:hAnsi="Calibri" w:cs="Calibri"/>
                <w:color w:val="000000"/>
                <w:kern w:val="24"/>
                <w:sz w:val="16"/>
                <w:szCs w:val="16"/>
                <w:lang w:eastAsia="fr-BE"/>
              </w:rPr>
              <w:t xml:space="preserve"> R</w:t>
            </w:r>
          </w:p>
        </w:tc>
      </w:tr>
      <w:tr w:rsidR="00F0434A" w:rsidRPr="00FC42CA" w:rsidTr="005C2537">
        <w:trPr>
          <w:trHeight w:val="66"/>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7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2</w:t>
            </w:r>
          </w:p>
        </w:tc>
        <w:tc>
          <w:tcPr>
            <w:tcW w:w="407" w:type="dxa"/>
            <w:tcBorders>
              <w:top w:val="single" w:sz="4" w:space="0" w:color="000000"/>
              <w:left w:val="single" w:sz="4" w:space="0" w:color="000000"/>
              <w:bottom w:val="single" w:sz="4" w:space="0" w:color="000000"/>
              <w:right w:val="single" w:sz="4" w:space="0" w:color="000000"/>
            </w:tcBorders>
          </w:tcPr>
          <w:p w:rsidR="00F0434A" w:rsidRPr="00FC42CA" w:rsidRDefault="00F0434A" w:rsidP="005C2537">
            <w:pPr>
              <w:jc w:val="center"/>
              <w:textAlignment w:val="center"/>
              <w:rPr>
                <w:rFonts w:ascii="Calibri" w:eastAsia="Times New Roman" w:hAnsi="Calibri" w:cs="Calibri"/>
                <w:color w:val="000000"/>
                <w:kern w:val="24"/>
                <w:sz w:val="16"/>
                <w:szCs w:val="16"/>
                <w:lang w:eastAsia="fr-BE"/>
              </w:rPr>
            </w:pPr>
            <w:r>
              <w:rPr>
                <w:rFonts w:ascii="Calibri" w:eastAsia="Times New Roman" w:hAnsi="Calibri" w:cs="Calibri"/>
                <w:color w:val="000000"/>
                <w:kern w:val="24"/>
                <w:sz w:val="16"/>
                <w:szCs w:val="16"/>
                <w:lang w:eastAsia="fr-BE"/>
              </w:rPr>
              <w:t>19</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alpha</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855" w:type="dxa"/>
            <w:tcBorders>
              <w:top w:val="nil"/>
              <w:left w:val="single" w:sz="4" w:space="0" w:color="000000"/>
              <w:bottom w:val="nil"/>
              <w:right w:val="dotted" w:sz="4" w:space="0" w:color="000000"/>
            </w:tcBorders>
            <w:shd w:val="clear" w:color="auto" w:fill="C6F2CE"/>
            <w:tcMar>
              <w:top w:w="15" w:type="dxa"/>
              <w:left w:w="15" w:type="dxa"/>
              <w:bottom w:w="0" w:type="dxa"/>
              <w:right w:w="15" w:type="dxa"/>
            </w:tcMar>
            <w:vAlign w:val="center"/>
            <w:hideMark/>
          </w:tcPr>
          <w:p w:rsidR="00F0434A" w:rsidRPr="00974EC3" w:rsidRDefault="00F0434A" w:rsidP="005C2537">
            <w:pPr>
              <w:jc w:val="center"/>
              <w:textAlignment w:val="center"/>
              <w:rPr>
                <w:rFonts w:ascii="Calibri" w:eastAsia="Times New Roman" w:hAnsi="Calibri" w:cs="Calibri"/>
                <w:color w:val="006100"/>
                <w:kern w:val="24"/>
                <w:sz w:val="16"/>
                <w:szCs w:val="16"/>
                <w:lang w:eastAsia="fr-BE"/>
              </w:rPr>
            </w:pPr>
            <w:r>
              <w:rPr>
                <w:rFonts w:ascii="Calibri" w:eastAsia="Times New Roman" w:hAnsi="Calibri" w:cs="Calibri"/>
                <w:color w:val="006100"/>
                <w:kern w:val="24"/>
                <w:sz w:val="16"/>
                <w:szCs w:val="16"/>
                <w:lang w:eastAsia="fr-BE"/>
              </w:rPr>
              <w:t>D</w:t>
            </w:r>
          </w:p>
        </w:tc>
        <w:tc>
          <w:tcPr>
            <w:tcW w:w="855" w:type="dxa"/>
            <w:tcBorders>
              <w:top w:val="nil"/>
              <w:left w:val="dotted" w:sz="4" w:space="0" w:color="000000"/>
              <w:bottom w:val="nil"/>
              <w:right w:val="single" w:sz="4" w:space="0" w:color="000000"/>
            </w:tcBorders>
            <w:shd w:val="clear" w:color="auto" w:fill="C6EF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6100"/>
                <w:kern w:val="24"/>
                <w:sz w:val="16"/>
                <w:szCs w:val="16"/>
                <w:lang w:eastAsia="fr-BE"/>
              </w:rPr>
              <w:t>D</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r>
      <w:tr w:rsidR="00F0434A" w:rsidRPr="00FC42CA" w:rsidTr="005C2537">
        <w:trPr>
          <w:trHeight w:val="66"/>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7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3</w:t>
            </w:r>
          </w:p>
        </w:tc>
        <w:tc>
          <w:tcPr>
            <w:tcW w:w="407" w:type="dxa"/>
            <w:tcBorders>
              <w:top w:val="single" w:sz="4" w:space="0" w:color="000000"/>
              <w:left w:val="single" w:sz="4" w:space="0" w:color="000000"/>
              <w:bottom w:val="single" w:sz="4" w:space="0" w:color="000000"/>
              <w:right w:val="single" w:sz="4" w:space="0" w:color="000000"/>
            </w:tcBorders>
          </w:tcPr>
          <w:p w:rsidR="00F0434A" w:rsidRPr="00FC42CA" w:rsidRDefault="00F0434A" w:rsidP="005C2537">
            <w:pPr>
              <w:jc w:val="center"/>
              <w:textAlignment w:val="center"/>
              <w:rPr>
                <w:rFonts w:ascii="Calibri" w:eastAsia="Times New Roman" w:hAnsi="Calibri" w:cs="Calibri"/>
                <w:color w:val="000000"/>
                <w:kern w:val="24"/>
                <w:sz w:val="16"/>
                <w:szCs w:val="16"/>
                <w:lang w:eastAsia="fr-BE"/>
              </w:rPr>
            </w:pPr>
            <w:r>
              <w:rPr>
                <w:rFonts w:ascii="Calibri" w:eastAsia="Times New Roman" w:hAnsi="Calibri" w:cs="Calibri"/>
                <w:color w:val="000000"/>
                <w:kern w:val="24"/>
                <w:sz w:val="16"/>
                <w:szCs w:val="16"/>
                <w:lang w:eastAsia="fr-BE"/>
              </w:rPr>
              <w:t>19</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alpha</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855" w:type="dxa"/>
            <w:tcBorders>
              <w:top w:val="nil"/>
              <w:left w:val="single" w:sz="4" w:space="0" w:color="000000"/>
              <w:bottom w:val="nil"/>
              <w:right w:val="dotted" w:sz="4" w:space="0" w:color="000000"/>
            </w:tcBorders>
            <w:shd w:val="clear" w:color="auto" w:fill="C6F2CE"/>
            <w:tcMar>
              <w:top w:w="15" w:type="dxa"/>
              <w:left w:w="15" w:type="dxa"/>
              <w:bottom w:w="0" w:type="dxa"/>
              <w:right w:w="15" w:type="dxa"/>
            </w:tcMar>
            <w:vAlign w:val="center"/>
            <w:hideMark/>
          </w:tcPr>
          <w:p w:rsidR="00F0434A" w:rsidRPr="00974EC3" w:rsidRDefault="00F0434A" w:rsidP="005C2537">
            <w:pPr>
              <w:jc w:val="center"/>
              <w:textAlignment w:val="center"/>
              <w:rPr>
                <w:rFonts w:ascii="Calibri" w:eastAsia="Times New Roman" w:hAnsi="Calibri" w:cs="Calibri"/>
                <w:color w:val="006100"/>
                <w:kern w:val="24"/>
                <w:sz w:val="16"/>
                <w:szCs w:val="16"/>
                <w:lang w:eastAsia="fr-BE"/>
              </w:rPr>
            </w:pPr>
            <w:r>
              <w:rPr>
                <w:rFonts w:ascii="Calibri" w:eastAsia="Times New Roman" w:hAnsi="Calibri" w:cs="Calibri"/>
                <w:color w:val="006100"/>
                <w:kern w:val="24"/>
                <w:sz w:val="16"/>
                <w:szCs w:val="16"/>
                <w:lang w:eastAsia="fr-BE"/>
              </w:rPr>
              <w:t>D</w:t>
            </w:r>
          </w:p>
        </w:tc>
        <w:tc>
          <w:tcPr>
            <w:tcW w:w="855" w:type="dxa"/>
            <w:tcBorders>
              <w:top w:val="nil"/>
              <w:left w:val="dotted" w:sz="4" w:space="0" w:color="000000"/>
              <w:bottom w:val="nil"/>
              <w:right w:val="single" w:sz="4" w:space="0" w:color="000000"/>
            </w:tcBorders>
            <w:shd w:val="clear" w:color="auto" w:fill="FFC7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9C0006"/>
                <w:kern w:val="24"/>
                <w:sz w:val="16"/>
                <w:szCs w:val="16"/>
                <w:lang w:eastAsia="fr-BE"/>
              </w:rPr>
              <w:t>C</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r>
      <w:tr w:rsidR="00F0434A" w:rsidRPr="00FC42CA" w:rsidTr="005C2537">
        <w:trPr>
          <w:trHeight w:val="66"/>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7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4</w:t>
            </w:r>
          </w:p>
        </w:tc>
        <w:tc>
          <w:tcPr>
            <w:tcW w:w="407" w:type="dxa"/>
            <w:tcBorders>
              <w:top w:val="single" w:sz="4" w:space="0" w:color="000000"/>
              <w:left w:val="single" w:sz="4" w:space="0" w:color="000000"/>
              <w:bottom w:val="single" w:sz="4" w:space="0" w:color="000000"/>
              <w:right w:val="single" w:sz="4" w:space="0" w:color="000000"/>
            </w:tcBorders>
          </w:tcPr>
          <w:p w:rsidR="00F0434A" w:rsidRPr="00FC42CA" w:rsidRDefault="00F0434A" w:rsidP="005C2537">
            <w:pPr>
              <w:jc w:val="center"/>
              <w:textAlignment w:val="center"/>
              <w:rPr>
                <w:rFonts w:ascii="Calibri" w:eastAsia="Times New Roman" w:hAnsi="Calibri" w:cs="Calibri"/>
                <w:color w:val="000000"/>
                <w:kern w:val="24"/>
                <w:sz w:val="16"/>
                <w:szCs w:val="16"/>
                <w:lang w:eastAsia="fr-BE"/>
              </w:rPr>
            </w:pPr>
            <w:r>
              <w:rPr>
                <w:rFonts w:ascii="Calibri" w:eastAsia="Times New Roman" w:hAnsi="Calibri" w:cs="Calibri"/>
                <w:color w:val="000000"/>
                <w:kern w:val="24"/>
                <w:sz w:val="16"/>
                <w:szCs w:val="16"/>
                <w:lang w:eastAsia="fr-BE"/>
              </w:rPr>
              <w:t>19</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alpha</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855" w:type="dxa"/>
            <w:tcBorders>
              <w:top w:val="nil"/>
              <w:left w:val="single" w:sz="4" w:space="0" w:color="000000"/>
              <w:bottom w:val="nil"/>
              <w:right w:val="dotted" w:sz="4" w:space="0" w:color="000000"/>
            </w:tcBorders>
            <w:shd w:val="clear" w:color="auto" w:fill="C6F2CE"/>
            <w:tcMar>
              <w:top w:w="15" w:type="dxa"/>
              <w:left w:w="15" w:type="dxa"/>
              <w:bottom w:w="0" w:type="dxa"/>
              <w:right w:w="15" w:type="dxa"/>
            </w:tcMar>
            <w:vAlign w:val="center"/>
            <w:hideMark/>
          </w:tcPr>
          <w:p w:rsidR="00F0434A" w:rsidRPr="00974EC3" w:rsidRDefault="00F0434A" w:rsidP="005C2537">
            <w:pPr>
              <w:jc w:val="center"/>
              <w:textAlignment w:val="center"/>
              <w:rPr>
                <w:rFonts w:ascii="Calibri" w:eastAsia="Times New Roman" w:hAnsi="Calibri" w:cs="Calibri"/>
                <w:color w:val="006100"/>
                <w:kern w:val="24"/>
                <w:sz w:val="16"/>
                <w:szCs w:val="16"/>
                <w:lang w:eastAsia="fr-BE"/>
              </w:rPr>
            </w:pPr>
            <w:r>
              <w:rPr>
                <w:rFonts w:ascii="Calibri" w:eastAsia="Times New Roman" w:hAnsi="Calibri" w:cs="Calibri"/>
                <w:color w:val="006100"/>
                <w:kern w:val="24"/>
                <w:sz w:val="16"/>
                <w:szCs w:val="16"/>
                <w:lang w:eastAsia="fr-BE"/>
              </w:rPr>
              <w:t>D</w:t>
            </w:r>
          </w:p>
        </w:tc>
        <w:tc>
          <w:tcPr>
            <w:tcW w:w="855" w:type="dxa"/>
            <w:tcBorders>
              <w:top w:val="nil"/>
              <w:left w:val="dotted" w:sz="4" w:space="0" w:color="000000"/>
              <w:bottom w:val="nil"/>
              <w:right w:val="single" w:sz="4" w:space="0" w:color="000000"/>
            </w:tcBorders>
            <w:shd w:val="clear" w:color="auto" w:fill="C6EF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6100"/>
                <w:kern w:val="24"/>
                <w:sz w:val="16"/>
                <w:szCs w:val="16"/>
                <w:lang w:eastAsia="fr-BE"/>
              </w:rPr>
              <w:t>D</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r>
      <w:tr w:rsidR="00F0434A" w:rsidRPr="00FC42CA" w:rsidTr="005C2537">
        <w:trPr>
          <w:trHeight w:val="66"/>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7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5</w:t>
            </w:r>
          </w:p>
        </w:tc>
        <w:tc>
          <w:tcPr>
            <w:tcW w:w="407" w:type="dxa"/>
            <w:tcBorders>
              <w:top w:val="single" w:sz="4" w:space="0" w:color="000000"/>
              <w:left w:val="single" w:sz="4" w:space="0" w:color="000000"/>
              <w:bottom w:val="single" w:sz="4" w:space="0" w:color="000000"/>
              <w:right w:val="single" w:sz="4" w:space="0" w:color="000000"/>
            </w:tcBorders>
          </w:tcPr>
          <w:p w:rsidR="00F0434A" w:rsidRPr="00FC42CA" w:rsidRDefault="00F0434A" w:rsidP="005C2537">
            <w:pPr>
              <w:jc w:val="center"/>
              <w:textAlignment w:val="center"/>
              <w:rPr>
                <w:rFonts w:ascii="Calibri" w:eastAsia="Times New Roman" w:hAnsi="Calibri" w:cs="Calibri"/>
                <w:color w:val="000000"/>
                <w:kern w:val="24"/>
                <w:sz w:val="16"/>
                <w:szCs w:val="16"/>
                <w:lang w:eastAsia="fr-BE"/>
              </w:rPr>
            </w:pPr>
            <w:r>
              <w:rPr>
                <w:rFonts w:ascii="Calibri" w:eastAsia="Times New Roman" w:hAnsi="Calibri" w:cs="Calibri"/>
                <w:color w:val="000000"/>
                <w:kern w:val="24"/>
                <w:sz w:val="16"/>
                <w:szCs w:val="16"/>
                <w:lang w:eastAsia="fr-BE"/>
              </w:rPr>
              <w:t>19</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alpha</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855" w:type="dxa"/>
            <w:tcBorders>
              <w:top w:val="nil"/>
              <w:left w:val="single" w:sz="4" w:space="0" w:color="000000"/>
              <w:bottom w:val="single" w:sz="4" w:space="0" w:color="000000"/>
              <w:right w:val="dotted" w:sz="4" w:space="0" w:color="000000"/>
            </w:tcBorders>
            <w:shd w:val="clear" w:color="auto" w:fill="C6F2CE"/>
            <w:tcMar>
              <w:top w:w="15" w:type="dxa"/>
              <w:left w:w="15" w:type="dxa"/>
              <w:bottom w:w="0" w:type="dxa"/>
              <w:right w:w="15" w:type="dxa"/>
            </w:tcMar>
            <w:vAlign w:val="center"/>
            <w:hideMark/>
          </w:tcPr>
          <w:p w:rsidR="00F0434A" w:rsidRPr="00974EC3" w:rsidRDefault="00F0434A" w:rsidP="005C2537">
            <w:pPr>
              <w:jc w:val="center"/>
              <w:textAlignment w:val="center"/>
              <w:rPr>
                <w:rFonts w:ascii="Calibri" w:eastAsia="Times New Roman" w:hAnsi="Calibri" w:cs="Calibri"/>
                <w:color w:val="006100"/>
                <w:kern w:val="24"/>
                <w:sz w:val="16"/>
                <w:szCs w:val="16"/>
                <w:lang w:eastAsia="fr-BE"/>
              </w:rPr>
            </w:pPr>
            <w:r>
              <w:rPr>
                <w:rFonts w:ascii="Calibri" w:eastAsia="Times New Roman" w:hAnsi="Calibri" w:cs="Calibri"/>
                <w:color w:val="006100"/>
                <w:kern w:val="24"/>
                <w:sz w:val="16"/>
                <w:szCs w:val="16"/>
                <w:lang w:eastAsia="fr-BE"/>
              </w:rPr>
              <w:t>D</w:t>
            </w:r>
          </w:p>
        </w:tc>
        <w:tc>
          <w:tcPr>
            <w:tcW w:w="855" w:type="dxa"/>
            <w:tcBorders>
              <w:top w:val="nil"/>
              <w:left w:val="dotted" w:sz="4" w:space="0" w:color="000000"/>
              <w:bottom w:val="single" w:sz="4" w:space="0" w:color="000000"/>
              <w:right w:val="single" w:sz="4" w:space="0" w:color="000000"/>
            </w:tcBorders>
            <w:shd w:val="clear" w:color="auto" w:fill="C6EF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6100"/>
                <w:kern w:val="24"/>
                <w:sz w:val="16"/>
                <w:szCs w:val="16"/>
                <w:lang w:eastAsia="fr-BE"/>
              </w:rPr>
              <w:t>D</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r>
      <w:tr w:rsidR="00F0434A" w:rsidRPr="00FC42CA" w:rsidTr="005C2537">
        <w:trPr>
          <w:trHeight w:val="66"/>
        </w:trPr>
        <w:tc>
          <w:tcPr>
            <w:tcW w:w="81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21</w:t>
            </w:r>
          </w:p>
        </w:tc>
        <w:tc>
          <w:tcPr>
            <w:tcW w:w="7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1</w:t>
            </w:r>
          </w:p>
        </w:tc>
        <w:tc>
          <w:tcPr>
            <w:tcW w:w="407" w:type="dxa"/>
            <w:tcBorders>
              <w:top w:val="single" w:sz="4" w:space="0" w:color="000000"/>
              <w:left w:val="single" w:sz="4" w:space="0" w:color="000000"/>
              <w:bottom w:val="single" w:sz="4" w:space="0" w:color="000000"/>
              <w:right w:val="single" w:sz="4" w:space="0" w:color="000000"/>
            </w:tcBorders>
          </w:tcPr>
          <w:p w:rsidR="00F0434A" w:rsidRPr="00FC42CA" w:rsidRDefault="00F0434A" w:rsidP="005C2537">
            <w:pPr>
              <w:jc w:val="center"/>
              <w:textAlignment w:val="center"/>
              <w:rPr>
                <w:rFonts w:ascii="Calibri" w:eastAsia="Times New Roman" w:hAnsi="Calibri" w:cs="Calibri"/>
                <w:color w:val="000000"/>
                <w:kern w:val="24"/>
                <w:sz w:val="16"/>
                <w:szCs w:val="16"/>
                <w:lang w:eastAsia="fr-BE"/>
              </w:rPr>
            </w:pPr>
            <w:r>
              <w:rPr>
                <w:rFonts w:ascii="Calibri" w:eastAsia="Times New Roman" w:hAnsi="Calibri" w:cs="Calibri"/>
                <w:color w:val="000000"/>
                <w:kern w:val="24"/>
                <w:sz w:val="16"/>
                <w:szCs w:val="16"/>
                <w:lang w:eastAsia="fr-BE"/>
              </w:rPr>
              <w:t>19</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theta</w:t>
            </w:r>
          </w:p>
        </w:tc>
        <w:tc>
          <w:tcPr>
            <w:tcW w:w="2066"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val="en-US" w:eastAsia="fr-BE"/>
              </w:rPr>
            </w:pPr>
            <w:r w:rsidRPr="00FC42CA">
              <w:rPr>
                <w:rFonts w:ascii="Calibri" w:eastAsia="Times New Roman" w:hAnsi="Calibri" w:cs="Calibri"/>
                <w:color w:val="000000"/>
                <w:kern w:val="24"/>
                <w:sz w:val="16"/>
                <w:szCs w:val="16"/>
                <w:lang w:val="pt-BR" w:eastAsia="fr-BE"/>
              </w:rPr>
              <w:t>F lateral inferior R, anterior operculo-insular R</w:t>
            </w:r>
          </w:p>
        </w:tc>
        <w:tc>
          <w:tcPr>
            <w:tcW w:w="855" w:type="dxa"/>
            <w:tcBorders>
              <w:top w:val="single" w:sz="4" w:space="0" w:color="000000"/>
              <w:left w:val="single" w:sz="4" w:space="0" w:color="000000"/>
              <w:bottom w:val="nil"/>
              <w:right w:val="dotted" w:sz="4" w:space="0" w:color="000000"/>
            </w:tcBorders>
            <w:shd w:val="clear" w:color="auto" w:fill="C6EF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6100"/>
                <w:kern w:val="24"/>
                <w:sz w:val="16"/>
                <w:szCs w:val="16"/>
                <w:lang w:eastAsia="fr-BE"/>
              </w:rPr>
              <w:t>D</w:t>
            </w:r>
          </w:p>
        </w:tc>
        <w:tc>
          <w:tcPr>
            <w:tcW w:w="855" w:type="dxa"/>
            <w:tcBorders>
              <w:top w:val="single" w:sz="4" w:space="0" w:color="000000"/>
              <w:left w:val="dotted" w:sz="4" w:space="0" w:color="000000"/>
              <w:bottom w:val="nil"/>
              <w:right w:val="single" w:sz="4" w:space="0" w:color="000000"/>
            </w:tcBorders>
            <w:shd w:val="clear" w:color="auto" w:fill="C6EF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6100"/>
                <w:kern w:val="24"/>
                <w:sz w:val="16"/>
                <w:szCs w:val="16"/>
                <w:lang w:eastAsia="fr-BE"/>
              </w:rPr>
              <w:t>D</w:t>
            </w:r>
          </w:p>
        </w:tc>
        <w:tc>
          <w:tcPr>
            <w:tcW w:w="1018" w:type="dxa"/>
            <w:vMerge w:val="restart"/>
            <w:tcBorders>
              <w:top w:val="single" w:sz="4" w:space="0" w:color="000000"/>
              <w:left w:val="single" w:sz="4" w:space="0" w:color="000000"/>
              <w:bottom w:val="single" w:sz="4" w:space="0" w:color="000000"/>
              <w:right w:val="single" w:sz="4" w:space="0" w:color="000000"/>
            </w:tcBorders>
            <w:shd w:val="clear" w:color="auto" w:fill="9BC2E6"/>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inconclusive</w:t>
            </w:r>
          </w:p>
        </w:tc>
        <w:tc>
          <w:tcPr>
            <w:tcW w:w="1018" w:type="dxa"/>
            <w:vMerge w:val="restart"/>
            <w:tcBorders>
              <w:top w:val="single" w:sz="4" w:space="0" w:color="000000"/>
              <w:left w:val="single" w:sz="4" w:space="0" w:color="000000"/>
              <w:bottom w:val="single" w:sz="4" w:space="0" w:color="000000"/>
              <w:right w:val="single" w:sz="4" w:space="0" w:color="000000"/>
            </w:tcBorders>
            <w:shd w:val="clear" w:color="auto" w:fill="9BC2E6"/>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inconclusive</w:t>
            </w:r>
          </w:p>
        </w:tc>
        <w:tc>
          <w:tcPr>
            <w:tcW w:w="1018" w:type="dxa"/>
            <w:vMerge w:val="restart"/>
            <w:tcBorders>
              <w:top w:val="single" w:sz="4" w:space="0" w:color="000000"/>
              <w:left w:val="single" w:sz="4" w:space="0" w:color="000000"/>
              <w:bottom w:val="single" w:sz="4" w:space="0" w:color="000000"/>
              <w:right w:val="single" w:sz="4" w:space="0" w:color="000000"/>
            </w:tcBorders>
            <w:shd w:val="clear" w:color="auto" w:fill="00B050"/>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Operculo-insular post</w:t>
            </w:r>
            <w:r>
              <w:rPr>
                <w:rFonts w:ascii="Calibri" w:eastAsia="Times New Roman" w:hAnsi="Calibri" w:cs="Calibri"/>
                <w:color w:val="000000"/>
                <w:kern w:val="24"/>
                <w:sz w:val="16"/>
                <w:szCs w:val="16"/>
                <w:lang w:eastAsia="fr-BE"/>
              </w:rPr>
              <w:t>erior</w:t>
            </w:r>
            <w:r w:rsidRPr="00FC42CA">
              <w:rPr>
                <w:rFonts w:ascii="Calibri" w:eastAsia="Times New Roman" w:hAnsi="Calibri" w:cs="Calibri"/>
                <w:color w:val="000000"/>
                <w:kern w:val="24"/>
                <w:sz w:val="16"/>
                <w:szCs w:val="16"/>
                <w:lang w:eastAsia="fr-BE"/>
              </w:rPr>
              <w:t xml:space="preserve"> R</w:t>
            </w:r>
          </w:p>
        </w:tc>
      </w:tr>
      <w:tr w:rsidR="00F0434A" w:rsidRPr="00FC42CA" w:rsidTr="005C2537">
        <w:trPr>
          <w:trHeight w:val="66"/>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7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2</w:t>
            </w:r>
          </w:p>
        </w:tc>
        <w:tc>
          <w:tcPr>
            <w:tcW w:w="407" w:type="dxa"/>
            <w:tcBorders>
              <w:top w:val="single" w:sz="4" w:space="0" w:color="000000"/>
              <w:left w:val="single" w:sz="4" w:space="0" w:color="000000"/>
              <w:bottom w:val="single" w:sz="4" w:space="0" w:color="000000"/>
              <w:right w:val="single" w:sz="4" w:space="0" w:color="000000"/>
            </w:tcBorders>
          </w:tcPr>
          <w:p w:rsidR="00F0434A" w:rsidRPr="00FC42CA" w:rsidRDefault="00F0434A" w:rsidP="005C2537">
            <w:pPr>
              <w:jc w:val="center"/>
              <w:textAlignment w:val="center"/>
              <w:rPr>
                <w:rFonts w:ascii="Calibri" w:eastAsia="Times New Roman" w:hAnsi="Calibri" w:cs="Calibri"/>
                <w:color w:val="000000"/>
                <w:kern w:val="24"/>
                <w:sz w:val="16"/>
                <w:szCs w:val="16"/>
                <w:lang w:eastAsia="fr-BE"/>
              </w:rPr>
            </w:pPr>
            <w:r>
              <w:rPr>
                <w:rFonts w:ascii="Calibri" w:eastAsia="Times New Roman" w:hAnsi="Calibri" w:cs="Calibri"/>
                <w:color w:val="000000"/>
                <w:kern w:val="24"/>
                <w:sz w:val="16"/>
                <w:szCs w:val="16"/>
                <w:lang w:eastAsia="fr-BE"/>
              </w:rPr>
              <w:t>19</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theta</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855" w:type="dxa"/>
            <w:tcBorders>
              <w:top w:val="nil"/>
              <w:left w:val="single" w:sz="4" w:space="0" w:color="000000"/>
              <w:bottom w:val="nil"/>
              <w:right w:val="dotted" w:sz="4" w:space="0" w:color="000000"/>
            </w:tcBorders>
            <w:shd w:val="clear" w:color="auto" w:fill="C6EF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6100"/>
                <w:kern w:val="24"/>
                <w:sz w:val="16"/>
                <w:szCs w:val="16"/>
                <w:lang w:eastAsia="fr-BE"/>
              </w:rPr>
              <w:t>D</w:t>
            </w:r>
          </w:p>
        </w:tc>
        <w:tc>
          <w:tcPr>
            <w:tcW w:w="855" w:type="dxa"/>
            <w:tcBorders>
              <w:top w:val="nil"/>
              <w:left w:val="dotted" w:sz="4" w:space="0" w:color="000000"/>
              <w:bottom w:val="nil"/>
              <w:right w:val="single" w:sz="4" w:space="0" w:color="000000"/>
            </w:tcBorders>
            <w:shd w:val="clear" w:color="auto" w:fill="C6EF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6100"/>
                <w:kern w:val="24"/>
                <w:sz w:val="16"/>
                <w:szCs w:val="16"/>
                <w:lang w:eastAsia="fr-BE"/>
              </w:rPr>
              <w:t>D</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r>
      <w:tr w:rsidR="00F0434A" w:rsidRPr="00FC42CA" w:rsidTr="005C2537">
        <w:trPr>
          <w:trHeight w:val="66"/>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7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3</w:t>
            </w:r>
          </w:p>
        </w:tc>
        <w:tc>
          <w:tcPr>
            <w:tcW w:w="407" w:type="dxa"/>
            <w:tcBorders>
              <w:top w:val="single" w:sz="4" w:space="0" w:color="000000"/>
              <w:left w:val="single" w:sz="4" w:space="0" w:color="000000"/>
              <w:bottom w:val="single" w:sz="4" w:space="0" w:color="000000"/>
              <w:right w:val="single" w:sz="4" w:space="0" w:color="000000"/>
            </w:tcBorders>
          </w:tcPr>
          <w:p w:rsidR="00F0434A" w:rsidRPr="00FC42CA" w:rsidRDefault="00F0434A" w:rsidP="005C2537">
            <w:pPr>
              <w:jc w:val="center"/>
              <w:textAlignment w:val="center"/>
              <w:rPr>
                <w:rFonts w:ascii="Calibri" w:eastAsia="Times New Roman" w:hAnsi="Calibri" w:cs="Calibri"/>
                <w:color w:val="000000"/>
                <w:kern w:val="24"/>
                <w:sz w:val="16"/>
                <w:szCs w:val="16"/>
                <w:lang w:eastAsia="fr-BE"/>
              </w:rPr>
            </w:pPr>
            <w:r>
              <w:rPr>
                <w:rFonts w:ascii="Calibri" w:eastAsia="Times New Roman" w:hAnsi="Calibri" w:cs="Calibri"/>
                <w:color w:val="000000"/>
                <w:kern w:val="24"/>
                <w:sz w:val="16"/>
                <w:szCs w:val="16"/>
                <w:lang w:eastAsia="fr-BE"/>
              </w:rPr>
              <w:t>19</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theta</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855" w:type="dxa"/>
            <w:tcBorders>
              <w:top w:val="nil"/>
              <w:left w:val="single" w:sz="4" w:space="0" w:color="000000"/>
              <w:bottom w:val="nil"/>
              <w:right w:val="dotted" w:sz="4" w:space="0" w:color="000000"/>
            </w:tcBorders>
            <w:shd w:val="clear" w:color="auto" w:fill="C6EF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6100"/>
                <w:kern w:val="24"/>
                <w:sz w:val="16"/>
                <w:szCs w:val="16"/>
                <w:lang w:eastAsia="fr-BE"/>
              </w:rPr>
              <w:t>D</w:t>
            </w:r>
          </w:p>
        </w:tc>
        <w:tc>
          <w:tcPr>
            <w:tcW w:w="855" w:type="dxa"/>
            <w:tcBorders>
              <w:top w:val="nil"/>
              <w:left w:val="dotted" w:sz="4" w:space="0" w:color="000000"/>
              <w:bottom w:val="nil"/>
              <w:right w:val="single" w:sz="4" w:space="0" w:color="000000"/>
            </w:tcBorders>
            <w:shd w:val="clear" w:color="auto" w:fill="C6EF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6100"/>
                <w:kern w:val="24"/>
                <w:sz w:val="16"/>
                <w:szCs w:val="16"/>
                <w:lang w:eastAsia="fr-BE"/>
              </w:rPr>
              <w:t>D</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r>
      <w:tr w:rsidR="00F0434A" w:rsidRPr="00FC42CA" w:rsidTr="005C2537">
        <w:trPr>
          <w:trHeight w:val="66"/>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7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4</w:t>
            </w:r>
          </w:p>
        </w:tc>
        <w:tc>
          <w:tcPr>
            <w:tcW w:w="407" w:type="dxa"/>
            <w:tcBorders>
              <w:top w:val="single" w:sz="4" w:space="0" w:color="000000"/>
              <w:left w:val="single" w:sz="4" w:space="0" w:color="000000"/>
              <w:bottom w:val="single" w:sz="4" w:space="0" w:color="000000"/>
              <w:right w:val="single" w:sz="4" w:space="0" w:color="000000"/>
            </w:tcBorders>
          </w:tcPr>
          <w:p w:rsidR="00F0434A" w:rsidRPr="00FC42CA" w:rsidRDefault="00F0434A" w:rsidP="005C2537">
            <w:pPr>
              <w:jc w:val="center"/>
              <w:textAlignment w:val="center"/>
              <w:rPr>
                <w:rFonts w:ascii="Calibri" w:eastAsia="Times New Roman" w:hAnsi="Calibri" w:cs="Calibri"/>
                <w:color w:val="000000"/>
                <w:kern w:val="24"/>
                <w:sz w:val="16"/>
                <w:szCs w:val="16"/>
                <w:lang w:eastAsia="fr-BE"/>
              </w:rPr>
            </w:pPr>
            <w:r>
              <w:rPr>
                <w:rFonts w:ascii="Calibri" w:eastAsia="Times New Roman" w:hAnsi="Calibri" w:cs="Calibri"/>
                <w:color w:val="000000"/>
                <w:kern w:val="24"/>
                <w:sz w:val="16"/>
                <w:szCs w:val="16"/>
                <w:lang w:eastAsia="fr-BE"/>
              </w:rPr>
              <w:t>19</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theta</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855" w:type="dxa"/>
            <w:tcBorders>
              <w:top w:val="nil"/>
              <w:left w:val="single" w:sz="4" w:space="0" w:color="000000"/>
              <w:bottom w:val="nil"/>
              <w:right w:val="dotted" w:sz="4" w:space="0" w:color="000000"/>
            </w:tcBorders>
            <w:shd w:val="clear" w:color="auto" w:fill="C6EF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6100"/>
                <w:kern w:val="24"/>
                <w:sz w:val="16"/>
                <w:szCs w:val="16"/>
                <w:lang w:eastAsia="fr-BE"/>
              </w:rPr>
              <w:t>D</w:t>
            </w:r>
          </w:p>
        </w:tc>
        <w:tc>
          <w:tcPr>
            <w:tcW w:w="855" w:type="dxa"/>
            <w:tcBorders>
              <w:top w:val="nil"/>
              <w:left w:val="dotted" w:sz="4" w:space="0" w:color="000000"/>
              <w:bottom w:val="nil"/>
              <w:right w:val="single" w:sz="4" w:space="0" w:color="000000"/>
            </w:tcBorders>
            <w:shd w:val="clear" w:color="auto" w:fill="C6EF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6100"/>
                <w:kern w:val="24"/>
                <w:sz w:val="16"/>
                <w:szCs w:val="16"/>
                <w:lang w:eastAsia="fr-BE"/>
              </w:rPr>
              <w:t>D</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r>
      <w:tr w:rsidR="00F0434A" w:rsidRPr="00FC42CA" w:rsidTr="005C2537">
        <w:trPr>
          <w:trHeight w:val="66"/>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7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5</w:t>
            </w:r>
          </w:p>
        </w:tc>
        <w:tc>
          <w:tcPr>
            <w:tcW w:w="407" w:type="dxa"/>
            <w:tcBorders>
              <w:top w:val="single" w:sz="4" w:space="0" w:color="000000"/>
              <w:left w:val="single" w:sz="4" w:space="0" w:color="000000"/>
              <w:bottom w:val="single" w:sz="4" w:space="0" w:color="000000"/>
              <w:right w:val="single" w:sz="4" w:space="0" w:color="000000"/>
            </w:tcBorders>
          </w:tcPr>
          <w:p w:rsidR="00F0434A" w:rsidRPr="00FC42CA" w:rsidRDefault="00F0434A" w:rsidP="005C2537">
            <w:pPr>
              <w:jc w:val="center"/>
              <w:textAlignment w:val="center"/>
              <w:rPr>
                <w:rFonts w:ascii="Calibri" w:eastAsia="Times New Roman" w:hAnsi="Calibri" w:cs="Calibri"/>
                <w:color w:val="000000"/>
                <w:kern w:val="24"/>
                <w:sz w:val="16"/>
                <w:szCs w:val="16"/>
                <w:lang w:eastAsia="fr-BE"/>
              </w:rPr>
            </w:pPr>
            <w:r>
              <w:rPr>
                <w:rFonts w:ascii="Calibri" w:eastAsia="Times New Roman" w:hAnsi="Calibri" w:cs="Calibri"/>
                <w:color w:val="000000"/>
                <w:kern w:val="24"/>
                <w:sz w:val="16"/>
                <w:szCs w:val="16"/>
                <w:lang w:eastAsia="fr-BE"/>
              </w:rPr>
              <w:t>18</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delta</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855" w:type="dxa"/>
            <w:tcBorders>
              <w:top w:val="nil"/>
              <w:left w:val="single" w:sz="4" w:space="0" w:color="000000"/>
              <w:bottom w:val="single" w:sz="4" w:space="0" w:color="000000"/>
              <w:right w:val="dotted" w:sz="4" w:space="0" w:color="000000"/>
            </w:tcBorders>
            <w:shd w:val="clear" w:color="auto" w:fill="C6EF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6100"/>
                <w:kern w:val="24"/>
                <w:sz w:val="16"/>
                <w:szCs w:val="16"/>
                <w:lang w:eastAsia="fr-BE"/>
              </w:rPr>
              <w:t>D</w:t>
            </w:r>
          </w:p>
        </w:tc>
        <w:tc>
          <w:tcPr>
            <w:tcW w:w="855" w:type="dxa"/>
            <w:tcBorders>
              <w:top w:val="nil"/>
              <w:left w:val="dotted" w:sz="4" w:space="0" w:color="000000"/>
              <w:bottom w:val="single" w:sz="4" w:space="0" w:color="000000"/>
              <w:right w:val="single" w:sz="4" w:space="0" w:color="000000"/>
            </w:tcBorders>
            <w:shd w:val="clear" w:color="auto" w:fill="C6EF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6100"/>
                <w:kern w:val="24"/>
                <w:sz w:val="16"/>
                <w:szCs w:val="16"/>
                <w:lang w:eastAsia="fr-BE"/>
              </w:rPr>
              <w:t>D</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34A" w:rsidRPr="00FC42CA" w:rsidRDefault="00F0434A" w:rsidP="005C2537">
            <w:pPr>
              <w:rPr>
                <w:rFonts w:ascii="Arial" w:eastAsia="Times New Roman" w:hAnsi="Arial" w:cs="Arial"/>
                <w:sz w:val="36"/>
                <w:szCs w:val="36"/>
                <w:lang w:eastAsia="fr-BE"/>
              </w:rPr>
            </w:pPr>
          </w:p>
        </w:tc>
      </w:tr>
      <w:tr w:rsidR="00F0434A" w:rsidRPr="00FC42CA" w:rsidTr="005C2537">
        <w:trPr>
          <w:trHeight w:val="149"/>
        </w:trPr>
        <w:tc>
          <w:tcPr>
            <w:tcW w:w="816"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23</w:t>
            </w:r>
          </w:p>
        </w:tc>
        <w:tc>
          <w:tcPr>
            <w:tcW w:w="75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1</w:t>
            </w:r>
          </w:p>
        </w:tc>
        <w:tc>
          <w:tcPr>
            <w:tcW w:w="407" w:type="dxa"/>
            <w:tcBorders>
              <w:top w:val="single" w:sz="4" w:space="0" w:color="000000"/>
              <w:left w:val="single" w:sz="4" w:space="0" w:color="000000"/>
              <w:bottom w:val="single" w:sz="4" w:space="0" w:color="000000"/>
              <w:right w:val="single" w:sz="4" w:space="0" w:color="000000"/>
            </w:tcBorders>
            <w:vAlign w:val="center"/>
          </w:tcPr>
          <w:p w:rsidR="00F0434A" w:rsidRPr="00FC42CA" w:rsidRDefault="00F0434A" w:rsidP="005C2537">
            <w:pPr>
              <w:jc w:val="center"/>
              <w:textAlignment w:val="center"/>
              <w:rPr>
                <w:rFonts w:ascii="Calibri" w:eastAsia="Times New Roman" w:hAnsi="Calibri" w:cs="Calibri"/>
                <w:color w:val="000000"/>
                <w:kern w:val="24"/>
                <w:sz w:val="16"/>
                <w:szCs w:val="16"/>
                <w:lang w:eastAsia="fr-BE"/>
              </w:rPr>
            </w:pPr>
            <w:r>
              <w:rPr>
                <w:rFonts w:ascii="Calibri" w:eastAsia="Times New Roman" w:hAnsi="Calibri" w:cs="Calibri"/>
                <w:color w:val="000000"/>
                <w:kern w:val="24"/>
                <w:sz w:val="16"/>
                <w:szCs w:val="16"/>
                <w:lang w:eastAsia="fr-BE"/>
              </w:rPr>
              <w:t>19</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delta</w:t>
            </w:r>
          </w:p>
        </w:tc>
        <w:tc>
          <w:tcPr>
            <w:tcW w:w="206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val="en-US" w:eastAsia="fr-BE"/>
              </w:rPr>
            </w:pPr>
            <w:r w:rsidRPr="00FC42CA">
              <w:rPr>
                <w:rFonts w:ascii="Calibri" w:eastAsia="Times New Roman" w:hAnsi="Calibri" w:cs="Calibri"/>
                <w:color w:val="000000"/>
                <w:kern w:val="24"/>
                <w:sz w:val="16"/>
                <w:szCs w:val="16"/>
                <w:lang w:val="en-US" w:eastAsia="fr-BE"/>
              </w:rPr>
              <w:t>Frontopolar L, F superior mesial L</w:t>
            </w:r>
          </w:p>
        </w:tc>
        <w:tc>
          <w:tcPr>
            <w:tcW w:w="855" w:type="dxa"/>
            <w:tcBorders>
              <w:top w:val="single" w:sz="4" w:space="0" w:color="000000"/>
              <w:left w:val="single" w:sz="4" w:space="0" w:color="000000"/>
              <w:bottom w:val="single" w:sz="4" w:space="0" w:color="000000"/>
              <w:right w:val="dotted" w:sz="4" w:space="0" w:color="000000"/>
            </w:tcBorders>
            <w:shd w:val="clear" w:color="auto" w:fill="FFC7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9C0006"/>
                <w:kern w:val="24"/>
                <w:sz w:val="16"/>
                <w:szCs w:val="16"/>
                <w:lang w:eastAsia="fr-BE"/>
              </w:rPr>
              <w:t>C</w:t>
            </w:r>
          </w:p>
        </w:tc>
        <w:tc>
          <w:tcPr>
            <w:tcW w:w="855" w:type="dxa"/>
            <w:tcBorders>
              <w:top w:val="single" w:sz="4" w:space="0" w:color="000000"/>
              <w:left w:val="dotted" w:sz="4" w:space="0" w:color="000000"/>
              <w:bottom w:val="single" w:sz="4" w:space="0" w:color="000000"/>
              <w:right w:val="single" w:sz="4" w:space="0" w:color="000000"/>
            </w:tcBorders>
            <w:shd w:val="clear" w:color="auto" w:fill="C6EFCE"/>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6100"/>
                <w:kern w:val="24"/>
                <w:sz w:val="16"/>
                <w:szCs w:val="16"/>
                <w:lang w:eastAsia="fr-BE"/>
              </w:rPr>
              <w:t>D</w:t>
            </w:r>
          </w:p>
        </w:tc>
        <w:tc>
          <w:tcPr>
            <w:tcW w:w="1018" w:type="dxa"/>
            <w:tcBorders>
              <w:top w:val="single" w:sz="4" w:space="0" w:color="000000"/>
              <w:left w:val="single" w:sz="4" w:space="0" w:color="000000"/>
              <w:bottom w:val="single" w:sz="4" w:space="0" w:color="000000"/>
              <w:right w:val="single" w:sz="4" w:space="0" w:color="000000"/>
            </w:tcBorders>
            <w:shd w:val="clear" w:color="auto" w:fill="FF9999"/>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Frontal superior mesial L</w:t>
            </w:r>
          </w:p>
        </w:tc>
        <w:tc>
          <w:tcPr>
            <w:tcW w:w="1018" w:type="dxa"/>
            <w:tcBorders>
              <w:top w:val="single" w:sz="4" w:space="0" w:color="000000"/>
              <w:left w:val="single" w:sz="4" w:space="0" w:color="000000"/>
              <w:bottom w:val="single" w:sz="4" w:space="0" w:color="000000"/>
              <w:right w:val="single" w:sz="4" w:space="0" w:color="000000"/>
            </w:tcBorders>
            <w:shd w:val="clear" w:color="auto" w:fill="9BC2E6"/>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inconclusive</w:t>
            </w:r>
          </w:p>
        </w:tc>
        <w:tc>
          <w:tcPr>
            <w:tcW w:w="1018" w:type="dxa"/>
            <w:tcBorders>
              <w:top w:val="single" w:sz="4" w:space="0" w:color="000000"/>
              <w:left w:val="single" w:sz="4" w:space="0" w:color="000000"/>
              <w:bottom w:val="single" w:sz="4" w:space="0" w:color="000000"/>
              <w:right w:val="single" w:sz="4" w:space="0" w:color="000000"/>
            </w:tcBorders>
            <w:shd w:val="clear" w:color="auto" w:fill="FF9999"/>
            <w:tcMar>
              <w:top w:w="15" w:type="dxa"/>
              <w:left w:w="15" w:type="dxa"/>
              <w:bottom w:w="0" w:type="dxa"/>
              <w:right w:w="15" w:type="dxa"/>
            </w:tcMar>
            <w:vAlign w:val="center"/>
            <w:hideMark/>
          </w:tcPr>
          <w:p w:rsidR="00F0434A" w:rsidRPr="00FC42CA" w:rsidRDefault="00F0434A" w:rsidP="005C2537">
            <w:pPr>
              <w:jc w:val="center"/>
              <w:textAlignment w:val="center"/>
              <w:rPr>
                <w:rFonts w:ascii="Arial" w:eastAsia="Times New Roman" w:hAnsi="Arial" w:cs="Arial"/>
                <w:sz w:val="36"/>
                <w:szCs w:val="36"/>
                <w:lang w:eastAsia="fr-BE"/>
              </w:rPr>
            </w:pPr>
            <w:r w:rsidRPr="00FC42CA">
              <w:rPr>
                <w:rFonts w:ascii="Calibri" w:eastAsia="Times New Roman" w:hAnsi="Calibri" w:cs="Calibri"/>
                <w:color w:val="000000"/>
                <w:kern w:val="24"/>
                <w:sz w:val="16"/>
                <w:szCs w:val="16"/>
                <w:lang w:eastAsia="fr-BE"/>
              </w:rPr>
              <w:t>Frontopolar L</w:t>
            </w:r>
          </w:p>
        </w:tc>
      </w:tr>
    </w:tbl>
    <w:p w:rsidR="00F0434A" w:rsidRDefault="00F0434A" w:rsidP="00F0434A">
      <w:pPr>
        <w:rPr>
          <w:b/>
          <w:lang w:val="en-US"/>
        </w:rPr>
      </w:pPr>
    </w:p>
    <w:p w:rsidR="00F0434A" w:rsidRPr="007853B3" w:rsidRDefault="00F0434A" w:rsidP="00F0434A">
      <w:pPr>
        <w:pStyle w:val="Lgende"/>
        <w:keepNext/>
        <w:rPr>
          <w:b w:val="0"/>
          <w:lang w:val="en-US"/>
        </w:rPr>
      </w:pPr>
      <w:r w:rsidRPr="007275E8">
        <w:rPr>
          <w:lang w:val="en-US"/>
        </w:rPr>
        <w:t xml:space="preserve">Supplementary Material 3. </w:t>
      </w:r>
      <w:r w:rsidRPr="007853B3">
        <w:rPr>
          <w:b w:val="0"/>
          <w:lang w:val="en-US"/>
        </w:rPr>
        <w:t>Sublobar concordance between resection zone, seizure level results and patient level results after clinical interpretation. Patients who underwent hemispherotomies were not included for patient level analysis. In green are shown correct localizations (positive/concordant for ILAE class 1-2, negative/discordant for ILAE class 3-6), in red incorrect localization, in blue the inconclusive results. C, concordant. D, discordant. ESI, electrical source imaging. FC, functional connectivity. S</w:t>
      </w:r>
      <w:r w:rsidRPr="007853B3">
        <w:rPr>
          <w:b w:val="0"/>
          <w:vertAlign w:val="subscript"/>
          <w:lang w:val="en-US"/>
        </w:rPr>
        <w:t>POW</w:t>
      </w:r>
      <w:r w:rsidRPr="007853B3">
        <w:rPr>
          <w:b w:val="0"/>
          <w:lang w:val="en-US"/>
        </w:rPr>
        <w:t>, source with highest power based on ESI power. S</w:t>
      </w:r>
      <w:r w:rsidRPr="007853B3">
        <w:rPr>
          <w:b w:val="0"/>
          <w:vertAlign w:val="subscript"/>
          <w:lang w:val="en-US"/>
        </w:rPr>
        <w:t>CONN</w:t>
      </w:r>
      <w:r w:rsidRPr="007853B3">
        <w:rPr>
          <w:b w:val="0"/>
          <w:lang w:val="en-US"/>
        </w:rPr>
        <w:t>, source with highest out-degree based on ESI+FC. F, frontal. T, temporal. TPO, temporo-parieto-occipital.</w:t>
      </w:r>
    </w:p>
    <w:p w:rsidR="00F0434A" w:rsidRPr="00975855" w:rsidRDefault="00F0434A">
      <w:pPr>
        <w:rPr>
          <w:lang w:val="en-US"/>
        </w:rPr>
      </w:pPr>
    </w:p>
    <w:sectPr w:rsidR="00F0434A" w:rsidRPr="0097585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4000ACFF" w:usb2="00000001" w:usb3="00000000" w:csb0="000001FF" w:csb1="00000000"/>
  </w:font>
  <w:font w:name="Liberation Serif">
    <w:altName w:val="Times New Roman"/>
    <w:charset w:val="00"/>
    <w:family w:val="roman"/>
    <w:pitch w:val="variable"/>
    <w:sig w:usb0="E0000AFF" w:usb1="500078FF" w:usb2="00000021" w:usb3="00000000" w:csb0="000001BF" w:csb1="00000000"/>
  </w:font>
  <w:font w:name="Lucida Sans">
    <w:panose1 w:val="020B0602030504020204"/>
    <w:charset w:val="00"/>
    <w:family w:val="swiss"/>
    <w:pitch w:val="variable"/>
    <w:sig w:usb0="00000003" w:usb1="00000000" w:usb2="00000000" w:usb3="00000000" w:csb0="00000001"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0D19" w:rsidRPr="008205C1" w:rsidRDefault="00F0434A" w:rsidP="00606637">
    <w:pPr>
      <w:pStyle w:val="Pieddepage"/>
      <w:jc w:val="right"/>
      <w:rPr>
        <w:rFonts w:asciiTheme="minorHAnsi" w:hAnsiTheme="minorHAnsi" w:cstheme="minorHAnsi"/>
        <w:caps/>
        <w:color w:val="5B9BD5" w:themeColor="accent1"/>
      </w:rPr>
    </w:pPr>
    <w:r w:rsidRPr="008205C1">
      <w:rPr>
        <w:rFonts w:asciiTheme="minorHAnsi" w:hAnsiTheme="minorHAnsi" w:cstheme="minorHAnsi"/>
        <w:caps/>
        <w:color w:val="5B9BD5" w:themeColor="accent1"/>
      </w:rPr>
      <w:fldChar w:fldCharType="begin"/>
    </w:r>
    <w:r w:rsidRPr="008205C1">
      <w:rPr>
        <w:rFonts w:asciiTheme="minorHAnsi" w:hAnsiTheme="minorHAnsi" w:cstheme="minorHAnsi"/>
        <w:caps/>
        <w:color w:val="5B9BD5" w:themeColor="accent1"/>
      </w:rPr>
      <w:instrText>PAGE   \* MERGEFORMAT</w:instrText>
    </w:r>
    <w:r w:rsidRPr="008205C1">
      <w:rPr>
        <w:rFonts w:asciiTheme="minorHAnsi" w:hAnsiTheme="minorHAnsi" w:cstheme="minorHAnsi"/>
        <w:caps/>
        <w:color w:val="5B9BD5" w:themeColor="accent1"/>
      </w:rPr>
      <w:fldChar w:fldCharType="separate"/>
    </w:r>
    <w:r w:rsidRPr="00F0434A">
      <w:rPr>
        <w:rFonts w:asciiTheme="minorHAnsi" w:hAnsiTheme="minorHAnsi" w:cstheme="minorHAnsi"/>
        <w:caps/>
        <w:noProof/>
        <w:color w:val="5B9BD5" w:themeColor="accent1"/>
        <w:lang w:val="fr-FR"/>
      </w:rPr>
      <w:t>3</w:t>
    </w:r>
    <w:r w:rsidRPr="008205C1">
      <w:rPr>
        <w:rFonts w:asciiTheme="minorHAnsi" w:hAnsiTheme="minorHAnsi" w:cstheme="minorHAnsi"/>
        <w:caps/>
        <w:color w:val="5B9BD5" w:themeColor="accent1"/>
      </w:rPr>
      <w:fldChar w:fldCharType="end"/>
    </w:r>
  </w:p>
  <w:p w:rsidR="004D0D19" w:rsidRDefault="00F0434A" w:rsidP="00606637">
    <w:pPr>
      <w:pStyle w:val="Pieddepage"/>
      <w:jc w:val="right"/>
    </w:pPr>
  </w:p>
</w:ftr>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0D19" w:rsidRPr="00F70A11" w:rsidRDefault="00F0434A">
    <w:pPr>
      <w:pStyle w:val="En-tte"/>
      <w:jc w:val="right"/>
      <w:rPr>
        <w:rFonts w:asciiTheme="minorHAnsi" w:hAnsiTheme="minorHAnsi" w:cstheme="minorHAnsi"/>
        <w:color w:val="8496B0" w:themeColor="text2" w:themeTint="99"/>
        <w:szCs w:val="24"/>
        <w:lang w:val="en-US"/>
      </w:rPr>
    </w:pPr>
    <w:r w:rsidRPr="008205C1">
      <w:rPr>
        <w:rFonts w:asciiTheme="minorHAnsi" w:hAnsiTheme="minorHAnsi" w:cstheme="minorHAnsi"/>
        <w:color w:val="8496B0" w:themeColor="text2" w:themeTint="99"/>
        <w:szCs w:val="24"/>
        <w:lang w:val="en-US"/>
      </w:rPr>
      <w:t>Vespa et al. - Ictal ESI and connectivity in ETLE</w:t>
    </w:r>
  </w:p>
  <w:p w:rsidR="004D0D19" w:rsidRPr="00F70A11" w:rsidRDefault="00F0434A">
    <w:pPr>
      <w:pStyle w:val="En-tte"/>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0D19" w:rsidRDefault="00F0434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56D22"/>
    <w:multiLevelType w:val="multilevel"/>
    <w:tmpl w:val="080C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u w:val="none"/>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9373365"/>
    <w:multiLevelType w:val="multilevel"/>
    <w:tmpl w:val="F4202B0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u w:val="none"/>
      </w:rPr>
    </w:lvl>
    <w:lvl w:ilvl="2">
      <w:start w:val="1"/>
      <w:numFmt w:val="decimal"/>
      <w:lvlText w:val="%1.%2.%3."/>
      <w:lvlJc w:val="left"/>
      <w:pPr>
        <w:ind w:left="1213" w:hanging="504"/>
      </w:pPr>
      <w:rPr>
        <w:b w:val="0"/>
        <w:i/>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AC73885"/>
    <w:multiLevelType w:val="hybridMultilevel"/>
    <w:tmpl w:val="F9B05A70"/>
    <w:lvl w:ilvl="0" w:tplc="B294447A">
      <w:start w:val="1"/>
      <w:numFmt w:val="decimal"/>
      <w:lvlText w:val="%1.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0B8A5C0D"/>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BD8171A"/>
    <w:multiLevelType w:val="hybridMultilevel"/>
    <w:tmpl w:val="236EB31C"/>
    <w:lvl w:ilvl="0" w:tplc="080C000F">
      <w:start w:val="1"/>
      <w:numFmt w:val="decimal"/>
      <w:lvlText w:val="%1."/>
      <w:lvlJc w:val="left"/>
      <w:pPr>
        <w:ind w:left="1080" w:hanging="360"/>
      </w:p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5" w15:restartNumberingAfterBreak="0">
    <w:nsid w:val="131A780D"/>
    <w:multiLevelType w:val="multilevel"/>
    <w:tmpl w:val="080C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u w:val="none"/>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5A803ED"/>
    <w:multiLevelType w:val="hybridMultilevel"/>
    <w:tmpl w:val="779C1A28"/>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15:restartNumberingAfterBreak="0">
    <w:nsid w:val="1B03088B"/>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1945940"/>
    <w:multiLevelType w:val="multilevel"/>
    <w:tmpl w:val="94E0BBA2"/>
    <w:lvl w:ilvl="0">
      <w:start w:val="1"/>
      <w:numFmt w:val="decimal"/>
      <w:lvlText w:val="%1."/>
      <w:lvlJc w:val="left"/>
      <w:pPr>
        <w:ind w:left="720" w:hanging="360"/>
      </w:pPr>
      <w:rPr>
        <w:rFonts w:hint="default"/>
        <w:u w:val="none"/>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220637E"/>
    <w:multiLevelType w:val="multilevel"/>
    <w:tmpl w:val="080C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u w:val="none"/>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5283916"/>
    <w:multiLevelType w:val="multilevel"/>
    <w:tmpl w:val="080C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u w:val="none"/>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70D67FA"/>
    <w:multiLevelType w:val="hybridMultilevel"/>
    <w:tmpl w:val="A606B0EE"/>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15:restartNumberingAfterBreak="0">
    <w:nsid w:val="277D2481"/>
    <w:multiLevelType w:val="hybridMultilevel"/>
    <w:tmpl w:val="E8CEAF58"/>
    <w:lvl w:ilvl="0" w:tplc="A9467AA8">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3" w15:restartNumberingAfterBreak="0">
    <w:nsid w:val="28C84575"/>
    <w:multiLevelType w:val="hybridMultilevel"/>
    <w:tmpl w:val="C8E21412"/>
    <w:lvl w:ilvl="0" w:tplc="7A42C586">
      <w:start w:val="2"/>
      <w:numFmt w:val="decimal"/>
      <w:lvlText w:val="%1.1."/>
      <w:lvlJc w:val="left"/>
      <w:pPr>
        <w:ind w:left="108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4" w15:restartNumberingAfterBreak="0">
    <w:nsid w:val="2C130A6E"/>
    <w:multiLevelType w:val="multilevel"/>
    <w:tmpl w:val="A8148C3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u w:val="none"/>
      </w:rPr>
    </w:lvl>
    <w:lvl w:ilvl="2">
      <w:start w:val="1"/>
      <w:numFmt w:val="decimal"/>
      <w:lvlText w:val="%1.%2.%3."/>
      <w:lvlJc w:val="left"/>
      <w:pPr>
        <w:ind w:left="1213" w:hanging="504"/>
      </w:pPr>
      <w:rPr>
        <w:b w:val="0"/>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FB72C60"/>
    <w:multiLevelType w:val="hybridMultilevel"/>
    <w:tmpl w:val="2DD81700"/>
    <w:lvl w:ilvl="0" w:tplc="080C000F">
      <w:start w:val="1"/>
      <w:numFmt w:val="decimal"/>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6" w15:restartNumberingAfterBreak="0">
    <w:nsid w:val="324F38B3"/>
    <w:multiLevelType w:val="hybridMultilevel"/>
    <w:tmpl w:val="412A3F02"/>
    <w:lvl w:ilvl="0" w:tplc="080C000F">
      <w:start w:val="1"/>
      <w:numFmt w:val="decimal"/>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7" w15:restartNumberingAfterBreak="0">
    <w:nsid w:val="3C91424C"/>
    <w:multiLevelType w:val="hybridMultilevel"/>
    <w:tmpl w:val="2E665CA8"/>
    <w:lvl w:ilvl="0" w:tplc="080C000F">
      <w:start w:val="1"/>
      <w:numFmt w:val="decimal"/>
      <w:lvlText w:val="%1."/>
      <w:lvlJc w:val="left"/>
      <w:pPr>
        <w:ind w:left="1800" w:hanging="360"/>
      </w:pPr>
    </w:lvl>
    <w:lvl w:ilvl="1" w:tplc="080C0019" w:tentative="1">
      <w:start w:val="1"/>
      <w:numFmt w:val="lowerLetter"/>
      <w:lvlText w:val="%2."/>
      <w:lvlJc w:val="left"/>
      <w:pPr>
        <w:ind w:left="2160" w:hanging="360"/>
      </w:pPr>
    </w:lvl>
    <w:lvl w:ilvl="2" w:tplc="080C001B" w:tentative="1">
      <w:start w:val="1"/>
      <w:numFmt w:val="lowerRoman"/>
      <w:lvlText w:val="%3."/>
      <w:lvlJc w:val="right"/>
      <w:pPr>
        <w:ind w:left="2880" w:hanging="180"/>
      </w:pPr>
    </w:lvl>
    <w:lvl w:ilvl="3" w:tplc="080C000F" w:tentative="1">
      <w:start w:val="1"/>
      <w:numFmt w:val="decimal"/>
      <w:lvlText w:val="%4."/>
      <w:lvlJc w:val="left"/>
      <w:pPr>
        <w:ind w:left="3600" w:hanging="360"/>
      </w:pPr>
    </w:lvl>
    <w:lvl w:ilvl="4" w:tplc="080C0019" w:tentative="1">
      <w:start w:val="1"/>
      <w:numFmt w:val="lowerLetter"/>
      <w:lvlText w:val="%5."/>
      <w:lvlJc w:val="left"/>
      <w:pPr>
        <w:ind w:left="4320" w:hanging="360"/>
      </w:pPr>
    </w:lvl>
    <w:lvl w:ilvl="5" w:tplc="080C001B" w:tentative="1">
      <w:start w:val="1"/>
      <w:numFmt w:val="lowerRoman"/>
      <w:lvlText w:val="%6."/>
      <w:lvlJc w:val="right"/>
      <w:pPr>
        <w:ind w:left="5040" w:hanging="180"/>
      </w:pPr>
    </w:lvl>
    <w:lvl w:ilvl="6" w:tplc="080C000F" w:tentative="1">
      <w:start w:val="1"/>
      <w:numFmt w:val="decimal"/>
      <w:lvlText w:val="%7."/>
      <w:lvlJc w:val="left"/>
      <w:pPr>
        <w:ind w:left="5760" w:hanging="360"/>
      </w:pPr>
    </w:lvl>
    <w:lvl w:ilvl="7" w:tplc="080C0019" w:tentative="1">
      <w:start w:val="1"/>
      <w:numFmt w:val="lowerLetter"/>
      <w:lvlText w:val="%8."/>
      <w:lvlJc w:val="left"/>
      <w:pPr>
        <w:ind w:left="6480" w:hanging="360"/>
      </w:pPr>
    </w:lvl>
    <w:lvl w:ilvl="8" w:tplc="080C001B" w:tentative="1">
      <w:start w:val="1"/>
      <w:numFmt w:val="lowerRoman"/>
      <w:lvlText w:val="%9."/>
      <w:lvlJc w:val="right"/>
      <w:pPr>
        <w:ind w:left="7200" w:hanging="180"/>
      </w:pPr>
    </w:lvl>
  </w:abstractNum>
  <w:abstractNum w:abstractNumId="18" w15:restartNumberingAfterBreak="0">
    <w:nsid w:val="417D2570"/>
    <w:multiLevelType w:val="hybridMultilevel"/>
    <w:tmpl w:val="FCFABD46"/>
    <w:lvl w:ilvl="0" w:tplc="7A42C586">
      <w:start w:val="2"/>
      <w:numFmt w:val="decimal"/>
      <w:lvlText w:val="%1.1."/>
      <w:lvlJc w:val="left"/>
      <w:pPr>
        <w:ind w:left="108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9" w15:restartNumberingAfterBreak="0">
    <w:nsid w:val="42883068"/>
    <w:multiLevelType w:val="hybridMultilevel"/>
    <w:tmpl w:val="8A402FC0"/>
    <w:lvl w:ilvl="0" w:tplc="080C000F">
      <w:start w:val="1"/>
      <w:numFmt w:val="decimal"/>
      <w:lvlText w:val="%1."/>
      <w:lvlJc w:val="left"/>
      <w:pPr>
        <w:ind w:left="1440" w:hanging="360"/>
      </w:pPr>
    </w:lvl>
    <w:lvl w:ilvl="1" w:tplc="080C0019" w:tentative="1">
      <w:start w:val="1"/>
      <w:numFmt w:val="lowerLetter"/>
      <w:lvlText w:val="%2."/>
      <w:lvlJc w:val="left"/>
      <w:pPr>
        <w:ind w:left="2160" w:hanging="360"/>
      </w:pPr>
    </w:lvl>
    <w:lvl w:ilvl="2" w:tplc="080C001B" w:tentative="1">
      <w:start w:val="1"/>
      <w:numFmt w:val="lowerRoman"/>
      <w:lvlText w:val="%3."/>
      <w:lvlJc w:val="right"/>
      <w:pPr>
        <w:ind w:left="2880" w:hanging="180"/>
      </w:pPr>
    </w:lvl>
    <w:lvl w:ilvl="3" w:tplc="080C000F" w:tentative="1">
      <w:start w:val="1"/>
      <w:numFmt w:val="decimal"/>
      <w:lvlText w:val="%4."/>
      <w:lvlJc w:val="left"/>
      <w:pPr>
        <w:ind w:left="3600" w:hanging="360"/>
      </w:pPr>
    </w:lvl>
    <w:lvl w:ilvl="4" w:tplc="080C0019" w:tentative="1">
      <w:start w:val="1"/>
      <w:numFmt w:val="lowerLetter"/>
      <w:lvlText w:val="%5."/>
      <w:lvlJc w:val="left"/>
      <w:pPr>
        <w:ind w:left="4320" w:hanging="360"/>
      </w:pPr>
    </w:lvl>
    <w:lvl w:ilvl="5" w:tplc="080C001B" w:tentative="1">
      <w:start w:val="1"/>
      <w:numFmt w:val="lowerRoman"/>
      <w:lvlText w:val="%6."/>
      <w:lvlJc w:val="right"/>
      <w:pPr>
        <w:ind w:left="5040" w:hanging="180"/>
      </w:pPr>
    </w:lvl>
    <w:lvl w:ilvl="6" w:tplc="080C000F" w:tentative="1">
      <w:start w:val="1"/>
      <w:numFmt w:val="decimal"/>
      <w:lvlText w:val="%7."/>
      <w:lvlJc w:val="left"/>
      <w:pPr>
        <w:ind w:left="5760" w:hanging="360"/>
      </w:pPr>
    </w:lvl>
    <w:lvl w:ilvl="7" w:tplc="080C0019" w:tentative="1">
      <w:start w:val="1"/>
      <w:numFmt w:val="lowerLetter"/>
      <w:lvlText w:val="%8."/>
      <w:lvlJc w:val="left"/>
      <w:pPr>
        <w:ind w:left="6480" w:hanging="360"/>
      </w:pPr>
    </w:lvl>
    <w:lvl w:ilvl="8" w:tplc="080C001B" w:tentative="1">
      <w:start w:val="1"/>
      <w:numFmt w:val="lowerRoman"/>
      <w:lvlText w:val="%9."/>
      <w:lvlJc w:val="right"/>
      <w:pPr>
        <w:ind w:left="7200" w:hanging="180"/>
      </w:pPr>
    </w:lvl>
  </w:abstractNum>
  <w:abstractNum w:abstractNumId="20" w15:restartNumberingAfterBreak="0">
    <w:nsid w:val="437776A4"/>
    <w:multiLevelType w:val="hybridMultilevel"/>
    <w:tmpl w:val="B94076EC"/>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1" w15:restartNumberingAfterBreak="0">
    <w:nsid w:val="480B213C"/>
    <w:multiLevelType w:val="hybridMultilevel"/>
    <w:tmpl w:val="782E169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2" w15:restartNumberingAfterBreak="0">
    <w:nsid w:val="543A7964"/>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C9168FE"/>
    <w:multiLevelType w:val="multilevel"/>
    <w:tmpl w:val="F4202B0A"/>
    <w:lvl w:ilvl="0">
      <w:start w:val="1"/>
      <w:numFmt w:val="decimal"/>
      <w:lvlText w:val="%1."/>
      <w:lvlJc w:val="left"/>
      <w:pPr>
        <w:ind w:left="1080" w:hanging="360"/>
      </w:pPr>
      <w:rPr>
        <w:rFonts w:hint="default"/>
      </w:rPr>
    </w:lvl>
    <w:lvl w:ilvl="1">
      <w:start w:val="1"/>
      <w:numFmt w:val="decimal"/>
      <w:lvlText w:val="%1.%2."/>
      <w:lvlJc w:val="left"/>
      <w:pPr>
        <w:ind w:left="1512" w:hanging="432"/>
      </w:pPr>
      <w:rPr>
        <w:rFonts w:hint="default"/>
        <w:b/>
        <w:u w:val="none"/>
      </w:rPr>
    </w:lvl>
    <w:lvl w:ilvl="2">
      <w:start w:val="1"/>
      <w:numFmt w:val="decimal"/>
      <w:lvlText w:val="%1.%2.%3."/>
      <w:lvlJc w:val="left"/>
      <w:pPr>
        <w:ind w:left="1933" w:hanging="504"/>
      </w:pPr>
      <w:rPr>
        <w:b w:val="0"/>
        <w:i/>
      </w:r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24" w15:restartNumberingAfterBreak="0">
    <w:nsid w:val="60015560"/>
    <w:multiLevelType w:val="multilevel"/>
    <w:tmpl w:val="080C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63BE4D35"/>
    <w:multiLevelType w:val="hybridMultilevel"/>
    <w:tmpl w:val="52FABAC0"/>
    <w:lvl w:ilvl="0" w:tplc="080C000F">
      <w:start w:val="1"/>
      <w:numFmt w:val="decimal"/>
      <w:lvlText w:val="%1."/>
      <w:lvlJc w:val="left"/>
      <w:pPr>
        <w:ind w:left="1152" w:hanging="360"/>
      </w:pPr>
    </w:lvl>
    <w:lvl w:ilvl="1" w:tplc="080C0019" w:tentative="1">
      <w:start w:val="1"/>
      <w:numFmt w:val="lowerLetter"/>
      <w:lvlText w:val="%2."/>
      <w:lvlJc w:val="left"/>
      <w:pPr>
        <w:ind w:left="1872" w:hanging="360"/>
      </w:pPr>
    </w:lvl>
    <w:lvl w:ilvl="2" w:tplc="080C001B" w:tentative="1">
      <w:start w:val="1"/>
      <w:numFmt w:val="lowerRoman"/>
      <w:lvlText w:val="%3."/>
      <w:lvlJc w:val="right"/>
      <w:pPr>
        <w:ind w:left="2592" w:hanging="180"/>
      </w:pPr>
    </w:lvl>
    <w:lvl w:ilvl="3" w:tplc="080C000F" w:tentative="1">
      <w:start w:val="1"/>
      <w:numFmt w:val="decimal"/>
      <w:lvlText w:val="%4."/>
      <w:lvlJc w:val="left"/>
      <w:pPr>
        <w:ind w:left="3312" w:hanging="360"/>
      </w:pPr>
    </w:lvl>
    <w:lvl w:ilvl="4" w:tplc="080C0019" w:tentative="1">
      <w:start w:val="1"/>
      <w:numFmt w:val="lowerLetter"/>
      <w:lvlText w:val="%5."/>
      <w:lvlJc w:val="left"/>
      <w:pPr>
        <w:ind w:left="4032" w:hanging="360"/>
      </w:pPr>
    </w:lvl>
    <w:lvl w:ilvl="5" w:tplc="080C001B" w:tentative="1">
      <w:start w:val="1"/>
      <w:numFmt w:val="lowerRoman"/>
      <w:lvlText w:val="%6."/>
      <w:lvlJc w:val="right"/>
      <w:pPr>
        <w:ind w:left="4752" w:hanging="180"/>
      </w:pPr>
    </w:lvl>
    <w:lvl w:ilvl="6" w:tplc="080C000F" w:tentative="1">
      <w:start w:val="1"/>
      <w:numFmt w:val="decimal"/>
      <w:lvlText w:val="%7."/>
      <w:lvlJc w:val="left"/>
      <w:pPr>
        <w:ind w:left="5472" w:hanging="360"/>
      </w:pPr>
    </w:lvl>
    <w:lvl w:ilvl="7" w:tplc="080C0019" w:tentative="1">
      <w:start w:val="1"/>
      <w:numFmt w:val="lowerLetter"/>
      <w:lvlText w:val="%8."/>
      <w:lvlJc w:val="left"/>
      <w:pPr>
        <w:ind w:left="6192" w:hanging="360"/>
      </w:pPr>
    </w:lvl>
    <w:lvl w:ilvl="8" w:tplc="080C001B" w:tentative="1">
      <w:start w:val="1"/>
      <w:numFmt w:val="lowerRoman"/>
      <w:lvlText w:val="%9."/>
      <w:lvlJc w:val="right"/>
      <w:pPr>
        <w:ind w:left="6912" w:hanging="180"/>
      </w:pPr>
    </w:lvl>
  </w:abstractNum>
  <w:abstractNum w:abstractNumId="26" w15:restartNumberingAfterBreak="0">
    <w:nsid w:val="6A371138"/>
    <w:multiLevelType w:val="multilevel"/>
    <w:tmpl w:val="080C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27" w15:restartNumberingAfterBreak="0">
    <w:nsid w:val="6B821CB9"/>
    <w:multiLevelType w:val="multilevel"/>
    <w:tmpl w:val="A8148C3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u w:val="none"/>
      </w:rPr>
    </w:lvl>
    <w:lvl w:ilvl="2">
      <w:start w:val="1"/>
      <w:numFmt w:val="decimal"/>
      <w:lvlText w:val="%1.%2.%3."/>
      <w:lvlJc w:val="left"/>
      <w:pPr>
        <w:ind w:left="1213" w:hanging="504"/>
      </w:pPr>
      <w:rPr>
        <w:b w:val="0"/>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4EE160D"/>
    <w:multiLevelType w:val="multilevel"/>
    <w:tmpl w:val="7FEC114A"/>
    <w:lvl w:ilvl="0">
      <w:start w:val="1"/>
      <w:numFmt w:val="decimal"/>
      <w:lvlText w:val="%1."/>
      <w:lvlJc w:val="left"/>
      <w:pPr>
        <w:ind w:left="360" w:hanging="360"/>
      </w:pPr>
      <w:rPr>
        <w:rFonts w:hint="default"/>
        <w:b/>
      </w:rPr>
    </w:lvl>
    <w:lvl w:ilvl="1">
      <w:start w:val="1"/>
      <w:numFmt w:val="decimal"/>
      <w:isLgl/>
      <w:lvlText w:val="%1.%2"/>
      <w:lvlJc w:val="left"/>
      <w:pPr>
        <w:ind w:left="-207"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9" w15:restartNumberingAfterBreak="0">
    <w:nsid w:val="75783F70"/>
    <w:multiLevelType w:val="hybridMultilevel"/>
    <w:tmpl w:val="4C5E2FF4"/>
    <w:lvl w:ilvl="0" w:tplc="0FA239EA">
      <w:start w:val="52"/>
      <w:numFmt w:val="bullet"/>
      <w:lvlText w:val=""/>
      <w:lvlJc w:val="left"/>
      <w:pPr>
        <w:ind w:left="468" w:hanging="360"/>
      </w:pPr>
      <w:rPr>
        <w:rFonts w:ascii="Symbol" w:eastAsia="SimSun" w:hAnsi="Symbol" w:cstheme="minorHAnsi" w:hint="default"/>
      </w:rPr>
    </w:lvl>
    <w:lvl w:ilvl="1" w:tplc="080C0003" w:tentative="1">
      <w:start w:val="1"/>
      <w:numFmt w:val="bullet"/>
      <w:lvlText w:val="o"/>
      <w:lvlJc w:val="left"/>
      <w:pPr>
        <w:ind w:left="1188" w:hanging="360"/>
      </w:pPr>
      <w:rPr>
        <w:rFonts w:ascii="Courier New" w:hAnsi="Courier New" w:cs="Courier New" w:hint="default"/>
      </w:rPr>
    </w:lvl>
    <w:lvl w:ilvl="2" w:tplc="080C0005" w:tentative="1">
      <w:start w:val="1"/>
      <w:numFmt w:val="bullet"/>
      <w:lvlText w:val=""/>
      <w:lvlJc w:val="left"/>
      <w:pPr>
        <w:ind w:left="1908" w:hanging="360"/>
      </w:pPr>
      <w:rPr>
        <w:rFonts w:ascii="Wingdings" w:hAnsi="Wingdings" w:hint="default"/>
      </w:rPr>
    </w:lvl>
    <w:lvl w:ilvl="3" w:tplc="080C0001" w:tentative="1">
      <w:start w:val="1"/>
      <w:numFmt w:val="bullet"/>
      <w:lvlText w:val=""/>
      <w:lvlJc w:val="left"/>
      <w:pPr>
        <w:ind w:left="2628" w:hanging="360"/>
      </w:pPr>
      <w:rPr>
        <w:rFonts w:ascii="Symbol" w:hAnsi="Symbol" w:hint="default"/>
      </w:rPr>
    </w:lvl>
    <w:lvl w:ilvl="4" w:tplc="080C0003" w:tentative="1">
      <w:start w:val="1"/>
      <w:numFmt w:val="bullet"/>
      <w:lvlText w:val="o"/>
      <w:lvlJc w:val="left"/>
      <w:pPr>
        <w:ind w:left="3348" w:hanging="360"/>
      </w:pPr>
      <w:rPr>
        <w:rFonts w:ascii="Courier New" w:hAnsi="Courier New" w:cs="Courier New" w:hint="default"/>
      </w:rPr>
    </w:lvl>
    <w:lvl w:ilvl="5" w:tplc="080C0005" w:tentative="1">
      <w:start w:val="1"/>
      <w:numFmt w:val="bullet"/>
      <w:lvlText w:val=""/>
      <w:lvlJc w:val="left"/>
      <w:pPr>
        <w:ind w:left="4068" w:hanging="360"/>
      </w:pPr>
      <w:rPr>
        <w:rFonts w:ascii="Wingdings" w:hAnsi="Wingdings" w:hint="default"/>
      </w:rPr>
    </w:lvl>
    <w:lvl w:ilvl="6" w:tplc="080C0001" w:tentative="1">
      <w:start w:val="1"/>
      <w:numFmt w:val="bullet"/>
      <w:lvlText w:val=""/>
      <w:lvlJc w:val="left"/>
      <w:pPr>
        <w:ind w:left="4788" w:hanging="360"/>
      </w:pPr>
      <w:rPr>
        <w:rFonts w:ascii="Symbol" w:hAnsi="Symbol" w:hint="default"/>
      </w:rPr>
    </w:lvl>
    <w:lvl w:ilvl="7" w:tplc="080C0003" w:tentative="1">
      <w:start w:val="1"/>
      <w:numFmt w:val="bullet"/>
      <w:lvlText w:val="o"/>
      <w:lvlJc w:val="left"/>
      <w:pPr>
        <w:ind w:left="5508" w:hanging="360"/>
      </w:pPr>
      <w:rPr>
        <w:rFonts w:ascii="Courier New" w:hAnsi="Courier New" w:cs="Courier New" w:hint="default"/>
      </w:rPr>
    </w:lvl>
    <w:lvl w:ilvl="8" w:tplc="080C0005" w:tentative="1">
      <w:start w:val="1"/>
      <w:numFmt w:val="bullet"/>
      <w:lvlText w:val=""/>
      <w:lvlJc w:val="left"/>
      <w:pPr>
        <w:ind w:left="6228" w:hanging="360"/>
      </w:pPr>
      <w:rPr>
        <w:rFonts w:ascii="Wingdings" w:hAnsi="Wingdings" w:hint="default"/>
      </w:rPr>
    </w:lvl>
  </w:abstractNum>
  <w:abstractNum w:abstractNumId="30" w15:restartNumberingAfterBreak="0">
    <w:nsid w:val="78077133"/>
    <w:multiLevelType w:val="hybridMultilevel"/>
    <w:tmpl w:val="E4B6B006"/>
    <w:lvl w:ilvl="0" w:tplc="080C000F">
      <w:start w:val="1"/>
      <w:numFmt w:val="decimal"/>
      <w:lvlText w:val="%1."/>
      <w:lvlJc w:val="left"/>
      <w:pPr>
        <w:ind w:left="1080" w:hanging="360"/>
      </w:p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num w:numId="1">
    <w:abstractNumId w:val="6"/>
  </w:num>
  <w:num w:numId="2">
    <w:abstractNumId w:val="27"/>
  </w:num>
  <w:num w:numId="3">
    <w:abstractNumId w:val="18"/>
  </w:num>
  <w:num w:numId="4">
    <w:abstractNumId w:val="13"/>
  </w:num>
  <w:num w:numId="5">
    <w:abstractNumId w:val="2"/>
  </w:num>
  <w:num w:numId="6">
    <w:abstractNumId w:val="11"/>
  </w:num>
  <w:num w:numId="7">
    <w:abstractNumId w:val="7"/>
  </w:num>
  <w:num w:numId="8">
    <w:abstractNumId w:val="3"/>
  </w:num>
  <w:num w:numId="9">
    <w:abstractNumId w:val="22"/>
  </w:num>
  <w:num w:numId="10">
    <w:abstractNumId w:val="30"/>
  </w:num>
  <w:num w:numId="11">
    <w:abstractNumId w:val="16"/>
  </w:num>
  <w:num w:numId="12">
    <w:abstractNumId w:val="25"/>
  </w:num>
  <w:num w:numId="13">
    <w:abstractNumId w:val="28"/>
  </w:num>
  <w:num w:numId="14">
    <w:abstractNumId w:val="10"/>
  </w:num>
  <w:num w:numId="15">
    <w:abstractNumId w:val="19"/>
  </w:num>
  <w:num w:numId="16">
    <w:abstractNumId w:val="4"/>
  </w:num>
  <w:num w:numId="17">
    <w:abstractNumId w:val="17"/>
  </w:num>
  <w:num w:numId="18">
    <w:abstractNumId w:val="0"/>
  </w:num>
  <w:num w:numId="19">
    <w:abstractNumId w:val="9"/>
  </w:num>
  <w:num w:numId="20">
    <w:abstractNumId w:val="5"/>
  </w:num>
  <w:num w:numId="21">
    <w:abstractNumId w:val="24"/>
  </w:num>
  <w:num w:numId="22">
    <w:abstractNumId w:val="15"/>
  </w:num>
  <w:num w:numId="23">
    <w:abstractNumId w:val="26"/>
  </w:num>
  <w:num w:numId="24">
    <w:abstractNumId w:val="23"/>
  </w:num>
  <w:num w:numId="25">
    <w:abstractNumId w:val="29"/>
  </w:num>
  <w:num w:numId="26">
    <w:abstractNumId w:val="1"/>
  </w:num>
  <w:num w:numId="27">
    <w:abstractNumId w:val="20"/>
  </w:num>
  <w:num w:numId="28">
    <w:abstractNumId w:val="14"/>
  </w:num>
  <w:num w:numId="29">
    <w:abstractNumId w:val="12"/>
  </w:num>
  <w:num w:numId="30">
    <w:abstractNumId w:val="21"/>
  </w:num>
  <w:num w:numId="3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5855"/>
    <w:rsid w:val="00144689"/>
    <w:rsid w:val="002461D8"/>
    <w:rsid w:val="00365BFE"/>
    <w:rsid w:val="0048639C"/>
    <w:rsid w:val="004A3D88"/>
    <w:rsid w:val="00622CCC"/>
    <w:rsid w:val="006728D9"/>
    <w:rsid w:val="00691EFB"/>
    <w:rsid w:val="00694F0E"/>
    <w:rsid w:val="0078158D"/>
    <w:rsid w:val="00803663"/>
    <w:rsid w:val="008C1E17"/>
    <w:rsid w:val="008C3004"/>
    <w:rsid w:val="00906AE8"/>
    <w:rsid w:val="00942D86"/>
    <w:rsid w:val="00975855"/>
    <w:rsid w:val="00B03C1D"/>
    <w:rsid w:val="00DD685C"/>
    <w:rsid w:val="00DE282C"/>
    <w:rsid w:val="00E53DD4"/>
    <w:rsid w:val="00F0434A"/>
    <w:rsid w:val="00F92F1E"/>
    <w:rsid w:val="00FF1F9A"/>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CE274"/>
  <w15:chartTrackingRefBased/>
  <w15:docId w15:val="{5597FA57-9079-4760-B1BE-D2BD2E288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5855"/>
    <w:pPr>
      <w:spacing w:after="0" w:line="240" w:lineRule="auto"/>
    </w:pPr>
    <w:rPr>
      <w:rFonts w:ascii="Liberation Serif" w:eastAsia="SimSun" w:hAnsi="Liberation Serif" w:cs="Lucida Sans"/>
      <w:color w:val="00000A"/>
      <w:kern w:val="2"/>
      <w:sz w:val="24"/>
      <w:szCs w:val="24"/>
      <w:lang w:val="it-IT" w:eastAsia="zh-CN" w:bidi="hi-IN"/>
    </w:rPr>
  </w:style>
  <w:style w:type="paragraph" w:styleId="Titre2">
    <w:name w:val="heading 2"/>
    <w:basedOn w:val="Normal"/>
    <w:link w:val="Titre2Car"/>
    <w:uiPriority w:val="9"/>
    <w:qFormat/>
    <w:rsid w:val="00F0434A"/>
    <w:pPr>
      <w:spacing w:before="100" w:beforeAutospacing="1" w:after="100" w:afterAutospacing="1"/>
      <w:outlineLvl w:val="1"/>
    </w:pPr>
    <w:rPr>
      <w:rFonts w:ascii="Times New Roman" w:eastAsia="Times New Roman" w:hAnsi="Times New Roman" w:cs="Times New Roman"/>
      <w:b/>
      <w:bCs/>
      <w:color w:val="auto"/>
      <w:kern w:val="0"/>
      <w:sz w:val="36"/>
      <w:szCs w:val="36"/>
      <w:lang w:val="fr-BE" w:eastAsia="fr-BE" w:bidi="ar-S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F0434A"/>
    <w:rPr>
      <w:rFonts w:ascii="Times New Roman" w:eastAsia="Times New Roman" w:hAnsi="Times New Roman" w:cs="Times New Roman"/>
      <w:b/>
      <w:bCs/>
      <w:sz w:val="36"/>
      <w:szCs w:val="36"/>
      <w:lang w:eastAsia="fr-BE"/>
    </w:rPr>
  </w:style>
  <w:style w:type="character" w:customStyle="1" w:styleId="Caratteridinumerazione">
    <w:name w:val="Caratteri di numerazione"/>
    <w:qFormat/>
    <w:rsid w:val="00F0434A"/>
  </w:style>
  <w:style w:type="character" w:styleId="Marquedecommentaire">
    <w:name w:val="annotation reference"/>
    <w:basedOn w:val="Policepardfaut"/>
    <w:uiPriority w:val="99"/>
    <w:semiHidden/>
    <w:unhideWhenUsed/>
    <w:qFormat/>
    <w:rsid w:val="00F0434A"/>
    <w:rPr>
      <w:sz w:val="16"/>
      <w:szCs w:val="16"/>
    </w:rPr>
  </w:style>
  <w:style w:type="character" w:customStyle="1" w:styleId="CommentaireCar">
    <w:name w:val="Commentaire Car"/>
    <w:basedOn w:val="Policepardfaut"/>
    <w:link w:val="Commentaire"/>
    <w:uiPriority w:val="99"/>
    <w:semiHidden/>
    <w:qFormat/>
    <w:rsid w:val="00F0434A"/>
    <w:rPr>
      <w:rFonts w:cs="Mangal"/>
      <w:color w:val="00000A"/>
      <w:szCs w:val="18"/>
    </w:rPr>
  </w:style>
  <w:style w:type="character" w:customStyle="1" w:styleId="ObjetducommentaireCar">
    <w:name w:val="Objet du commentaire Car"/>
    <w:basedOn w:val="CommentaireCar"/>
    <w:link w:val="Objetducommentaire"/>
    <w:uiPriority w:val="99"/>
    <w:semiHidden/>
    <w:qFormat/>
    <w:rsid w:val="00F0434A"/>
    <w:rPr>
      <w:rFonts w:cs="Mangal"/>
      <w:b/>
      <w:bCs/>
      <w:color w:val="00000A"/>
      <w:szCs w:val="18"/>
    </w:rPr>
  </w:style>
  <w:style w:type="character" w:customStyle="1" w:styleId="TextedebullesCar">
    <w:name w:val="Texte de bulles Car"/>
    <w:basedOn w:val="Policepardfaut"/>
    <w:link w:val="Textedebulles"/>
    <w:uiPriority w:val="99"/>
    <w:semiHidden/>
    <w:qFormat/>
    <w:rsid w:val="00F0434A"/>
    <w:rPr>
      <w:rFonts w:ascii="Tahoma" w:hAnsi="Tahoma" w:cs="Mangal"/>
      <w:color w:val="00000A"/>
      <w:sz w:val="16"/>
      <w:szCs w:val="14"/>
    </w:rPr>
  </w:style>
  <w:style w:type="paragraph" w:customStyle="1" w:styleId="Titolo1">
    <w:name w:val="Titolo1"/>
    <w:basedOn w:val="Normal"/>
    <w:next w:val="Corpsdetexte"/>
    <w:qFormat/>
    <w:rsid w:val="00F0434A"/>
    <w:pPr>
      <w:keepNext/>
      <w:spacing w:before="240" w:after="120"/>
    </w:pPr>
    <w:rPr>
      <w:rFonts w:ascii="Liberation Sans" w:eastAsia="Microsoft YaHei" w:hAnsi="Liberation Sans"/>
      <w:sz w:val="28"/>
      <w:szCs w:val="28"/>
    </w:rPr>
  </w:style>
  <w:style w:type="paragraph" w:styleId="Corpsdetexte">
    <w:name w:val="Body Text"/>
    <w:basedOn w:val="Normal"/>
    <w:link w:val="CorpsdetexteCar"/>
    <w:rsid w:val="00F0434A"/>
    <w:pPr>
      <w:spacing w:after="140" w:line="288" w:lineRule="auto"/>
    </w:pPr>
  </w:style>
  <w:style w:type="character" w:customStyle="1" w:styleId="CorpsdetexteCar">
    <w:name w:val="Corps de texte Car"/>
    <w:basedOn w:val="Policepardfaut"/>
    <w:link w:val="Corpsdetexte"/>
    <w:rsid w:val="00F0434A"/>
    <w:rPr>
      <w:rFonts w:ascii="Liberation Serif" w:eastAsia="SimSun" w:hAnsi="Liberation Serif" w:cs="Lucida Sans"/>
      <w:color w:val="00000A"/>
      <w:kern w:val="2"/>
      <w:sz w:val="24"/>
      <w:szCs w:val="24"/>
      <w:lang w:val="it-IT" w:eastAsia="zh-CN" w:bidi="hi-IN"/>
    </w:rPr>
  </w:style>
  <w:style w:type="paragraph" w:styleId="Liste">
    <w:name w:val="List"/>
    <w:basedOn w:val="Corpsdetexte"/>
    <w:rsid w:val="00F0434A"/>
  </w:style>
  <w:style w:type="paragraph" w:styleId="Lgende">
    <w:name w:val="caption"/>
    <w:basedOn w:val="Normal"/>
    <w:qFormat/>
    <w:rsid w:val="00F0434A"/>
    <w:pPr>
      <w:suppressLineNumbers/>
      <w:spacing w:before="120" w:after="120"/>
    </w:pPr>
    <w:rPr>
      <w:rFonts w:asciiTheme="minorHAnsi" w:hAnsiTheme="minorHAnsi" w:cstheme="minorHAnsi"/>
      <w:b/>
      <w:iCs/>
      <w:sz w:val="20"/>
    </w:rPr>
  </w:style>
  <w:style w:type="paragraph" w:customStyle="1" w:styleId="Indice">
    <w:name w:val="Indice"/>
    <w:basedOn w:val="Normal"/>
    <w:qFormat/>
    <w:rsid w:val="00F0434A"/>
    <w:pPr>
      <w:suppressLineNumbers/>
    </w:pPr>
  </w:style>
  <w:style w:type="paragraph" w:customStyle="1" w:styleId="Lineaorizzontale">
    <w:name w:val="Linea orizzontale"/>
    <w:basedOn w:val="Normal"/>
    <w:qFormat/>
    <w:rsid w:val="00F0434A"/>
    <w:pPr>
      <w:suppressLineNumbers/>
      <w:pBdr>
        <w:bottom w:val="double" w:sz="2" w:space="0" w:color="808080"/>
      </w:pBdr>
      <w:spacing w:after="283"/>
    </w:pPr>
    <w:rPr>
      <w:sz w:val="12"/>
      <w:szCs w:val="12"/>
    </w:rPr>
  </w:style>
  <w:style w:type="paragraph" w:styleId="Commentaire">
    <w:name w:val="annotation text"/>
    <w:basedOn w:val="Normal"/>
    <w:link w:val="CommentaireCar"/>
    <w:uiPriority w:val="99"/>
    <w:semiHidden/>
    <w:unhideWhenUsed/>
    <w:qFormat/>
    <w:rsid w:val="00F0434A"/>
    <w:rPr>
      <w:rFonts w:asciiTheme="minorHAnsi" w:eastAsiaTheme="minorHAnsi" w:hAnsiTheme="minorHAnsi" w:cs="Mangal"/>
      <w:kern w:val="0"/>
      <w:sz w:val="22"/>
      <w:szCs w:val="18"/>
      <w:lang w:val="fr-BE" w:eastAsia="en-US" w:bidi="ar-SA"/>
    </w:rPr>
  </w:style>
  <w:style w:type="character" w:customStyle="1" w:styleId="CommentaireCar1">
    <w:name w:val="Commentaire Car1"/>
    <w:basedOn w:val="Policepardfaut"/>
    <w:uiPriority w:val="99"/>
    <w:semiHidden/>
    <w:rsid w:val="00F0434A"/>
    <w:rPr>
      <w:rFonts w:ascii="Liberation Serif" w:eastAsia="SimSun" w:hAnsi="Liberation Serif" w:cs="Mangal"/>
      <w:color w:val="00000A"/>
      <w:kern w:val="2"/>
      <w:sz w:val="20"/>
      <w:szCs w:val="18"/>
      <w:lang w:val="it-IT" w:eastAsia="zh-CN" w:bidi="hi-IN"/>
    </w:rPr>
  </w:style>
  <w:style w:type="paragraph" w:styleId="Objetducommentaire">
    <w:name w:val="annotation subject"/>
    <w:basedOn w:val="Commentaire"/>
    <w:link w:val="ObjetducommentaireCar"/>
    <w:uiPriority w:val="99"/>
    <w:semiHidden/>
    <w:unhideWhenUsed/>
    <w:qFormat/>
    <w:rsid w:val="00F0434A"/>
    <w:rPr>
      <w:b/>
      <w:bCs/>
    </w:rPr>
  </w:style>
  <w:style w:type="character" w:customStyle="1" w:styleId="ObjetducommentaireCar1">
    <w:name w:val="Objet du commentaire Car1"/>
    <w:basedOn w:val="CommentaireCar1"/>
    <w:uiPriority w:val="99"/>
    <w:semiHidden/>
    <w:rsid w:val="00F0434A"/>
    <w:rPr>
      <w:rFonts w:ascii="Liberation Serif" w:eastAsia="SimSun" w:hAnsi="Liberation Serif" w:cs="Mangal"/>
      <w:b/>
      <w:bCs/>
      <w:color w:val="00000A"/>
      <w:kern w:val="2"/>
      <w:sz w:val="20"/>
      <w:szCs w:val="18"/>
      <w:lang w:val="it-IT" w:eastAsia="zh-CN" w:bidi="hi-IN"/>
    </w:rPr>
  </w:style>
  <w:style w:type="paragraph" w:styleId="Textedebulles">
    <w:name w:val="Balloon Text"/>
    <w:basedOn w:val="Normal"/>
    <w:link w:val="TextedebullesCar"/>
    <w:uiPriority w:val="99"/>
    <w:semiHidden/>
    <w:unhideWhenUsed/>
    <w:qFormat/>
    <w:rsid w:val="00F0434A"/>
    <w:rPr>
      <w:rFonts w:ascii="Tahoma" w:eastAsiaTheme="minorHAnsi" w:hAnsi="Tahoma" w:cs="Mangal"/>
      <w:kern w:val="0"/>
      <w:sz w:val="16"/>
      <w:szCs w:val="14"/>
      <w:lang w:val="fr-BE" w:eastAsia="en-US" w:bidi="ar-SA"/>
    </w:rPr>
  </w:style>
  <w:style w:type="character" w:customStyle="1" w:styleId="TextedebullesCar1">
    <w:name w:val="Texte de bulles Car1"/>
    <w:basedOn w:val="Policepardfaut"/>
    <w:uiPriority w:val="99"/>
    <w:semiHidden/>
    <w:rsid w:val="00F0434A"/>
    <w:rPr>
      <w:rFonts w:ascii="Segoe UI" w:eastAsia="SimSun" w:hAnsi="Segoe UI" w:cs="Mangal"/>
      <w:color w:val="00000A"/>
      <w:kern w:val="2"/>
      <w:sz w:val="18"/>
      <w:szCs w:val="16"/>
      <w:lang w:val="it-IT" w:eastAsia="zh-CN" w:bidi="hi-IN"/>
    </w:rPr>
  </w:style>
  <w:style w:type="paragraph" w:styleId="En-tte">
    <w:name w:val="header"/>
    <w:basedOn w:val="Normal"/>
    <w:link w:val="En-tteCar"/>
    <w:uiPriority w:val="99"/>
    <w:unhideWhenUsed/>
    <w:rsid w:val="00F0434A"/>
    <w:pPr>
      <w:tabs>
        <w:tab w:val="center" w:pos="4819"/>
        <w:tab w:val="right" w:pos="9638"/>
      </w:tabs>
    </w:pPr>
    <w:rPr>
      <w:rFonts w:cs="Mangal"/>
      <w:szCs w:val="21"/>
    </w:rPr>
  </w:style>
  <w:style w:type="character" w:customStyle="1" w:styleId="En-tteCar">
    <w:name w:val="En-tête Car"/>
    <w:basedOn w:val="Policepardfaut"/>
    <w:link w:val="En-tte"/>
    <w:uiPriority w:val="99"/>
    <w:rsid w:val="00F0434A"/>
    <w:rPr>
      <w:rFonts w:ascii="Liberation Serif" w:eastAsia="SimSun" w:hAnsi="Liberation Serif" w:cs="Mangal"/>
      <w:color w:val="00000A"/>
      <w:kern w:val="2"/>
      <w:sz w:val="24"/>
      <w:szCs w:val="21"/>
      <w:lang w:val="it-IT" w:eastAsia="zh-CN" w:bidi="hi-IN"/>
    </w:rPr>
  </w:style>
  <w:style w:type="paragraph" w:styleId="Pieddepage">
    <w:name w:val="footer"/>
    <w:basedOn w:val="Normal"/>
    <w:link w:val="PieddepageCar"/>
    <w:uiPriority w:val="99"/>
    <w:unhideWhenUsed/>
    <w:rsid w:val="00F0434A"/>
    <w:pPr>
      <w:tabs>
        <w:tab w:val="center" w:pos="4819"/>
        <w:tab w:val="right" w:pos="9638"/>
      </w:tabs>
    </w:pPr>
    <w:rPr>
      <w:rFonts w:cs="Mangal"/>
      <w:szCs w:val="21"/>
    </w:rPr>
  </w:style>
  <w:style w:type="character" w:customStyle="1" w:styleId="PieddepageCar">
    <w:name w:val="Pied de page Car"/>
    <w:basedOn w:val="Policepardfaut"/>
    <w:link w:val="Pieddepage"/>
    <w:uiPriority w:val="99"/>
    <w:rsid w:val="00F0434A"/>
    <w:rPr>
      <w:rFonts w:ascii="Liberation Serif" w:eastAsia="SimSun" w:hAnsi="Liberation Serif" w:cs="Mangal"/>
      <w:color w:val="00000A"/>
      <w:kern w:val="2"/>
      <w:sz w:val="24"/>
      <w:szCs w:val="21"/>
      <w:lang w:val="it-IT" w:eastAsia="zh-CN" w:bidi="hi-IN"/>
    </w:rPr>
  </w:style>
  <w:style w:type="paragraph" w:styleId="Paragraphedeliste">
    <w:name w:val="List Paragraph"/>
    <w:basedOn w:val="Normal"/>
    <w:link w:val="ParagraphedelisteCar"/>
    <w:uiPriority w:val="34"/>
    <w:qFormat/>
    <w:rsid w:val="00F0434A"/>
    <w:pPr>
      <w:ind w:left="720"/>
      <w:contextualSpacing/>
    </w:pPr>
    <w:rPr>
      <w:rFonts w:cs="Mangal"/>
      <w:szCs w:val="21"/>
    </w:rPr>
  </w:style>
  <w:style w:type="character" w:customStyle="1" w:styleId="ParagraphedelisteCar">
    <w:name w:val="Paragraphe de liste Car"/>
    <w:link w:val="Paragraphedeliste"/>
    <w:uiPriority w:val="34"/>
    <w:locked/>
    <w:rsid w:val="00F0434A"/>
    <w:rPr>
      <w:rFonts w:ascii="Liberation Serif" w:eastAsia="SimSun" w:hAnsi="Liberation Serif" w:cs="Mangal"/>
      <w:color w:val="00000A"/>
      <w:kern w:val="2"/>
      <w:sz w:val="24"/>
      <w:szCs w:val="21"/>
      <w:lang w:val="it-IT" w:eastAsia="zh-CN" w:bidi="hi-IN"/>
    </w:rPr>
  </w:style>
  <w:style w:type="paragraph" w:styleId="NormalWeb">
    <w:name w:val="Normal (Web)"/>
    <w:basedOn w:val="Normal"/>
    <w:uiPriority w:val="99"/>
    <w:unhideWhenUsed/>
    <w:rsid w:val="00F0434A"/>
    <w:pPr>
      <w:spacing w:before="100" w:beforeAutospacing="1" w:after="100" w:afterAutospacing="1"/>
    </w:pPr>
    <w:rPr>
      <w:rFonts w:ascii="Times New Roman" w:eastAsia="Times New Roman" w:hAnsi="Times New Roman" w:cs="Times New Roman"/>
      <w:color w:val="auto"/>
      <w:kern w:val="0"/>
      <w:lang w:val="fr-BE" w:eastAsia="fr-BE" w:bidi="ar-SA"/>
    </w:rPr>
  </w:style>
  <w:style w:type="paragraph" w:styleId="Rvision">
    <w:name w:val="Revision"/>
    <w:hidden/>
    <w:uiPriority w:val="99"/>
    <w:semiHidden/>
    <w:rsid w:val="00F0434A"/>
    <w:pPr>
      <w:spacing w:after="0" w:line="240" w:lineRule="auto"/>
    </w:pPr>
    <w:rPr>
      <w:rFonts w:ascii="Liberation Serif" w:eastAsia="SimSun" w:hAnsi="Liberation Serif" w:cs="Mangal"/>
      <w:color w:val="00000A"/>
      <w:kern w:val="2"/>
      <w:sz w:val="24"/>
      <w:szCs w:val="21"/>
      <w:lang w:val="it-IT" w:eastAsia="zh-CN" w:bidi="hi-IN"/>
    </w:rPr>
  </w:style>
  <w:style w:type="paragraph" w:styleId="Notedebasdepage">
    <w:name w:val="footnote text"/>
    <w:basedOn w:val="Normal"/>
    <w:link w:val="NotedebasdepageCar"/>
    <w:uiPriority w:val="99"/>
    <w:semiHidden/>
    <w:unhideWhenUsed/>
    <w:rsid w:val="00F0434A"/>
    <w:rPr>
      <w:rFonts w:cs="Mangal"/>
      <w:sz w:val="20"/>
      <w:szCs w:val="18"/>
    </w:rPr>
  </w:style>
  <w:style w:type="character" w:customStyle="1" w:styleId="NotedebasdepageCar">
    <w:name w:val="Note de bas de page Car"/>
    <w:basedOn w:val="Policepardfaut"/>
    <w:link w:val="Notedebasdepage"/>
    <w:uiPriority w:val="99"/>
    <w:semiHidden/>
    <w:rsid w:val="00F0434A"/>
    <w:rPr>
      <w:rFonts w:ascii="Liberation Serif" w:eastAsia="SimSun" w:hAnsi="Liberation Serif" w:cs="Mangal"/>
      <w:color w:val="00000A"/>
      <w:kern w:val="2"/>
      <w:sz w:val="20"/>
      <w:szCs w:val="18"/>
      <w:lang w:val="it-IT" w:eastAsia="zh-CN" w:bidi="hi-IN"/>
    </w:rPr>
  </w:style>
  <w:style w:type="character" w:styleId="Appelnotedebasdep">
    <w:name w:val="footnote reference"/>
    <w:basedOn w:val="Policepardfaut"/>
    <w:uiPriority w:val="99"/>
    <w:semiHidden/>
    <w:unhideWhenUsed/>
    <w:rsid w:val="00F0434A"/>
    <w:rPr>
      <w:vertAlign w:val="superscript"/>
    </w:rPr>
  </w:style>
  <w:style w:type="character" w:styleId="lev">
    <w:name w:val="Strong"/>
    <w:basedOn w:val="Policepardfaut"/>
    <w:uiPriority w:val="22"/>
    <w:qFormat/>
    <w:rsid w:val="00F0434A"/>
    <w:rPr>
      <w:rFonts w:asciiTheme="minorHAnsi" w:hAnsiTheme="minorHAnsi"/>
      <w:b/>
      <w:bCs/>
      <w:sz w:val="24"/>
    </w:rPr>
  </w:style>
  <w:style w:type="table" w:customStyle="1" w:styleId="Tableausimple11">
    <w:name w:val="Tableau simple 11"/>
    <w:basedOn w:val="TableauNormal"/>
    <w:uiPriority w:val="41"/>
    <w:rsid w:val="00F0434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lledetableauclaire1">
    <w:name w:val="Grille de tableau claire1"/>
    <w:basedOn w:val="TableauNormal"/>
    <w:uiPriority w:val="40"/>
    <w:rsid w:val="00F0434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Accentuation">
    <w:name w:val="Emphasis"/>
    <w:basedOn w:val="Policepardfaut"/>
    <w:uiPriority w:val="20"/>
    <w:qFormat/>
    <w:rsid w:val="00F0434A"/>
    <w:rPr>
      <w:i/>
      <w:iCs/>
    </w:rPr>
  </w:style>
  <w:style w:type="table" w:customStyle="1" w:styleId="TableauListe6Couleur1">
    <w:name w:val="Tableau Liste 6 Couleur1"/>
    <w:basedOn w:val="TableauNormal"/>
    <w:uiPriority w:val="51"/>
    <w:rsid w:val="00F0434A"/>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ausimple31">
    <w:name w:val="Tableau simple 31"/>
    <w:basedOn w:val="TableauNormal"/>
    <w:uiPriority w:val="43"/>
    <w:rsid w:val="00F0434A"/>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eausimple51">
    <w:name w:val="Tableau simple 51"/>
    <w:basedOn w:val="TableauNormal"/>
    <w:uiPriority w:val="45"/>
    <w:rsid w:val="00F0434A"/>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Lienhypertexte">
    <w:name w:val="Hyperlink"/>
    <w:basedOn w:val="Policepardfaut"/>
    <w:uiPriority w:val="99"/>
    <w:unhideWhenUsed/>
    <w:rsid w:val="00F0434A"/>
    <w:rPr>
      <w:color w:val="0563C1" w:themeColor="hyperlink"/>
      <w:u w:val="single"/>
    </w:rPr>
  </w:style>
  <w:style w:type="table" w:customStyle="1" w:styleId="Grilledetableauclaire2">
    <w:name w:val="Grille de tableau claire2"/>
    <w:basedOn w:val="TableauNormal"/>
    <w:uiPriority w:val="40"/>
    <w:rsid w:val="00F0434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Numrodeligne">
    <w:name w:val="line number"/>
    <w:basedOn w:val="Policepardfaut"/>
    <w:uiPriority w:val="99"/>
    <w:semiHidden/>
    <w:unhideWhenUsed/>
    <w:rsid w:val="00F043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5.tiff"/><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11" Type="http://schemas.openxmlformats.org/officeDocument/2006/relationships/image" Target="media/image3.png"/><Relationship Id="rId5" Type="http://schemas.openxmlformats.org/officeDocument/2006/relationships/hyperlink" Target="mailto:simone.vespa@uclouvain.be" TargetMode="Externa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tiff"/><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34</Pages>
  <Words>70365</Words>
  <Characters>387012</Characters>
  <Application>Microsoft Office Word</Application>
  <DocSecurity>0</DocSecurity>
  <Lines>3225</Lines>
  <Paragraphs>912</Paragraphs>
  <ScaleCrop>false</ScaleCrop>
  <HeadingPairs>
    <vt:vector size="2" baseType="variant">
      <vt:variant>
        <vt:lpstr>Titre</vt:lpstr>
      </vt:variant>
      <vt:variant>
        <vt:i4>1</vt:i4>
      </vt:variant>
    </vt:vector>
  </HeadingPairs>
  <TitlesOfParts>
    <vt:vector size="1" baseType="lpstr">
      <vt:lpstr/>
    </vt:vector>
  </TitlesOfParts>
  <Company>Université Catholique de Louvain</Company>
  <LinksUpToDate>false</LinksUpToDate>
  <CharactersWithSpaces>456465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 Vespa</dc:creator>
  <cp:keywords/>
  <dc:description/>
  <cp:lastModifiedBy>Simone Vespa</cp:lastModifiedBy>
  <cp:revision>2</cp:revision>
  <dcterms:created xsi:type="dcterms:W3CDTF">2020-03-09T08:05:00Z</dcterms:created>
  <dcterms:modified xsi:type="dcterms:W3CDTF">2020-03-09T08:05:00Z</dcterms:modified>
</cp:coreProperties>
</file>