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D7A96E" w14:textId="77777777" w:rsidR="00577A45" w:rsidRDefault="004C2A6E">
      <w:pPr>
        <w:pStyle w:val="Titre3"/>
        <w:spacing w:before="280" w:after="280"/>
        <w:rPr>
          <w:bCs w:val="0"/>
          <w:color w:val="000000"/>
          <w:sz w:val="28"/>
          <w:szCs w:val="28"/>
          <w:lang w:val="en-GB"/>
        </w:rPr>
      </w:pPr>
      <w:r>
        <w:rPr>
          <w:bCs w:val="0"/>
          <w:color w:val="000000"/>
          <w:sz w:val="28"/>
          <w:szCs w:val="28"/>
          <w:lang w:val="en-GB"/>
        </w:rPr>
        <w:t xml:space="preserve">Do Beyond GDP indicators initiated by </w:t>
      </w:r>
      <w:r>
        <w:rPr>
          <w:sz w:val="28"/>
          <w:szCs w:val="28"/>
          <w:lang w:val="en-GB"/>
        </w:rPr>
        <w:t>powerful stakeholders have a transformative potential?</w:t>
      </w:r>
    </w:p>
    <w:p w14:paraId="5A8BCB48" w14:textId="77777777" w:rsidR="00577A45" w:rsidRDefault="004C2A6E">
      <w:pPr>
        <w:spacing w:after="220" w:line="240" w:lineRule="auto"/>
        <w:rPr>
          <w:rFonts w:ascii="Times New Roman" w:eastAsia="Times New Roman" w:hAnsi="Times New Roman" w:cs="Times New Roman"/>
          <w:color w:val="000000"/>
          <w:lang w:val="en-GB" w:eastAsia="hu-HU"/>
        </w:rPr>
      </w:pPr>
      <w:r>
        <w:rPr>
          <w:rFonts w:ascii="Times New Roman" w:eastAsia="Times New Roman" w:hAnsi="Times New Roman" w:cs="Times New Roman"/>
          <w:color w:val="000000"/>
          <w:lang w:val="en-GB" w:eastAsia="hu-HU"/>
        </w:rPr>
        <w:t>Olivier E. Malay</w:t>
      </w:r>
    </w:p>
    <w:p w14:paraId="40027FB1" w14:textId="77777777" w:rsidR="00577A45" w:rsidRDefault="004C2A6E">
      <w:pPr>
        <w:spacing w:after="0" w:line="240" w:lineRule="auto"/>
        <w:rPr>
          <w:rFonts w:ascii="Times New Roman" w:eastAsia="Times New Roman" w:hAnsi="Times New Roman" w:cs="Times New Roman"/>
          <w:sz w:val="24"/>
          <w:szCs w:val="24"/>
          <w:lang w:val="en-GB" w:eastAsia="hu-HU"/>
        </w:rPr>
      </w:pPr>
      <w:r>
        <w:rPr>
          <w:rFonts w:ascii="Times New Roman" w:eastAsia="Times New Roman" w:hAnsi="Times New Roman" w:cs="Times New Roman"/>
          <w:color w:val="000000"/>
          <w:lang w:val="en-GB" w:eastAsia="hu-HU"/>
        </w:rPr>
        <w:t>IRES &amp; Hoover Chair of Economic and Social Ethics, University of Louvain, Place Montesquieu, 3, L2.06.01, 1348 Louvain-la-Neuve, Belgium</w:t>
      </w:r>
    </w:p>
    <w:p w14:paraId="3AE990C7" w14:textId="222A3B76" w:rsidR="00577A45" w:rsidRDefault="004C2A6E">
      <w:pPr>
        <w:spacing w:before="520" w:after="0" w:line="240" w:lineRule="auto"/>
        <w:jc w:val="both"/>
      </w:pPr>
      <w:r>
        <w:rPr>
          <w:rFonts w:ascii="Times New Roman" w:eastAsia="Times New Roman" w:hAnsi="Times New Roman" w:cs="Times New Roman"/>
          <w:b/>
          <w:bCs/>
          <w:color w:val="000000"/>
          <w:sz w:val="20"/>
          <w:szCs w:val="20"/>
          <w:lang w:val="en-GB" w:eastAsia="hu-HU"/>
        </w:rPr>
        <w:t>Abstract.</w:t>
      </w:r>
      <w:r>
        <w:rPr>
          <w:rFonts w:ascii="Times New Roman" w:eastAsia="Times New Roman" w:hAnsi="Times New Roman" w:cs="Times New Roman"/>
          <w:color w:val="000000"/>
          <w:sz w:val="20"/>
          <w:szCs w:val="20"/>
          <w:lang w:val="en-GB" w:eastAsia="hu-HU"/>
        </w:rPr>
        <w:t xml:space="preserve"> The last four decades have seen a proliferation of new indicators aiming to challenge GDP. But do they really produce new outcomes? By observing the rankings they produce (compared to those produced by G</w:t>
      </w:r>
      <w:bookmarkStart w:id="0" w:name="_GoBack"/>
      <w:bookmarkEnd w:id="0"/>
      <w:r>
        <w:rPr>
          <w:rFonts w:ascii="Times New Roman" w:eastAsia="Times New Roman" w:hAnsi="Times New Roman" w:cs="Times New Roman"/>
          <w:color w:val="000000"/>
          <w:sz w:val="20"/>
          <w:szCs w:val="20"/>
          <w:lang w:val="en-GB" w:eastAsia="hu-HU"/>
        </w:rPr>
        <w:t xml:space="preserve">DP), the potential of 6 Beyond GDP indicators </w:t>
      </w:r>
      <w:r w:rsidR="003D2198">
        <w:rPr>
          <w:rFonts w:ascii="Times New Roman" w:eastAsia="Times New Roman" w:hAnsi="Times New Roman" w:cs="Times New Roman"/>
          <w:color w:val="000000"/>
          <w:sz w:val="20"/>
          <w:szCs w:val="20"/>
          <w:lang w:val="en-GB" w:eastAsia="hu-HU"/>
        </w:rPr>
        <w:t xml:space="preserve">to suggest </w:t>
      </w:r>
      <w:r>
        <w:rPr>
          <w:rFonts w:ascii="Times New Roman" w:eastAsia="Times New Roman" w:hAnsi="Times New Roman" w:cs="Times New Roman"/>
          <w:color w:val="000000"/>
          <w:sz w:val="20"/>
          <w:szCs w:val="20"/>
          <w:lang w:val="en-GB" w:eastAsia="hu-HU"/>
        </w:rPr>
        <w:t xml:space="preserve">a way towards a more social and ecological society has been examined. The conclusion </w:t>
      </w:r>
      <w:r w:rsidRPr="003D2198">
        <w:rPr>
          <w:rFonts w:ascii="Times New Roman" w:eastAsia="Times New Roman" w:hAnsi="Times New Roman" w:cs="Times New Roman"/>
          <w:color w:val="000000"/>
          <w:sz w:val="20"/>
          <w:szCs w:val="20"/>
          <w:lang w:val="en-GB" w:eastAsia="hu-HU"/>
        </w:rPr>
        <w:t xml:space="preserve">is </w:t>
      </w:r>
      <w:r>
        <w:rPr>
          <w:rFonts w:ascii="Times New Roman" w:eastAsia="Times New Roman" w:hAnsi="Times New Roman" w:cs="Times New Roman"/>
          <w:color w:val="000000"/>
          <w:sz w:val="20"/>
          <w:szCs w:val="20"/>
          <w:lang w:val="en-GB" w:eastAsia="hu-HU"/>
        </w:rPr>
        <w:t xml:space="preserve">that rankings from indicators initiated by powerful stakeholders are highly correlated with rankings according to GDP, demonstrating a low transformative potential. </w:t>
      </w:r>
    </w:p>
    <w:p w14:paraId="2D63F637" w14:textId="77777777" w:rsidR="00577A45" w:rsidRDefault="004C2A6E">
      <w:pPr>
        <w:spacing w:before="520" w:after="280" w:line="240" w:lineRule="auto"/>
        <w:outlineLvl w:val="0"/>
        <w:rPr>
          <w:rFonts w:ascii="Times New Roman" w:eastAsia="Times New Roman" w:hAnsi="Times New Roman" w:cs="Times New Roman"/>
          <w:b/>
          <w:bCs/>
          <w:kern w:val="2"/>
          <w:sz w:val="48"/>
          <w:szCs w:val="48"/>
          <w:lang w:val="en-GB" w:eastAsia="hu-HU"/>
        </w:rPr>
      </w:pPr>
      <w:r>
        <w:rPr>
          <w:rFonts w:ascii="Times New Roman" w:eastAsia="Times New Roman" w:hAnsi="Times New Roman" w:cs="Times New Roman"/>
          <w:b/>
          <w:bCs/>
          <w:color w:val="000000"/>
          <w:kern w:val="2"/>
          <w:sz w:val="24"/>
          <w:szCs w:val="24"/>
          <w:lang w:val="en-GB" w:eastAsia="hu-HU"/>
        </w:rPr>
        <w:t>1 Introduction</w:t>
      </w:r>
    </w:p>
    <w:p w14:paraId="6EE9603D" w14:textId="13F3B89D" w:rsidR="00577A45" w:rsidRDefault="004C2A6E">
      <w:pPr>
        <w:pStyle w:val="Premierpara"/>
        <w:rPr>
          <w:lang w:val="en-GB"/>
        </w:rPr>
      </w:pPr>
      <w:r>
        <w:rPr>
          <w:lang w:val="en-GB"/>
        </w:rPr>
        <w:t>Since the end of the Second World War and the introduction of national accounting, the annual growth of Gross Domestic Product (GDP) has been the benchmark indicator guiding economic policy. However</w:t>
      </w:r>
      <w:r>
        <w:rPr>
          <w:lang w:val="en-GB"/>
        </w:rPr>
        <w:t xml:space="preserve">, the </w:t>
      </w:r>
      <w:r w:rsidR="00AF65B6">
        <w:rPr>
          <w:lang w:val="en-GB"/>
        </w:rPr>
        <w:t xml:space="preserve">disintegration </w:t>
      </w:r>
      <w:r>
        <w:rPr>
          <w:lang w:val="en-GB"/>
        </w:rPr>
        <w:t>of the Fordist compromise and the emergence of e</w:t>
      </w:r>
      <w:r>
        <w:rPr>
          <w:lang w:val="en-GB"/>
        </w:rPr>
        <w:t xml:space="preserve">nvironmental </w:t>
      </w:r>
      <w:r w:rsidRPr="003D2198">
        <w:rPr>
          <w:lang w:val="en-GB"/>
        </w:rPr>
        <w:t>questions</w:t>
      </w:r>
      <w:r>
        <w:rPr>
          <w:lang w:val="en-GB"/>
        </w:rPr>
        <w:t xml:space="preserve"> have gradually led to a re-examining of the central role played by economic growth and its measurement. At least three challenges have been addressed (Cassiers and Thiry, 2014): (1) unlimited growth is increasingly considered to be in contradiction with a series of environmental limits (Georgescu-Roegen, 1979; Jackson, 2009/2016; Rocktröm </w:t>
      </w:r>
      <w:r>
        <w:rPr>
          <w:i/>
          <w:lang w:val="en-GB"/>
        </w:rPr>
        <w:t>et al.</w:t>
      </w:r>
      <w:r>
        <w:rPr>
          <w:lang w:val="en-GB"/>
        </w:rPr>
        <w:t xml:space="preserve">, 2013; Steffen </w:t>
      </w:r>
      <w:r>
        <w:rPr>
          <w:i/>
          <w:lang w:val="en-GB"/>
        </w:rPr>
        <w:t>et al</w:t>
      </w:r>
      <w:r>
        <w:rPr>
          <w:lang w:val="en-GB"/>
        </w:rPr>
        <w:t xml:space="preserve">., 2015), even if there is still debate about possible green growth; (2) growth is no longer accompanied by a reduction in inequality (Piketty, 2014); and (3) the link between growth and a higher quality of life is </w:t>
      </w:r>
      <w:r w:rsidR="00F30D11">
        <w:rPr>
          <w:lang w:val="en-GB"/>
        </w:rPr>
        <w:t>challenged</w:t>
      </w:r>
      <w:r>
        <w:rPr>
          <w:lang w:val="en-GB"/>
        </w:rPr>
        <w:t xml:space="preserve">, beyond a certain threshold (Easterlin, 1974; Layard, 2005; Cassiers and Delain, 2006). Over the years, a growing number of international organisations (including the OECD and the UNDP) and public stakeholders (as seen in the report by Stiglitz, Sen, and Fitoussi on economic performance measures and social progress [Stiglitz </w:t>
      </w:r>
      <w:r>
        <w:rPr>
          <w:i/>
          <w:lang w:val="en-GB"/>
        </w:rPr>
        <w:t>et al.</w:t>
      </w:r>
      <w:r>
        <w:rPr>
          <w:lang w:val="en-GB"/>
        </w:rPr>
        <w:t>, 2009]) have acknowledged that the pursuit of growth should be accompanied by the pursuit of social and environmental targets, guided by new indicators.</w:t>
      </w:r>
    </w:p>
    <w:p w14:paraId="0A1DF036" w14:textId="2F32D7A5" w:rsidR="00577A45" w:rsidRDefault="004C2A6E">
      <w:pPr>
        <w:pStyle w:val="2mepara"/>
        <w:rPr>
          <w:lang w:val="en-GB"/>
        </w:rPr>
      </w:pPr>
      <w:r>
        <w:rPr>
          <w:lang w:val="en-GB"/>
        </w:rPr>
        <w:t xml:space="preserve">This re-examination has seen the emergence of a significant number of new indicators, complementary or alternative to GDP (Singh </w:t>
      </w:r>
      <w:r>
        <w:rPr>
          <w:i/>
          <w:lang w:val="en-GB"/>
        </w:rPr>
        <w:t>et</w:t>
      </w:r>
      <w:r>
        <w:rPr>
          <w:lang w:val="en-GB"/>
        </w:rPr>
        <w:t xml:space="preserve"> </w:t>
      </w:r>
      <w:r>
        <w:rPr>
          <w:i/>
          <w:lang w:val="en-GB"/>
        </w:rPr>
        <w:t>al</w:t>
      </w:r>
      <w:r>
        <w:rPr>
          <w:lang w:val="en-GB"/>
        </w:rPr>
        <w:t xml:space="preserve">., 200; Gadrey and Jany-Catrice, 2012; Fleurbaey and Blanchet, 2013), in an innovative trend known as Beyond GDP. Their common feature is to take social and/or environmental problems into account in addition to or instead of economic </w:t>
      </w:r>
      <w:r>
        <w:rPr>
          <w:lang w:val="en-GB"/>
        </w:rPr>
        <w:lastRenderedPageBreak/>
        <w:t xml:space="preserve">growth. Among these indicators, those that have received the most widespread attention in the public debate are the ecological footprint (EF), and the Human Development Index (HDI) (Morse, 2014). However, despite this proliferation of Beyond GDP indicators, all of them have failed to become institutionalised, </w:t>
      </w:r>
      <w:r w:rsidR="00F30D11">
        <w:rPr>
          <w:lang w:val="en-GB"/>
        </w:rPr>
        <w:t xml:space="preserve">with </w:t>
      </w:r>
      <w:r>
        <w:rPr>
          <w:lang w:val="en-GB"/>
        </w:rPr>
        <w:t xml:space="preserve">the exception of HDI in certain countries. By institutionalised, we mean having a prominent role in the six phases of the policy cycle emphasised by Seaford (2013a): public debate about broad social objectives, creation of policy agenda, development of detailed policy objectives, policy appraisal, policy evaluation, and democratic accountability (elections). A potential lack of institutionalisation has been precedented: before beyond GDP indicators, social indicators of the 1960’s, 70’s and 80’s, or the Global Environmental Assessments (Innes, 1989; Clark </w:t>
      </w:r>
      <w:r>
        <w:rPr>
          <w:i/>
          <w:lang w:val="en-GB"/>
        </w:rPr>
        <w:t>et al.</w:t>
      </w:r>
      <w:r>
        <w:rPr>
          <w:lang w:val="en-GB"/>
        </w:rPr>
        <w:t xml:space="preserve">, 2006) failed to </w:t>
      </w:r>
      <w:r w:rsidR="00F30D11">
        <w:rPr>
          <w:lang w:val="en-GB"/>
        </w:rPr>
        <w:t>achieve</w:t>
      </w:r>
      <w:r w:rsidR="00F30D11" w:rsidRPr="003D2198">
        <w:rPr>
          <w:lang w:val="en-GB"/>
        </w:rPr>
        <w:t xml:space="preserve"> </w:t>
      </w:r>
      <w:r w:rsidRPr="003D2198">
        <w:rPr>
          <w:lang w:val="en-GB"/>
        </w:rPr>
        <w:t xml:space="preserve">it. </w:t>
      </w:r>
    </w:p>
    <w:p w14:paraId="3994F865" w14:textId="77777777" w:rsidR="00577A45" w:rsidRDefault="004C2A6E">
      <w:pPr>
        <w:pStyle w:val="2mepara"/>
        <w:rPr>
          <w:lang w:val="en-GB"/>
        </w:rPr>
      </w:pPr>
      <w:r>
        <w:rPr>
          <w:lang w:val="en-GB"/>
        </w:rPr>
        <w:t xml:space="preserve">Seaford (2013a) sees two possible outcomes from the rise in Beyond GDP indicators. Either they continue to spread without becoming institutionalised—at best helping to identify new problems, with marginal application—or they become </w:t>
      </w:r>
      <w:r w:rsidRPr="003D2198">
        <w:rPr>
          <w:lang w:val="en-GB"/>
        </w:rPr>
        <w:t>‘the stuff’</w:t>
      </w:r>
      <w:r>
        <w:rPr>
          <w:lang w:val="en-GB"/>
        </w:rPr>
        <w:t xml:space="preserve"> of public debate, becoming mobilised for evaluating public policy, and public policy makers adopt them.</w:t>
      </w:r>
    </w:p>
    <w:p w14:paraId="230A1E0C" w14:textId="36259FFA" w:rsidR="00577A45" w:rsidRDefault="004C2A6E">
      <w:pPr>
        <w:pStyle w:val="2mepara"/>
        <w:rPr>
          <w:lang w:val="en-GB"/>
        </w:rPr>
      </w:pPr>
      <w:r>
        <w:rPr>
          <w:lang w:val="en-GB"/>
        </w:rPr>
        <w:t xml:space="preserve">In order to increase the chances of the second outcome, the literature on the topic has </w:t>
      </w:r>
      <w:r w:rsidRPr="003D2198">
        <w:rPr>
          <w:lang w:val="en-GB"/>
        </w:rPr>
        <w:t>made</w:t>
      </w:r>
      <w:r>
        <w:rPr>
          <w:lang w:val="en-GB"/>
        </w:rPr>
        <w:t xml:space="preserve"> a series of recommendations for speeding up the institutionalisation of Beyond GPD indicators. These include </w:t>
      </w:r>
      <w:r w:rsidR="003D2198">
        <w:rPr>
          <w:lang w:val="en-GB"/>
        </w:rPr>
        <w:t xml:space="preserve">highlighting </w:t>
      </w:r>
      <w:r>
        <w:rPr>
          <w:lang w:val="en-GB"/>
        </w:rPr>
        <w:t xml:space="preserve">opportunities for involving powerful stakeholders </w:t>
      </w:r>
      <w:r w:rsidR="003D2198">
        <w:rPr>
          <w:lang w:val="en-GB"/>
        </w:rPr>
        <w:t xml:space="preserve">to achieve </w:t>
      </w:r>
      <w:r>
        <w:rPr>
          <w:lang w:val="en-GB"/>
        </w:rPr>
        <w:t xml:space="preserve">more widespread application of Beyond GDP indicators. This would involve aligning the indicators’ conceptual and methodological framework with those of powerful stakeholders (Innes, 1989; Clark </w:t>
      </w:r>
      <w:r>
        <w:rPr>
          <w:i/>
          <w:lang w:val="en-GB"/>
        </w:rPr>
        <w:t>et al.</w:t>
      </w:r>
      <w:r>
        <w:rPr>
          <w:lang w:val="en-GB"/>
        </w:rPr>
        <w:t xml:space="preserve">, 2006), who we recognise in accordance with Parsons as actors capable of ‘bring[ing] about changes in the action of other units, individual or collective, in the processes of social interaction’ (Parsons, 1967, 299). These can be users of the indicators (Seaford, 2013b) or more generally considered to be legitimate stakeholders (Thiry </w:t>
      </w:r>
      <w:r>
        <w:rPr>
          <w:i/>
          <w:lang w:val="en-GB"/>
        </w:rPr>
        <w:t>et al</w:t>
      </w:r>
      <w:r>
        <w:rPr>
          <w:lang w:val="en-GB"/>
        </w:rPr>
        <w:t xml:space="preserve">., 2013; Hak </w:t>
      </w:r>
      <w:r>
        <w:rPr>
          <w:i/>
          <w:lang w:val="en-GB"/>
        </w:rPr>
        <w:t>et al.,</w:t>
      </w:r>
      <w:r>
        <w:rPr>
          <w:lang w:val="en-GB"/>
        </w:rPr>
        <w:t xml:space="preserve"> 2012). Seaford summarizes these propositions as follows: ‘identify potential users with power, then tailor the indicators to their needs and try to entrench their use’ (Seaford, 2013b, 8). For instance, participation of international institutions like the OECD might help speed up the institutionalisation of Beyond GDP indicators. While this certainly seems to be a correct observation, it should be noted that linking indicators to powerful stakeholders also involves some risk: ‘If an indicator or an indicator set perfectly matches the conceptual frameworks of policy actors, it is unlikely to shake established mental models and institutions’ (Lehtonen </w:t>
      </w:r>
      <w:r>
        <w:rPr>
          <w:i/>
          <w:lang w:val="en-GB"/>
        </w:rPr>
        <w:t>et al</w:t>
      </w:r>
      <w:r>
        <w:rPr>
          <w:lang w:val="en-GB"/>
        </w:rPr>
        <w:t xml:space="preserve">., 2016, 6). </w:t>
      </w:r>
      <w:r w:rsidR="003D2198">
        <w:rPr>
          <w:lang w:val="en-GB"/>
        </w:rPr>
        <w:t>Then t</w:t>
      </w:r>
      <w:r>
        <w:rPr>
          <w:lang w:val="en-GB"/>
        </w:rPr>
        <w:t>he question</w:t>
      </w:r>
      <w:r w:rsidR="003D2198">
        <w:rPr>
          <w:lang w:val="en-GB"/>
        </w:rPr>
        <w:t xml:space="preserve"> </w:t>
      </w:r>
      <w:r>
        <w:rPr>
          <w:lang w:val="en-GB"/>
        </w:rPr>
        <w:t xml:space="preserve">must be asked of how far powerful stakeholders’ expectations in respect to the indicators—such as highlighting </w:t>
      </w:r>
      <w:r w:rsidR="003D2198">
        <w:rPr>
          <w:lang w:val="en-GB"/>
        </w:rPr>
        <w:t xml:space="preserve">competitiveness </w:t>
      </w:r>
      <w:r>
        <w:rPr>
          <w:lang w:val="en-GB"/>
        </w:rPr>
        <w:t xml:space="preserve">and profitability targets (Thiry </w:t>
      </w:r>
      <w:r>
        <w:rPr>
          <w:i/>
          <w:lang w:val="en-GB"/>
        </w:rPr>
        <w:t>et al.</w:t>
      </w:r>
      <w:r>
        <w:rPr>
          <w:lang w:val="en-GB"/>
        </w:rPr>
        <w:t xml:space="preserve">, 2014)—are compatible with a desire to ‘trace progress towards a socio-ecological transition by the behaviour of such indicators’? (Martínez-Alier, 2009, 1099). This article is aimed at investigating the tension inherent to the dual goal of shifting paradigms and getting powerful </w:t>
      </w:r>
      <w:r>
        <w:rPr>
          <w:lang w:val="en-GB"/>
        </w:rPr>
        <w:lastRenderedPageBreak/>
        <w:t>stakeholders to participate in this shift. The tension can be formulated as follows: are the Beyond GDP indicators initiated by powerful stakeholders capable of showing other representations of reality than those that have resulted from GDP? This question has not been addressed in the literature on these indicators, but it is a rather classic dilemma in the social sciences: can a system be thoroughly changed by those who hold the highest stake in it, or is change only conceivable from the outside?</w:t>
      </w:r>
    </w:p>
    <w:p w14:paraId="562F86A7" w14:textId="77777777" w:rsidR="00577A45" w:rsidRDefault="004C2A6E">
      <w:pPr>
        <w:pStyle w:val="2mepara"/>
        <w:rPr>
          <w:lang w:val="en-US"/>
        </w:rPr>
      </w:pPr>
      <w:r>
        <w:rPr>
          <w:lang w:val="en-US"/>
        </w:rPr>
        <w:t>In the following, we shall explore six Beyond GDP indicators against two criteria: 1) are they initiated by powerful stakeholders? And 2) what is their transformative potential</w:t>
      </w:r>
      <w:r>
        <w:rPr>
          <w:lang w:val="en-GB"/>
        </w:rPr>
        <w:t xml:space="preserve"> (defined as their potential to show alternative representations)? </w:t>
      </w:r>
    </w:p>
    <w:p w14:paraId="784D9BC4" w14:textId="77777777" w:rsidR="00577A45" w:rsidRDefault="004C2A6E">
      <w:pPr>
        <w:pStyle w:val="2mepara"/>
        <w:rPr>
          <w:lang w:val="en-GB"/>
        </w:rPr>
      </w:pPr>
      <w:r>
        <w:rPr>
          <w:lang w:val="en-GB"/>
        </w:rPr>
        <w:t xml:space="preserve">The article is divided into six sections including the introduction. Section two presents the six indicators under consideration. The following two sections evaluate whether or not these indicators are initiated by powerful stakeholders, then determine their transformative potential by comparing them to GDP. Finally, in the fifth section, the article analyses the mechanisms through which certain indicators end up strongly correlated with GDP, and in the sixth section some explanations for this fact are proposed. </w:t>
      </w:r>
    </w:p>
    <w:p w14:paraId="545DAC02" w14:textId="77777777" w:rsidR="00577A45" w:rsidRDefault="004C2A6E">
      <w:pPr>
        <w:spacing w:before="520" w:after="280" w:line="240" w:lineRule="auto"/>
        <w:outlineLvl w:val="0"/>
        <w:rPr>
          <w:rFonts w:ascii="Times New Roman" w:eastAsia="Times New Roman" w:hAnsi="Times New Roman" w:cs="Times New Roman"/>
          <w:b/>
          <w:bCs/>
          <w:color w:val="000000"/>
          <w:kern w:val="2"/>
          <w:sz w:val="24"/>
          <w:szCs w:val="24"/>
          <w:lang w:val="en-GB" w:eastAsia="hu-HU"/>
        </w:rPr>
      </w:pPr>
      <w:r>
        <w:rPr>
          <w:rFonts w:ascii="Times New Roman" w:eastAsia="Times New Roman" w:hAnsi="Times New Roman" w:cs="Times New Roman"/>
          <w:b/>
          <w:bCs/>
          <w:color w:val="000000"/>
          <w:kern w:val="2"/>
          <w:sz w:val="24"/>
          <w:szCs w:val="24"/>
          <w:lang w:val="en-GB" w:eastAsia="hu-HU"/>
        </w:rPr>
        <w:t>2 Presentation of the six indicators</w:t>
      </w:r>
    </w:p>
    <w:p w14:paraId="289CA1AB" w14:textId="77777777" w:rsidR="00577A45" w:rsidRDefault="004C2A6E">
      <w:pPr>
        <w:pStyle w:val="Premierpara"/>
        <w:rPr>
          <w:lang w:val="en-GB"/>
        </w:rPr>
      </w:pPr>
      <w:r>
        <w:rPr>
          <w:lang w:val="en-GB"/>
        </w:rPr>
        <w:t xml:space="preserve">Three criteria have been used in order to choose the indicators. In the first place, indicators have been chosen with the aim of measuring a form of social and societal progress in a multi-dimensional manner. Whatever variety of terms are used to specify the objective these indicators refer to (well-being, quality of life, social progress, human development, happiness), these indicators are considered as having a similar intent, which is a desirable society. </w:t>
      </w:r>
      <w:r w:rsidRPr="003D2198">
        <w:rPr>
          <w:lang w:val="en-GB"/>
        </w:rPr>
        <w:t>In the second place</w:t>
      </w:r>
      <w:r>
        <w:rPr>
          <w:lang w:val="en-GB"/>
        </w:rPr>
        <w:t xml:space="preserve">, there must be available data from a very large array of countries (&gt;120), from the global north as well as the global south, </w:t>
      </w:r>
      <w:r>
        <w:rPr>
          <w:lang w:val="en-US"/>
        </w:rPr>
        <w:t>allowing sufficient comparison across diverse contexts</w:t>
      </w:r>
      <w:r>
        <w:rPr>
          <w:lang w:val="en-GB"/>
        </w:rPr>
        <w:t xml:space="preserve">. In the third place, they must have been recently published (no earlier than 2014), in order to avoid distortions due to the </w:t>
      </w:r>
      <w:r w:rsidRPr="003D2198">
        <w:rPr>
          <w:lang w:val="en-GB"/>
        </w:rPr>
        <w:t>different times the measurements were made.</w:t>
      </w:r>
    </w:p>
    <w:p w14:paraId="1BF2E7E7" w14:textId="77777777" w:rsidR="00577A45" w:rsidRDefault="004C2A6E">
      <w:pPr>
        <w:pStyle w:val="2mepara"/>
        <w:rPr>
          <w:lang w:val="en-GB"/>
        </w:rPr>
      </w:pPr>
      <w:r>
        <w:rPr>
          <w:lang w:val="en-GB"/>
        </w:rPr>
        <w:t>We identified six composite indicators that satisfy these criteria: the Human Development Index (HDI), the Social Progress Index (SPI), the Global Well-Being Index (GWBI), Quality of Life (QoL), the Happy Planet Index (HPI), and the Sustainable Society Index</w:t>
      </w:r>
      <w:r>
        <w:rPr>
          <w:rStyle w:val="Ancladenotaalpie"/>
          <w:lang w:val="en-GB"/>
        </w:rPr>
        <w:footnoteReference w:id="1"/>
      </w:r>
      <w:r>
        <w:rPr>
          <w:lang w:val="en-GB"/>
        </w:rPr>
        <w:t xml:space="preserve"> (SSI). The perimeter of comparison extends to the 104 countries</w:t>
      </w:r>
      <w:r w:rsidRPr="003D2198">
        <w:rPr>
          <w:lang w:val="en-GB"/>
        </w:rPr>
        <w:t xml:space="preserve"> in common to all of them. </w:t>
      </w:r>
      <w:r>
        <w:rPr>
          <w:lang w:val="en-GB"/>
        </w:rPr>
        <w:t xml:space="preserve">Table 1 examines the principal </w:t>
      </w:r>
      <w:r>
        <w:rPr>
          <w:lang w:val="en-GB"/>
        </w:rPr>
        <w:lastRenderedPageBreak/>
        <w:t>characteristics of the different indicators. The year of publication is indicated beneath the table.</w:t>
      </w:r>
      <w:r>
        <w:rPr>
          <w:rStyle w:val="Ancladenotaalpie"/>
          <w:lang w:val="en-GB"/>
        </w:rPr>
        <w:footnoteReference w:id="2"/>
      </w:r>
    </w:p>
    <w:p w14:paraId="50B74708" w14:textId="77777777" w:rsidR="00577A45" w:rsidRDefault="004C2A6E">
      <w:pPr>
        <w:tabs>
          <w:tab w:val="left" w:pos="1848"/>
        </w:tabs>
        <w:rPr>
          <w:lang w:val="en-GB"/>
        </w:rPr>
      </w:pPr>
      <w:r>
        <w:rPr>
          <w:lang w:val="en-GB"/>
        </w:rPr>
        <w:tab/>
      </w:r>
    </w:p>
    <w:p w14:paraId="3D59D509" w14:textId="77777777" w:rsidR="00A16AAC" w:rsidRPr="008762AB" w:rsidRDefault="00A16AAC" w:rsidP="00A16AAC">
      <w:pPr>
        <w:rPr>
          <w:rFonts w:ascii="Times New Roman" w:hAnsi="Times New Roman" w:cs="Times New Roman"/>
          <w:b/>
          <w:noProof/>
          <w:sz w:val="20"/>
          <w:szCs w:val="20"/>
          <w:lang w:val="en-GB" w:eastAsia="fr-BE"/>
        </w:rPr>
      </w:pPr>
      <w:r w:rsidRPr="008762AB">
        <w:rPr>
          <w:rFonts w:ascii="Times New Roman" w:hAnsi="Times New Roman" w:cs="Times New Roman"/>
          <w:b/>
          <w:noProof/>
          <w:sz w:val="20"/>
          <w:szCs w:val="20"/>
          <w:lang w:val="en-GB" w:eastAsia="fr-BE"/>
        </w:rPr>
        <w:t>Table 1. Characteristics of 6 Beyond GDP indicators</w:t>
      </w:r>
    </w:p>
    <w:tbl>
      <w:tblPr>
        <w:tblStyle w:val="Tableausimple51"/>
        <w:tblW w:w="6703" w:type="pct"/>
        <w:jc w:val="center"/>
        <w:tblLook w:val="0420" w:firstRow="1" w:lastRow="0" w:firstColumn="0" w:lastColumn="0" w:noHBand="0" w:noVBand="1"/>
      </w:tblPr>
      <w:tblGrid>
        <w:gridCol w:w="1445"/>
        <w:gridCol w:w="1305"/>
        <w:gridCol w:w="1311"/>
        <w:gridCol w:w="1311"/>
        <w:gridCol w:w="1305"/>
        <w:gridCol w:w="1228"/>
        <w:gridCol w:w="1367"/>
      </w:tblGrid>
      <w:tr w:rsidR="00A16AAC" w:rsidRPr="00F818B6" w14:paraId="7C27932B" w14:textId="77777777" w:rsidTr="00336179">
        <w:trPr>
          <w:cnfStyle w:val="100000000000" w:firstRow="1" w:lastRow="0" w:firstColumn="0" w:lastColumn="0" w:oddVBand="0" w:evenVBand="0" w:oddHBand="0" w:evenHBand="0" w:firstRowFirstColumn="0" w:firstRowLastColumn="0" w:lastRowFirstColumn="0" w:lastRowLastColumn="0"/>
          <w:trHeight w:val="940"/>
          <w:jc w:val="center"/>
        </w:trPr>
        <w:tc>
          <w:tcPr>
            <w:tcW w:w="779" w:type="pct"/>
            <w:vAlign w:val="center"/>
            <w:hideMark/>
          </w:tcPr>
          <w:p w14:paraId="3A4EA15F" w14:textId="77777777" w:rsidR="00A16AAC" w:rsidRPr="00F818B6" w:rsidRDefault="00A16AAC" w:rsidP="00336179">
            <w:pPr>
              <w:pStyle w:val="2mepara"/>
              <w:jc w:val="center"/>
              <w:rPr>
                <w:i w:val="0"/>
                <w:iCs/>
                <w:sz w:val="20"/>
                <w:szCs w:val="20"/>
                <w:lang w:val="en-GB"/>
              </w:rPr>
            </w:pPr>
          </w:p>
          <w:p w14:paraId="759190F3" w14:textId="77777777" w:rsidR="00A16AAC" w:rsidRPr="00F818B6" w:rsidRDefault="00A16AAC" w:rsidP="00336179">
            <w:pPr>
              <w:pStyle w:val="2mepara"/>
              <w:jc w:val="center"/>
              <w:rPr>
                <w:i w:val="0"/>
                <w:iCs/>
                <w:sz w:val="20"/>
                <w:szCs w:val="20"/>
                <w:lang w:val="en-GB"/>
              </w:rPr>
            </w:pPr>
          </w:p>
        </w:tc>
        <w:tc>
          <w:tcPr>
            <w:tcW w:w="704" w:type="pct"/>
            <w:vAlign w:val="center"/>
          </w:tcPr>
          <w:p w14:paraId="6C72B981" w14:textId="77777777" w:rsidR="00A16AAC" w:rsidRPr="00F818B6" w:rsidRDefault="00A16AAC" w:rsidP="00336179">
            <w:pPr>
              <w:pStyle w:val="2mepara"/>
              <w:jc w:val="center"/>
              <w:rPr>
                <w:i w:val="0"/>
                <w:iCs/>
                <w:sz w:val="20"/>
                <w:szCs w:val="20"/>
                <w:lang w:val="en-GB"/>
              </w:rPr>
            </w:pPr>
            <w:r w:rsidRPr="00F818B6">
              <w:rPr>
                <w:i w:val="0"/>
                <w:sz w:val="20"/>
                <w:szCs w:val="20"/>
                <w:lang w:val="en-GB"/>
              </w:rPr>
              <w:t>Human Development Index</w:t>
            </w:r>
          </w:p>
          <w:p w14:paraId="08437431" w14:textId="77777777" w:rsidR="00A16AAC" w:rsidRPr="00F818B6" w:rsidRDefault="00A16AAC" w:rsidP="00336179">
            <w:pPr>
              <w:pStyle w:val="2mepara"/>
              <w:jc w:val="center"/>
              <w:rPr>
                <w:i w:val="0"/>
                <w:iCs/>
                <w:sz w:val="20"/>
                <w:szCs w:val="20"/>
                <w:lang w:val="en-GB"/>
              </w:rPr>
            </w:pPr>
            <w:r w:rsidRPr="00F818B6">
              <w:rPr>
                <w:i w:val="0"/>
                <w:sz w:val="20"/>
                <w:szCs w:val="20"/>
                <w:lang w:val="en-GB"/>
              </w:rPr>
              <w:t>HDI</w:t>
            </w:r>
          </w:p>
        </w:tc>
        <w:tc>
          <w:tcPr>
            <w:tcW w:w="707" w:type="pct"/>
            <w:vAlign w:val="center"/>
            <w:hideMark/>
          </w:tcPr>
          <w:p w14:paraId="1ECD25B0" w14:textId="77777777" w:rsidR="00A16AAC" w:rsidRPr="00F818B6" w:rsidRDefault="00A16AAC" w:rsidP="00336179">
            <w:pPr>
              <w:pStyle w:val="2mepara"/>
              <w:jc w:val="center"/>
              <w:rPr>
                <w:i w:val="0"/>
                <w:iCs/>
                <w:sz w:val="20"/>
                <w:szCs w:val="20"/>
                <w:lang w:val="en-GB"/>
              </w:rPr>
            </w:pPr>
            <w:r w:rsidRPr="00F818B6">
              <w:rPr>
                <w:i w:val="0"/>
                <w:sz w:val="20"/>
                <w:szCs w:val="20"/>
                <w:lang w:val="en-GB"/>
              </w:rPr>
              <w:t>Social Progress Index</w:t>
            </w:r>
          </w:p>
          <w:p w14:paraId="3F2B9905" w14:textId="77777777" w:rsidR="00A16AAC" w:rsidRPr="00F818B6" w:rsidRDefault="00A16AAC" w:rsidP="00336179">
            <w:pPr>
              <w:pStyle w:val="2mepara"/>
              <w:jc w:val="center"/>
              <w:rPr>
                <w:i w:val="0"/>
                <w:iCs/>
                <w:sz w:val="20"/>
                <w:szCs w:val="20"/>
                <w:lang w:val="en-GB"/>
              </w:rPr>
            </w:pPr>
            <w:r w:rsidRPr="00F818B6">
              <w:rPr>
                <w:i w:val="0"/>
                <w:sz w:val="20"/>
                <w:szCs w:val="20"/>
                <w:lang w:val="en-GB"/>
              </w:rPr>
              <w:t>SPI</w:t>
            </w:r>
          </w:p>
        </w:tc>
        <w:tc>
          <w:tcPr>
            <w:tcW w:w="707" w:type="pct"/>
            <w:vAlign w:val="center"/>
          </w:tcPr>
          <w:p w14:paraId="069A249E" w14:textId="77777777" w:rsidR="00A16AAC" w:rsidRPr="00F818B6" w:rsidRDefault="00A16AAC" w:rsidP="00336179">
            <w:pPr>
              <w:pStyle w:val="2mepara"/>
              <w:jc w:val="center"/>
              <w:rPr>
                <w:i w:val="0"/>
                <w:iCs/>
                <w:sz w:val="20"/>
                <w:szCs w:val="20"/>
                <w:lang w:val="en-GB"/>
              </w:rPr>
            </w:pPr>
            <w:r w:rsidRPr="00F818B6">
              <w:rPr>
                <w:i w:val="0"/>
                <w:sz w:val="20"/>
                <w:szCs w:val="20"/>
                <w:lang w:val="en-GB"/>
              </w:rPr>
              <w:t>Global Well-Being Index</w:t>
            </w:r>
          </w:p>
          <w:p w14:paraId="627B8608" w14:textId="77777777" w:rsidR="00A16AAC" w:rsidRPr="00F818B6" w:rsidRDefault="00A16AAC" w:rsidP="00336179">
            <w:pPr>
              <w:pStyle w:val="2mepara"/>
              <w:jc w:val="center"/>
              <w:rPr>
                <w:i w:val="0"/>
                <w:iCs/>
                <w:sz w:val="20"/>
                <w:szCs w:val="20"/>
                <w:lang w:val="en-GB"/>
              </w:rPr>
            </w:pPr>
            <w:r w:rsidRPr="00F818B6">
              <w:rPr>
                <w:i w:val="0"/>
                <w:sz w:val="20"/>
                <w:szCs w:val="20"/>
                <w:lang w:val="en-GB"/>
              </w:rPr>
              <w:t>GWBI</w:t>
            </w:r>
          </w:p>
        </w:tc>
        <w:tc>
          <w:tcPr>
            <w:tcW w:w="704" w:type="pct"/>
            <w:vAlign w:val="center"/>
          </w:tcPr>
          <w:p w14:paraId="37D1C96F" w14:textId="77777777" w:rsidR="00A16AAC" w:rsidRPr="00F818B6" w:rsidRDefault="00A16AAC" w:rsidP="00336179">
            <w:pPr>
              <w:pStyle w:val="2mepara"/>
              <w:jc w:val="center"/>
              <w:rPr>
                <w:i w:val="0"/>
                <w:iCs/>
                <w:sz w:val="20"/>
                <w:szCs w:val="20"/>
                <w:lang w:val="en-GB"/>
              </w:rPr>
            </w:pPr>
            <w:r w:rsidRPr="00F818B6">
              <w:rPr>
                <w:i w:val="0"/>
                <w:sz w:val="20"/>
                <w:szCs w:val="20"/>
                <w:lang w:val="en-GB"/>
              </w:rPr>
              <w:t>Quality of Life Index</w:t>
            </w:r>
          </w:p>
          <w:p w14:paraId="062969B7" w14:textId="77777777" w:rsidR="00A16AAC" w:rsidRPr="00F818B6" w:rsidRDefault="00A16AAC" w:rsidP="00336179">
            <w:pPr>
              <w:pStyle w:val="2mepara"/>
              <w:jc w:val="center"/>
              <w:rPr>
                <w:i w:val="0"/>
                <w:iCs/>
                <w:sz w:val="20"/>
                <w:szCs w:val="20"/>
                <w:lang w:val="en-GB"/>
              </w:rPr>
            </w:pPr>
            <w:r w:rsidRPr="00F818B6">
              <w:rPr>
                <w:i w:val="0"/>
                <w:sz w:val="20"/>
                <w:szCs w:val="20"/>
                <w:lang w:val="en-GB"/>
              </w:rPr>
              <w:t>QoL</w:t>
            </w:r>
          </w:p>
        </w:tc>
        <w:tc>
          <w:tcPr>
            <w:tcW w:w="662" w:type="pct"/>
            <w:vAlign w:val="center"/>
            <w:hideMark/>
          </w:tcPr>
          <w:p w14:paraId="7DC94268" w14:textId="77777777" w:rsidR="00A16AAC" w:rsidRPr="00F818B6" w:rsidRDefault="00A16AAC" w:rsidP="00336179">
            <w:pPr>
              <w:pStyle w:val="2mepara"/>
              <w:jc w:val="center"/>
              <w:rPr>
                <w:i w:val="0"/>
                <w:iCs/>
                <w:sz w:val="20"/>
                <w:szCs w:val="20"/>
                <w:lang w:val="en-GB"/>
              </w:rPr>
            </w:pPr>
            <w:r w:rsidRPr="00F818B6">
              <w:rPr>
                <w:i w:val="0"/>
                <w:sz w:val="20"/>
                <w:szCs w:val="20"/>
                <w:lang w:val="en-GB"/>
              </w:rPr>
              <w:t>Happy Planet Index</w:t>
            </w:r>
          </w:p>
          <w:p w14:paraId="2D058113" w14:textId="77777777" w:rsidR="00A16AAC" w:rsidRPr="00F818B6" w:rsidRDefault="00A16AAC" w:rsidP="00336179">
            <w:pPr>
              <w:pStyle w:val="2mepara"/>
              <w:jc w:val="center"/>
              <w:rPr>
                <w:i w:val="0"/>
                <w:iCs/>
                <w:sz w:val="20"/>
                <w:szCs w:val="20"/>
                <w:lang w:val="en-GB"/>
              </w:rPr>
            </w:pPr>
            <w:r w:rsidRPr="00F818B6">
              <w:rPr>
                <w:i w:val="0"/>
                <w:sz w:val="20"/>
                <w:szCs w:val="20"/>
                <w:lang w:val="en-GB"/>
              </w:rPr>
              <w:t>HPI</w:t>
            </w:r>
          </w:p>
        </w:tc>
        <w:tc>
          <w:tcPr>
            <w:tcW w:w="737" w:type="pct"/>
            <w:vAlign w:val="center"/>
            <w:hideMark/>
          </w:tcPr>
          <w:p w14:paraId="473581F4" w14:textId="77777777" w:rsidR="00A16AAC" w:rsidRPr="00F818B6" w:rsidRDefault="00A16AAC" w:rsidP="00336179">
            <w:pPr>
              <w:pStyle w:val="2mepara"/>
              <w:jc w:val="center"/>
              <w:rPr>
                <w:i w:val="0"/>
                <w:iCs/>
                <w:sz w:val="20"/>
                <w:szCs w:val="20"/>
                <w:lang w:val="en-GB"/>
              </w:rPr>
            </w:pPr>
            <w:r w:rsidRPr="00F818B6">
              <w:rPr>
                <w:i w:val="0"/>
                <w:sz w:val="20"/>
                <w:szCs w:val="20"/>
                <w:lang w:val="en-GB"/>
              </w:rPr>
              <w:t>Sustainable Society Index</w:t>
            </w:r>
          </w:p>
          <w:p w14:paraId="6AC7557D" w14:textId="77777777" w:rsidR="00A16AAC" w:rsidRPr="00F818B6" w:rsidRDefault="00A16AAC" w:rsidP="00336179">
            <w:pPr>
              <w:pStyle w:val="2mepara"/>
              <w:jc w:val="center"/>
              <w:rPr>
                <w:i w:val="0"/>
                <w:iCs/>
                <w:sz w:val="20"/>
                <w:szCs w:val="20"/>
                <w:lang w:val="en-GB"/>
              </w:rPr>
            </w:pPr>
            <w:r w:rsidRPr="00F818B6">
              <w:rPr>
                <w:i w:val="0"/>
                <w:sz w:val="20"/>
                <w:szCs w:val="20"/>
                <w:lang w:val="en-GB"/>
              </w:rPr>
              <w:t>SSI</w:t>
            </w:r>
          </w:p>
        </w:tc>
      </w:tr>
      <w:tr w:rsidR="00A16AAC" w:rsidRPr="00F818B6" w14:paraId="30655DEB" w14:textId="77777777" w:rsidTr="00336179">
        <w:trPr>
          <w:cnfStyle w:val="000000100000" w:firstRow="0" w:lastRow="0" w:firstColumn="0" w:lastColumn="0" w:oddVBand="0" w:evenVBand="0" w:oddHBand="1" w:evenHBand="0" w:firstRowFirstColumn="0" w:firstRowLastColumn="0" w:lastRowFirstColumn="0" w:lastRowLastColumn="0"/>
          <w:trHeight w:val="1104"/>
          <w:jc w:val="center"/>
        </w:trPr>
        <w:tc>
          <w:tcPr>
            <w:tcW w:w="779" w:type="pct"/>
            <w:vAlign w:val="center"/>
            <w:hideMark/>
          </w:tcPr>
          <w:p w14:paraId="1545D514" w14:textId="77777777" w:rsidR="00A16AAC" w:rsidRPr="00F818B6" w:rsidRDefault="00A16AAC" w:rsidP="00336179">
            <w:pPr>
              <w:pStyle w:val="2mepara"/>
              <w:jc w:val="center"/>
              <w:rPr>
                <w:sz w:val="20"/>
                <w:szCs w:val="20"/>
                <w:lang w:val="en-GB"/>
              </w:rPr>
            </w:pPr>
            <w:r w:rsidRPr="00F818B6">
              <w:rPr>
                <w:sz w:val="20"/>
                <w:szCs w:val="20"/>
                <w:lang w:val="en-GB"/>
              </w:rPr>
              <w:t>Editor</w:t>
            </w:r>
          </w:p>
        </w:tc>
        <w:tc>
          <w:tcPr>
            <w:tcW w:w="704" w:type="pct"/>
            <w:vAlign w:val="center"/>
          </w:tcPr>
          <w:p w14:paraId="330C2EDE" w14:textId="77777777" w:rsidR="00A16AAC" w:rsidRPr="00F818B6" w:rsidRDefault="00A16AAC" w:rsidP="00336179">
            <w:pPr>
              <w:pStyle w:val="2mepara"/>
              <w:jc w:val="center"/>
              <w:rPr>
                <w:sz w:val="20"/>
                <w:szCs w:val="20"/>
                <w:lang w:val="en-GB"/>
              </w:rPr>
            </w:pPr>
            <w:r w:rsidRPr="00F818B6">
              <w:rPr>
                <w:sz w:val="20"/>
                <w:szCs w:val="20"/>
                <w:lang w:val="en-GB"/>
              </w:rPr>
              <w:t>Scholars &amp; UNDP</w:t>
            </w:r>
          </w:p>
        </w:tc>
        <w:tc>
          <w:tcPr>
            <w:tcW w:w="707" w:type="pct"/>
            <w:vAlign w:val="center"/>
            <w:hideMark/>
          </w:tcPr>
          <w:p w14:paraId="756EC2E0" w14:textId="77777777" w:rsidR="00A16AAC" w:rsidRPr="00F818B6" w:rsidRDefault="00A16AAC" w:rsidP="00336179">
            <w:pPr>
              <w:pStyle w:val="2mepara"/>
              <w:jc w:val="center"/>
              <w:rPr>
                <w:sz w:val="20"/>
                <w:szCs w:val="20"/>
                <w:lang w:val="en-GB"/>
              </w:rPr>
            </w:pPr>
            <w:r w:rsidRPr="00F818B6">
              <w:rPr>
                <w:sz w:val="20"/>
                <w:szCs w:val="20"/>
                <w:lang w:val="en-GB"/>
              </w:rPr>
              <w:t>Coalition of scholars, business, regional &amp; local actors</w:t>
            </w:r>
          </w:p>
        </w:tc>
        <w:tc>
          <w:tcPr>
            <w:tcW w:w="707" w:type="pct"/>
            <w:vAlign w:val="center"/>
          </w:tcPr>
          <w:p w14:paraId="35370F79" w14:textId="77777777" w:rsidR="00A16AAC" w:rsidRPr="00F818B6" w:rsidRDefault="00A16AAC" w:rsidP="00336179">
            <w:pPr>
              <w:pStyle w:val="2mepara"/>
              <w:jc w:val="center"/>
              <w:rPr>
                <w:sz w:val="20"/>
                <w:szCs w:val="20"/>
                <w:lang w:val="en-GB"/>
              </w:rPr>
            </w:pPr>
            <w:r w:rsidRPr="00F818B6">
              <w:rPr>
                <w:sz w:val="20"/>
                <w:szCs w:val="20"/>
                <w:lang w:val="en-GB"/>
              </w:rPr>
              <w:t xml:space="preserve">Scholars </w:t>
            </w:r>
          </w:p>
        </w:tc>
        <w:tc>
          <w:tcPr>
            <w:tcW w:w="704" w:type="pct"/>
            <w:vAlign w:val="center"/>
          </w:tcPr>
          <w:p w14:paraId="1C5977CA" w14:textId="77777777" w:rsidR="00A16AAC" w:rsidRPr="00F818B6" w:rsidRDefault="00A16AAC" w:rsidP="00336179">
            <w:pPr>
              <w:pStyle w:val="2mepara"/>
              <w:jc w:val="center"/>
              <w:rPr>
                <w:sz w:val="20"/>
                <w:szCs w:val="20"/>
                <w:lang w:val="en-GB"/>
              </w:rPr>
            </w:pPr>
            <w:r w:rsidRPr="00F818B6">
              <w:rPr>
                <w:sz w:val="20"/>
                <w:szCs w:val="20"/>
                <w:lang w:val="en-GB"/>
              </w:rPr>
              <w:t>Scholars</w:t>
            </w:r>
          </w:p>
        </w:tc>
        <w:tc>
          <w:tcPr>
            <w:tcW w:w="662" w:type="pct"/>
            <w:vAlign w:val="center"/>
            <w:hideMark/>
          </w:tcPr>
          <w:p w14:paraId="2F554A43" w14:textId="77777777" w:rsidR="00A16AAC" w:rsidRPr="00F818B6" w:rsidRDefault="00A16AAC" w:rsidP="00336179">
            <w:pPr>
              <w:pStyle w:val="2mepara"/>
              <w:jc w:val="center"/>
              <w:rPr>
                <w:sz w:val="20"/>
                <w:szCs w:val="20"/>
                <w:lang w:val="en-GB"/>
              </w:rPr>
            </w:pPr>
            <w:r w:rsidRPr="00F818B6">
              <w:rPr>
                <w:sz w:val="20"/>
                <w:szCs w:val="20"/>
                <w:lang w:val="en-GB"/>
              </w:rPr>
              <w:t>New Economic Foundation</w:t>
            </w:r>
          </w:p>
        </w:tc>
        <w:tc>
          <w:tcPr>
            <w:tcW w:w="737" w:type="pct"/>
            <w:vAlign w:val="center"/>
            <w:hideMark/>
          </w:tcPr>
          <w:p w14:paraId="760EC9EC" w14:textId="77777777" w:rsidR="00A16AAC" w:rsidRPr="00F818B6" w:rsidRDefault="00A16AAC" w:rsidP="00336179">
            <w:pPr>
              <w:pStyle w:val="2mepara"/>
              <w:jc w:val="center"/>
              <w:rPr>
                <w:sz w:val="20"/>
                <w:szCs w:val="20"/>
                <w:lang w:val="en-GB"/>
              </w:rPr>
            </w:pPr>
            <w:r w:rsidRPr="00F818B6">
              <w:rPr>
                <w:sz w:val="20"/>
                <w:szCs w:val="20"/>
                <w:lang w:val="en-GB"/>
              </w:rPr>
              <w:t>Sustainable Society Foundation</w:t>
            </w:r>
          </w:p>
        </w:tc>
      </w:tr>
      <w:tr w:rsidR="00A16AAC" w:rsidRPr="00F818B6" w14:paraId="7E6858E7" w14:textId="77777777" w:rsidTr="00336179">
        <w:trPr>
          <w:trHeight w:val="2344"/>
          <w:jc w:val="center"/>
        </w:trPr>
        <w:tc>
          <w:tcPr>
            <w:tcW w:w="779" w:type="pct"/>
            <w:vAlign w:val="center"/>
            <w:hideMark/>
          </w:tcPr>
          <w:p w14:paraId="3BD0CB86" w14:textId="77777777" w:rsidR="00A16AAC" w:rsidRPr="00F818B6" w:rsidRDefault="00A16AAC" w:rsidP="00336179">
            <w:pPr>
              <w:pStyle w:val="2mepara"/>
              <w:jc w:val="center"/>
              <w:rPr>
                <w:sz w:val="20"/>
                <w:szCs w:val="20"/>
                <w:lang w:val="en-GB"/>
              </w:rPr>
            </w:pPr>
            <w:r w:rsidRPr="00F818B6">
              <w:rPr>
                <w:sz w:val="20"/>
                <w:szCs w:val="20"/>
                <w:lang w:val="en-GB"/>
              </w:rPr>
              <w:t>Type of variables</w:t>
            </w:r>
          </w:p>
        </w:tc>
        <w:tc>
          <w:tcPr>
            <w:tcW w:w="704" w:type="pct"/>
            <w:vAlign w:val="center"/>
          </w:tcPr>
          <w:p w14:paraId="541CB4A3" w14:textId="77777777" w:rsidR="00A16AAC" w:rsidRPr="00F818B6" w:rsidRDefault="00A16AAC" w:rsidP="00336179">
            <w:pPr>
              <w:pStyle w:val="2mepara"/>
              <w:jc w:val="center"/>
              <w:rPr>
                <w:sz w:val="20"/>
                <w:szCs w:val="20"/>
                <w:lang w:val="en-GB"/>
              </w:rPr>
            </w:pPr>
            <w:r w:rsidRPr="00F818B6">
              <w:rPr>
                <w:sz w:val="20"/>
                <w:szCs w:val="20"/>
                <w:lang w:val="en-GB"/>
              </w:rPr>
              <w:t>Education, health, income</w:t>
            </w:r>
          </w:p>
        </w:tc>
        <w:tc>
          <w:tcPr>
            <w:tcW w:w="707" w:type="pct"/>
            <w:vAlign w:val="center"/>
            <w:hideMark/>
          </w:tcPr>
          <w:p w14:paraId="6C4AACB3" w14:textId="77777777" w:rsidR="00A16AAC" w:rsidRPr="00F818B6" w:rsidRDefault="00A16AAC" w:rsidP="00336179">
            <w:pPr>
              <w:pStyle w:val="2mepara"/>
              <w:jc w:val="center"/>
              <w:rPr>
                <w:sz w:val="20"/>
                <w:szCs w:val="20"/>
                <w:lang w:val="en-GB"/>
              </w:rPr>
            </w:pPr>
            <w:r w:rsidRPr="00F818B6">
              <w:rPr>
                <w:sz w:val="20"/>
                <w:szCs w:val="20"/>
                <w:lang w:val="en-GB"/>
              </w:rPr>
              <w:t xml:space="preserve">Education, health, </w:t>
            </w:r>
            <w:r>
              <w:rPr>
                <w:sz w:val="20"/>
                <w:szCs w:val="20"/>
                <w:lang w:val="en-GB"/>
              </w:rPr>
              <w:t>standard of living</w:t>
            </w:r>
            <w:r w:rsidRPr="00F818B6">
              <w:rPr>
                <w:sz w:val="20"/>
                <w:szCs w:val="20"/>
                <w:lang w:val="en-GB"/>
              </w:rPr>
              <w:t>, environment, freedom, tolerance, safety</w:t>
            </w:r>
          </w:p>
        </w:tc>
        <w:tc>
          <w:tcPr>
            <w:tcW w:w="707" w:type="pct"/>
            <w:vAlign w:val="center"/>
          </w:tcPr>
          <w:p w14:paraId="07D046EB" w14:textId="77777777" w:rsidR="00A16AAC" w:rsidRPr="00F818B6" w:rsidRDefault="00A16AAC" w:rsidP="00336179">
            <w:pPr>
              <w:pStyle w:val="2mepara"/>
              <w:jc w:val="center"/>
              <w:rPr>
                <w:sz w:val="20"/>
                <w:szCs w:val="20"/>
                <w:lang w:val="en-GB"/>
              </w:rPr>
            </w:pPr>
            <w:r w:rsidRPr="00F818B6">
              <w:rPr>
                <w:sz w:val="20"/>
                <w:szCs w:val="20"/>
                <w:lang w:val="en-GB"/>
              </w:rPr>
              <w:t xml:space="preserve">Education, health, civic engagement, social life, </w:t>
            </w:r>
            <w:r>
              <w:rPr>
                <w:sz w:val="20"/>
                <w:szCs w:val="20"/>
                <w:lang w:val="en-GB"/>
              </w:rPr>
              <w:t>standard of living</w:t>
            </w:r>
            <w:r w:rsidRPr="00F818B6">
              <w:rPr>
                <w:sz w:val="20"/>
                <w:szCs w:val="20"/>
                <w:lang w:val="en-GB"/>
              </w:rPr>
              <w:t>, life satisfaction, environment, safety</w:t>
            </w:r>
          </w:p>
        </w:tc>
        <w:tc>
          <w:tcPr>
            <w:tcW w:w="704" w:type="pct"/>
            <w:vAlign w:val="center"/>
          </w:tcPr>
          <w:p w14:paraId="5C3D4A76" w14:textId="77777777" w:rsidR="00A16AAC" w:rsidRPr="00F818B6" w:rsidRDefault="00A16AAC" w:rsidP="00336179">
            <w:pPr>
              <w:pStyle w:val="2mepara"/>
              <w:jc w:val="center"/>
              <w:rPr>
                <w:sz w:val="20"/>
                <w:szCs w:val="20"/>
                <w:lang w:val="en-GB"/>
              </w:rPr>
            </w:pPr>
            <w:r w:rsidRPr="00F818B6">
              <w:rPr>
                <w:sz w:val="20"/>
                <w:szCs w:val="20"/>
                <w:lang w:val="en-GB"/>
              </w:rPr>
              <w:t>Health, social life, freedom and opportunity, standard</w:t>
            </w:r>
            <w:r>
              <w:rPr>
                <w:sz w:val="20"/>
                <w:szCs w:val="20"/>
                <w:lang w:val="en-GB"/>
              </w:rPr>
              <w:t xml:space="preserve"> of living</w:t>
            </w:r>
            <w:r w:rsidRPr="00F818B6">
              <w:rPr>
                <w:sz w:val="20"/>
                <w:szCs w:val="20"/>
                <w:lang w:val="en-GB"/>
              </w:rPr>
              <w:t>, trust, safety</w:t>
            </w:r>
          </w:p>
        </w:tc>
        <w:tc>
          <w:tcPr>
            <w:tcW w:w="662" w:type="pct"/>
            <w:vAlign w:val="center"/>
            <w:hideMark/>
          </w:tcPr>
          <w:p w14:paraId="365E6756" w14:textId="77777777" w:rsidR="00A16AAC" w:rsidRPr="00F818B6" w:rsidRDefault="00A16AAC" w:rsidP="00336179">
            <w:pPr>
              <w:pStyle w:val="2mepara"/>
              <w:jc w:val="center"/>
              <w:rPr>
                <w:sz w:val="20"/>
                <w:szCs w:val="20"/>
                <w:lang w:val="en-GB"/>
              </w:rPr>
            </w:pPr>
            <w:r w:rsidRPr="00F818B6">
              <w:rPr>
                <w:sz w:val="20"/>
                <w:szCs w:val="20"/>
                <w:lang w:val="en-GB"/>
              </w:rPr>
              <w:t>Health, Life satisfaction, inequality, environment</w:t>
            </w:r>
          </w:p>
        </w:tc>
        <w:tc>
          <w:tcPr>
            <w:tcW w:w="737" w:type="pct"/>
            <w:vAlign w:val="center"/>
            <w:hideMark/>
          </w:tcPr>
          <w:p w14:paraId="5EAF193E" w14:textId="77777777" w:rsidR="00A16AAC" w:rsidRPr="00F818B6" w:rsidRDefault="00A16AAC" w:rsidP="00336179">
            <w:pPr>
              <w:pStyle w:val="2mepara"/>
              <w:jc w:val="center"/>
              <w:rPr>
                <w:sz w:val="20"/>
                <w:szCs w:val="20"/>
                <w:lang w:val="en-GB"/>
              </w:rPr>
            </w:pPr>
            <w:r w:rsidRPr="00F818B6">
              <w:rPr>
                <w:sz w:val="20"/>
                <w:szCs w:val="20"/>
                <w:lang w:val="en-GB"/>
              </w:rPr>
              <w:t>Education, health, standard</w:t>
            </w:r>
            <w:r>
              <w:rPr>
                <w:sz w:val="20"/>
                <w:szCs w:val="20"/>
                <w:lang w:val="en-GB"/>
              </w:rPr>
              <w:t xml:space="preserve"> of living</w:t>
            </w:r>
            <w:r w:rsidRPr="00F818B6">
              <w:rPr>
                <w:sz w:val="20"/>
                <w:szCs w:val="20"/>
                <w:lang w:val="en-GB"/>
              </w:rPr>
              <w:t>, inequality, energy, environment, economy</w:t>
            </w:r>
          </w:p>
        </w:tc>
      </w:tr>
      <w:tr w:rsidR="00A16AAC" w:rsidRPr="00F818B6" w14:paraId="2B6EA7B1" w14:textId="77777777" w:rsidTr="00336179">
        <w:trPr>
          <w:cnfStyle w:val="000000100000" w:firstRow="0" w:lastRow="0" w:firstColumn="0" w:lastColumn="0" w:oddVBand="0" w:evenVBand="0" w:oddHBand="1" w:evenHBand="0" w:firstRowFirstColumn="0" w:firstRowLastColumn="0" w:lastRowFirstColumn="0" w:lastRowLastColumn="0"/>
          <w:trHeight w:val="709"/>
          <w:jc w:val="center"/>
        </w:trPr>
        <w:tc>
          <w:tcPr>
            <w:tcW w:w="779" w:type="pct"/>
            <w:vAlign w:val="center"/>
          </w:tcPr>
          <w:p w14:paraId="0427A004" w14:textId="77777777" w:rsidR="00A16AAC" w:rsidRPr="00F818B6" w:rsidRDefault="00A16AAC" w:rsidP="00336179">
            <w:pPr>
              <w:pStyle w:val="2mepara"/>
              <w:jc w:val="center"/>
              <w:rPr>
                <w:sz w:val="20"/>
                <w:szCs w:val="20"/>
                <w:lang w:val="en-GB"/>
              </w:rPr>
            </w:pPr>
            <w:r w:rsidRPr="00F818B6">
              <w:rPr>
                <w:sz w:val="20"/>
                <w:szCs w:val="20"/>
                <w:lang w:val="en-GB"/>
              </w:rPr>
              <w:t>Number of variables</w:t>
            </w:r>
          </w:p>
        </w:tc>
        <w:tc>
          <w:tcPr>
            <w:tcW w:w="704" w:type="pct"/>
            <w:vAlign w:val="center"/>
          </w:tcPr>
          <w:p w14:paraId="7F3263EF" w14:textId="77777777" w:rsidR="00A16AAC" w:rsidRPr="00F818B6" w:rsidRDefault="00A16AAC" w:rsidP="00336179">
            <w:pPr>
              <w:pStyle w:val="2mepara"/>
              <w:jc w:val="center"/>
              <w:rPr>
                <w:sz w:val="20"/>
                <w:szCs w:val="20"/>
                <w:lang w:val="en-GB"/>
              </w:rPr>
            </w:pPr>
            <w:r w:rsidRPr="00F818B6">
              <w:rPr>
                <w:sz w:val="20"/>
                <w:szCs w:val="20"/>
                <w:lang w:val="en-GB"/>
              </w:rPr>
              <w:t>3</w:t>
            </w:r>
          </w:p>
        </w:tc>
        <w:tc>
          <w:tcPr>
            <w:tcW w:w="707" w:type="pct"/>
            <w:vAlign w:val="center"/>
          </w:tcPr>
          <w:p w14:paraId="4B30C7A7" w14:textId="77777777" w:rsidR="00A16AAC" w:rsidRPr="00F818B6" w:rsidRDefault="00A16AAC" w:rsidP="00336179">
            <w:pPr>
              <w:pStyle w:val="2mepara"/>
              <w:jc w:val="center"/>
              <w:rPr>
                <w:sz w:val="20"/>
                <w:szCs w:val="20"/>
                <w:lang w:val="en-GB"/>
              </w:rPr>
            </w:pPr>
            <w:r w:rsidRPr="00F818B6">
              <w:rPr>
                <w:sz w:val="20"/>
                <w:szCs w:val="20"/>
                <w:lang w:val="en-GB"/>
              </w:rPr>
              <w:t>52</w:t>
            </w:r>
          </w:p>
        </w:tc>
        <w:tc>
          <w:tcPr>
            <w:tcW w:w="707" w:type="pct"/>
            <w:vAlign w:val="center"/>
          </w:tcPr>
          <w:p w14:paraId="29682703" w14:textId="77777777" w:rsidR="00A16AAC" w:rsidRPr="00F818B6" w:rsidRDefault="00A16AAC" w:rsidP="00336179">
            <w:pPr>
              <w:pStyle w:val="2mepara"/>
              <w:jc w:val="center"/>
              <w:rPr>
                <w:sz w:val="20"/>
                <w:szCs w:val="20"/>
                <w:lang w:val="en-GB"/>
              </w:rPr>
            </w:pPr>
            <w:r w:rsidRPr="00F818B6">
              <w:rPr>
                <w:sz w:val="20"/>
                <w:szCs w:val="20"/>
                <w:lang w:val="en-GB"/>
              </w:rPr>
              <w:t>23</w:t>
            </w:r>
          </w:p>
        </w:tc>
        <w:tc>
          <w:tcPr>
            <w:tcW w:w="704" w:type="pct"/>
            <w:vAlign w:val="center"/>
          </w:tcPr>
          <w:p w14:paraId="1BAD73A9" w14:textId="77777777" w:rsidR="00A16AAC" w:rsidRPr="00F818B6" w:rsidRDefault="00A16AAC" w:rsidP="00336179">
            <w:pPr>
              <w:pStyle w:val="2mepara"/>
              <w:jc w:val="center"/>
              <w:rPr>
                <w:sz w:val="20"/>
                <w:szCs w:val="20"/>
                <w:lang w:val="en-GB"/>
              </w:rPr>
            </w:pPr>
            <w:r w:rsidRPr="00F818B6">
              <w:rPr>
                <w:sz w:val="20"/>
                <w:szCs w:val="20"/>
                <w:lang w:val="en-GB"/>
              </w:rPr>
              <w:t>39</w:t>
            </w:r>
          </w:p>
        </w:tc>
        <w:tc>
          <w:tcPr>
            <w:tcW w:w="662" w:type="pct"/>
            <w:vAlign w:val="center"/>
          </w:tcPr>
          <w:p w14:paraId="683ADE81" w14:textId="77777777" w:rsidR="00A16AAC" w:rsidRPr="00F818B6" w:rsidRDefault="00A16AAC" w:rsidP="00336179">
            <w:pPr>
              <w:pStyle w:val="2mepara"/>
              <w:jc w:val="center"/>
              <w:rPr>
                <w:sz w:val="20"/>
                <w:szCs w:val="20"/>
                <w:lang w:val="en-GB"/>
              </w:rPr>
            </w:pPr>
            <w:r w:rsidRPr="00F818B6">
              <w:rPr>
                <w:sz w:val="20"/>
                <w:szCs w:val="20"/>
                <w:lang w:val="en-GB"/>
              </w:rPr>
              <w:t>4</w:t>
            </w:r>
          </w:p>
        </w:tc>
        <w:tc>
          <w:tcPr>
            <w:tcW w:w="737" w:type="pct"/>
            <w:vAlign w:val="center"/>
          </w:tcPr>
          <w:p w14:paraId="3576D8F9" w14:textId="77777777" w:rsidR="00A16AAC" w:rsidRPr="00F818B6" w:rsidRDefault="00A16AAC" w:rsidP="00336179">
            <w:pPr>
              <w:pStyle w:val="2mepara"/>
              <w:jc w:val="center"/>
              <w:rPr>
                <w:sz w:val="20"/>
                <w:szCs w:val="20"/>
                <w:lang w:val="en-GB"/>
              </w:rPr>
            </w:pPr>
            <w:r w:rsidRPr="00F818B6">
              <w:rPr>
                <w:sz w:val="20"/>
                <w:szCs w:val="20"/>
                <w:lang w:val="en-GB"/>
              </w:rPr>
              <w:t>21</w:t>
            </w:r>
          </w:p>
        </w:tc>
      </w:tr>
      <w:tr w:rsidR="00A16AAC" w:rsidRPr="00F818B6" w14:paraId="121B97AB" w14:textId="77777777" w:rsidTr="00336179">
        <w:trPr>
          <w:trHeight w:val="709"/>
          <w:jc w:val="center"/>
        </w:trPr>
        <w:tc>
          <w:tcPr>
            <w:tcW w:w="779" w:type="pct"/>
            <w:vAlign w:val="center"/>
            <w:hideMark/>
          </w:tcPr>
          <w:p w14:paraId="4F2405F8" w14:textId="77777777" w:rsidR="00A16AAC" w:rsidRPr="00F818B6" w:rsidRDefault="00A16AAC" w:rsidP="00336179">
            <w:pPr>
              <w:pStyle w:val="2mepara"/>
              <w:jc w:val="center"/>
              <w:rPr>
                <w:sz w:val="20"/>
                <w:szCs w:val="20"/>
                <w:lang w:val="en-GB"/>
              </w:rPr>
            </w:pPr>
            <w:r w:rsidRPr="00F818B6">
              <w:rPr>
                <w:sz w:val="20"/>
                <w:szCs w:val="20"/>
                <w:lang w:val="en-GB"/>
              </w:rPr>
              <w:t>Aggregation method</w:t>
            </w:r>
            <w:r>
              <w:rPr>
                <w:rStyle w:val="Appelnotedebasdep"/>
                <w:sz w:val="20"/>
                <w:szCs w:val="20"/>
                <w:lang w:val="en-GB"/>
              </w:rPr>
              <w:footnoteReference w:id="3"/>
            </w:r>
          </w:p>
        </w:tc>
        <w:tc>
          <w:tcPr>
            <w:tcW w:w="704" w:type="pct"/>
            <w:vAlign w:val="center"/>
          </w:tcPr>
          <w:p w14:paraId="3405DEAD" w14:textId="77777777" w:rsidR="00A16AAC" w:rsidRPr="00F818B6" w:rsidRDefault="00A16AAC" w:rsidP="00336179">
            <w:pPr>
              <w:pStyle w:val="2mepara"/>
              <w:jc w:val="center"/>
              <w:rPr>
                <w:sz w:val="20"/>
                <w:szCs w:val="20"/>
                <w:lang w:val="en-GB"/>
              </w:rPr>
            </w:pPr>
            <w:r w:rsidRPr="00F818B6">
              <w:rPr>
                <w:sz w:val="20"/>
                <w:szCs w:val="20"/>
                <w:lang w:val="en-GB"/>
              </w:rPr>
              <w:t>Geometric mean</w:t>
            </w:r>
          </w:p>
        </w:tc>
        <w:tc>
          <w:tcPr>
            <w:tcW w:w="707" w:type="pct"/>
            <w:vAlign w:val="center"/>
            <w:hideMark/>
          </w:tcPr>
          <w:p w14:paraId="603C55AF" w14:textId="77777777" w:rsidR="00A16AAC" w:rsidRPr="00F818B6" w:rsidRDefault="00A16AAC" w:rsidP="00336179">
            <w:pPr>
              <w:pStyle w:val="2mepara"/>
              <w:jc w:val="center"/>
              <w:rPr>
                <w:sz w:val="20"/>
                <w:szCs w:val="20"/>
                <w:lang w:val="en-GB"/>
              </w:rPr>
            </w:pPr>
            <w:r w:rsidRPr="00F818B6">
              <w:rPr>
                <w:sz w:val="20"/>
                <w:szCs w:val="20"/>
                <w:lang w:val="en-GB"/>
              </w:rPr>
              <w:t>Arithmetic mean + PCA</w:t>
            </w:r>
          </w:p>
        </w:tc>
        <w:tc>
          <w:tcPr>
            <w:tcW w:w="707" w:type="pct"/>
            <w:vAlign w:val="center"/>
          </w:tcPr>
          <w:p w14:paraId="05AFF551" w14:textId="77777777" w:rsidR="00A16AAC" w:rsidRPr="00F818B6" w:rsidRDefault="00A16AAC" w:rsidP="00336179">
            <w:pPr>
              <w:pStyle w:val="2mepara"/>
              <w:jc w:val="center"/>
              <w:rPr>
                <w:sz w:val="20"/>
                <w:szCs w:val="20"/>
                <w:lang w:val="en-GB"/>
              </w:rPr>
            </w:pPr>
            <w:r w:rsidRPr="00F818B6">
              <w:rPr>
                <w:sz w:val="20"/>
                <w:szCs w:val="20"/>
                <w:lang w:val="en-GB"/>
              </w:rPr>
              <w:t>Arithmetic mean</w:t>
            </w:r>
          </w:p>
        </w:tc>
        <w:tc>
          <w:tcPr>
            <w:tcW w:w="704" w:type="pct"/>
            <w:vAlign w:val="center"/>
          </w:tcPr>
          <w:p w14:paraId="4A62D6A1" w14:textId="77777777" w:rsidR="00A16AAC" w:rsidRPr="00F818B6" w:rsidRDefault="00A16AAC" w:rsidP="00336179">
            <w:pPr>
              <w:pStyle w:val="2mepara"/>
              <w:jc w:val="center"/>
              <w:rPr>
                <w:sz w:val="20"/>
                <w:szCs w:val="20"/>
                <w:lang w:val="en-GB"/>
              </w:rPr>
            </w:pPr>
            <w:r w:rsidRPr="00F818B6">
              <w:rPr>
                <w:sz w:val="20"/>
                <w:szCs w:val="20"/>
                <w:lang w:val="en-GB"/>
              </w:rPr>
              <w:t>Complex</w:t>
            </w:r>
          </w:p>
        </w:tc>
        <w:tc>
          <w:tcPr>
            <w:tcW w:w="662" w:type="pct"/>
            <w:vAlign w:val="center"/>
            <w:hideMark/>
          </w:tcPr>
          <w:p w14:paraId="4CD0ACCA" w14:textId="77777777" w:rsidR="00A16AAC" w:rsidRPr="00F818B6" w:rsidRDefault="00A16AAC" w:rsidP="00336179">
            <w:pPr>
              <w:pStyle w:val="2mepara"/>
              <w:jc w:val="center"/>
              <w:rPr>
                <w:sz w:val="20"/>
                <w:szCs w:val="20"/>
                <w:lang w:val="en-GB"/>
              </w:rPr>
            </w:pPr>
            <w:r w:rsidRPr="00F818B6">
              <w:rPr>
                <w:sz w:val="20"/>
                <w:szCs w:val="20"/>
                <w:lang w:val="en-GB"/>
              </w:rPr>
              <w:t>Complex</w:t>
            </w:r>
          </w:p>
        </w:tc>
        <w:tc>
          <w:tcPr>
            <w:tcW w:w="737" w:type="pct"/>
            <w:vAlign w:val="center"/>
            <w:hideMark/>
          </w:tcPr>
          <w:p w14:paraId="7C81941A" w14:textId="77777777" w:rsidR="00A16AAC" w:rsidRPr="00F818B6" w:rsidRDefault="00A16AAC" w:rsidP="00336179">
            <w:pPr>
              <w:pStyle w:val="2mepara"/>
              <w:jc w:val="center"/>
              <w:rPr>
                <w:sz w:val="20"/>
                <w:szCs w:val="20"/>
                <w:lang w:val="en-GB"/>
              </w:rPr>
            </w:pPr>
            <w:r w:rsidRPr="00F818B6">
              <w:rPr>
                <w:sz w:val="20"/>
                <w:szCs w:val="20"/>
                <w:lang w:val="en-GB"/>
              </w:rPr>
              <w:t>Geometric mean</w:t>
            </w:r>
          </w:p>
        </w:tc>
      </w:tr>
    </w:tbl>
    <w:p w14:paraId="47963617" w14:textId="77777777" w:rsidR="00A16AAC" w:rsidRPr="00F818B6" w:rsidRDefault="00A16AAC" w:rsidP="00A16AAC">
      <w:pPr>
        <w:spacing w:line="276" w:lineRule="auto"/>
        <w:jc w:val="both"/>
        <w:rPr>
          <w:rFonts w:ascii="Times New Roman" w:hAnsi="Times New Roman" w:cs="Times New Roman"/>
          <w:i/>
          <w:sz w:val="20"/>
          <w:szCs w:val="24"/>
          <w:lang w:val="en-GB"/>
        </w:rPr>
      </w:pPr>
    </w:p>
    <w:p w14:paraId="68A5E852" w14:textId="77777777" w:rsidR="00A16AAC" w:rsidRPr="00A930DC" w:rsidRDefault="00A16AAC" w:rsidP="00A16AAC">
      <w:pPr>
        <w:spacing w:line="276" w:lineRule="auto"/>
        <w:jc w:val="both"/>
        <w:rPr>
          <w:rFonts w:ascii="Times New Roman" w:hAnsi="Times New Roman" w:cs="Times New Roman"/>
          <w:sz w:val="20"/>
          <w:szCs w:val="24"/>
          <w:lang w:val="nl-BE"/>
        </w:rPr>
      </w:pPr>
      <w:r w:rsidRPr="00691738">
        <w:rPr>
          <w:rFonts w:ascii="Times New Roman" w:hAnsi="Times New Roman" w:cs="Times New Roman"/>
          <w:i/>
          <w:sz w:val="20"/>
          <w:szCs w:val="24"/>
          <w:lang w:val="fr-BE"/>
        </w:rPr>
        <w:t>Source</w:t>
      </w:r>
      <w:r w:rsidRPr="00691738">
        <w:rPr>
          <w:rFonts w:ascii="Times New Roman" w:hAnsi="Times New Roman" w:cs="Times New Roman"/>
          <w:sz w:val="20"/>
          <w:szCs w:val="24"/>
          <w:lang w:val="fr-BE"/>
        </w:rPr>
        <w:t xml:space="preserve">: HDI: UNDP (2014), SPI: Porter </w:t>
      </w:r>
      <w:r w:rsidRPr="00691738">
        <w:rPr>
          <w:rFonts w:ascii="Times New Roman" w:hAnsi="Times New Roman" w:cs="Times New Roman"/>
          <w:i/>
          <w:sz w:val="20"/>
          <w:szCs w:val="24"/>
          <w:lang w:val="fr-BE"/>
        </w:rPr>
        <w:t>et al</w:t>
      </w:r>
      <w:r w:rsidRPr="00691738">
        <w:rPr>
          <w:rFonts w:ascii="Times New Roman" w:hAnsi="Times New Roman" w:cs="Times New Roman"/>
          <w:sz w:val="20"/>
          <w:szCs w:val="24"/>
          <w:lang w:val="fr-BE"/>
        </w:rPr>
        <w:t xml:space="preserve">. </w:t>
      </w:r>
      <w:r w:rsidRPr="00A930DC">
        <w:rPr>
          <w:rFonts w:ascii="Times New Roman" w:hAnsi="Times New Roman" w:cs="Times New Roman"/>
          <w:sz w:val="20"/>
          <w:szCs w:val="24"/>
          <w:lang w:val="nl-BE"/>
        </w:rPr>
        <w:t xml:space="preserve">(2016), </w:t>
      </w:r>
      <w:r>
        <w:rPr>
          <w:rFonts w:ascii="Times New Roman" w:hAnsi="Times New Roman" w:cs="Times New Roman"/>
          <w:sz w:val="20"/>
          <w:szCs w:val="24"/>
          <w:lang w:val="nl-BE"/>
        </w:rPr>
        <w:t xml:space="preserve">GWBI: </w:t>
      </w:r>
      <w:r w:rsidRPr="00A930DC">
        <w:rPr>
          <w:rFonts w:ascii="Times New Roman" w:hAnsi="Times New Roman" w:cs="Times New Roman"/>
          <w:sz w:val="20"/>
          <w:szCs w:val="24"/>
          <w:lang w:val="nl-BE"/>
        </w:rPr>
        <w:t xml:space="preserve">Chabaan </w:t>
      </w:r>
      <w:r w:rsidRPr="00A930DC">
        <w:rPr>
          <w:rFonts w:ascii="Times New Roman" w:hAnsi="Times New Roman" w:cs="Times New Roman"/>
          <w:i/>
          <w:sz w:val="20"/>
          <w:szCs w:val="24"/>
          <w:lang w:val="nl-BE"/>
        </w:rPr>
        <w:t>et al</w:t>
      </w:r>
      <w:r w:rsidRPr="00A930DC">
        <w:rPr>
          <w:rFonts w:ascii="Times New Roman" w:hAnsi="Times New Roman" w:cs="Times New Roman"/>
          <w:sz w:val="20"/>
          <w:szCs w:val="24"/>
          <w:lang w:val="nl-BE"/>
        </w:rPr>
        <w:t xml:space="preserve">., (2015), </w:t>
      </w:r>
      <w:r>
        <w:rPr>
          <w:rFonts w:ascii="Times New Roman" w:hAnsi="Times New Roman" w:cs="Times New Roman"/>
          <w:sz w:val="20"/>
          <w:szCs w:val="24"/>
          <w:lang w:val="nl-BE"/>
        </w:rPr>
        <w:t xml:space="preserve">QoL: </w:t>
      </w:r>
      <w:r w:rsidRPr="00A930DC">
        <w:rPr>
          <w:rFonts w:ascii="Times New Roman" w:hAnsi="Times New Roman" w:cs="Times New Roman"/>
          <w:sz w:val="20"/>
          <w:szCs w:val="24"/>
          <w:lang w:val="nl-BE"/>
        </w:rPr>
        <w:t xml:space="preserve">Maridal (2016), </w:t>
      </w:r>
      <w:r>
        <w:rPr>
          <w:rFonts w:ascii="Times New Roman" w:hAnsi="Times New Roman" w:cs="Times New Roman"/>
          <w:sz w:val="20"/>
          <w:szCs w:val="24"/>
          <w:lang w:val="nl-BE"/>
        </w:rPr>
        <w:t xml:space="preserve">HPI: </w:t>
      </w:r>
      <w:r w:rsidRPr="00A930DC">
        <w:rPr>
          <w:rFonts w:ascii="Times New Roman" w:hAnsi="Times New Roman" w:cs="Times New Roman"/>
          <w:sz w:val="20"/>
          <w:szCs w:val="24"/>
          <w:lang w:val="nl-BE"/>
        </w:rPr>
        <w:t xml:space="preserve">Jeffrey </w:t>
      </w:r>
      <w:r w:rsidRPr="00A930DC">
        <w:rPr>
          <w:rFonts w:ascii="Times New Roman" w:hAnsi="Times New Roman" w:cs="Times New Roman"/>
          <w:i/>
          <w:sz w:val="20"/>
          <w:szCs w:val="24"/>
          <w:lang w:val="nl-BE"/>
        </w:rPr>
        <w:t>et al.</w:t>
      </w:r>
      <w:r w:rsidRPr="00A930DC">
        <w:rPr>
          <w:rFonts w:ascii="Times New Roman" w:hAnsi="Times New Roman" w:cs="Times New Roman"/>
          <w:sz w:val="20"/>
          <w:szCs w:val="24"/>
          <w:lang w:val="nl-BE"/>
        </w:rPr>
        <w:t xml:space="preserve"> (2016) and </w:t>
      </w:r>
      <w:r>
        <w:rPr>
          <w:rFonts w:ascii="Times New Roman" w:hAnsi="Times New Roman" w:cs="Times New Roman"/>
          <w:sz w:val="20"/>
          <w:szCs w:val="24"/>
          <w:lang w:val="nl-BE"/>
        </w:rPr>
        <w:t xml:space="preserve">SSI: </w:t>
      </w:r>
      <w:r w:rsidRPr="00A930DC">
        <w:rPr>
          <w:rFonts w:ascii="Times New Roman" w:hAnsi="Times New Roman" w:cs="Times New Roman"/>
          <w:sz w:val="20"/>
          <w:szCs w:val="24"/>
          <w:lang w:val="nl-BE"/>
        </w:rPr>
        <w:t>De Kerk and Manuel (2016).</w:t>
      </w:r>
    </w:p>
    <w:p w14:paraId="72D8321B" w14:textId="77777777" w:rsidR="00577A45" w:rsidRDefault="004C2A6E">
      <w:pPr>
        <w:spacing w:before="520" w:after="280" w:line="240" w:lineRule="auto"/>
        <w:outlineLvl w:val="0"/>
        <w:rPr>
          <w:rFonts w:ascii="Times New Roman" w:eastAsia="Times New Roman" w:hAnsi="Times New Roman" w:cs="Times New Roman"/>
          <w:b/>
          <w:bCs/>
          <w:color w:val="000000"/>
          <w:kern w:val="2"/>
          <w:sz w:val="24"/>
          <w:szCs w:val="24"/>
          <w:lang w:val="en-GB" w:eastAsia="hu-HU"/>
        </w:rPr>
      </w:pPr>
      <w:r>
        <w:rPr>
          <w:rFonts w:ascii="Times New Roman" w:eastAsia="Times New Roman" w:hAnsi="Times New Roman" w:cs="Times New Roman"/>
          <w:b/>
          <w:bCs/>
          <w:color w:val="000000"/>
          <w:kern w:val="2"/>
          <w:sz w:val="24"/>
          <w:szCs w:val="24"/>
          <w:lang w:val="en-GB" w:eastAsia="hu-HU"/>
        </w:rPr>
        <w:t>3 Connection between the indicators and powerful stakeholders</w:t>
      </w:r>
    </w:p>
    <w:p w14:paraId="6B071EEE" w14:textId="77777777" w:rsidR="00577A45" w:rsidRDefault="004C2A6E">
      <w:pPr>
        <w:pStyle w:val="Premierpara"/>
        <w:rPr>
          <w:lang w:val="en-GB"/>
        </w:rPr>
      </w:pPr>
      <w:r>
        <w:rPr>
          <w:lang w:val="en-GB"/>
        </w:rPr>
        <w:t xml:space="preserve">Among the six Beyond GDP indicators studied, which of them have been initiated by powerful stakeholders? In other words, who can ‘bring about </w:t>
      </w:r>
      <w:r>
        <w:rPr>
          <w:lang w:val="en-GB"/>
        </w:rPr>
        <w:lastRenderedPageBreak/>
        <w:t xml:space="preserve">changes in the action of other units, individual or collective, in the processes of social interaction’ (Parsons, 1967, 299)? </w:t>
      </w:r>
    </w:p>
    <w:p w14:paraId="0B3A8AAC" w14:textId="510B6E86" w:rsidR="00577A45" w:rsidRDefault="004C2A6E">
      <w:pPr>
        <w:pStyle w:val="2mepara"/>
        <w:rPr>
          <w:lang w:val="en-US"/>
        </w:rPr>
      </w:pPr>
      <w:r>
        <w:rPr>
          <w:lang w:val="en-GB"/>
        </w:rPr>
        <w:t xml:space="preserve">Global governance studies provide numerous works that identify powerful stakeholders on various issues, such as financial system reforms, trade policies… </w:t>
      </w:r>
      <w:r>
        <w:rPr>
          <w:lang w:val="en-US"/>
        </w:rPr>
        <w:t xml:space="preserve">(Risse, 2002; Avant </w:t>
      </w:r>
      <w:r>
        <w:rPr>
          <w:i/>
          <w:lang w:val="en-US"/>
        </w:rPr>
        <w:t>et al</w:t>
      </w:r>
      <w:r>
        <w:rPr>
          <w:lang w:val="en-US"/>
        </w:rPr>
        <w:t>., 2010; Büthe</w:t>
      </w:r>
      <w:r w:rsidR="00AF65B6">
        <w:rPr>
          <w:lang w:val="en-US"/>
        </w:rPr>
        <w:t>, 2010; Blanton &amp; Kegley, 2016;</w:t>
      </w:r>
      <w:r>
        <w:rPr>
          <w:lang w:val="en-US"/>
        </w:rPr>
        <w:t xml:space="preserve"> Breslin &amp; Nesadurai, 2018). </w:t>
      </w:r>
      <w:r>
        <w:rPr>
          <w:lang w:val="en-GB"/>
        </w:rPr>
        <w:t>As for the global political economy</w:t>
      </w:r>
      <w:commentRangeStart w:id="1"/>
      <w:commentRangeEnd w:id="1"/>
      <w:r>
        <w:rPr>
          <w:lang w:val="en-GB"/>
        </w:rPr>
        <w:t xml:space="preserve">, the actors traditionally considered as powerful are states, multinational corporations, international institutions, large NGOs, world class scholars or global media. </w:t>
      </w:r>
    </w:p>
    <w:p w14:paraId="5FE6A5D9" w14:textId="767CF25F" w:rsidR="00577A45" w:rsidRDefault="004C2A6E">
      <w:pPr>
        <w:pStyle w:val="2mepara"/>
        <w:rPr>
          <w:lang w:val="en-GB"/>
        </w:rPr>
      </w:pPr>
      <w:r>
        <w:rPr>
          <w:lang w:val="en-GB"/>
        </w:rPr>
        <w:t xml:space="preserve">In an attempt to define whether an indicator’s initiators are powerful or not, we observe, for each indicator, if it is initiated by at least one stakeholder listed above. Using these six categories </w:t>
      </w:r>
      <w:r w:rsidR="003D2198">
        <w:rPr>
          <w:lang w:val="en-GB"/>
        </w:rPr>
        <w:t>allows for</w:t>
      </w:r>
      <w:r>
        <w:rPr>
          <w:lang w:val="en-GB"/>
        </w:rPr>
        <w:t xml:space="preserve"> clear boundaries between powerful and non-powerful actors and to cover the variety of indicators’ initiators. This categorization is </w:t>
      </w:r>
      <w:r w:rsidRPr="003D2198">
        <w:rPr>
          <w:lang w:val="en-GB"/>
        </w:rPr>
        <w:t xml:space="preserve">also simple to </w:t>
      </w:r>
      <w:r w:rsidR="003D2198" w:rsidRPr="003D2198">
        <w:rPr>
          <w:lang w:val="en-GB"/>
        </w:rPr>
        <w:t>apply</w:t>
      </w:r>
      <w:r w:rsidRPr="003D2198">
        <w:rPr>
          <w:lang w:val="en-GB"/>
        </w:rPr>
        <w:t>. For</w:t>
      </w:r>
      <w:r>
        <w:rPr>
          <w:lang w:val="en-GB"/>
        </w:rPr>
        <w:t xml:space="preserve"> the concern of operationalisation, actors such as corporations, NGOs and media are considered as powerful if they operate in at least three countries. World class scholars are defined as winners of a Nobel Prize, or scholars issued from universities ranked in the top 100 of the Times Higher Education ranking. </w:t>
      </w:r>
    </w:p>
    <w:p w14:paraId="2E756CF8" w14:textId="77777777" w:rsidR="00577A45" w:rsidRDefault="004C2A6E">
      <w:pPr>
        <w:pStyle w:val="2mepara"/>
        <w:rPr>
          <w:lang w:val="en-GB"/>
        </w:rPr>
      </w:pPr>
      <w:r>
        <w:rPr>
          <w:lang w:val="en-GB"/>
        </w:rPr>
        <w:t xml:space="preserve">These criteria applied to the six indicators under consideration are provided in the following table. </w:t>
      </w:r>
    </w:p>
    <w:p w14:paraId="69E23896" w14:textId="77777777" w:rsidR="00577A45" w:rsidRDefault="00577A45">
      <w:pPr>
        <w:pStyle w:val="Premierpara"/>
        <w:rPr>
          <w:lang w:val="en-GB"/>
        </w:rPr>
      </w:pPr>
    </w:p>
    <w:p w14:paraId="26A1D22C" w14:textId="77777777" w:rsidR="00577A45" w:rsidRDefault="004C2A6E">
      <w:pPr>
        <w:keepLines/>
        <w:ind w:firstLine="227"/>
        <w:rPr>
          <w:rFonts w:ascii="Times New Roman" w:hAnsi="Times New Roman" w:cs="Times New Roman"/>
          <w:b/>
          <w:sz w:val="20"/>
          <w:szCs w:val="20"/>
          <w:lang w:val="en-GB" w:eastAsia="fr-BE"/>
        </w:rPr>
      </w:pPr>
      <w:r>
        <w:rPr>
          <w:rFonts w:ascii="Times New Roman" w:hAnsi="Times New Roman" w:cs="Times New Roman"/>
          <w:b/>
          <w:sz w:val="20"/>
          <w:szCs w:val="20"/>
          <w:lang w:val="en-GB" w:eastAsia="fr-BE"/>
        </w:rPr>
        <w:t>Table 2. Indicator’s initiator power</w:t>
      </w:r>
    </w:p>
    <w:tbl>
      <w:tblPr>
        <w:tblStyle w:val="Tableausimple41"/>
        <w:tblW w:w="4950" w:type="pct"/>
        <w:jc w:val="center"/>
        <w:tblLook w:val="04A0" w:firstRow="1" w:lastRow="0" w:firstColumn="1" w:lastColumn="0" w:noHBand="0" w:noVBand="1"/>
      </w:tblPr>
      <w:tblGrid>
        <w:gridCol w:w="3449"/>
        <w:gridCol w:w="572"/>
        <w:gridCol w:w="505"/>
        <w:gridCol w:w="716"/>
        <w:gridCol w:w="572"/>
        <w:gridCol w:w="550"/>
        <w:gridCol w:w="483"/>
      </w:tblGrid>
      <w:tr w:rsidR="00577A45" w14:paraId="553497AD" w14:textId="77777777" w:rsidTr="00577A45">
        <w:trPr>
          <w:cnfStyle w:val="100000000000" w:firstRow="1" w:lastRow="0" w:firstColumn="0" w:lastColumn="0" w:oddVBand="0" w:evenVBand="0" w:oddHBand="0" w:evenHBand="0" w:firstRowFirstColumn="0" w:firstRowLastColumn="0" w:lastRowFirstColumn="0" w:lastRowLastColumn="0"/>
          <w:cantSplit/>
          <w:trHeight w:val="276"/>
          <w:jc w:val="center"/>
        </w:trPr>
        <w:tc>
          <w:tcPr>
            <w:cnfStyle w:val="001000000000" w:firstRow="0" w:lastRow="0" w:firstColumn="1" w:lastColumn="0" w:oddVBand="0" w:evenVBand="0" w:oddHBand="0" w:evenHBand="0" w:firstRowFirstColumn="0" w:firstRowLastColumn="0" w:lastRowFirstColumn="0" w:lastRowLastColumn="0"/>
            <w:tcW w:w="3479" w:type="dxa"/>
            <w:shd w:val="clear" w:color="auto" w:fill="auto"/>
          </w:tcPr>
          <w:p w14:paraId="2908A93E" w14:textId="77777777" w:rsidR="00577A45" w:rsidRDefault="00577A45">
            <w:pPr>
              <w:keepLines/>
              <w:spacing w:after="0" w:line="276" w:lineRule="auto"/>
              <w:jc w:val="center"/>
              <w:rPr>
                <w:rFonts w:ascii="Times New Roman" w:eastAsia="Times New Roman" w:hAnsi="Times New Roman" w:cs="Times New Roman"/>
                <w:sz w:val="20"/>
                <w:lang w:val="en-GB" w:eastAsia="fr-BE"/>
              </w:rPr>
            </w:pPr>
          </w:p>
        </w:tc>
        <w:tc>
          <w:tcPr>
            <w:tcW w:w="566" w:type="dxa"/>
            <w:shd w:val="clear" w:color="auto" w:fill="auto"/>
          </w:tcPr>
          <w:p w14:paraId="4C517F66" w14:textId="77777777" w:rsidR="00577A45" w:rsidRDefault="004C2A6E">
            <w:pPr>
              <w:keepLines/>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lang w:val="en-GB" w:eastAsia="fr-BE"/>
              </w:rPr>
            </w:pPr>
            <w:r>
              <w:rPr>
                <w:rFonts w:ascii="Times New Roman" w:eastAsia="Times New Roman" w:hAnsi="Times New Roman" w:cs="Times New Roman"/>
                <w:b w:val="0"/>
                <w:i/>
                <w:sz w:val="20"/>
                <w:lang w:val="en-GB" w:eastAsia="fr-BE"/>
              </w:rPr>
              <w:t xml:space="preserve">HDI  </w:t>
            </w:r>
          </w:p>
        </w:tc>
        <w:tc>
          <w:tcPr>
            <w:tcW w:w="502" w:type="dxa"/>
            <w:shd w:val="clear" w:color="auto" w:fill="auto"/>
          </w:tcPr>
          <w:p w14:paraId="6D9137A8" w14:textId="77777777" w:rsidR="00577A45" w:rsidRDefault="004C2A6E">
            <w:pPr>
              <w:keepLines/>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lang w:val="en-GB" w:eastAsia="fr-BE"/>
              </w:rPr>
            </w:pPr>
            <w:r>
              <w:rPr>
                <w:rFonts w:ascii="Times New Roman" w:eastAsia="Times New Roman" w:hAnsi="Times New Roman" w:cs="Times New Roman"/>
                <w:b w:val="0"/>
                <w:i/>
                <w:sz w:val="20"/>
                <w:lang w:val="en-GB" w:eastAsia="fr-BE"/>
              </w:rPr>
              <w:t xml:space="preserve">SPI </w:t>
            </w:r>
          </w:p>
        </w:tc>
        <w:tc>
          <w:tcPr>
            <w:tcW w:w="709" w:type="dxa"/>
            <w:shd w:val="clear" w:color="auto" w:fill="auto"/>
          </w:tcPr>
          <w:p w14:paraId="77110C6F" w14:textId="77777777" w:rsidR="00577A45" w:rsidRDefault="004C2A6E">
            <w:pPr>
              <w:keepLines/>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lang w:val="en-GB" w:eastAsia="fr-BE"/>
              </w:rPr>
            </w:pPr>
            <w:r>
              <w:rPr>
                <w:rFonts w:ascii="Times New Roman" w:eastAsia="Times New Roman" w:hAnsi="Times New Roman" w:cs="Times New Roman"/>
                <w:b w:val="0"/>
                <w:i/>
                <w:sz w:val="20"/>
                <w:lang w:val="en-GB" w:eastAsia="fr-BE"/>
              </w:rPr>
              <w:t xml:space="preserve">GWBI </w:t>
            </w:r>
          </w:p>
        </w:tc>
        <w:tc>
          <w:tcPr>
            <w:tcW w:w="567" w:type="dxa"/>
            <w:shd w:val="clear" w:color="auto" w:fill="auto"/>
          </w:tcPr>
          <w:p w14:paraId="6416E772" w14:textId="77777777" w:rsidR="00577A45" w:rsidRDefault="004C2A6E">
            <w:pPr>
              <w:keepLines/>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lang w:val="en-GB" w:eastAsia="fr-BE"/>
              </w:rPr>
            </w:pPr>
            <w:r>
              <w:rPr>
                <w:rFonts w:ascii="Times New Roman" w:eastAsia="Times New Roman" w:hAnsi="Times New Roman" w:cs="Times New Roman"/>
                <w:b w:val="0"/>
                <w:i/>
                <w:sz w:val="20"/>
                <w:lang w:val="en-GB" w:eastAsia="fr-BE"/>
              </w:rPr>
              <w:t xml:space="preserve">QoL </w:t>
            </w:r>
          </w:p>
        </w:tc>
        <w:tc>
          <w:tcPr>
            <w:tcW w:w="545" w:type="dxa"/>
            <w:shd w:val="clear" w:color="auto" w:fill="auto"/>
          </w:tcPr>
          <w:p w14:paraId="5DB9FA9F" w14:textId="77777777" w:rsidR="00577A45" w:rsidRDefault="004C2A6E">
            <w:pPr>
              <w:keepLines/>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lang w:val="en-GB" w:eastAsia="fr-BE"/>
              </w:rPr>
            </w:pPr>
            <w:r>
              <w:rPr>
                <w:rFonts w:ascii="Times New Roman" w:eastAsia="Times New Roman" w:hAnsi="Times New Roman" w:cs="Times New Roman"/>
                <w:b w:val="0"/>
                <w:i/>
                <w:sz w:val="20"/>
                <w:lang w:val="en-GB" w:eastAsia="fr-BE"/>
              </w:rPr>
              <w:t xml:space="preserve">HPI </w:t>
            </w:r>
          </w:p>
        </w:tc>
        <w:tc>
          <w:tcPr>
            <w:tcW w:w="477" w:type="dxa"/>
            <w:shd w:val="clear" w:color="auto" w:fill="auto"/>
          </w:tcPr>
          <w:p w14:paraId="42D0896B" w14:textId="77777777" w:rsidR="00577A45" w:rsidRDefault="004C2A6E">
            <w:pPr>
              <w:keepLines/>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lang w:val="en-GB" w:eastAsia="fr-BE"/>
              </w:rPr>
            </w:pPr>
            <w:r>
              <w:rPr>
                <w:rFonts w:ascii="Times New Roman" w:eastAsia="Times New Roman" w:hAnsi="Times New Roman" w:cs="Times New Roman"/>
                <w:b w:val="0"/>
                <w:i/>
                <w:sz w:val="20"/>
                <w:lang w:val="en-GB" w:eastAsia="fr-BE"/>
              </w:rPr>
              <w:t xml:space="preserve">SSI </w:t>
            </w:r>
          </w:p>
        </w:tc>
      </w:tr>
      <w:tr w:rsidR="00577A45" w14:paraId="6C47B526" w14:textId="77777777" w:rsidTr="00577A45">
        <w:trPr>
          <w:cnfStyle w:val="000000100000" w:firstRow="0" w:lastRow="0" w:firstColumn="0" w:lastColumn="0" w:oddVBand="0" w:evenVBand="0" w:oddHBand="1" w:evenHBand="0" w:firstRowFirstColumn="0" w:firstRowLastColumn="0" w:lastRowFirstColumn="0" w:lastRowLastColumn="0"/>
          <w:cantSplit/>
          <w:trHeight w:val="288"/>
          <w:jc w:val="center"/>
        </w:trPr>
        <w:tc>
          <w:tcPr>
            <w:cnfStyle w:val="001000000000" w:firstRow="0" w:lastRow="0" w:firstColumn="1" w:lastColumn="0" w:oddVBand="0" w:evenVBand="0" w:oddHBand="0" w:evenHBand="0" w:firstRowFirstColumn="0" w:firstRowLastColumn="0" w:lastRowFirstColumn="0" w:lastRowLastColumn="0"/>
            <w:tcW w:w="3479" w:type="dxa"/>
            <w:vAlign w:val="center"/>
          </w:tcPr>
          <w:p w14:paraId="5DAB9E77" w14:textId="77777777" w:rsidR="00577A45" w:rsidRDefault="004C2A6E">
            <w:pPr>
              <w:keepLines/>
              <w:spacing w:after="0" w:line="276" w:lineRule="auto"/>
              <w:jc w:val="center"/>
              <w:rPr>
                <w:rFonts w:ascii="Times New Roman" w:eastAsia="Times New Roman" w:hAnsi="Times New Roman" w:cs="Times New Roman"/>
                <w:b w:val="0"/>
                <w:color w:val="000000"/>
                <w:sz w:val="20"/>
                <w:lang w:val="en-GB" w:eastAsia="fr-BE"/>
              </w:rPr>
            </w:pPr>
            <w:r>
              <w:rPr>
                <w:rFonts w:ascii="Times New Roman" w:eastAsia="Times New Roman" w:hAnsi="Times New Roman" w:cs="Times New Roman"/>
                <w:b w:val="0"/>
                <w:color w:val="000000"/>
                <w:sz w:val="20"/>
                <w:lang w:val="en-GB" w:eastAsia="fr-BE"/>
              </w:rPr>
              <w:t>States</w:t>
            </w:r>
          </w:p>
        </w:tc>
        <w:tc>
          <w:tcPr>
            <w:tcW w:w="566" w:type="dxa"/>
            <w:vAlign w:val="center"/>
          </w:tcPr>
          <w:p w14:paraId="1BEB142C"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502" w:type="dxa"/>
            <w:vAlign w:val="center"/>
          </w:tcPr>
          <w:p w14:paraId="2471A6C4"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709" w:type="dxa"/>
            <w:vAlign w:val="center"/>
          </w:tcPr>
          <w:p w14:paraId="37176B52"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567" w:type="dxa"/>
            <w:vAlign w:val="center"/>
          </w:tcPr>
          <w:p w14:paraId="187CF285"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545" w:type="dxa"/>
            <w:vAlign w:val="center"/>
          </w:tcPr>
          <w:p w14:paraId="0C70A7F8"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477" w:type="dxa"/>
            <w:vAlign w:val="center"/>
          </w:tcPr>
          <w:p w14:paraId="58E88BCA"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r>
      <w:tr w:rsidR="00577A45" w14:paraId="6E03C680" w14:textId="77777777" w:rsidTr="00577A45">
        <w:trPr>
          <w:cantSplit/>
          <w:trHeight w:val="288"/>
          <w:jc w:val="center"/>
        </w:trPr>
        <w:tc>
          <w:tcPr>
            <w:cnfStyle w:val="001000000000" w:firstRow="0" w:lastRow="0" w:firstColumn="1" w:lastColumn="0" w:oddVBand="0" w:evenVBand="0" w:oddHBand="0" w:evenHBand="0" w:firstRowFirstColumn="0" w:firstRowLastColumn="0" w:lastRowFirstColumn="0" w:lastRowLastColumn="0"/>
            <w:tcW w:w="3479" w:type="dxa"/>
            <w:shd w:val="clear" w:color="auto" w:fill="auto"/>
            <w:vAlign w:val="center"/>
          </w:tcPr>
          <w:p w14:paraId="15FD5ACF" w14:textId="77777777" w:rsidR="00577A45" w:rsidRDefault="004C2A6E">
            <w:pPr>
              <w:keepLines/>
              <w:spacing w:after="0" w:line="276" w:lineRule="auto"/>
              <w:jc w:val="center"/>
              <w:rPr>
                <w:rFonts w:ascii="Times New Roman" w:eastAsia="Times New Roman" w:hAnsi="Times New Roman" w:cs="Times New Roman"/>
                <w:b w:val="0"/>
                <w:color w:val="000000"/>
                <w:sz w:val="20"/>
                <w:lang w:val="en-GB" w:eastAsia="fr-BE"/>
              </w:rPr>
            </w:pPr>
            <w:r>
              <w:rPr>
                <w:rFonts w:ascii="Times New Roman" w:eastAsia="Times New Roman" w:hAnsi="Times New Roman" w:cs="Times New Roman"/>
                <w:b w:val="0"/>
                <w:color w:val="000000"/>
                <w:sz w:val="20"/>
                <w:lang w:val="en-GB" w:eastAsia="fr-BE"/>
              </w:rPr>
              <w:t>Multinational corporations</w:t>
            </w:r>
          </w:p>
        </w:tc>
        <w:tc>
          <w:tcPr>
            <w:tcW w:w="566" w:type="dxa"/>
            <w:shd w:val="clear" w:color="auto" w:fill="auto"/>
            <w:vAlign w:val="center"/>
          </w:tcPr>
          <w:p w14:paraId="33916F2C"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502" w:type="dxa"/>
            <w:shd w:val="clear" w:color="auto" w:fill="auto"/>
            <w:vAlign w:val="center"/>
          </w:tcPr>
          <w:p w14:paraId="6D62B8C2"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1</w:t>
            </w:r>
          </w:p>
        </w:tc>
        <w:tc>
          <w:tcPr>
            <w:tcW w:w="709" w:type="dxa"/>
            <w:shd w:val="clear" w:color="auto" w:fill="auto"/>
            <w:vAlign w:val="center"/>
          </w:tcPr>
          <w:p w14:paraId="7F56D924"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567" w:type="dxa"/>
            <w:shd w:val="clear" w:color="auto" w:fill="auto"/>
            <w:vAlign w:val="center"/>
          </w:tcPr>
          <w:p w14:paraId="41D54538"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545" w:type="dxa"/>
            <w:shd w:val="clear" w:color="auto" w:fill="auto"/>
            <w:vAlign w:val="center"/>
          </w:tcPr>
          <w:p w14:paraId="2DCD5B06"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477" w:type="dxa"/>
            <w:shd w:val="clear" w:color="auto" w:fill="auto"/>
            <w:vAlign w:val="center"/>
          </w:tcPr>
          <w:p w14:paraId="3A29BB50"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r>
      <w:tr w:rsidR="00577A45" w14:paraId="50112198" w14:textId="77777777" w:rsidTr="00577A45">
        <w:trPr>
          <w:cnfStyle w:val="000000100000" w:firstRow="0" w:lastRow="0" w:firstColumn="0" w:lastColumn="0" w:oddVBand="0" w:evenVBand="0" w:oddHBand="1" w:evenHBand="0" w:firstRowFirstColumn="0" w:firstRowLastColumn="0" w:lastRowFirstColumn="0" w:lastRowLastColumn="0"/>
          <w:cantSplit/>
          <w:trHeight w:val="288"/>
          <w:jc w:val="center"/>
        </w:trPr>
        <w:tc>
          <w:tcPr>
            <w:cnfStyle w:val="001000000000" w:firstRow="0" w:lastRow="0" w:firstColumn="1" w:lastColumn="0" w:oddVBand="0" w:evenVBand="0" w:oddHBand="0" w:evenHBand="0" w:firstRowFirstColumn="0" w:firstRowLastColumn="0" w:lastRowFirstColumn="0" w:lastRowLastColumn="0"/>
            <w:tcW w:w="3479" w:type="dxa"/>
            <w:vAlign w:val="center"/>
          </w:tcPr>
          <w:p w14:paraId="21E2FF8F" w14:textId="77777777" w:rsidR="00577A45" w:rsidRDefault="004C2A6E">
            <w:pPr>
              <w:keepLines/>
              <w:spacing w:after="0" w:line="276" w:lineRule="auto"/>
              <w:jc w:val="center"/>
              <w:rPr>
                <w:rFonts w:ascii="Times New Roman" w:eastAsia="Times New Roman" w:hAnsi="Times New Roman" w:cs="Times New Roman"/>
                <w:b w:val="0"/>
                <w:color w:val="000000"/>
                <w:sz w:val="20"/>
                <w:lang w:val="en-GB" w:eastAsia="fr-BE"/>
              </w:rPr>
            </w:pPr>
            <w:r>
              <w:rPr>
                <w:rFonts w:ascii="Times New Roman" w:eastAsia="Times New Roman" w:hAnsi="Times New Roman" w:cs="Times New Roman"/>
                <w:b w:val="0"/>
                <w:color w:val="000000"/>
                <w:sz w:val="20"/>
                <w:lang w:val="en-GB" w:eastAsia="fr-BE"/>
              </w:rPr>
              <w:t>International institutions</w:t>
            </w:r>
          </w:p>
        </w:tc>
        <w:tc>
          <w:tcPr>
            <w:tcW w:w="566" w:type="dxa"/>
            <w:vAlign w:val="center"/>
          </w:tcPr>
          <w:p w14:paraId="1C72C986"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1</w:t>
            </w:r>
          </w:p>
        </w:tc>
        <w:tc>
          <w:tcPr>
            <w:tcW w:w="502" w:type="dxa"/>
            <w:vAlign w:val="center"/>
          </w:tcPr>
          <w:p w14:paraId="7AA9D279"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709" w:type="dxa"/>
            <w:vAlign w:val="center"/>
          </w:tcPr>
          <w:p w14:paraId="5FFC6005"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567" w:type="dxa"/>
            <w:vAlign w:val="center"/>
          </w:tcPr>
          <w:p w14:paraId="6FFC8797"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545" w:type="dxa"/>
            <w:vAlign w:val="center"/>
          </w:tcPr>
          <w:p w14:paraId="45EA9BA6"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477" w:type="dxa"/>
            <w:vAlign w:val="center"/>
          </w:tcPr>
          <w:p w14:paraId="54620971"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r>
      <w:tr w:rsidR="00577A45" w14:paraId="2430F5A5" w14:textId="77777777" w:rsidTr="00577A45">
        <w:trPr>
          <w:cantSplit/>
          <w:trHeight w:val="288"/>
          <w:jc w:val="center"/>
        </w:trPr>
        <w:tc>
          <w:tcPr>
            <w:cnfStyle w:val="001000000000" w:firstRow="0" w:lastRow="0" w:firstColumn="1" w:lastColumn="0" w:oddVBand="0" w:evenVBand="0" w:oddHBand="0" w:evenHBand="0" w:firstRowFirstColumn="0" w:firstRowLastColumn="0" w:lastRowFirstColumn="0" w:lastRowLastColumn="0"/>
            <w:tcW w:w="3479" w:type="dxa"/>
            <w:shd w:val="clear" w:color="auto" w:fill="auto"/>
            <w:vAlign w:val="center"/>
          </w:tcPr>
          <w:p w14:paraId="3C42B37D" w14:textId="77777777" w:rsidR="00577A45" w:rsidRDefault="004C2A6E">
            <w:pPr>
              <w:keepLines/>
              <w:spacing w:after="0" w:line="276" w:lineRule="auto"/>
              <w:jc w:val="center"/>
              <w:rPr>
                <w:rFonts w:ascii="Times New Roman" w:eastAsia="Times New Roman" w:hAnsi="Times New Roman" w:cs="Times New Roman"/>
                <w:b w:val="0"/>
                <w:color w:val="000000"/>
                <w:sz w:val="20"/>
                <w:lang w:val="en-GB" w:eastAsia="fr-BE"/>
              </w:rPr>
            </w:pPr>
            <w:r>
              <w:rPr>
                <w:rFonts w:ascii="Times New Roman" w:eastAsia="Times New Roman" w:hAnsi="Times New Roman" w:cs="Times New Roman"/>
                <w:b w:val="0"/>
                <w:color w:val="000000"/>
                <w:sz w:val="20"/>
                <w:lang w:val="en-GB" w:eastAsia="fr-BE"/>
              </w:rPr>
              <w:t>Large NGOs</w:t>
            </w:r>
          </w:p>
        </w:tc>
        <w:tc>
          <w:tcPr>
            <w:tcW w:w="566" w:type="dxa"/>
            <w:shd w:val="clear" w:color="auto" w:fill="auto"/>
            <w:vAlign w:val="center"/>
          </w:tcPr>
          <w:p w14:paraId="65EC9222"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502" w:type="dxa"/>
            <w:shd w:val="clear" w:color="auto" w:fill="auto"/>
            <w:vAlign w:val="center"/>
          </w:tcPr>
          <w:p w14:paraId="3FAF0662"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1</w:t>
            </w:r>
          </w:p>
        </w:tc>
        <w:tc>
          <w:tcPr>
            <w:tcW w:w="709" w:type="dxa"/>
            <w:shd w:val="clear" w:color="auto" w:fill="auto"/>
            <w:vAlign w:val="center"/>
          </w:tcPr>
          <w:p w14:paraId="3894A3E3"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567" w:type="dxa"/>
            <w:shd w:val="clear" w:color="auto" w:fill="auto"/>
            <w:vAlign w:val="center"/>
          </w:tcPr>
          <w:p w14:paraId="395FFD7A"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545" w:type="dxa"/>
            <w:shd w:val="clear" w:color="auto" w:fill="auto"/>
            <w:vAlign w:val="center"/>
          </w:tcPr>
          <w:p w14:paraId="328C0C22"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477" w:type="dxa"/>
            <w:shd w:val="clear" w:color="auto" w:fill="auto"/>
            <w:vAlign w:val="center"/>
          </w:tcPr>
          <w:p w14:paraId="41BA53E3"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r>
      <w:tr w:rsidR="00577A45" w14:paraId="739F4ECE" w14:textId="77777777" w:rsidTr="00577A45">
        <w:trPr>
          <w:cnfStyle w:val="000000100000" w:firstRow="0" w:lastRow="0" w:firstColumn="0" w:lastColumn="0" w:oddVBand="0" w:evenVBand="0" w:oddHBand="1" w:evenHBand="0" w:firstRowFirstColumn="0" w:firstRowLastColumn="0" w:lastRowFirstColumn="0" w:lastRowLastColumn="0"/>
          <w:cantSplit/>
          <w:trHeight w:val="288"/>
          <w:jc w:val="center"/>
        </w:trPr>
        <w:tc>
          <w:tcPr>
            <w:cnfStyle w:val="001000000000" w:firstRow="0" w:lastRow="0" w:firstColumn="1" w:lastColumn="0" w:oddVBand="0" w:evenVBand="0" w:oddHBand="0" w:evenHBand="0" w:firstRowFirstColumn="0" w:firstRowLastColumn="0" w:lastRowFirstColumn="0" w:lastRowLastColumn="0"/>
            <w:tcW w:w="3479" w:type="dxa"/>
            <w:vAlign w:val="center"/>
          </w:tcPr>
          <w:p w14:paraId="054C8E0A" w14:textId="77777777" w:rsidR="00577A45" w:rsidRDefault="004C2A6E">
            <w:pPr>
              <w:keepLines/>
              <w:spacing w:after="0" w:line="276" w:lineRule="auto"/>
              <w:jc w:val="center"/>
              <w:rPr>
                <w:rFonts w:ascii="Times New Roman" w:eastAsia="Times New Roman" w:hAnsi="Times New Roman" w:cs="Times New Roman"/>
                <w:b w:val="0"/>
                <w:color w:val="000000"/>
                <w:sz w:val="20"/>
                <w:lang w:val="en-GB" w:eastAsia="fr-BE"/>
              </w:rPr>
            </w:pPr>
            <w:r>
              <w:rPr>
                <w:rFonts w:ascii="Times New Roman" w:eastAsia="Times New Roman" w:hAnsi="Times New Roman" w:cs="Times New Roman"/>
                <w:b w:val="0"/>
                <w:color w:val="000000"/>
                <w:sz w:val="20"/>
                <w:lang w:val="en-GB" w:eastAsia="fr-BE"/>
              </w:rPr>
              <w:t>World class scholars</w:t>
            </w:r>
          </w:p>
        </w:tc>
        <w:tc>
          <w:tcPr>
            <w:tcW w:w="566" w:type="dxa"/>
            <w:vAlign w:val="center"/>
          </w:tcPr>
          <w:p w14:paraId="64F1D9F7"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1</w:t>
            </w:r>
          </w:p>
        </w:tc>
        <w:tc>
          <w:tcPr>
            <w:tcW w:w="502" w:type="dxa"/>
            <w:vAlign w:val="center"/>
          </w:tcPr>
          <w:p w14:paraId="2D43CBBF"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1</w:t>
            </w:r>
          </w:p>
        </w:tc>
        <w:tc>
          <w:tcPr>
            <w:tcW w:w="709" w:type="dxa"/>
            <w:vAlign w:val="center"/>
          </w:tcPr>
          <w:p w14:paraId="1CEC3143"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567" w:type="dxa"/>
            <w:vAlign w:val="center"/>
          </w:tcPr>
          <w:p w14:paraId="2C2A86C5"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545" w:type="dxa"/>
            <w:vAlign w:val="center"/>
          </w:tcPr>
          <w:p w14:paraId="76810C94"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477" w:type="dxa"/>
            <w:vAlign w:val="center"/>
          </w:tcPr>
          <w:p w14:paraId="4FCC81E0"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r>
      <w:tr w:rsidR="00577A45" w14:paraId="245D1589" w14:textId="77777777" w:rsidTr="00577A45">
        <w:trPr>
          <w:cantSplit/>
          <w:trHeight w:val="288"/>
          <w:jc w:val="center"/>
        </w:trPr>
        <w:tc>
          <w:tcPr>
            <w:cnfStyle w:val="001000000000" w:firstRow="0" w:lastRow="0" w:firstColumn="1" w:lastColumn="0" w:oddVBand="0" w:evenVBand="0" w:oddHBand="0" w:evenHBand="0" w:firstRowFirstColumn="0" w:firstRowLastColumn="0" w:lastRowFirstColumn="0" w:lastRowLastColumn="0"/>
            <w:tcW w:w="3479" w:type="dxa"/>
            <w:shd w:val="clear" w:color="auto" w:fill="auto"/>
            <w:vAlign w:val="center"/>
          </w:tcPr>
          <w:p w14:paraId="419F2C46" w14:textId="77777777" w:rsidR="00577A45" w:rsidRDefault="004C2A6E">
            <w:pPr>
              <w:keepLines/>
              <w:spacing w:after="0" w:line="276" w:lineRule="auto"/>
              <w:jc w:val="center"/>
              <w:rPr>
                <w:rFonts w:ascii="Times New Roman" w:eastAsia="Times New Roman" w:hAnsi="Times New Roman" w:cs="Times New Roman"/>
                <w:b w:val="0"/>
                <w:color w:val="000000"/>
                <w:sz w:val="20"/>
                <w:lang w:val="en-GB" w:eastAsia="fr-BE"/>
              </w:rPr>
            </w:pPr>
            <w:r>
              <w:rPr>
                <w:rFonts w:ascii="Times New Roman" w:eastAsia="Times New Roman" w:hAnsi="Times New Roman" w:cs="Times New Roman"/>
                <w:b w:val="0"/>
                <w:color w:val="000000"/>
                <w:sz w:val="20"/>
                <w:lang w:val="en-GB" w:eastAsia="fr-BE"/>
              </w:rPr>
              <w:t>Global media</w:t>
            </w:r>
          </w:p>
        </w:tc>
        <w:tc>
          <w:tcPr>
            <w:tcW w:w="566" w:type="dxa"/>
            <w:shd w:val="clear" w:color="auto" w:fill="auto"/>
            <w:vAlign w:val="center"/>
          </w:tcPr>
          <w:p w14:paraId="12724197"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502" w:type="dxa"/>
            <w:shd w:val="clear" w:color="auto" w:fill="auto"/>
            <w:vAlign w:val="center"/>
          </w:tcPr>
          <w:p w14:paraId="444AEE42"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709" w:type="dxa"/>
            <w:shd w:val="clear" w:color="auto" w:fill="auto"/>
            <w:vAlign w:val="center"/>
          </w:tcPr>
          <w:p w14:paraId="09A340DB"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567" w:type="dxa"/>
            <w:shd w:val="clear" w:color="auto" w:fill="auto"/>
            <w:vAlign w:val="center"/>
          </w:tcPr>
          <w:p w14:paraId="56FBD418"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545" w:type="dxa"/>
            <w:shd w:val="clear" w:color="auto" w:fill="auto"/>
            <w:vAlign w:val="center"/>
          </w:tcPr>
          <w:p w14:paraId="160481F3"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c>
          <w:tcPr>
            <w:tcW w:w="477" w:type="dxa"/>
            <w:shd w:val="clear" w:color="auto" w:fill="auto"/>
            <w:vAlign w:val="center"/>
          </w:tcPr>
          <w:p w14:paraId="45FA09F7"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w:t>
            </w:r>
          </w:p>
        </w:tc>
      </w:tr>
    </w:tbl>
    <w:p w14:paraId="220FE337" w14:textId="77777777" w:rsidR="00577A45" w:rsidRDefault="00577A45">
      <w:pPr>
        <w:pStyle w:val="2mepara"/>
        <w:keepLines/>
        <w:ind w:firstLine="0"/>
        <w:rPr>
          <w:lang w:val="en-GB"/>
        </w:rPr>
      </w:pPr>
    </w:p>
    <w:p w14:paraId="568C8288" w14:textId="51211591" w:rsidR="00577A45" w:rsidRDefault="004C2A6E">
      <w:pPr>
        <w:pStyle w:val="2mepara"/>
        <w:rPr>
          <w:lang w:val="en-GB"/>
        </w:rPr>
      </w:pPr>
      <w:r>
        <w:rPr>
          <w:lang w:val="en-GB"/>
        </w:rPr>
        <w:t>The HDI was initiated by leading academics (</w:t>
      </w:r>
      <w:r>
        <w:rPr>
          <w:lang w:val="en-US"/>
        </w:rPr>
        <w:t xml:space="preserve">Mahbud ul Haq, </w:t>
      </w:r>
      <w:r>
        <w:rPr>
          <w:lang w:val="en-GB"/>
        </w:rPr>
        <w:t>Amartya Sen,</w:t>
      </w:r>
      <w:r>
        <w:t xml:space="preserve"> Meghnad Desai and others)</w:t>
      </w:r>
      <w:r>
        <w:rPr>
          <w:lang w:val="en-GB"/>
        </w:rPr>
        <w:t xml:space="preserve"> under the auspices of the UN (UNDP) (Haq, 1995). The combination of prestigious scholars</w:t>
      </w:r>
      <w:r>
        <w:rPr>
          <w:rStyle w:val="Ancladenotaalpie"/>
        </w:rPr>
        <w:footnoteReference w:id="4"/>
      </w:r>
      <w:r>
        <w:rPr>
          <w:lang w:val="en-GB"/>
        </w:rPr>
        <w:t xml:space="preserve">, among them a winner of Sweden’s central bank prize in memory of Alfred Nobel, and an important international institution have given it large symbolic power. The SPI was developed by the Social Progress Imperative, a coalition based in Washington DC bringing together large private companies (the world’s largest auditing and consulting </w:t>
      </w:r>
      <w:r>
        <w:rPr>
          <w:lang w:val="en-GB"/>
        </w:rPr>
        <w:lastRenderedPageBreak/>
        <w:t>group Deloitte; the American multinational technology conglomerate Cisco, the largest microfinance bank in Latin America Compartamos Banco,…) or large foundations (Rockefeller Foundation, Skoll Foundation, Avina Foundation…) as well as academics from among the most prestigious universities (including Harvard, MIT, and Oxford</w:t>
      </w:r>
      <w:r>
        <w:rPr>
          <w:rStyle w:val="Ancladenotaalpie"/>
          <w:lang w:val="en-GB"/>
        </w:rPr>
        <w:footnoteReference w:id="5"/>
      </w:r>
      <w:r>
        <w:rPr>
          <w:lang w:val="en-GB"/>
        </w:rPr>
        <w:t xml:space="preserve">). To refer to our </w:t>
      </w:r>
      <w:r w:rsidRPr="00B15B74">
        <w:rPr>
          <w:lang w:val="en-GB"/>
        </w:rPr>
        <w:t>criterion</w:t>
      </w:r>
      <w:r>
        <w:rPr>
          <w:lang w:val="en-GB"/>
        </w:rPr>
        <w:t xml:space="preserve">, these companies and foundations, except Compartamos Banco, have been operating in more than 20 countries. Presidents or top executives of most of them were members of one of the two boards of the Social Progress Imperative (Porter </w:t>
      </w:r>
      <w:r>
        <w:rPr>
          <w:i/>
          <w:lang w:val="en-GB"/>
        </w:rPr>
        <w:t>et al.</w:t>
      </w:r>
      <w:r>
        <w:rPr>
          <w:lang w:val="en-GB"/>
        </w:rPr>
        <w:t>, 2013). SPI developers also collaborated with the European Commission, as well as with governments, municipalities, and more than 200 local associations across a number of continents, in order to develop regional or local versions of the index (which are not analysed in this paper). SPI initiators thus hold significant symbolic power thanks to their expertise as well as financial means</w:t>
      </w:r>
      <w:r w:rsidRPr="00B15B74">
        <w:rPr>
          <w:lang w:val="en-GB"/>
        </w:rPr>
        <w:t>. The coalition and the network responsible for the SPI can be qualified as powerful.</w:t>
      </w:r>
    </w:p>
    <w:p w14:paraId="6778752B" w14:textId="77777777" w:rsidR="00577A45" w:rsidRDefault="004C2A6E">
      <w:pPr>
        <w:pStyle w:val="2mepara"/>
        <w:rPr>
          <w:lang w:val="en-GB"/>
        </w:rPr>
      </w:pPr>
      <w:r>
        <w:rPr>
          <w:lang w:val="en-GB"/>
        </w:rPr>
        <w:t xml:space="preserve">The GWBI and QoL are both products of academia, of the American University of Beirut and Baylor University, respectively. These universities rank between 501-600 and 601-800th in the Times Higher Education Ranking. The last two indicators (the HPI and the SSI) were produced by think tanks rather than the academy. They were developed by the New Economic Foundation (United Kingdom) and the Sustainable Society Foundation (Netherlands), respectively, both foundations active in their home country. These four indicators were all developed without high-profile participation from international institutions, policy actors, or highly prestigious universities. Their developers’ means are limited and their scope is local. They will be considered as initiated by non-powerful stakeholders. </w:t>
      </w:r>
    </w:p>
    <w:p w14:paraId="1333E3B1" w14:textId="7E1DAED2" w:rsidR="00577A45" w:rsidRDefault="004C2A6E">
      <w:pPr>
        <w:pStyle w:val="2mepara"/>
        <w:rPr>
          <w:lang w:val="en-GB"/>
        </w:rPr>
      </w:pPr>
      <w:r>
        <w:rPr>
          <w:lang w:val="en-GB"/>
        </w:rPr>
        <w:t xml:space="preserve">Two indicators (HDI, SPI) can thus be considered as being initiated by powerful stakeholders, while the others (GWBU, QoL, HDI, SSI) are initiated by stakeholders that are considered non-powerful. The potential of these indicators to change frameworks of action or narratives will now be </w:t>
      </w:r>
      <w:r w:rsidR="00F04FFA">
        <w:rPr>
          <w:lang w:val="en-GB"/>
        </w:rPr>
        <w:t xml:space="preserve">evaluated </w:t>
      </w:r>
      <w:r>
        <w:rPr>
          <w:lang w:val="en-GB"/>
        </w:rPr>
        <w:t xml:space="preserve">and </w:t>
      </w:r>
      <w:r w:rsidR="00F04FFA" w:rsidRPr="00F04FFA">
        <w:rPr>
          <w:lang w:val="en-GB"/>
        </w:rPr>
        <w:t xml:space="preserve">considered </w:t>
      </w:r>
      <w:r w:rsidRPr="00F04FFA">
        <w:rPr>
          <w:lang w:val="en-GB"/>
        </w:rPr>
        <w:t xml:space="preserve">in </w:t>
      </w:r>
      <w:r w:rsidR="00F04FFA" w:rsidRPr="00F04FFA">
        <w:rPr>
          <w:lang w:val="en-GB"/>
        </w:rPr>
        <w:t>relation to</w:t>
      </w:r>
      <w:r w:rsidRPr="00F04FFA">
        <w:rPr>
          <w:lang w:val="en-GB"/>
        </w:rPr>
        <w:t xml:space="preserve"> the stakeholders</w:t>
      </w:r>
      <w:r>
        <w:rPr>
          <w:lang w:val="en-GB"/>
        </w:rPr>
        <w:t xml:space="preserve"> who played a role in their development.</w:t>
      </w:r>
    </w:p>
    <w:p w14:paraId="48B2B473" w14:textId="77777777" w:rsidR="00577A45" w:rsidRDefault="004C2A6E">
      <w:pPr>
        <w:spacing w:before="520" w:after="280" w:line="240" w:lineRule="auto"/>
        <w:outlineLvl w:val="0"/>
        <w:rPr>
          <w:rFonts w:ascii="Times New Roman" w:eastAsia="Times New Roman" w:hAnsi="Times New Roman" w:cs="Times New Roman"/>
          <w:b/>
          <w:bCs/>
          <w:color w:val="000000"/>
          <w:kern w:val="2"/>
          <w:sz w:val="24"/>
          <w:szCs w:val="24"/>
          <w:lang w:val="en-GB" w:eastAsia="hu-HU"/>
        </w:rPr>
      </w:pPr>
      <w:r>
        <w:rPr>
          <w:rFonts w:ascii="Times New Roman" w:eastAsia="Times New Roman" w:hAnsi="Times New Roman" w:cs="Times New Roman"/>
          <w:b/>
          <w:bCs/>
          <w:color w:val="000000"/>
          <w:kern w:val="2"/>
          <w:sz w:val="24"/>
          <w:szCs w:val="24"/>
          <w:lang w:val="en-GB" w:eastAsia="hu-HU"/>
        </w:rPr>
        <w:t>4 Evaluation of transformative potential</w:t>
      </w:r>
    </w:p>
    <w:p w14:paraId="0AC16DA2" w14:textId="77777777" w:rsidR="00577A45" w:rsidRDefault="004C2A6E">
      <w:pPr>
        <w:pStyle w:val="Titre4"/>
        <w:spacing w:before="0" w:after="160"/>
        <w:contextualSpacing/>
        <w:rPr>
          <w:b w:val="0"/>
          <w:lang w:val="en-GB"/>
        </w:rPr>
      </w:pPr>
      <w:r>
        <w:rPr>
          <w:lang w:val="en-GB"/>
        </w:rPr>
        <w:t>4.1 Methodology</w:t>
      </w:r>
    </w:p>
    <w:p w14:paraId="399788C3" w14:textId="24878337" w:rsidR="00577A45" w:rsidRDefault="004C2A6E">
      <w:pPr>
        <w:pStyle w:val="Premierpara"/>
        <w:rPr>
          <w:lang w:val="en-GB"/>
        </w:rPr>
      </w:pPr>
      <w:r>
        <w:rPr>
          <w:lang w:val="en-GB"/>
        </w:rPr>
        <w:lastRenderedPageBreak/>
        <w:t xml:space="preserve">The term transformative potential has been proposed here in a limited sense, to refer to the indicators’ theoretical capacity to show </w:t>
      </w:r>
      <w:r w:rsidRPr="001F60A7">
        <w:rPr>
          <w:lang w:val="en-GB"/>
        </w:rPr>
        <w:t xml:space="preserve">other representations of </w:t>
      </w:r>
      <w:r w:rsidR="001F60A7">
        <w:rPr>
          <w:lang w:val="en-GB"/>
        </w:rPr>
        <w:t>societies</w:t>
      </w:r>
      <w:r>
        <w:rPr>
          <w:lang w:val="en-GB"/>
        </w:rPr>
        <w:t xml:space="preserve"> than those that have resulted from GDP. This is considered as a pre-condition for influencing frameworks of action or narratives, and thus </w:t>
      </w:r>
      <w:r w:rsidR="001F60A7" w:rsidRPr="001F60A7">
        <w:rPr>
          <w:lang w:val="en-GB"/>
        </w:rPr>
        <w:t>contributing to social change</w:t>
      </w:r>
      <w:r w:rsidRPr="001F60A7">
        <w:rPr>
          <w:lang w:val="en-GB"/>
        </w:rPr>
        <w:t xml:space="preserve">. </w:t>
      </w:r>
    </w:p>
    <w:p w14:paraId="0566816D" w14:textId="77777777" w:rsidR="00577A45" w:rsidRDefault="004C2A6E">
      <w:pPr>
        <w:pStyle w:val="2mepara"/>
        <w:rPr>
          <w:lang w:val="en-GB"/>
        </w:rPr>
      </w:pPr>
      <w:r>
        <w:rPr>
          <w:lang w:val="en-GB"/>
        </w:rPr>
        <w:t xml:space="preserve">A first way of measuring transformative potential is quantitative and consists of comparing the ranking of countries according </w:t>
      </w:r>
      <w:r>
        <w:t>to GDP on one side and Beyond GDP indicators on the other</w:t>
      </w:r>
      <w:r>
        <w:rPr>
          <w:lang w:val="en-GB"/>
        </w:rPr>
        <w:t xml:space="preserve">. This comparison is justified by the fact that many Beyond GDP indicators are used as benchmarking tools between countries, with the aim, inspired by New Public Management, of steering performance (Desrosières, 2012; Salais 2010). Because of this, the relative position that the indicators attribute to each country is of upmost importance. In accordance with this way of conceiving transformative potential, an indicator will be considered as having that much more transformative potential the larger the disparity between its results and those resulting from GDP. If the results produced </w:t>
      </w:r>
      <w:r>
        <w:t>by an indicator are very close or identical to those produced by GDP</w:t>
      </w:r>
      <w:r>
        <w:rPr>
          <w:lang w:val="en-GB"/>
        </w:rPr>
        <w:t xml:space="preserve">, the transformative potential of the indicator will be considered to be very weak or nil. Hence, the focus is on the </w:t>
      </w:r>
      <w:r>
        <w:rPr>
          <w:i/>
          <w:lang w:val="en-GB"/>
        </w:rPr>
        <w:t>controversy</w:t>
      </w:r>
      <w:r>
        <w:rPr>
          <w:lang w:val="en-GB"/>
        </w:rPr>
        <w:t xml:space="preserve"> dimension of indicators. </w:t>
      </w:r>
    </w:p>
    <w:p w14:paraId="487FEB3E" w14:textId="2D0E2E12" w:rsidR="00577A45" w:rsidRDefault="004C2A6E">
      <w:pPr>
        <w:pStyle w:val="2mepara"/>
        <w:rPr>
          <w:lang w:val="en-GB"/>
        </w:rPr>
      </w:pPr>
      <w:r>
        <w:rPr>
          <w:lang w:val="en-GB"/>
        </w:rPr>
        <w:t xml:space="preserve">As stated above, this is only one possible way to measure transformative potential. Another way would </w:t>
      </w:r>
      <w:r>
        <w:rPr>
          <w:lang w:val="en-US"/>
        </w:rPr>
        <w:t xml:space="preserve">be to run a qualitative </w:t>
      </w:r>
      <w:r>
        <w:rPr>
          <w:lang w:val="en-GB"/>
        </w:rPr>
        <w:t>investigation of the effective change in actors’ interpretations and actions (</w:t>
      </w:r>
      <w:r>
        <w:rPr>
          <w:i/>
          <w:lang w:val="en-GB"/>
        </w:rPr>
        <w:t>e.g.</w:t>
      </w:r>
      <w:r>
        <w:rPr>
          <w:lang w:val="en-GB"/>
        </w:rPr>
        <w:t xml:space="preserve"> Sebastien and Bauler, 2013)</w:t>
      </w:r>
      <w:r>
        <w:rPr>
          <w:lang w:val="en-US"/>
        </w:rPr>
        <w:t xml:space="preserve">. A third way would add an ethical perspective to this empirical analysis: is the precise transformation desirable and for whom? This paper is limited to quantitative analysis, studying if an indicator shows a differing reality to the one showed by GDP. This approach is well suited for our focus, which is inter-indicator comparison. However, as it is indicator-based rather than actor-based, the approach cannot assess </w:t>
      </w:r>
      <w:r w:rsidRPr="001F60A7">
        <w:rPr>
          <w:lang w:val="en-US"/>
        </w:rPr>
        <w:t xml:space="preserve">final changes in interpretations or actions (the transformative potential at work). We can only proxy these changes in terms of likelihood: all other factors equal, </w:t>
      </w:r>
      <w:r w:rsidRPr="001F60A7">
        <w:rPr>
          <w:lang w:val="en-GB"/>
        </w:rPr>
        <w:t xml:space="preserve">there is a higher likelihood to foster </w:t>
      </w:r>
      <w:r w:rsidRPr="001F60A7">
        <w:rPr>
          <w:lang w:val="en-US"/>
        </w:rPr>
        <w:t>changes in interpretations or actions</w:t>
      </w:r>
      <w:r w:rsidRPr="001F60A7">
        <w:rPr>
          <w:lang w:val="en-GB"/>
        </w:rPr>
        <w:t xml:space="preserve"> if </w:t>
      </w:r>
      <w:r w:rsidRPr="001F60A7">
        <w:rPr>
          <w:lang w:val="en-US"/>
        </w:rPr>
        <w:t xml:space="preserve">an indicator produces divergent rankings (of countries) from GDP. </w:t>
      </w:r>
      <w:r w:rsidRPr="001F60A7">
        <w:rPr>
          <w:lang w:val="en-GB"/>
        </w:rPr>
        <w:t xml:space="preserve">The divergence in rankings resulting from GDP and Beyond GDP </w:t>
      </w:r>
      <w:r w:rsidRPr="001F60A7">
        <w:rPr>
          <w:lang w:val="en-GB"/>
        </w:rPr>
        <w:t xml:space="preserve">indicators has </w:t>
      </w:r>
      <w:r w:rsidRPr="001F60A7">
        <w:rPr>
          <w:lang w:val="en-GB"/>
        </w:rPr>
        <w:t xml:space="preserve">thus been regarded as a reasonable proxy for transformative potential, bearing in mind that it </w:t>
      </w:r>
      <w:r w:rsidR="001F60A7" w:rsidRPr="001F60A7">
        <w:rPr>
          <w:lang w:val="en-GB"/>
        </w:rPr>
        <w:t>is</w:t>
      </w:r>
      <w:r w:rsidRPr="001F60A7">
        <w:rPr>
          <w:lang w:val="en-GB"/>
        </w:rPr>
        <w:t xml:space="preserve"> a necessary condition </w:t>
      </w:r>
      <w:r w:rsidR="001F60A7" w:rsidRPr="001F60A7">
        <w:rPr>
          <w:lang w:val="en-GB"/>
        </w:rPr>
        <w:t>for</w:t>
      </w:r>
      <w:r w:rsidRPr="001F60A7">
        <w:rPr>
          <w:lang w:val="en-GB"/>
        </w:rPr>
        <w:t xml:space="preserve"> it, </w:t>
      </w:r>
      <w:r w:rsidR="001F60A7" w:rsidRPr="001F60A7">
        <w:rPr>
          <w:lang w:val="en-GB"/>
        </w:rPr>
        <w:t>but not a sufficient one</w:t>
      </w:r>
      <w:r w:rsidRPr="001F60A7">
        <w:rPr>
          <w:lang w:val="en-GB"/>
        </w:rPr>
        <w:t>.</w:t>
      </w:r>
    </w:p>
    <w:p w14:paraId="6E708FA6" w14:textId="77777777" w:rsidR="00577A45" w:rsidRDefault="004C2A6E">
      <w:pPr>
        <w:pStyle w:val="2mepara"/>
        <w:rPr>
          <w:lang w:val="en-GB"/>
        </w:rPr>
      </w:pPr>
      <w:r>
        <w:rPr>
          <w:lang w:val="en-GB"/>
        </w:rPr>
        <w:t xml:space="preserve">The metric has been applied to the different indicators in two stages. First, the disparity </w:t>
      </w:r>
      <w:r>
        <w:rPr>
          <w:lang w:val="en-US"/>
        </w:rPr>
        <w:t>between</w:t>
      </w:r>
      <w:r>
        <w:rPr>
          <w:lang w:val="en-GB"/>
        </w:rPr>
        <w:t xml:space="preserve"> the rankings produced by GDP and each of the six indicators has been observed by calculating correlation coefficients. The analysis has then been repeated with the countries grouped by type in order to test whether the correlations are preserved.</w:t>
      </w:r>
    </w:p>
    <w:p w14:paraId="6F43C33F" w14:textId="77777777" w:rsidR="00577A45" w:rsidRDefault="004C2A6E">
      <w:pPr>
        <w:pStyle w:val="Titre4"/>
        <w:spacing w:before="0" w:after="160"/>
        <w:contextualSpacing/>
        <w:rPr>
          <w:b w:val="0"/>
          <w:lang w:val="en-GB"/>
        </w:rPr>
      </w:pPr>
      <w:r>
        <w:rPr>
          <w:lang w:val="en-GB"/>
        </w:rPr>
        <w:t>4.2 Survey of indicators’ rankings</w:t>
      </w:r>
    </w:p>
    <w:p w14:paraId="15A6301D" w14:textId="77777777" w:rsidR="00577A45" w:rsidRDefault="004C2A6E">
      <w:pPr>
        <w:pStyle w:val="Premierpara"/>
        <w:rPr>
          <w:lang w:val="en-GB"/>
        </w:rPr>
      </w:pPr>
      <w:r>
        <w:rPr>
          <w:lang w:val="en-GB"/>
        </w:rPr>
        <w:t>Table 3</w:t>
      </w:r>
      <w:r>
        <w:rPr>
          <w:b/>
          <w:lang w:val="en-GB"/>
        </w:rPr>
        <w:t xml:space="preserve"> </w:t>
      </w:r>
      <w:r>
        <w:rPr>
          <w:lang w:val="en-GB"/>
        </w:rPr>
        <w:t xml:space="preserve">shows the Top and Bottom 10 for per capita GDP, as well as the shift in rank produced by the six Beyond GDP indicators under consideration: the </w:t>
      </w:r>
      <w:r>
        <w:rPr>
          <w:lang w:val="en-GB"/>
        </w:rPr>
        <w:lastRenderedPageBreak/>
        <w:t>Human Development Index (HDI), the Social Progress Index (SPI), the Global Well-Being Index (GWBI), Quality of Life (QoL), the Happy Planet Index (HPI), and the Sustainable Society Index (SSI). Data presented in this table and the following ones are based on the same sources as in table 1</w:t>
      </w:r>
      <w:r>
        <w:rPr>
          <w:rStyle w:val="Ancladenotaalpie"/>
          <w:lang w:val="en-GB"/>
        </w:rPr>
        <w:footnoteReference w:id="6"/>
      </w:r>
      <w:r>
        <w:rPr>
          <w:lang w:val="en-GB"/>
        </w:rPr>
        <w:t xml:space="preserve">. </w:t>
      </w:r>
    </w:p>
    <w:p w14:paraId="2390957D" w14:textId="77777777" w:rsidR="00577A45" w:rsidRDefault="00577A45">
      <w:pPr>
        <w:pStyle w:val="Premierpara"/>
        <w:rPr>
          <w:lang w:val="en-GB"/>
        </w:rPr>
      </w:pPr>
    </w:p>
    <w:p w14:paraId="7CC3A4CA" w14:textId="77777777" w:rsidR="00577A45" w:rsidRDefault="00577A45">
      <w:pPr>
        <w:pStyle w:val="Premierpara"/>
        <w:rPr>
          <w:lang w:val="en-GB"/>
        </w:rPr>
      </w:pPr>
    </w:p>
    <w:p w14:paraId="7895C50D" w14:textId="77777777" w:rsidR="00577A45" w:rsidRDefault="004C2A6E">
      <w:pPr>
        <w:pStyle w:val="2mepara"/>
        <w:jc w:val="center"/>
        <w:rPr>
          <w:b/>
          <w:sz w:val="20"/>
          <w:szCs w:val="20"/>
          <w:lang w:val="en-GB" w:eastAsia="fr-BE"/>
        </w:rPr>
      </w:pPr>
      <w:r>
        <w:rPr>
          <w:b/>
          <w:sz w:val="20"/>
          <w:szCs w:val="20"/>
          <w:lang w:val="en-GB" w:eastAsia="fr-BE"/>
        </w:rPr>
        <w:t>Table 3: Top 10 and Bottom 10 of countries according to GDP per capita and their rank’s change according to six Beyond GDP indicators</w:t>
      </w:r>
    </w:p>
    <w:tbl>
      <w:tblPr>
        <w:tblStyle w:val="Tableausimple41"/>
        <w:tblW w:w="7739" w:type="dxa"/>
        <w:jc w:val="center"/>
        <w:tblLook w:val="04A0" w:firstRow="1" w:lastRow="0" w:firstColumn="1" w:lastColumn="0" w:noHBand="0" w:noVBand="1"/>
      </w:tblPr>
      <w:tblGrid>
        <w:gridCol w:w="883"/>
        <w:gridCol w:w="1183"/>
        <w:gridCol w:w="572"/>
        <w:gridCol w:w="505"/>
        <w:gridCol w:w="716"/>
        <w:gridCol w:w="572"/>
        <w:gridCol w:w="550"/>
        <w:gridCol w:w="483"/>
        <w:gridCol w:w="1105"/>
        <w:gridCol w:w="1170"/>
      </w:tblGrid>
      <w:tr w:rsidR="00577A45" w14:paraId="22E5A4A8" w14:textId="77777777" w:rsidTr="00577A45">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24B584AD" w14:textId="77777777" w:rsidR="00577A45" w:rsidRDefault="004C2A6E">
            <w:pPr>
              <w:pStyle w:val="Premierpara"/>
              <w:jc w:val="center"/>
              <w:rPr>
                <w:b w:val="0"/>
                <w:i/>
                <w:sz w:val="20"/>
                <w:szCs w:val="20"/>
                <w:lang w:val="en-GB"/>
              </w:rPr>
            </w:pPr>
            <w:r>
              <w:rPr>
                <w:b w:val="0"/>
                <w:i/>
                <w:sz w:val="20"/>
                <w:szCs w:val="20"/>
                <w:lang w:val="en-GB"/>
              </w:rPr>
              <w:t>Ranking</w:t>
            </w:r>
          </w:p>
        </w:tc>
        <w:tc>
          <w:tcPr>
            <w:tcW w:w="1183" w:type="dxa"/>
            <w:shd w:val="clear" w:color="auto" w:fill="auto"/>
            <w:vAlign w:val="center"/>
          </w:tcPr>
          <w:p w14:paraId="62AFAB8D" w14:textId="77777777" w:rsidR="00577A45" w:rsidRDefault="004C2A6E">
            <w:pPr>
              <w:pStyle w:val="Premierpara"/>
              <w:jc w:val="center"/>
              <w:cnfStyle w:val="100000000000" w:firstRow="1" w:lastRow="0" w:firstColumn="0" w:lastColumn="0" w:oddVBand="0" w:evenVBand="0" w:oddHBand="0" w:evenHBand="0" w:firstRowFirstColumn="0" w:firstRowLastColumn="0" w:lastRowFirstColumn="0" w:lastRowLastColumn="0"/>
              <w:rPr>
                <w:b w:val="0"/>
                <w:i/>
                <w:sz w:val="20"/>
                <w:szCs w:val="20"/>
                <w:lang w:val="en-GB"/>
              </w:rPr>
            </w:pPr>
            <w:r>
              <w:rPr>
                <w:b w:val="0"/>
                <w:i/>
                <w:sz w:val="20"/>
                <w:szCs w:val="20"/>
                <w:lang w:val="en-GB"/>
              </w:rPr>
              <w:t>GDP</w:t>
            </w:r>
          </w:p>
        </w:tc>
        <w:tc>
          <w:tcPr>
            <w:tcW w:w="572" w:type="dxa"/>
            <w:shd w:val="clear" w:color="auto" w:fill="auto"/>
            <w:vAlign w:val="center"/>
          </w:tcPr>
          <w:p w14:paraId="08551DBD" w14:textId="77777777" w:rsidR="00577A45" w:rsidRDefault="004C2A6E">
            <w:pPr>
              <w:pStyle w:val="Premierpara"/>
              <w:jc w:val="center"/>
              <w:cnfStyle w:val="100000000000" w:firstRow="1" w:lastRow="0" w:firstColumn="0" w:lastColumn="0" w:oddVBand="0" w:evenVBand="0" w:oddHBand="0" w:evenHBand="0" w:firstRowFirstColumn="0" w:firstRowLastColumn="0" w:lastRowFirstColumn="0" w:lastRowLastColumn="0"/>
              <w:rPr>
                <w:b w:val="0"/>
                <w:i/>
                <w:sz w:val="20"/>
                <w:szCs w:val="20"/>
                <w:lang w:val="en-GB"/>
              </w:rPr>
            </w:pPr>
            <w:r>
              <w:rPr>
                <w:b w:val="0"/>
                <w:i/>
                <w:sz w:val="20"/>
                <w:szCs w:val="20"/>
                <w:lang w:val="en-GB"/>
              </w:rPr>
              <w:t>HDI</w:t>
            </w:r>
          </w:p>
        </w:tc>
        <w:tc>
          <w:tcPr>
            <w:tcW w:w="505" w:type="dxa"/>
            <w:shd w:val="clear" w:color="auto" w:fill="auto"/>
            <w:vAlign w:val="center"/>
          </w:tcPr>
          <w:p w14:paraId="44628326" w14:textId="77777777" w:rsidR="00577A45" w:rsidRDefault="004C2A6E">
            <w:pPr>
              <w:pStyle w:val="Premierpara"/>
              <w:jc w:val="center"/>
              <w:cnfStyle w:val="100000000000" w:firstRow="1" w:lastRow="0" w:firstColumn="0" w:lastColumn="0" w:oddVBand="0" w:evenVBand="0" w:oddHBand="0" w:evenHBand="0" w:firstRowFirstColumn="0" w:firstRowLastColumn="0" w:lastRowFirstColumn="0" w:lastRowLastColumn="0"/>
              <w:rPr>
                <w:b w:val="0"/>
                <w:i/>
                <w:sz w:val="20"/>
                <w:szCs w:val="20"/>
                <w:lang w:val="en-GB"/>
              </w:rPr>
            </w:pPr>
            <w:r>
              <w:rPr>
                <w:b w:val="0"/>
                <w:i/>
                <w:sz w:val="20"/>
                <w:szCs w:val="20"/>
                <w:lang w:val="en-GB"/>
              </w:rPr>
              <w:t>SPI</w:t>
            </w:r>
          </w:p>
        </w:tc>
        <w:tc>
          <w:tcPr>
            <w:tcW w:w="716" w:type="dxa"/>
            <w:shd w:val="clear" w:color="auto" w:fill="auto"/>
            <w:vAlign w:val="center"/>
          </w:tcPr>
          <w:p w14:paraId="124E1815" w14:textId="77777777" w:rsidR="00577A45" w:rsidRDefault="004C2A6E">
            <w:pPr>
              <w:pStyle w:val="Premierpara"/>
              <w:jc w:val="center"/>
              <w:cnfStyle w:val="100000000000" w:firstRow="1" w:lastRow="0" w:firstColumn="0" w:lastColumn="0" w:oddVBand="0" w:evenVBand="0" w:oddHBand="0" w:evenHBand="0" w:firstRowFirstColumn="0" w:firstRowLastColumn="0" w:lastRowFirstColumn="0" w:lastRowLastColumn="0"/>
              <w:rPr>
                <w:b w:val="0"/>
                <w:i/>
                <w:sz w:val="20"/>
                <w:szCs w:val="20"/>
                <w:lang w:val="en-GB"/>
              </w:rPr>
            </w:pPr>
            <w:r>
              <w:rPr>
                <w:b w:val="0"/>
                <w:i/>
                <w:sz w:val="20"/>
                <w:szCs w:val="20"/>
                <w:lang w:val="en-GB"/>
              </w:rPr>
              <w:t>GWBI</w:t>
            </w:r>
          </w:p>
        </w:tc>
        <w:tc>
          <w:tcPr>
            <w:tcW w:w="572" w:type="dxa"/>
            <w:shd w:val="clear" w:color="auto" w:fill="auto"/>
            <w:vAlign w:val="center"/>
          </w:tcPr>
          <w:p w14:paraId="58FE97D9" w14:textId="77777777" w:rsidR="00577A45" w:rsidRDefault="004C2A6E">
            <w:pPr>
              <w:pStyle w:val="Premierpara"/>
              <w:jc w:val="center"/>
              <w:cnfStyle w:val="100000000000" w:firstRow="1" w:lastRow="0" w:firstColumn="0" w:lastColumn="0" w:oddVBand="0" w:evenVBand="0" w:oddHBand="0" w:evenHBand="0" w:firstRowFirstColumn="0" w:firstRowLastColumn="0" w:lastRowFirstColumn="0" w:lastRowLastColumn="0"/>
              <w:rPr>
                <w:b w:val="0"/>
                <w:i/>
                <w:sz w:val="20"/>
                <w:szCs w:val="20"/>
                <w:lang w:val="en-GB"/>
              </w:rPr>
            </w:pPr>
            <w:r>
              <w:rPr>
                <w:b w:val="0"/>
                <w:i/>
                <w:sz w:val="20"/>
                <w:szCs w:val="20"/>
                <w:lang w:val="en-GB"/>
              </w:rPr>
              <w:t>QoL</w:t>
            </w:r>
          </w:p>
        </w:tc>
        <w:tc>
          <w:tcPr>
            <w:tcW w:w="550" w:type="dxa"/>
            <w:shd w:val="clear" w:color="auto" w:fill="auto"/>
            <w:vAlign w:val="center"/>
          </w:tcPr>
          <w:p w14:paraId="3A143ED7" w14:textId="77777777" w:rsidR="00577A45" w:rsidRDefault="004C2A6E">
            <w:pPr>
              <w:pStyle w:val="Premierpara"/>
              <w:jc w:val="center"/>
              <w:cnfStyle w:val="100000000000" w:firstRow="1" w:lastRow="0" w:firstColumn="0" w:lastColumn="0" w:oddVBand="0" w:evenVBand="0" w:oddHBand="0" w:evenHBand="0" w:firstRowFirstColumn="0" w:firstRowLastColumn="0" w:lastRowFirstColumn="0" w:lastRowLastColumn="0"/>
              <w:rPr>
                <w:b w:val="0"/>
                <w:i/>
                <w:sz w:val="20"/>
                <w:szCs w:val="20"/>
                <w:lang w:val="en-GB"/>
              </w:rPr>
            </w:pPr>
            <w:r>
              <w:rPr>
                <w:b w:val="0"/>
                <w:i/>
                <w:sz w:val="20"/>
                <w:szCs w:val="20"/>
                <w:lang w:val="en-GB"/>
              </w:rPr>
              <w:t>HPI</w:t>
            </w:r>
          </w:p>
        </w:tc>
        <w:tc>
          <w:tcPr>
            <w:tcW w:w="483" w:type="dxa"/>
            <w:shd w:val="clear" w:color="auto" w:fill="auto"/>
            <w:vAlign w:val="center"/>
          </w:tcPr>
          <w:p w14:paraId="35BBA43C" w14:textId="77777777" w:rsidR="00577A45" w:rsidRDefault="004C2A6E">
            <w:pPr>
              <w:pStyle w:val="Premierpara"/>
              <w:jc w:val="center"/>
              <w:cnfStyle w:val="100000000000" w:firstRow="1" w:lastRow="0" w:firstColumn="0" w:lastColumn="0" w:oddVBand="0" w:evenVBand="0" w:oddHBand="0" w:evenHBand="0" w:firstRowFirstColumn="0" w:firstRowLastColumn="0" w:lastRowFirstColumn="0" w:lastRowLastColumn="0"/>
              <w:rPr>
                <w:b w:val="0"/>
                <w:i/>
                <w:sz w:val="20"/>
                <w:szCs w:val="20"/>
                <w:lang w:val="en-GB"/>
              </w:rPr>
            </w:pPr>
            <w:r>
              <w:rPr>
                <w:b w:val="0"/>
                <w:i/>
                <w:sz w:val="20"/>
                <w:szCs w:val="20"/>
                <w:lang w:val="en-GB"/>
              </w:rPr>
              <w:t>SSI</w:t>
            </w:r>
          </w:p>
        </w:tc>
        <w:tc>
          <w:tcPr>
            <w:tcW w:w="1094" w:type="dxa"/>
            <w:shd w:val="clear" w:color="auto" w:fill="auto"/>
            <w:vAlign w:val="center"/>
          </w:tcPr>
          <w:p w14:paraId="7A985B60" w14:textId="77777777" w:rsidR="00577A45" w:rsidRDefault="004C2A6E">
            <w:pPr>
              <w:pStyle w:val="Premierpara"/>
              <w:jc w:val="center"/>
              <w:cnfStyle w:val="100000000000" w:firstRow="1" w:lastRow="0" w:firstColumn="0" w:lastColumn="0" w:oddVBand="0" w:evenVBand="0" w:oddHBand="0" w:evenHBand="0" w:firstRowFirstColumn="0" w:firstRowLastColumn="0" w:lastRowFirstColumn="0" w:lastRowLastColumn="0"/>
              <w:rPr>
                <w:b w:val="0"/>
                <w:i/>
                <w:sz w:val="20"/>
                <w:szCs w:val="20"/>
                <w:lang w:val="en-GB"/>
              </w:rPr>
            </w:pPr>
            <w:r>
              <w:rPr>
                <w:i/>
                <w:sz w:val="20"/>
                <w:szCs w:val="20"/>
                <w:lang w:val="en-GB"/>
              </w:rPr>
              <w:t>Mean divergence by country</w:t>
            </w:r>
            <w:r>
              <w:rPr>
                <w:rStyle w:val="Ancladenotaalpie"/>
                <w:i/>
                <w:sz w:val="20"/>
                <w:szCs w:val="20"/>
                <w:lang w:val="en-GB"/>
              </w:rPr>
              <w:footnoteReference w:id="7"/>
            </w:r>
          </w:p>
        </w:tc>
        <w:tc>
          <w:tcPr>
            <w:tcW w:w="1180" w:type="dxa"/>
            <w:shd w:val="clear" w:color="auto" w:fill="auto"/>
            <w:vAlign w:val="center"/>
          </w:tcPr>
          <w:p w14:paraId="41F659F3" w14:textId="77777777" w:rsidR="00577A45" w:rsidRDefault="004C2A6E">
            <w:pPr>
              <w:pStyle w:val="Premierpara"/>
              <w:jc w:val="center"/>
              <w:cnfStyle w:val="100000000000" w:firstRow="1" w:lastRow="0" w:firstColumn="0" w:lastColumn="0" w:oddVBand="0" w:evenVBand="0" w:oddHBand="0" w:evenHBand="0" w:firstRowFirstColumn="0" w:firstRowLastColumn="0" w:lastRowFirstColumn="0" w:lastRowLastColumn="0"/>
              <w:rPr>
                <w:b w:val="0"/>
                <w:i/>
                <w:sz w:val="20"/>
                <w:szCs w:val="20"/>
                <w:lang w:val="en-GB"/>
              </w:rPr>
            </w:pPr>
            <w:r>
              <w:rPr>
                <w:b w:val="0"/>
                <w:i/>
                <w:sz w:val="20"/>
                <w:szCs w:val="20"/>
                <w:lang w:val="en-GB"/>
              </w:rPr>
              <w:t>Mean divergence by decile</w:t>
            </w:r>
          </w:p>
        </w:tc>
      </w:tr>
      <w:tr w:rsidR="00577A45" w14:paraId="4715BC9B" w14:textId="77777777" w:rsidTr="00577A4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83" w:type="dxa"/>
            <w:vAlign w:val="center"/>
          </w:tcPr>
          <w:p w14:paraId="5EEA91A7" w14:textId="77777777" w:rsidR="00577A45" w:rsidRDefault="004C2A6E">
            <w:pPr>
              <w:pStyle w:val="Premierpara"/>
              <w:rPr>
                <w:b w:val="0"/>
                <w:sz w:val="20"/>
                <w:szCs w:val="20"/>
                <w:lang w:val="en-GB"/>
              </w:rPr>
            </w:pPr>
            <w:r>
              <w:rPr>
                <w:b w:val="0"/>
                <w:sz w:val="20"/>
                <w:szCs w:val="20"/>
                <w:lang w:val="en-GB"/>
              </w:rPr>
              <w:t>1</w:t>
            </w:r>
          </w:p>
        </w:tc>
        <w:tc>
          <w:tcPr>
            <w:tcW w:w="1183" w:type="dxa"/>
            <w:vAlign w:val="center"/>
          </w:tcPr>
          <w:p w14:paraId="67E29E97" w14:textId="77777777" w:rsidR="00577A45" w:rsidRDefault="004C2A6E">
            <w:pPr>
              <w:pStyle w:val="Premierpara"/>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Norway</w:t>
            </w:r>
          </w:p>
        </w:tc>
        <w:tc>
          <w:tcPr>
            <w:tcW w:w="572" w:type="dxa"/>
            <w:vAlign w:val="center"/>
          </w:tcPr>
          <w:p w14:paraId="7BEAE869"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0</w:t>
            </w:r>
          </w:p>
        </w:tc>
        <w:tc>
          <w:tcPr>
            <w:tcW w:w="505" w:type="dxa"/>
            <w:vAlign w:val="center"/>
          </w:tcPr>
          <w:p w14:paraId="7DE2F103"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-6</w:t>
            </w:r>
          </w:p>
        </w:tc>
        <w:tc>
          <w:tcPr>
            <w:tcW w:w="716" w:type="dxa"/>
            <w:vAlign w:val="center"/>
          </w:tcPr>
          <w:p w14:paraId="0644FD73"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-7</w:t>
            </w:r>
          </w:p>
        </w:tc>
        <w:tc>
          <w:tcPr>
            <w:tcW w:w="572" w:type="dxa"/>
            <w:vAlign w:val="center"/>
          </w:tcPr>
          <w:p w14:paraId="1FBBD3E9"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-3</w:t>
            </w:r>
          </w:p>
        </w:tc>
        <w:tc>
          <w:tcPr>
            <w:tcW w:w="550" w:type="dxa"/>
            <w:vAlign w:val="center"/>
          </w:tcPr>
          <w:p w14:paraId="03BD4ECA"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-8</w:t>
            </w:r>
          </w:p>
        </w:tc>
        <w:tc>
          <w:tcPr>
            <w:tcW w:w="483" w:type="dxa"/>
            <w:vAlign w:val="center"/>
          </w:tcPr>
          <w:p w14:paraId="10845741"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-4</w:t>
            </w:r>
          </w:p>
        </w:tc>
        <w:tc>
          <w:tcPr>
            <w:tcW w:w="1094" w:type="dxa"/>
            <w:vAlign w:val="center"/>
          </w:tcPr>
          <w:p w14:paraId="4014111C"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color w:val="000000"/>
                <w:sz w:val="20"/>
                <w:szCs w:val="20"/>
              </w:rPr>
              <w:t>-5</w:t>
            </w:r>
          </w:p>
        </w:tc>
        <w:tc>
          <w:tcPr>
            <w:tcW w:w="1180" w:type="dxa"/>
            <w:vMerge w:val="restart"/>
            <w:vAlign w:val="center"/>
          </w:tcPr>
          <w:p w14:paraId="5CE1375C" w14:textId="77777777" w:rsidR="00577A45" w:rsidRDefault="004C2A6E">
            <w:pPr>
              <w:pStyle w:val="Premierpara"/>
              <w:jc w:val="center"/>
              <w:cnfStyle w:val="000000100000" w:firstRow="0" w:lastRow="0" w:firstColumn="0" w:lastColumn="0" w:oddVBand="0" w:evenVBand="0" w:oddHBand="1" w:evenHBand="0" w:firstRowFirstColumn="0" w:firstRowLastColumn="0" w:lastRowFirstColumn="0" w:lastRowLastColumn="0"/>
              <w:rPr>
                <w:b/>
                <w:sz w:val="20"/>
                <w:szCs w:val="20"/>
                <w:lang w:val="en-GB"/>
              </w:rPr>
            </w:pPr>
            <w:r>
              <w:rPr>
                <w:sz w:val="20"/>
                <w:szCs w:val="20"/>
                <w:lang w:val="en-GB"/>
              </w:rPr>
              <w:t>-10</w:t>
            </w:r>
          </w:p>
        </w:tc>
      </w:tr>
      <w:tr w:rsidR="00577A45" w14:paraId="6D8118BF" w14:textId="77777777" w:rsidTr="00577A45">
        <w:trPr>
          <w:trHeight w:val="288"/>
          <w:jc w:val="center"/>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27F16DA3" w14:textId="77777777" w:rsidR="00577A45" w:rsidRDefault="004C2A6E">
            <w:pPr>
              <w:pStyle w:val="Premierpara"/>
              <w:rPr>
                <w:b w:val="0"/>
                <w:sz w:val="20"/>
                <w:szCs w:val="20"/>
                <w:lang w:val="en-GB"/>
              </w:rPr>
            </w:pPr>
            <w:r>
              <w:rPr>
                <w:b w:val="0"/>
                <w:sz w:val="20"/>
                <w:szCs w:val="20"/>
                <w:lang w:val="en-GB"/>
              </w:rPr>
              <w:t>2</w:t>
            </w:r>
          </w:p>
        </w:tc>
        <w:tc>
          <w:tcPr>
            <w:tcW w:w="1183" w:type="dxa"/>
            <w:shd w:val="clear" w:color="auto" w:fill="auto"/>
            <w:vAlign w:val="center"/>
          </w:tcPr>
          <w:p w14:paraId="7407CC32" w14:textId="77777777" w:rsidR="00577A45" w:rsidRDefault="004C2A6E">
            <w:pPr>
              <w:pStyle w:val="Premierpara"/>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Switzerland</w:t>
            </w:r>
          </w:p>
        </w:tc>
        <w:tc>
          <w:tcPr>
            <w:tcW w:w="572" w:type="dxa"/>
            <w:shd w:val="clear" w:color="auto" w:fill="auto"/>
            <w:vAlign w:val="center"/>
          </w:tcPr>
          <w:p w14:paraId="6A318D07"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w:t>
            </w:r>
          </w:p>
        </w:tc>
        <w:tc>
          <w:tcPr>
            <w:tcW w:w="505" w:type="dxa"/>
            <w:shd w:val="clear" w:color="auto" w:fill="auto"/>
            <w:vAlign w:val="center"/>
          </w:tcPr>
          <w:p w14:paraId="09FC30EB"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-3</w:t>
            </w:r>
          </w:p>
        </w:tc>
        <w:tc>
          <w:tcPr>
            <w:tcW w:w="716" w:type="dxa"/>
            <w:shd w:val="clear" w:color="auto" w:fill="auto"/>
            <w:vAlign w:val="center"/>
          </w:tcPr>
          <w:p w14:paraId="2AED6603"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0</w:t>
            </w:r>
          </w:p>
        </w:tc>
        <w:tc>
          <w:tcPr>
            <w:tcW w:w="572" w:type="dxa"/>
            <w:shd w:val="clear" w:color="auto" w:fill="auto"/>
            <w:vAlign w:val="center"/>
          </w:tcPr>
          <w:p w14:paraId="706F553B"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w:t>
            </w:r>
          </w:p>
        </w:tc>
        <w:tc>
          <w:tcPr>
            <w:tcW w:w="550" w:type="dxa"/>
            <w:shd w:val="clear" w:color="auto" w:fill="auto"/>
            <w:vAlign w:val="center"/>
          </w:tcPr>
          <w:p w14:paraId="7A25B7F5"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-18</w:t>
            </w:r>
          </w:p>
        </w:tc>
        <w:tc>
          <w:tcPr>
            <w:tcW w:w="483" w:type="dxa"/>
            <w:shd w:val="clear" w:color="auto" w:fill="auto"/>
            <w:vAlign w:val="center"/>
          </w:tcPr>
          <w:p w14:paraId="140F3834"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w:t>
            </w:r>
          </w:p>
        </w:tc>
        <w:tc>
          <w:tcPr>
            <w:tcW w:w="1094" w:type="dxa"/>
            <w:shd w:val="clear" w:color="auto" w:fill="auto"/>
            <w:vAlign w:val="center"/>
          </w:tcPr>
          <w:p w14:paraId="26EBE2A8"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color w:val="000000"/>
                <w:sz w:val="20"/>
                <w:szCs w:val="20"/>
              </w:rPr>
              <w:t>-3</w:t>
            </w:r>
          </w:p>
        </w:tc>
        <w:tc>
          <w:tcPr>
            <w:tcW w:w="1180" w:type="dxa"/>
            <w:vMerge/>
            <w:shd w:val="clear" w:color="auto" w:fill="auto"/>
            <w:vAlign w:val="center"/>
          </w:tcPr>
          <w:p w14:paraId="4263109C" w14:textId="77777777" w:rsidR="00577A45" w:rsidRDefault="00577A45">
            <w:pPr>
              <w:pStyle w:val="Premierpara"/>
              <w:cnfStyle w:val="000000000000" w:firstRow="0" w:lastRow="0" w:firstColumn="0" w:lastColumn="0" w:oddVBand="0" w:evenVBand="0" w:oddHBand="0" w:evenHBand="0" w:firstRowFirstColumn="0" w:firstRowLastColumn="0" w:lastRowFirstColumn="0" w:lastRowLastColumn="0"/>
              <w:rPr>
                <w:b/>
                <w:sz w:val="20"/>
                <w:szCs w:val="20"/>
                <w:lang w:val="en-GB"/>
              </w:rPr>
            </w:pPr>
          </w:p>
        </w:tc>
      </w:tr>
      <w:tr w:rsidR="00577A45" w14:paraId="43C8BB91" w14:textId="77777777" w:rsidTr="00577A45">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883" w:type="dxa"/>
            <w:vAlign w:val="center"/>
          </w:tcPr>
          <w:p w14:paraId="0C9F3CB1" w14:textId="77777777" w:rsidR="00577A45" w:rsidRDefault="004C2A6E">
            <w:pPr>
              <w:pStyle w:val="Premierpara"/>
              <w:rPr>
                <w:b w:val="0"/>
                <w:sz w:val="20"/>
                <w:szCs w:val="20"/>
                <w:lang w:val="en-GB"/>
              </w:rPr>
            </w:pPr>
            <w:r>
              <w:rPr>
                <w:b w:val="0"/>
                <w:sz w:val="20"/>
                <w:szCs w:val="20"/>
                <w:lang w:val="en-GB"/>
              </w:rPr>
              <w:t>3</w:t>
            </w:r>
          </w:p>
        </w:tc>
        <w:tc>
          <w:tcPr>
            <w:tcW w:w="1183" w:type="dxa"/>
            <w:vAlign w:val="center"/>
          </w:tcPr>
          <w:p w14:paraId="53E81BF4" w14:textId="77777777" w:rsidR="00577A45" w:rsidRDefault="004C2A6E">
            <w:pPr>
              <w:pStyle w:val="Premierpara"/>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USA</w:t>
            </w:r>
          </w:p>
        </w:tc>
        <w:tc>
          <w:tcPr>
            <w:tcW w:w="572" w:type="dxa"/>
            <w:vAlign w:val="center"/>
          </w:tcPr>
          <w:p w14:paraId="0A854EB0"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-5</w:t>
            </w:r>
          </w:p>
        </w:tc>
        <w:tc>
          <w:tcPr>
            <w:tcW w:w="505" w:type="dxa"/>
            <w:vAlign w:val="center"/>
          </w:tcPr>
          <w:p w14:paraId="372870C2"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-16</w:t>
            </w:r>
          </w:p>
        </w:tc>
        <w:tc>
          <w:tcPr>
            <w:tcW w:w="716" w:type="dxa"/>
            <w:vAlign w:val="center"/>
          </w:tcPr>
          <w:p w14:paraId="257A8C82"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-3</w:t>
            </w:r>
          </w:p>
        </w:tc>
        <w:tc>
          <w:tcPr>
            <w:tcW w:w="572" w:type="dxa"/>
            <w:vAlign w:val="center"/>
          </w:tcPr>
          <w:p w14:paraId="696D1C62"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-3</w:t>
            </w:r>
          </w:p>
        </w:tc>
        <w:tc>
          <w:tcPr>
            <w:tcW w:w="550" w:type="dxa"/>
            <w:vAlign w:val="center"/>
          </w:tcPr>
          <w:p w14:paraId="19E6CE8B"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-82</w:t>
            </w:r>
          </w:p>
        </w:tc>
        <w:tc>
          <w:tcPr>
            <w:tcW w:w="483" w:type="dxa"/>
            <w:vAlign w:val="center"/>
          </w:tcPr>
          <w:p w14:paraId="468E7666"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-85</w:t>
            </w:r>
          </w:p>
        </w:tc>
        <w:tc>
          <w:tcPr>
            <w:tcW w:w="1094" w:type="dxa"/>
            <w:vAlign w:val="center"/>
          </w:tcPr>
          <w:p w14:paraId="626100F8"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color w:val="000000"/>
                <w:sz w:val="20"/>
                <w:szCs w:val="20"/>
              </w:rPr>
              <w:t>-32</w:t>
            </w:r>
          </w:p>
        </w:tc>
        <w:tc>
          <w:tcPr>
            <w:tcW w:w="1180" w:type="dxa"/>
            <w:vMerge/>
            <w:vAlign w:val="center"/>
          </w:tcPr>
          <w:p w14:paraId="3E6F02BC" w14:textId="77777777" w:rsidR="00577A45" w:rsidRDefault="00577A45">
            <w:pPr>
              <w:pStyle w:val="Premierpara"/>
              <w:cnfStyle w:val="000000100000" w:firstRow="0" w:lastRow="0" w:firstColumn="0" w:lastColumn="0" w:oddVBand="0" w:evenVBand="0" w:oddHBand="1" w:evenHBand="0" w:firstRowFirstColumn="0" w:firstRowLastColumn="0" w:lastRowFirstColumn="0" w:lastRowLastColumn="0"/>
              <w:rPr>
                <w:b/>
                <w:sz w:val="20"/>
                <w:szCs w:val="20"/>
                <w:lang w:val="en-GB"/>
              </w:rPr>
            </w:pPr>
          </w:p>
        </w:tc>
      </w:tr>
      <w:tr w:rsidR="00577A45" w14:paraId="0F49610F" w14:textId="77777777" w:rsidTr="00577A45">
        <w:trPr>
          <w:trHeight w:val="288"/>
          <w:jc w:val="center"/>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06D07848" w14:textId="77777777" w:rsidR="00577A45" w:rsidRDefault="004C2A6E">
            <w:pPr>
              <w:pStyle w:val="Premierpara"/>
              <w:rPr>
                <w:b w:val="0"/>
                <w:sz w:val="20"/>
                <w:szCs w:val="20"/>
                <w:lang w:val="en-GB"/>
              </w:rPr>
            </w:pPr>
            <w:r>
              <w:rPr>
                <w:b w:val="0"/>
                <w:sz w:val="20"/>
                <w:szCs w:val="20"/>
                <w:lang w:val="en-GB"/>
              </w:rPr>
              <w:t>4</w:t>
            </w:r>
          </w:p>
        </w:tc>
        <w:tc>
          <w:tcPr>
            <w:tcW w:w="1183" w:type="dxa"/>
            <w:shd w:val="clear" w:color="auto" w:fill="auto"/>
            <w:vAlign w:val="center"/>
          </w:tcPr>
          <w:p w14:paraId="06A30407" w14:textId="77777777" w:rsidR="00577A45" w:rsidRDefault="004C2A6E">
            <w:pPr>
              <w:pStyle w:val="Premierpara"/>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Ireland</w:t>
            </w:r>
          </w:p>
        </w:tc>
        <w:tc>
          <w:tcPr>
            <w:tcW w:w="572" w:type="dxa"/>
            <w:shd w:val="clear" w:color="auto" w:fill="auto"/>
            <w:vAlign w:val="center"/>
          </w:tcPr>
          <w:p w14:paraId="36DE37EA"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-3</w:t>
            </w:r>
          </w:p>
        </w:tc>
        <w:tc>
          <w:tcPr>
            <w:tcW w:w="505" w:type="dxa"/>
            <w:shd w:val="clear" w:color="auto" w:fill="auto"/>
            <w:vAlign w:val="center"/>
          </w:tcPr>
          <w:p w14:paraId="0613EEC4"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-8</w:t>
            </w:r>
          </w:p>
        </w:tc>
        <w:tc>
          <w:tcPr>
            <w:tcW w:w="716" w:type="dxa"/>
            <w:shd w:val="clear" w:color="auto" w:fill="auto"/>
            <w:vAlign w:val="center"/>
          </w:tcPr>
          <w:p w14:paraId="45BB981D"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-5</w:t>
            </w:r>
          </w:p>
        </w:tc>
        <w:tc>
          <w:tcPr>
            <w:tcW w:w="572" w:type="dxa"/>
            <w:shd w:val="clear" w:color="auto" w:fill="auto"/>
            <w:vAlign w:val="center"/>
          </w:tcPr>
          <w:p w14:paraId="48C7723E"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2</w:t>
            </w:r>
          </w:p>
        </w:tc>
        <w:tc>
          <w:tcPr>
            <w:tcW w:w="550" w:type="dxa"/>
            <w:shd w:val="clear" w:color="auto" w:fill="auto"/>
            <w:vAlign w:val="center"/>
          </w:tcPr>
          <w:p w14:paraId="267688F8"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-39</w:t>
            </w:r>
          </w:p>
        </w:tc>
        <w:tc>
          <w:tcPr>
            <w:tcW w:w="483" w:type="dxa"/>
            <w:shd w:val="clear" w:color="auto" w:fill="auto"/>
            <w:vAlign w:val="center"/>
          </w:tcPr>
          <w:p w14:paraId="2C7160C5"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-46</w:t>
            </w:r>
          </w:p>
        </w:tc>
        <w:tc>
          <w:tcPr>
            <w:tcW w:w="1094" w:type="dxa"/>
            <w:shd w:val="clear" w:color="auto" w:fill="auto"/>
            <w:vAlign w:val="center"/>
          </w:tcPr>
          <w:p w14:paraId="149A34C5"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color w:val="000000"/>
                <w:sz w:val="20"/>
                <w:szCs w:val="20"/>
              </w:rPr>
              <w:t>-17</w:t>
            </w:r>
          </w:p>
        </w:tc>
        <w:tc>
          <w:tcPr>
            <w:tcW w:w="1180" w:type="dxa"/>
            <w:vMerge/>
            <w:shd w:val="clear" w:color="auto" w:fill="auto"/>
            <w:vAlign w:val="center"/>
          </w:tcPr>
          <w:p w14:paraId="7AE71CD0" w14:textId="77777777" w:rsidR="00577A45" w:rsidRDefault="00577A45">
            <w:pPr>
              <w:pStyle w:val="Premierpara"/>
              <w:cnfStyle w:val="000000000000" w:firstRow="0" w:lastRow="0" w:firstColumn="0" w:lastColumn="0" w:oddVBand="0" w:evenVBand="0" w:oddHBand="0" w:evenHBand="0" w:firstRowFirstColumn="0" w:firstRowLastColumn="0" w:lastRowFirstColumn="0" w:lastRowLastColumn="0"/>
              <w:rPr>
                <w:b/>
                <w:sz w:val="20"/>
                <w:szCs w:val="20"/>
                <w:lang w:val="en-GB"/>
              </w:rPr>
            </w:pPr>
          </w:p>
        </w:tc>
      </w:tr>
      <w:tr w:rsidR="00577A45" w14:paraId="5535DB3A" w14:textId="77777777" w:rsidTr="00577A4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83" w:type="dxa"/>
            <w:vAlign w:val="center"/>
          </w:tcPr>
          <w:p w14:paraId="0D1D3BEB" w14:textId="77777777" w:rsidR="00577A45" w:rsidRDefault="004C2A6E">
            <w:pPr>
              <w:pStyle w:val="Premierpara"/>
              <w:rPr>
                <w:b w:val="0"/>
                <w:sz w:val="20"/>
                <w:szCs w:val="20"/>
                <w:lang w:val="en-GB"/>
              </w:rPr>
            </w:pPr>
            <w:r>
              <w:rPr>
                <w:b w:val="0"/>
                <w:sz w:val="20"/>
                <w:szCs w:val="20"/>
                <w:lang w:val="en-GB"/>
              </w:rPr>
              <w:t>5</w:t>
            </w:r>
          </w:p>
        </w:tc>
        <w:tc>
          <w:tcPr>
            <w:tcW w:w="1183" w:type="dxa"/>
            <w:vAlign w:val="center"/>
          </w:tcPr>
          <w:p w14:paraId="35905414" w14:textId="77777777" w:rsidR="00577A45" w:rsidRDefault="004C2A6E">
            <w:pPr>
              <w:pStyle w:val="Premierpara"/>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Netherlands</w:t>
            </w:r>
          </w:p>
        </w:tc>
        <w:tc>
          <w:tcPr>
            <w:tcW w:w="572" w:type="dxa"/>
            <w:vAlign w:val="center"/>
          </w:tcPr>
          <w:p w14:paraId="7CF65575"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0</w:t>
            </w:r>
          </w:p>
        </w:tc>
        <w:tc>
          <w:tcPr>
            <w:tcW w:w="505" w:type="dxa"/>
            <w:vAlign w:val="center"/>
          </w:tcPr>
          <w:p w14:paraId="113973AD"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-3</w:t>
            </w:r>
          </w:p>
        </w:tc>
        <w:tc>
          <w:tcPr>
            <w:tcW w:w="716" w:type="dxa"/>
            <w:vAlign w:val="center"/>
          </w:tcPr>
          <w:p w14:paraId="64176539"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2</w:t>
            </w:r>
          </w:p>
        </w:tc>
        <w:tc>
          <w:tcPr>
            <w:tcW w:w="572" w:type="dxa"/>
            <w:vAlign w:val="center"/>
          </w:tcPr>
          <w:p w14:paraId="70933071"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-2</w:t>
            </w:r>
          </w:p>
        </w:tc>
        <w:tc>
          <w:tcPr>
            <w:tcW w:w="550" w:type="dxa"/>
            <w:vAlign w:val="center"/>
          </w:tcPr>
          <w:p w14:paraId="59B65F1A"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-10</w:t>
            </w:r>
          </w:p>
        </w:tc>
        <w:tc>
          <w:tcPr>
            <w:tcW w:w="483" w:type="dxa"/>
            <w:vAlign w:val="center"/>
          </w:tcPr>
          <w:p w14:paraId="446B529E"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-20</w:t>
            </w:r>
          </w:p>
        </w:tc>
        <w:tc>
          <w:tcPr>
            <w:tcW w:w="1094" w:type="dxa"/>
            <w:vAlign w:val="center"/>
          </w:tcPr>
          <w:p w14:paraId="644D5FFF"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color w:val="000000"/>
                <w:sz w:val="20"/>
                <w:szCs w:val="20"/>
              </w:rPr>
              <w:t>-6</w:t>
            </w:r>
          </w:p>
        </w:tc>
        <w:tc>
          <w:tcPr>
            <w:tcW w:w="1180" w:type="dxa"/>
            <w:vMerge/>
            <w:vAlign w:val="center"/>
          </w:tcPr>
          <w:p w14:paraId="0768A95C" w14:textId="77777777" w:rsidR="00577A45" w:rsidRDefault="00577A45">
            <w:pPr>
              <w:pStyle w:val="Premierpara"/>
              <w:cnfStyle w:val="000000100000" w:firstRow="0" w:lastRow="0" w:firstColumn="0" w:lastColumn="0" w:oddVBand="0" w:evenVBand="0" w:oddHBand="1" w:evenHBand="0" w:firstRowFirstColumn="0" w:firstRowLastColumn="0" w:lastRowFirstColumn="0" w:lastRowLastColumn="0"/>
              <w:rPr>
                <w:b/>
                <w:sz w:val="20"/>
                <w:szCs w:val="20"/>
                <w:lang w:val="en-GB"/>
              </w:rPr>
            </w:pPr>
          </w:p>
        </w:tc>
      </w:tr>
      <w:tr w:rsidR="00577A45" w14:paraId="54FB0689" w14:textId="77777777" w:rsidTr="00577A45">
        <w:trPr>
          <w:trHeight w:val="288"/>
          <w:jc w:val="center"/>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0E2831BD" w14:textId="77777777" w:rsidR="00577A45" w:rsidRDefault="004C2A6E">
            <w:pPr>
              <w:pStyle w:val="Premierpara"/>
              <w:rPr>
                <w:b w:val="0"/>
                <w:sz w:val="20"/>
                <w:szCs w:val="20"/>
                <w:lang w:val="en-GB"/>
              </w:rPr>
            </w:pPr>
            <w:r>
              <w:rPr>
                <w:b w:val="0"/>
                <w:sz w:val="20"/>
                <w:szCs w:val="20"/>
                <w:lang w:val="en-GB"/>
              </w:rPr>
              <w:t>6</w:t>
            </w:r>
          </w:p>
        </w:tc>
        <w:tc>
          <w:tcPr>
            <w:tcW w:w="1183" w:type="dxa"/>
            <w:shd w:val="clear" w:color="auto" w:fill="auto"/>
            <w:vAlign w:val="center"/>
          </w:tcPr>
          <w:p w14:paraId="3708E831" w14:textId="77777777" w:rsidR="00577A45" w:rsidRDefault="004C2A6E">
            <w:pPr>
              <w:pStyle w:val="Premierpara"/>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Austria</w:t>
            </w:r>
          </w:p>
        </w:tc>
        <w:tc>
          <w:tcPr>
            <w:tcW w:w="572" w:type="dxa"/>
            <w:shd w:val="clear" w:color="auto" w:fill="auto"/>
            <w:vAlign w:val="center"/>
          </w:tcPr>
          <w:p w14:paraId="6BC0730B"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-13</w:t>
            </w:r>
          </w:p>
        </w:tc>
        <w:tc>
          <w:tcPr>
            <w:tcW w:w="505" w:type="dxa"/>
            <w:shd w:val="clear" w:color="auto" w:fill="auto"/>
            <w:vAlign w:val="center"/>
          </w:tcPr>
          <w:p w14:paraId="510A65A1"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-7</w:t>
            </w:r>
          </w:p>
        </w:tc>
        <w:tc>
          <w:tcPr>
            <w:tcW w:w="716" w:type="dxa"/>
            <w:shd w:val="clear" w:color="auto" w:fill="auto"/>
            <w:vAlign w:val="center"/>
          </w:tcPr>
          <w:p w14:paraId="16E9BC6A"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2</w:t>
            </w:r>
          </w:p>
        </w:tc>
        <w:tc>
          <w:tcPr>
            <w:tcW w:w="572" w:type="dxa"/>
            <w:shd w:val="clear" w:color="auto" w:fill="auto"/>
            <w:vAlign w:val="center"/>
          </w:tcPr>
          <w:p w14:paraId="1FEDE9B4"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-4</w:t>
            </w:r>
          </w:p>
        </w:tc>
        <w:tc>
          <w:tcPr>
            <w:tcW w:w="550" w:type="dxa"/>
            <w:shd w:val="clear" w:color="auto" w:fill="auto"/>
            <w:vAlign w:val="center"/>
          </w:tcPr>
          <w:p w14:paraId="052B64E7"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-32</w:t>
            </w:r>
          </w:p>
        </w:tc>
        <w:tc>
          <w:tcPr>
            <w:tcW w:w="483" w:type="dxa"/>
            <w:shd w:val="clear" w:color="auto" w:fill="auto"/>
            <w:vAlign w:val="center"/>
          </w:tcPr>
          <w:p w14:paraId="6CCAA278"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-3</w:t>
            </w:r>
          </w:p>
        </w:tc>
        <w:tc>
          <w:tcPr>
            <w:tcW w:w="1094" w:type="dxa"/>
            <w:shd w:val="clear" w:color="auto" w:fill="auto"/>
            <w:vAlign w:val="center"/>
          </w:tcPr>
          <w:p w14:paraId="34C7CA68"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color w:val="000000"/>
                <w:sz w:val="20"/>
                <w:szCs w:val="20"/>
              </w:rPr>
              <w:t>-10</w:t>
            </w:r>
          </w:p>
        </w:tc>
        <w:tc>
          <w:tcPr>
            <w:tcW w:w="1180" w:type="dxa"/>
            <w:vMerge/>
            <w:shd w:val="clear" w:color="auto" w:fill="auto"/>
            <w:vAlign w:val="center"/>
          </w:tcPr>
          <w:p w14:paraId="6FACD883" w14:textId="77777777" w:rsidR="00577A45" w:rsidRDefault="00577A45">
            <w:pPr>
              <w:pStyle w:val="Premierpara"/>
              <w:cnfStyle w:val="000000000000" w:firstRow="0" w:lastRow="0" w:firstColumn="0" w:lastColumn="0" w:oddVBand="0" w:evenVBand="0" w:oddHBand="0" w:evenHBand="0" w:firstRowFirstColumn="0" w:firstRowLastColumn="0" w:lastRowFirstColumn="0" w:lastRowLastColumn="0"/>
              <w:rPr>
                <w:b/>
                <w:sz w:val="20"/>
                <w:szCs w:val="20"/>
                <w:lang w:val="en-GB"/>
              </w:rPr>
            </w:pPr>
          </w:p>
        </w:tc>
      </w:tr>
      <w:tr w:rsidR="00577A45" w14:paraId="64580B30" w14:textId="77777777" w:rsidTr="00577A4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83" w:type="dxa"/>
            <w:vAlign w:val="center"/>
          </w:tcPr>
          <w:p w14:paraId="3D3693CE" w14:textId="77777777" w:rsidR="00577A45" w:rsidRDefault="004C2A6E">
            <w:pPr>
              <w:pStyle w:val="Premierpara"/>
              <w:rPr>
                <w:b w:val="0"/>
                <w:sz w:val="20"/>
                <w:szCs w:val="20"/>
                <w:lang w:val="en-GB"/>
              </w:rPr>
            </w:pPr>
            <w:r>
              <w:rPr>
                <w:b w:val="0"/>
                <w:sz w:val="20"/>
                <w:szCs w:val="20"/>
                <w:lang w:val="en-GB"/>
              </w:rPr>
              <w:t>7</w:t>
            </w:r>
          </w:p>
        </w:tc>
        <w:tc>
          <w:tcPr>
            <w:tcW w:w="1183" w:type="dxa"/>
            <w:vAlign w:val="center"/>
          </w:tcPr>
          <w:p w14:paraId="71D11E19" w14:textId="77777777" w:rsidR="00577A45" w:rsidRDefault="004C2A6E">
            <w:pPr>
              <w:pStyle w:val="Premierpara"/>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Germany</w:t>
            </w:r>
          </w:p>
        </w:tc>
        <w:tc>
          <w:tcPr>
            <w:tcW w:w="572" w:type="dxa"/>
            <w:vAlign w:val="center"/>
          </w:tcPr>
          <w:p w14:paraId="7E7CA43B"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w:t>
            </w:r>
          </w:p>
        </w:tc>
        <w:tc>
          <w:tcPr>
            <w:tcW w:w="505" w:type="dxa"/>
            <w:vAlign w:val="center"/>
          </w:tcPr>
          <w:p w14:paraId="0EB57515"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-8</w:t>
            </w:r>
          </w:p>
        </w:tc>
        <w:tc>
          <w:tcPr>
            <w:tcW w:w="716" w:type="dxa"/>
            <w:vAlign w:val="center"/>
          </w:tcPr>
          <w:p w14:paraId="62594DAA"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2</w:t>
            </w:r>
          </w:p>
        </w:tc>
        <w:tc>
          <w:tcPr>
            <w:tcW w:w="572" w:type="dxa"/>
            <w:vAlign w:val="center"/>
          </w:tcPr>
          <w:p w14:paraId="170564F4"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-5</w:t>
            </w:r>
          </w:p>
        </w:tc>
        <w:tc>
          <w:tcPr>
            <w:tcW w:w="550" w:type="dxa"/>
            <w:vAlign w:val="center"/>
          </w:tcPr>
          <w:p w14:paraId="44FE9139"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-37</w:t>
            </w:r>
          </w:p>
        </w:tc>
        <w:tc>
          <w:tcPr>
            <w:tcW w:w="483" w:type="dxa"/>
            <w:vAlign w:val="center"/>
          </w:tcPr>
          <w:p w14:paraId="75161477"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-11</w:t>
            </w:r>
          </w:p>
        </w:tc>
        <w:tc>
          <w:tcPr>
            <w:tcW w:w="1094" w:type="dxa"/>
            <w:vAlign w:val="center"/>
          </w:tcPr>
          <w:p w14:paraId="6B1C147C"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color w:val="000000"/>
                <w:sz w:val="20"/>
                <w:szCs w:val="20"/>
              </w:rPr>
              <w:t>-10</w:t>
            </w:r>
          </w:p>
        </w:tc>
        <w:tc>
          <w:tcPr>
            <w:tcW w:w="1180" w:type="dxa"/>
            <w:vMerge/>
            <w:vAlign w:val="center"/>
          </w:tcPr>
          <w:p w14:paraId="2F4AD19C" w14:textId="77777777" w:rsidR="00577A45" w:rsidRDefault="00577A45">
            <w:pPr>
              <w:pStyle w:val="Premierpara"/>
              <w:cnfStyle w:val="000000100000" w:firstRow="0" w:lastRow="0" w:firstColumn="0" w:lastColumn="0" w:oddVBand="0" w:evenVBand="0" w:oddHBand="1" w:evenHBand="0" w:firstRowFirstColumn="0" w:firstRowLastColumn="0" w:lastRowFirstColumn="0" w:lastRowLastColumn="0"/>
              <w:rPr>
                <w:b/>
                <w:sz w:val="20"/>
                <w:szCs w:val="20"/>
                <w:lang w:val="en-GB"/>
              </w:rPr>
            </w:pPr>
          </w:p>
        </w:tc>
      </w:tr>
      <w:tr w:rsidR="00577A45" w14:paraId="013E0A2F" w14:textId="77777777" w:rsidTr="00577A45">
        <w:trPr>
          <w:trHeight w:val="288"/>
          <w:jc w:val="center"/>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20B20F26" w14:textId="77777777" w:rsidR="00577A45" w:rsidRDefault="004C2A6E">
            <w:pPr>
              <w:pStyle w:val="Premierpara"/>
              <w:rPr>
                <w:b w:val="0"/>
                <w:sz w:val="20"/>
                <w:szCs w:val="20"/>
                <w:lang w:val="en-GB"/>
              </w:rPr>
            </w:pPr>
            <w:r>
              <w:rPr>
                <w:b w:val="0"/>
                <w:sz w:val="20"/>
                <w:szCs w:val="20"/>
                <w:lang w:val="en-GB"/>
              </w:rPr>
              <w:t>8</w:t>
            </w:r>
          </w:p>
        </w:tc>
        <w:tc>
          <w:tcPr>
            <w:tcW w:w="1183" w:type="dxa"/>
            <w:shd w:val="clear" w:color="auto" w:fill="auto"/>
            <w:vAlign w:val="center"/>
          </w:tcPr>
          <w:p w14:paraId="69FBEF0E" w14:textId="77777777" w:rsidR="00577A45" w:rsidRDefault="004C2A6E">
            <w:pPr>
              <w:pStyle w:val="Premierpara"/>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Denmark</w:t>
            </w:r>
          </w:p>
        </w:tc>
        <w:tc>
          <w:tcPr>
            <w:tcW w:w="572" w:type="dxa"/>
            <w:shd w:val="clear" w:color="auto" w:fill="auto"/>
            <w:vAlign w:val="center"/>
          </w:tcPr>
          <w:p w14:paraId="010EEC84"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4</w:t>
            </w:r>
          </w:p>
        </w:tc>
        <w:tc>
          <w:tcPr>
            <w:tcW w:w="505" w:type="dxa"/>
            <w:shd w:val="clear" w:color="auto" w:fill="auto"/>
            <w:vAlign w:val="center"/>
          </w:tcPr>
          <w:p w14:paraId="3494442B"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5</w:t>
            </w:r>
          </w:p>
        </w:tc>
        <w:tc>
          <w:tcPr>
            <w:tcW w:w="716" w:type="dxa"/>
            <w:shd w:val="clear" w:color="auto" w:fill="auto"/>
            <w:vAlign w:val="center"/>
          </w:tcPr>
          <w:p w14:paraId="3707F2A6"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7</w:t>
            </w:r>
          </w:p>
        </w:tc>
        <w:tc>
          <w:tcPr>
            <w:tcW w:w="572" w:type="dxa"/>
            <w:shd w:val="clear" w:color="auto" w:fill="auto"/>
            <w:vAlign w:val="center"/>
          </w:tcPr>
          <w:p w14:paraId="46F4A528"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w:t>
            </w:r>
          </w:p>
        </w:tc>
        <w:tc>
          <w:tcPr>
            <w:tcW w:w="550" w:type="dxa"/>
            <w:shd w:val="clear" w:color="auto" w:fill="auto"/>
            <w:vAlign w:val="center"/>
          </w:tcPr>
          <w:p w14:paraId="3270BF68"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-19</w:t>
            </w:r>
          </w:p>
        </w:tc>
        <w:tc>
          <w:tcPr>
            <w:tcW w:w="483" w:type="dxa"/>
            <w:shd w:val="clear" w:color="auto" w:fill="auto"/>
            <w:vAlign w:val="center"/>
          </w:tcPr>
          <w:p w14:paraId="2A6BC463"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6</w:t>
            </w:r>
          </w:p>
        </w:tc>
        <w:tc>
          <w:tcPr>
            <w:tcW w:w="1094" w:type="dxa"/>
            <w:shd w:val="clear" w:color="auto" w:fill="auto"/>
            <w:vAlign w:val="center"/>
          </w:tcPr>
          <w:p w14:paraId="0359C802"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color w:val="000000"/>
                <w:sz w:val="20"/>
                <w:szCs w:val="20"/>
              </w:rPr>
              <w:t>0</w:t>
            </w:r>
          </w:p>
        </w:tc>
        <w:tc>
          <w:tcPr>
            <w:tcW w:w="1180" w:type="dxa"/>
            <w:vMerge/>
            <w:shd w:val="clear" w:color="auto" w:fill="auto"/>
            <w:vAlign w:val="center"/>
          </w:tcPr>
          <w:p w14:paraId="265AB77D" w14:textId="77777777" w:rsidR="00577A45" w:rsidRDefault="00577A45">
            <w:pPr>
              <w:pStyle w:val="Premierpara"/>
              <w:cnfStyle w:val="000000000000" w:firstRow="0" w:lastRow="0" w:firstColumn="0" w:lastColumn="0" w:oddVBand="0" w:evenVBand="0" w:oddHBand="0" w:evenHBand="0" w:firstRowFirstColumn="0" w:firstRowLastColumn="0" w:lastRowFirstColumn="0" w:lastRowLastColumn="0"/>
              <w:rPr>
                <w:b/>
                <w:sz w:val="20"/>
                <w:szCs w:val="20"/>
                <w:lang w:val="en-GB"/>
              </w:rPr>
            </w:pPr>
          </w:p>
        </w:tc>
      </w:tr>
      <w:tr w:rsidR="00577A45" w14:paraId="618E490B" w14:textId="77777777" w:rsidTr="00577A4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83" w:type="dxa"/>
            <w:vAlign w:val="center"/>
          </w:tcPr>
          <w:p w14:paraId="44196366" w14:textId="77777777" w:rsidR="00577A45" w:rsidRDefault="004C2A6E">
            <w:pPr>
              <w:pStyle w:val="Premierpara"/>
              <w:rPr>
                <w:b w:val="0"/>
                <w:sz w:val="20"/>
                <w:szCs w:val="20"/>
                <w:lang w:val="en-GB"/>
              </w:rPr>
            </w:pPr>
            <w:r>
              <w:rPr>
                <w:b w:val="0"/>
                <w:sz w:val="20"/>
                <w:szCs w:val="20"/>
                <w:lang w:val="en-GB"/>
              </w:rPr>
              <w:t>9</w:t>
            </w:r>
          </w:p>
        </w:tc>
        <w:tc>
          <w:tcPr>
            <w:tcW w:w="1183" w:type="dxa"/>
            <w:vAlign w:val="center"/>
          </w:tcPr>
          <w:p w14:paraId="1D070DFC" w14:textId="77777777" w:rsidR="00577A45" w:rsidRDefault="004C2A6E">
            <w:pPr>
              <w:pStyle w:val="Premierpara"/>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Iceland</w:t>
            </w:r>
          </w:p>
        </w:tc>
        <w:tc>
          <w:tcPr>
            <w:tcW w:w="572" w:type="dxa"/>
            <w:vAlign w:val="center"/>
          </w:tcPr>
          <w:p w14:paraId="32B037E4"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-4</w:t>
            </w:r>
          </w:p>
        </w:tc>
        <w:tc>
          <w:tcPr>
            <w:tcW w:w="505" w:type="dxa"/>
            <w:vAlign w:val="center"/>
          </w:tcPr>
          <w:p w14:paraId="2D5CFA46"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w:t>
            </w:r>
          </w:p>
        </w:tc>
        <w:tc>
          <w:tcPr>
            <w:tcW w:w="716" w:type="dxa"/>
            <w:vAlign w:val="center"/>
          </w:tcPr>
          <w:p w14:paraId="62FA1E1A"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-4</w:t>
            </w:r>
          </w:p>
        </w:tc>
        <w:tc>
          <w:tcPr>
            <w:tcW w:w="572" w:type="dxa"/>
            <w:vAlign w:val="center"/>
          </w:tcPr>
          <w:p w14:paraId="3061C102"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4</w:t>
            </w:r>
          </w:p>
        </w:tc>
        <w:tc>
          <w:tcPr>
            <w:tcW w:w="550" w:type="dxa"/>
            <w:vAlign w:val="center"/>
          </w:tcPr>
          <w:p w14:paraId="31364358"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-25</w:t>
            </w:r>
          </w:p>
        </w:tc>
        <w:tc>
          <w:tcPr>
            <w:tcW w:w="483" w:type="dxa"/>
            <w:vAlign w:val="center"/>
          </w:tcPr>
          <w:p w14:paraId="09C243BD"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-24</w:t>
            </w:r>
          </w:p>
        </w:tc>
        <w:tc>
          <w:tcPr>
            <w:tcW w:w="1094" w:type="dxa"/>
            <w:vAlign w:val="center"/>
          </w:tcPr>
          <w:p w14:paraId="7CAD690C"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color w:val="000000"/>
                <w:sz w:val="20"/>
                <w:szCs w:val="20"/>
              </w:rPr>
              <w:t>-9</w:t>
            </w:r>
          </w:p>
        </w:tc>
        <w:tc>
          <w:tcPr>
            <w:tcW w:w="1180" w:type="dxa"/>
            <w:vMerge/>
            <w:vAlign w:val="center"/>
          </w:tcPr>
          <w:p w14:paraId="23A3E4D3" w14:textId="77777777" w:rsidR="00577A45" w:rsidRDefault="00577A45">
            <w:pPr>
              <w:pStyle w:val="Premierpara"/>
              <w:cnfStyle w:val="000000100000" w:firstRow="0" w:lastRow="0" w:firstColumn="0" w:lastColumn="0" w:oddVBand="0" w:evenVBand="0" w:oddHBand="1" w:evenHBand="0" w:firstRowFirstColumn="0" w:firstRowLastColumn="0" w:lastRowFirstColumn="0" w:lastRowLastColumn="0"/>
              <w:rPr>
                <w:b/>
                <w:sz w:val="20"/>
                <w:szCs w:val="20"/>
                <w:lang w:val="en-GB"/>
              </w:rPr>
            </w:pPr>
          </w:p>
        </w:tc>
      </w:tr>
      <w:tr w:rsidR="00577A45" w14:paraId="77BD3EF7" w14:textId="77777777" w:rsidTr="00577A45">
        <w:trPr>
          <w:trHeight w:val="288"/>
          <w:jc w:val="center"/>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2A951565" w14:textId="77777777" w:rsidR="00577A45" w:rsidRDefault="004C2A6E">
            <w:pPr>
              <w:pStyle w:val="Premierpara"/>
              <w:rPr>
                <w:b w:val="0"/>
                <w:sz w:val="20"/>
                <w:szCs w:val="20"/>
                <w:lang w:val="en-GB"/>
              </w:rPr>
            </w:pPr>
            <w:r>
              <w:rPr>
                <w:b w:val="0"/>
                <w:sz w:val="20"/>
                <w:szCs w:val="20"/>
                <w:lang w:val="en-GB"/>
              </w:rPr>
              <w:t>10</w:t>
            </w:r>
          </w:p>
        </w:tc>
        <w:tc>
          <w:tcPr>
            <w:tcW w:w="1183" w:type="dxa"/>
            <w:shd w:val="clear" w:color="auto" w:fill="auto"/>
            <w:vAlign w:val="center"/>
          </w:tcPr>
          <w:p w14:paraId="34629AD6" w14:textId="77777777" w:rsidR="00577A45" w:rsidRDefault="004C2A6E">
            <w:pPr>
              <w:pStyle w:val="Premierpara"/>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Sweden</w:t>
            </w:r>
          </w:p>
        </w:tc>
        <w:tc>
          <w:tcPr>
            <w:tcW w:w="572" w:type="dxa"/>
            <w:shd w:val="clear" w:color="auto" w:fill="auto"/>
            <w:vAlign w:val="center"/>
          </w:tcPr>
          <w:p w14:paraId="45DAC0BC"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w:t>
            </w:r>
          </w:p>
        </w:tc>
        <w:tc>
          <w:tcPr>
            <w:tcW w:w="505" w:type="dxa"/>
            <w:shd w:val="clear" w:color="auto" w:fill="auto"/>
            <w:vAlign w:val="center"/>
          </w:tcPr>
          <w:p w14:paraId="7420C097"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4</w:t>
            </w:r>
          </w:p>
        </w:tc>
        <w:tc>
          <w:tcPr>
            <w:tcW w:w="716" w:type="dxa"/>
            <w:shd w:val="clear" w:color="auto" w:fill="auto"/>
            <w:vAlign w:val="center"/>
          </w:tcPr>
          <w:p w14:paraId="278947F5"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0</w:t>
            </w:r>
          </w:p>
        </w:tc>
        <w:tc>
          <w:tcPr>
            <w:tcW w:w="572" w:type="dxa"/>
            <w:shd w:val="clear" w:color="auto" w:fill="auto"/>
            <w:vAlign w:val="center"/>
          </w:tcPr>
          <w:p w14:paraId="589A5972"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-5</w:t>
            </w:r>
          </w:p>
        </w:tc>
        <w:tc>
          <w:tcPr>
            <w:tcW w:w="550" w:type="dxa"/>
            <w:shd w:val="clear" w:color="auto" w:fill="auto"/>
            <w:vAlign w:val="center"/>
          </w:tcPr>
          <w:p w14:paraId="34664348"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-41</w:t>
            </w:r>
          </w:p>
        </w:tc>
        <w:tc>
          <w:tcPr>
            <w:tcW w:w="483" w:type="dxa"/>
            <w:shd w:val="clear" w:color="auto" w:fill="auto"/>
            <w:vAlign w:val="center"/>
          </w:tcPr>
          <w:p w14:paraId="522FE4F7"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6</w:t>
            </w:r>
          </w:p>
        </w:tc>
        <w:tc>
          <w:tcPr>
            <w:tcW w:w="1094" w:type="dxa"/>
            <w:shd w:val="clear" w:color="auto" w:fill="auto"/>
            <w:vAlign w:val="center"/>
          </w:tcPr>
          <w:p w14:paraId="126FC055"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color w:val="000000"/>
                <w:sz w:val="20"/>
                <w:szCs w:val="20"/>
              </w:rPr>
              <w:t>-6</w:t>
            </w:r>
          </w:p>
        </w:tc>
        <w:tc>
          <w:tcPr>
            <w:tcW w:w="1180" w:type="dxa"/>
            <w:vMerge/>
            <w:shd w:val="clear" w:color="auto" w:fill="auto"/>
            <w:vAlign w:val="center"/>
          </w:tcPr>
          <w:p w14:paraId="6432463B" w14:textId="77777777" w:rsidR="00577A45" w:rsidRDefault="00577A45">
            <w:pPr>
              <w:pStyle w:val="Premierpara"/>
              <w:cnfStyle w:val="000000000000" w:firstRow="0" w:lastRow="0" w:firstColumn="0" w:lastColumn="0" w:oddVBand="0" w:evenVBand="0" w:oddHBand="0" w:evenHBand="0" w:firstRowFirstColumn="0" w:firstRowLastColumn="0" w:lastRowFirstColumn="0" w:lastRowLastColumn="0"/>
              <w:rPr>
                <w:b/>
                <w:sz w:val="20"/>
                <w:szCs w:val="20"/>
                <w:lang w:val="en-GB"/>
              </w:rPr>
            </w:pPr>
          </w:p>
        </w:tc>
      </w:tr>
      <w:tr w:rsidR="00577A45" w14:paraId="07E4B79E" w14:textId="77777777" w:rsidTr="00577A4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83" w:type="dxa"/>
            <w:vAlign w:val="center"/>
          </w:tcPr>
          <w:p w14:paraId="32257B66" w14:textId="77777777" w:rsidR="00577A45" w:rsidRDefault="00577A45">
            <w:pPr>
              <w:pStyle w:val="Premierpara"/>
              <w:rPr>
                <w:sz w:val="20"/>
                <w:szCs w:val="20"/>
                <w:lang w:val="en-GB"/>
              </w:rPr>
            </w:pPr>
          </w:p>
        </w:tc>
        <w:tc>
          <w:tcPr>
            <w:tcW w:w="1183" w:type="dxa"/>
            <w:vAlign w:val="center"/>
          </w:tcPr>
          <w:p w14:paraId="62FBC0A9" w14:textId="77777777" w:rsidR="00577A45" w:rsidRDefault="00577A45">
            <w:pPr>
              <w:pStyle w:val="Premierpara"/>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572" w:type="dxa"/>
            <w:vAlign w:val="center"/>
          </w:tcPr>
          <w:p w14:paraId="6F1AED9B" w14:textId="77777777" w:rsidR="00577A45" w:rsidRDefault="00577A45">
            <w:pPr>
              <w:pStyle w:val="Premierpara"/>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505" w:type="dxa"/>
            <w:vAlign w:val="center"/>
          </w:tcPr>
          <w:p w14:paraId="771A47D2" w14:textId="77777777" w:rsidR="00577A45" w:rsidRDefault="00577A45">
            <w:pPr>
              <w:pStyle w:val="Premierpara"/>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716" w:type="dxa"/>
            <w:vAlign w:val="center"/>
          </w:tcPr>
          <w:p w14:paraId="46422E83" w14:textId="77777777" w:rsidR="00577A45" w:rsidRDefault="00577A45">
            <w:pPr>
              <w:pStyle w:val="Premierpara"/>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572" w:type="dxa"/>
            <w:vAlign w:val="center"/>
          </w:tcPr>
          <w:p w14:paraId="73FF2EBB" w14:textId="77777777" w:rsidR="00577A45" w:rsidRDefault="00577A45">
            <w:pPr>
              <w:pStyle w:val="Premierpara"/>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550" w:type="dxa"/>
            <w:vAlign w:val="center"/>
          </w:tcPr>
          <w:p w14:paraId="1FB09F4A" w14:textId="77777777" w:rsidR="00577A45" w:rsidRDefault="00577A45">
            <w:pPr>
              <w:pStyle w:val="Premierpara"/>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483" w:type="dxa"/>
            <w:vAlign w:val="center"/>
          </w:tcPr>
          <w:p w14:paraId="55DBAE53" w14:textId="77777777" w:rsidR="00577A45" w:rsidRDefault="00577A45">
            <w:pPr>
              <w:pStyle w:val="Premierpara"/>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094" w:type="dxa"/>
            <w:vAlign w:val="center"/>
          </w:tcPr>
          <w:p w14:paraId="67BB9B30" w14:textId="77777777" w:rsidR="00577A45" w:rsidRDefault="00577A45">
            <w:pPr>
              <w:pStyle w:val="Premierpara"/>
              <w:jc w:val="center"/>
              <w:cnfStyle w:val="000000100000" w:firstRow="0" w:lastRow="0" w:firstColumn="0" w:lastColumn="0" w:oddVBand="0" w:evenVBand="0" w:oddHBand="1" w:evenHBand="0" w:firstRowFirstColumn="0" w:firstRowLastColumn="0" w:lastRowFirstColumn="0" w:lastRowLastColumn="0"/>
              <w:rPr>
                <w:b/>
                <w:sz w:val="20"/>
                <w:szCs w:val="20"/>
                <w:lang w:val="en-GB"/>
              </w:rPr>
            </w:pPr>
          </w:p>
        </w:tc>
        <w:tc>
          <w:tcPr>
            <w:tcW w:w="1180" w:type="dxa"/>
            <w:vAlign w:val="center"/>
          </w:tcPr>
          <w:p w14:paraId="233D7601" w14:textId="77777777" w:rsidR="00577A45" w:rsidRDefault="00577A45">
            <w:pPr>
              <w:pStyle w:val="Premierpara"/>
              <w:cnfStyle w:val="000000100000" w:firstRow="0" w:lastRow="0" w:firstColumn="0" w:lastColumn="0" w:oddVBand="0" w:evenVBand="0" w:oddHBand="1" w:evenHBand="0" w:firstRowFirstColumn="0" w:firstRowLastColumn="0" w:lastRowFirstColumn="0" w:lastRowLastColumn="0"/>
              <w:rPr>
                <w:b/>
                <w:sz w:val="20"/>
                <w:szCs w:val="20"/>
                <w:lang w:val="en-GB"/>
              </w:rPr>
            </w:pPr>
          </w:p>
        </w:tc>
      </w:tr>
      <w:tr w:rsidR="00577A45" w14:paraId="345FAEFE" w14:textId="77777777" w:rsidTr="00577A45">
        <w:trPr>
          <w:trHeight w:val="288"/>
          <w:jc w:val="center"/>
        </w:trPr>
        <w:tc>
          <w:tcPr>
            <w:cnfStyle w:val="001000000000" w:firstRow="0" w:lastRow="0" w:firstColumn="1" w:lastColumn="0" w:oddVBand="0" w:evenVBand="0" w:oddHBand="0" w:evenHBand="0" w:firstRowFirstColumn="0" w:firstRowLastColumn="0" w:lastRowFirstColumn="0" w:lastRowLastColumn="0"/>
            <w:tcW w:w="883" w:type="dxa"/>
            <w:shd w:val="clear" w:color="auto" w:fill="auto"/>
            <w:vAlign w:val="center"/>
          </w:tcPr>
          <w:p w14:paraId="6C64E52A" w14:textId="77777777" w:rsidR="00577A45" w:rsidRDefault="00577A45">
            <w:pPr>
              <w:pStyle w:val="Premierpara"/>
              <w:rPr>
                <w:sz w:val="20"/>
                <w:szCs w:val="20"/>
                <w:lang w:val="en-GB"/>
              </w:rPr>
            </w:pPr>
          </w:p>
        </w:tc>
        <w:tc>
          <w:tcPr>
            <w:tcW w:w="1183" w:type="dxa"/>
            <w:shd w:val="clear" w:color="auto" w:fill="auto"/>
            <w:vAlign w:val="center"/>
          </w:tcPr>
          <w:p w14:paraId="75B86202" w14:textId="77777777" w:rsidR="00577A45" w:rsidRDefault="00577A45">
            <w:pPr>
              <w:pStyle w:val="Premierpara"/>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572" w:type="dxa"/>
            <w:shd w:val="clear" w:color="auto" w:fill="auto"/>
            <w:vAlign w:val="center"/>
          </w:tcPr>
          <w:p w14:paraId="3D94DA57" w14:textId="77777777" w:rsidR="00577A45" w:rsidRDefault="00577A45">
            <w:pPr>
              <w:pStyle w:val="Premierpara"/>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505" w:type="dxa"/>
            <w:shd w:val="clear" w:color="auto" w:fill="auto"/>
            <w:vAlign w:val="center"/>
          </w:tcPr>
          <w:p w14:paraId="12891FF0" w14:textId="77777777" w:rsidR="00577A45" w:rsidRDefault="00577A45">
            <w:pPr>
              <w:pStyle w:val="Premierpara"/>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716" w:type="dxa"/>
            <w:shd w:val="clear" w:color="auto" w:fill="auto"/>
            <w:vAlign w:val="center"/>
          </w:tcPr>
          <w:p w14:paraId="319AF5FB" w14:textId="77777777" w:rsidR="00577A45" w:rsidRDefault="00577A45">
            <w:pPr>
              <w:pStyle w:val="Premierpara"/>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572" w:type="dxa"/>
            <w:shd w:val="clear" w:color="auto" w:fill="auto"/>
            <w:vAlign w:val="center"/>
          </w:tcPr>
          <w:p w14:paraId="20DB7614" w14:textId="77777777" w:rsidR="00577A45" w:rsidRDefault="00577A45">
            <w:pPr>
              <w:pStyle w:val="Premierpara"/>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550" w:type="dxa"/>
            <w:shd w:val="clear" w:color="auto" w:fill="auto"/>
            <w:vAlign w:val="center"/>
          </w:tcPr>
          <w:p w14:paraId="1E4D9337" w14:textId="77777777" w:rsidR="00577A45" w:rsidRDefault="00577A45">
            <w:pPr>
              <w:pStyle w:val="Premierpara"/>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483" w:type="dxa"/>
            <w:shd w:val="clear" w:color="auto" w:fill="auto"/>
            <w:vAlign w:val="center"/>
          </w:tcPr>
          <w:p w14:paraId="2115766E" w14:textId="77777777" w:rsidR="00577A45" w:rsidRDefault="00577A45">
            <w:pPr>
              <w:pStyle w:val="Premierpara"/>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94" w:type="dxa"/>
            <w:shd w:val="clear" w:color="auto" w:fill="auto"/>
            <w:vAlign w:val="center"/>
          </w:tcPr>
          <w:p w14:paraId="4F6D1E72" w14:textId="77777777" w:rsidR="00577A45" w:rsidRDefault="00577A45">
            <w:pPr>
              <w:pStyle w:val="Premierpara"/>
              <w:jc w:val="center"/>
              <w:cnfStyle w:val="000000000000" w:firstRow="0" w:lastRow="0" w:firstColumn="0" w:lastColumn="0" w:oddVBand="0" w:evenVBand="0" w:oddHBand="0" w:evenHBand="0" w:firstRowFirstColumn="0" w:firstRowLastColumn="0" w:lastRowFirstColumn="0" w:lastRowLastColumn="0"/>
              <w:rPr>
                <w:b/>
                <w:sz w:val="20"/>
                <w:szCs w:val="20"/>
                <w:lang w:val="en-GB"/>
              </w:rPr>
            </w:pPr>
          </w:p>
        </w:tc>
        <w:tc>
          <w:tcPr>
            <w:tcW w:w="1180" w:type="dxa"/>
            <w:shd w:val="clear" w:color="auto" w:fill="auto"/>
            <w:vAlign w:val="center"/>
          </w:tcPr>
          <w:p w14:paraId="2835D601" w14:textId="77777777" w:rsidR="00577A45" w:rsidRDefault="00577A45">
            <w:pPr>
              <w:pStyle w:val="Premierpara"/>
              <w:cnfStyle w:val="000000000000" w:firstRow="0" w:lastRow="0" w:firstColumn="0" w:lastColumn="0" w:oddVBand="0" w:evenVBand="0" w:oddHBand="0" w:evenHBand="0" w:firstRowFirstColumn="0" w:firstRowLastColumn="0" w:lastRowFirstColumn="0" w:lastRowLastColumn="0"/>
              <w:rPr>
                <w:b/>
                <w:sz w:val="20"/>
                <w:szCs w:val="20"/>
                <w:lang w:val="en-GB"/>
              </w:rPr>
            </w:pPr>
          </w:p>
        </w:tc>
      </w:tr>
      <w:tr w:rsidR="00577A45" w14:paraId="0501B177" w14:textId="77777777" w:rsidTr="00577A4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83" w:type="dxa"/>
          </w:tcPr>
          <w:p w14:paraId="55C91CD1" w14:textId="77777777" w:rsidR="00577A45" w:rsidRDefault="004C2A6E">
            <w:pPr>
              <w:pStyle w:val="Premierpara"/>
              <w:rPr>
                <w:b w:val="0"/>
                <w:sz w:val="20"/>
                <w:szCs w:val="20"/>
                <w:lang w:val="en-GB"/>
              </w:rPr>
            </w:pPr>
            <w:r>
              <w:rPr>
                <w:b w:val="0"/>
                <w:sz w:val="20"/>
                <w:szCs w:val="20"/>
                <w:lang w:val="en-GB"/>
              </w:rPr>
              <w:t>95</w:t>
            </w:r>
          </w:p>
        </w:tc>
        <w:tc>
          <w:tcPr>
            <w:tcW w:w="1183" w:type="dxa"/>
            <w:vAlign w:val="center"/>
          </w:tcPr>
          <w:p w14:paraId="1F634FE6" w14:textId="77777777" w:rsidR="00577A45" w:rsidRDefault="004C2A6E">
            <w:pPr>
              <w:pStyle w:val="Premierpara"/>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Senegal</w:t>
            </w:r>
          </w:p>
        </w:tc>
        <w:tc>
          <w:tcPr>
            <w:tcW w:w="572" w:type="dxa"/>
            <w:vAlign w:val="center"/>
          </w:tcPr>
          <w:p w14:paraId="3FFCF974"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-4</w:t>
            </w:r>
          </w:p>
        </w:tc>
        <w:tc>
          <w:tcPr>
            <w:tcW w:w="505" w:type="dxa"/>
            <w:vAlign w:val="center"/>
          </w:tcPr>
          <w:p w14:paraId="66FABB3E"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12</w:t>
            </w:r>
          </w:p>
        </w:tc>
        <w:tc>
          <w:tcPr>
            <w:tcW w:w="716" w:type="dxa"/>
            <w:vAlign w:val="center"/>
          </w:tcPr>
          <w:p w14:paraId="3BEE2D23"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9</w:t>
            </w:r>
          </w:p>
        </w:tc>
        <w:tc>
          <w:tcPr>
            <w:tcW w:w="572" w:type="dxa"/>
            <w:vAlign w:val="center"/>
          </w:tcPr>
          <w:p w14:paraId="3B467BF8"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25</w:t>
            </w:r>
          </w:p>
        </w:tc>
        <w:tc>
          <w:tcPr>
            <w:tcW w:w="550" w:type="dxa"/>
            <w:vAlign w:val="center"/>
          </w:tcPr>
          <w:p w14:paraId="1A0EB449"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15</w:t>
            </w:r>
          </w:p>
        </w:tc>
        <w:tc>
          <w:tcPr>
            <w:tcW w:w="483" w:type="dxa"/>
            <w:vAlign w:val="center"/>
          </w:tcPr>
          <w:p w14:paraId="41270A2B"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13</w:t>
            </w:r>
          </w:p>
        </w:tc>
        <w:tc>
          <w:tcPr>
            <w:tcW w:w="1094" w:type="dxa"/>
            <w:vAlign w:val="center"/>
          </w:tcPr>
          <w:p w14:paraId="11BDEF90"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color w:val="000000"/>
                <w:sz w:val="20"/>
                <w:szCs w:val="20"/>
              </w:rPr>
              <w:t>12</w:t>
            </w:r>
          </w:p>
        </w:tc>
        <w:tc>
          <w:tcPr>
            <w:tcW w:w="1180" w:type="dxa"/>
            <w:vMerge w:val="restart"/>
            <w:vAlign w:val="center"/>
          </w:tcPr>
          <w:p w14:paraId="3E9C15EB" w14:textId="77777777" w:rsidR="00577A45" w:rsidRDefault="004C2A6E">
            <w:pPr>
              <w:pStyle w:val="Premierpara"/>
              <w:jc w:val="center"/>
              <w:cnfStyle w:val="000000100000" w:firstRow="0" w:lastRow="0" w:firstColumn="0" w:lastColumn="0" w:oddVBand="0" w:evenVBand="0" w:oddHBand="1" w:evenHBand="0" w:firstRowFirstColumn="0" w:firstRowLastColumn="0" w:lastRowFirstColumn="0" w:lastRowLastColumn="0"/>
              <w:rPr>
                <w:b/>
                <w:sz w:val="20"/>
                <w:szCs w:val="20"/>
                <w:lang w:val="en-GB"/>
              </w:rPr>
            </w:pPr>
            <w:r>
              <w:rPr>
                <w:sz w:val="20"/>
                <w:szCs w:val="20"/>
                <w:lang w:val="en-GB"/>
              </w:rPr>
              <w:t>7</w:t>
            </w:r>
          </w:p>
        </w:tc>
      </w:tr>
      <w:tr w:rsidR="00577A45" w14:paraId="0AB489FC" w14:textId="77777777" w:rsidTr="00577A45">
        <w:trPr>
          <w:trHeight w:val="288"/>
          <w:jc w:val="center"/>
        </w:trPr>
        <w:tc>
          <w:tcPr>
            <w:cnfStyle w:val="001000000000" w:firstRow="0" w:lastRow="0" w:firstColumn="1" w:lastColumn="0" w:oddVBand="0" w:evenVBand="0" w:oddHBand="0" w:evenHBand="0" w:firstRowFirstColumn="0" w:firstRowLastColumn="0" w:lastRowFirstColumn="0" w:lastRowLastColumn="0"/>
            <w:tcW w:w="883" w:type="dxa"/>
            <w:shd w:val="clear" w:color="auto" w:fill="auto"/>
          </w:tcPr>
          <w:p w14:paraId="2D01D495" w14:textId="77777777" w:rsidR="00577A45" w:rsidRDefault="004C2A6E">
            <w:pPr>
              <w:pStyle w:val="Premierpara"/>
              <w:rPr>
                <w:b w:val="0"/>
                <w:sz w:val="20"/>
                <w:szCs w:val="20"/>
                <w:lang w:val="en-GB"/>
              </w:rPr>
            </w:pPr>
            <w:r>
              <w:rPr>
                <w:b w:val="0"/>
                <w:sz w:val="20"/>
                <w:szCs w:val="20"/>
                <w:lang w:val="en-GB"/>
              </w:rPr>
              <w:t>96</w:t>
            </w:r>
          </w:p>
        </w:tc>
        <w:tc>
          <w:tcPr>
            <w:tcW w:w="1183" w:type="dxa"/>
            <w:shd w:val="clear" w:color="auto" w:fill="auto"/>
            <w:vAlign w:val="center"/>
          </w:tcPr>
          <w:p w14:paraId="3A45345E" w14:textId="77777777" w:rsidR="00577A45" w:rsidRDefault="004C2A6E">
            <w:pPr>
              <w:pStyle w:val="Premierpara"/>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Chad</w:t>
            </w:r>
          </w:p>
        </w:tc>
        <w:tc>
          <w:tcPr>
            <w:tcW w:w="572" w:type="dxa"/>
            <w:shd w:val="clear" w:color="auto" w:fill="auto"/>
            <w:vAlign w:val="center"/>
          </w:tcPr>
          <w:p w14:paraId="0BF6C4A1"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-7</w:t>
            </w:r>
          </w:p>
        </w:tc>
        <w:tc>
          <w:tcPr>
            <w:tcW w:w="505" w:type="dxa"/>
            <w:shd w:val="clear" w:color="auto" w:fill="auto"/>
            <w:vAlign w:val="center"/>
          </w:tcPr>
          <w:p w14:paraId="14E21D19"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-8</w:t>
            </w:r>
          </w:p>
        </w:tc>
        <w:tc>
          <w:tcPr>
            <w:tcW w:w="716" w:type="dxa"/>
            <w:shd w:val="clear" w:color="auto" w:fill="auto"/>
            <w:vAlign w:val="center"/>
          </w:tcPr>
          <w:p w14:paraId="4182FBEF"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-7</w:t>
            </w:r>
          </w:p>
        </w:tc>
        <w:tc>
          <w:tcPr>
            <w:tcW w:w="572" w:type="dxa"/>
            <w:shd w:val="clear" w:color="auto" w:fill="auto"/>
            <w:vAlign w:val="center"/>
          </w:tcPr>
          <w:p w14:paraId="5907CDF9"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-7</w:t>
            </w:r>
          </w:p>
        </w:tc>
        <w:tc>
          <w:tcPr>
            <w:tcW w:w="550" w:type="dxa"/>
            <w:shd w:val="clear" w:color="auto" w:fill="auto"/>
            <w:vAlign w:val="center"/>
          </w:tcPr>
          <w:p w14:paraId="1B75B49B"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-8</w:t>
            </w:r>
          </w:p>
        </w:tc>
        <w:tc>
          <w:tcPr>
            <w:tcW w:w="483" w:type="dxa"/>
            <w:shd w:val="clear" w:color="auto" w:fill="auto"/>
            <w:vAlign w:val="center"/>
          </w:tcPr>
          <w:p w14:paraId="0D9E6E69"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w:t>
            </w:r>
          </w:p>
        </w:tc>
        <w:tc>
          <w:tcPr>
            <w:tcW w:w="1094" w:type="dxa"/>
            <w:shd w:val="clear" w:color="auto" w:fill="auto"/>
            <w:vAlign w:val="center"/>
          </w:tcPr>
          <w:p w14:paraId="11FE6C4B"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color w:val="000000"/>
                <w:sz w:val="20"/>
                <w:szCs w:val="20"/>
              </w:rPr>
              <w:t>-6</w:t>
            </w:r>
          </w:p>
        </w:tc>
        <w:tc>
          <w:tcPr>
            <w:tcW w:w="1180" w:type="dxa"/>
            <w:vMerge/>
            <w:shd w:val="clear" w:color="auto" w:fill="auto"/>
            <w:vAlign w:val="center"/>
          </w:tcPr>
          <w:p w14:paraId="688D2AEC" w14:textId="77777777" w:rsidR="00577A45" w:rsidRDefault="00577A45">
            <w:pPr>
              <w:pStyle w:val="Premierpara"/>
              <w:cnfStyle w:val="000000000000" w:firstRow="0" w:lastRow="0" w:firstColumn="0" w:lastColumn="0" w:oddVBand="0" w:evenVBand="0" w:oddHBand="0" w:evenHBand="0" w:firstRowFirstColumn="0" w:firstRowLastColumn="0" w:lastRowFirstColumn="0" w:lastRowLastColumn="0"/>
              <w:rPr>
                <w:b/>
                <w:sz w:val="20"/>
                <w:szCs w:val="20"/>
                <w:lang w:val="en-GB"/>
              </w:rPr>
            </w:pPr>
          </w:p>
        </w:tc>
      </w:tr>
      <w:tr w:rsidR="00577A45" w14:paraId="2E343FAB" w14:textId="77777777" w:rsidTr="00577A4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83" w:type="dxa"/>
          </w:tcPr>
          <w:p w14:paraId="4B1E51C0" w14:textId="77777777" w:rsidR="00577A45" w:rsidRDefault="004C2A6E">
            <w:pPr>
              <w:pStyle w:val="Premierpara"/>
              <w:rPr>
                <w:b w:val="0"/>
                <w:sz w:val="20"/>
                <w:szCs w:val="20"/>
                <w:lang w:val="en-GB"/>
              </w:rPr>
            </w:pPr>
            <w:r>
              <w:rPr>
                <w:b w:val="0"/>
                <w:sz w:val="20"/>
                <w:szCs w:val="20"/>
                <w:lang w:val="en-GB"/>
              </w:rPr>
              <w:t>97</w:t>
            </w:r>
          </w:p>
        </w:tc>
        <w:tc>
          <w:tcPr>
            <w:tcW w:w="1183" w:type="dxa"/>
            <w:vAlign w:val="center"/>
          </w:tcPr>
          <w:p w14:paraId="65331E58" w14:textId="77777777" w:rsidR="00577A45" w:rsidRDefault="004C2A6E">
            <w:pPr>
              <w:pStyle w:val="Premierpara"/>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Benin</w:t>
            </w:r>
          </w:p>
        </w:tc>
        <w:tc>
          <w:tcPr>
            <w:tcW w:w="572" w:type="dxa"/>
            <w:vAlign w:val="center"/>
          </w:tcPr>
          <w:p w14:paraId="75200FE0"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w:t>
            </w:r>
          </w:p>
        </w:tc>
        <w:tc>
          <w:tcPr>
            <w:tcW w:w="505" w:type="dxa"/>
            <w:vAlign w:val="center"/>
          </w:tcPr>
          <w:p w14:paraId="6A0DF284"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6</w:t>
            </w:r>
          </w:p>
        </w:tc>
        <w:tc>
          <w:tcPr>
            <w:tcW w:w="716" w:type="dxa"/>
            <w:vAlign w:val="center"/>
          </w:tcPr>
          <w:p w14:paraId="341DB2C2"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w:t>
            </w:r>
          </w:p>
        </w:tc>
        <w:tc>
          <w:tcPr>
            <w:tcW w:w="572" w:type="dxa"/>
            <w:vAlign w:val="center"/>
          </w:tcPr>
          <w:p w14:paraId="725F792A"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8</w:t>
            </w:r>
          </w:p>
        </w:tc>
        <w:tc>
          <w:tcPr>
            <w:tcW w:w="550" w:type="dxa"/>
            <w:vAlign w:val="center"/>
          </w:tcPr>
          <w:p w14:paraId="53B84568"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-5</w:t>
            </w:r>
          </w:p>
        </w:tc>
        <w:tc>
          <w:tcPr>
            <w:tcW w:w="483" w:type="dxa"/>
            <w:vAlign w:val="center"/>
          </w:tcPr>
          <w:p w14:paraId="5F4B7814"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20</w:t>
            </w:r>
          </w:p>
        </w:tc>
        <w:tc>
          <w:tcPr>
            <w:tcW w:w="1094" w:type="dxa"/>
            <w:vAlign w:val="center"/>
          </w:tcPr>
          <w:p w14:paraId="6D4A742D"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color w:val="000000"/>
                <w:sz w:val="20"/>
                <w:szCs w:val="20"/>
              </w:rPr>
              <w:t>5</w:t>
            </w:r>
          </w:p>
        </w:tc>
        <w:tc>
          <w:tcPr>
            <w:tcW w:w="1180" w:type="dxa"/>
            <w:vMerge/>
            <w:vAlign w:val="center"/>
          </w:tcPr>
          <w:p w14:paraId="5C57C52D" w14:textId="77777777" w:rsidR="00577A45" w:rsidRDefault="00577A45">
            <w:pPr>
              <w:pStyle w:val="Premierpara"/>
              <w:cnfStyle w:val="000000100000" w:firstRow="0" w:lastRow="0" w:firstColumn="0" w:lastColumn="0" w:oddVBand="0" w:evenVBand="0" w:oddHBand="1" w:evenHBand="0" w:firstRowFirstColumn="0" w:firstRowLastColumn="0" w:lastRowFirstColumn="0" w:lastRowLastColumn="0"/>
              <w:rPr>
                <w:b/>
                <w:sz w:val="20"/>
                <w:szCs w:val="20"/>
                <w:lang w:val="en-GB"/>
              </w:rPr>
            </w:pPr>
          </w:p>
        </w:tc>
      </w:tr>
      <w:tr w:rsidR="00577A45" w14:paraId="58BA33EF" w14:textId="77777777" w:rsidTr="00577A45">
        <w:trPr>
          <w:trHeight w:val="288"/>
          <w:jc w:val="center"/>
        </w:trPr>
        <w:tc>
          <w:tcPr>
            <w:cnfStyle w:val="001000000000" w:firstRow="0" w:lastRow="0" w:firstColumn="1" w:lastColumn="0" w:oddVBand="0" w:evenVBand="0" w:oddHBand="0" w:evenHBand="0" w:firstRowFirstColumn="0" w:firstRowLastColumn="0" w:lastRowFirstColumn="0" w:lastRowLastColumn="0"/>
            <w:tcW w:w="883" w:type="dxa"/>
            <w:shd w:val="clear" w:color="auto" w:fill="auto"/>
          </w:tcPr>
          <w:p w14:paraId="257B4150" w14:textId="77777777" w:rsidR="00577A45" w:rsidRDefault="004C2A6E">
            <w:pPr>
              <w:pStyle w:val="Premierpara"/>
              <w:rPr>
                <w:b w:val="0"/>
                <w:sz w:val="20"/>
                <w:szCs w:val="20"/>
                <w:lang w:val="en-GB"/>
              </w:rPr>
            </w:pPr>
            <w:r>
              <w:rPr>
                <w:b w:val="0"/>
                <w:sz w:val="20"/>
                <w:szCs w:val="20"/>
                <w:lang w:val="en-GB"/>
              </w:rPr>
              <w:t>98</w:t>
            </w:r>
          </w:p>
        </w:tc>
        <w:tc>
          <w:tcPr>
            <w:tcW w:w="1183" w:type="dxa"/>
            <w:shd w:val="clear" w:color="auto" w:fill="auto"/>
            <w:vAlign w:val="center"/>
          </w:tcPr>
          <w:p w14:paraId="04856AC4" w14:textId="77777777" w:rsidR="00577A45" w:rsidRDefault="004C2A6E">
            <w:pPr>
              <w:pStyle w:val="Premierpara"/>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Uganda</w:t>
            </w:r>
          </w:p>
        </w:tc>
        <w:tc>
          <w:tcPr>
            <w:tcW w:w="572" w:type="dxa"/>
            <w:shd w:val="clear" w:color="auto" w:fill="auto"/>
            <w:vAlign w:val="center"/>
          </w:tcPr>
          <w:p w14:paraId="0D5D865F"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w:t>
            </w:r>
          </w:p>
        </w:tc>
        <w:tc>
          <w:tcPr>
            <w:tcW w:w="505" w:type="dxa"/>
            <w:shd w:val="clear" w:color="auto" w:fill="auto"/>
            <w:vAlign w:val="center"/>
          </w:tcPr>
          <w:p w14:paraId="57F8A195"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8</w:t>
            </w:r>
          </w:p>
        </w:tc>
        <w:tc>
          <w:tcPr>
            <w:tcW w:w="716" w:type="dxa"/>
            <w:shd w:val="clear" w:color="auto" w:fill="auto"/>
            <w:vAlign w:val="center"/>
          </w:tcPr>
          <w:p w14:paraId="785BBE5F"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10</w:t>
            </w:r>
          </w:p>
        </w:tc>
        <w:tc>
          <w:tcPr>
            <w:tcW w:w="572" w:type="dxa"/>
            <w:shd w:val="clear" w:color="auto" w:fill="auto"/>
            <w:vAlign w:val="center"/>
          </w:tcPr>
          <w:p w14:paraId="72A33C44"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7</w:t>
            </w:r>
          </w:p>
        </w:tc>
        <w:tc>
          <w:tcPr>
            <w:tcW w:w="550" w:type="dxa"/>
            <w:shd w:val="clear" w:color="auto" w:fill="auto"/>
            <w:vAlign w:val="center"/>
          </w:tcPr>
          <w:p w14:paraId="7B4C0359"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10</w:t>
            </w:r>
          </w:p>
        </w:tc>
        <w:tc>
          <w:tcPr>
            <w:tcW w:w="483" w:type="dxa"/>
            <w:shd w:val="clear" w:color="auto" w:fill="auto"/>
            <w:vAlign w:val="center"/>
          </w:tcPr>
          <w:p w14:paraId="2E2956E8"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34</w:t>
            </w:r>
          </w:p>
        </w:tc>
        <w:tc>
          <w:tcPr>
            <w:tcW w:w="1094" w:type="dxa"/>
            <w:shd w:val="clear" w:color="auto" w:fill="auto"/>
            <w:vAlign w:val="center"/>
          </w:tcPr>
          <w:p w14:paraId="02F7D994"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color w:val="000000"/>
                <w:sz w:val="20"/>
                <w:szCs w:val="20"/>
              </w:rPr>
              <w:t>12</w:t>
            </w:r>
          </w:p>
        </w:tc>
        <w:tc>
          <w:tcPr>
            <w:tcW w:w="1180" w:type="dxa"/>
            <w:vMerge/>
            <w:shd w:val="clear" w:color="auto" w:fill="auto"/>
            <w:vAlign w:val="center"/>
          </w:tcPr>
          <w:p w14:paraId="7962A754" w14:textId="77777777" w:rsidR="00577A45" w:rsidRDefault="00577A45">
            <w:pPr>
              <w:pStyle w:val="Premierpara"/>
              <w:cnfStyle w:val="000000000000" w:firstRow="0" w:lastRow="0" w:firstColumn="0" w:lastColumn="0" w:oddVBand="0" w:evenVBand="0" w:oddHBand="0" w:evenHBand="0" w:firstRowFirstColumn="0" w:firstRowLastColumn="0" w:lastRowFirstColumn="0" w:lastRowLastColumn="0"/>
              <w:rPr>
                <w:b/>
                <w:sz w:val="20"/>
                <w:szCs w:val="20"/>
                <w:lang w:val="en-GB"/>
              </w:rPr>
            </w:pPr>
          </w:p>
        </w:tc>
      </w:tr>
      <w:tr w:rsidR="00577A45" w14:paraId="466EC574" w14:textId="77777777" w:rsidTr="00577A4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83" w:type="dxa"/>
          </w:tcPr>
          <w:p w14:paraId="7A673050" w14:textId="77777777" w:rsidR="00577A45" w:rsidRDefault="004C2A6E">
            <w:pPr>
              <w:pStyle w:val="Premierpara"/>
              <w:rPr>
                <w:b w:val="0"/>
                <w:sz w:val="20"/>
                <w:szCs w:val="20"/>
                <w:lang w:val="en-GB"/>
              </w:rPr>
            </w:pPr>
            <w:r>
              <w:rPr>
                <w:b w:val="0"/>
                <w:sz w:val="20"/>
                <w:szCs w:val="20"/>
                <w:lang w:val="en-GB"/>
              </w:rPr>
              <w:t>99</w:t>
            </w:r>
          </w:p>
        </w:tc>
        <w:tc>
          <w:tcPr>
            <w:tcW w:w="1183" w:type="dxa"/>
            <w:vAlign w:val="center"/>
          </w:tcPr>
          <w:p w14:paraId="63B55AC1" w14:textId="77777777" w:rsidR="00577A45" w:rsidRDefault="004C2A6E">
            <w:pPr>
              <w:pStyle w:val="Premierpara"/>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Rwanda</w:t>
            </w:r>
          </w:p>
        </w:tc>
        <w:tc>
          <w:tcPr>
            <w:tcW w:w="572" w:type="dxa"/>
            <w:vAlign w:val="center"/>
          </w:tcPr>
          <w:p w14:paraId="3F679B52"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3</w:t>
            </w:r>
          </w:p>
        </w:tc>
        <w:tc>
          <w:tcPr>
            <w:tcW w:w="505" w:type="dxa"/>
            <w:vAlign w:val="center"/>
          </w:tcPr>
          <w:p w14:paraId="04BE6046"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10</w:t>
            </w:r>
          </w:p>
        </w:tc>
        <w:tc>
          <w:tcPr>
            <w:tcW w:w="716" w:type="dxa"/>
            <w:vAlign w:val="center"/>
          </w:tcPr>
          <w:p w14:paraId="16801BD9"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4</w:t>
            </w:r>
          </w:p>
        </w:tc>
        <w:tc>
          <w:tcPr>
            <w:tcW w:w="572" w:type="dxa"/>
            <w:vAlign w:val="center"/>
          </w:tcPr>
          <w:p w14:paraId="4BB91312"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25</w:t>
            </w:r>
          </w:p>
        </w:tc>
        <w:tc>
          <w:tcPr>
            <w:tcW w:w="550" w:type="dxa"/>
            <w:vAlign w:val="center"/>
          </w:tcPr>
          <w:p w14:paraId="161D7F12"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12</w:t>
            </w:r>
          </w:p>
        </w:tc>
        <w:tc>
          <w:tcPr>
            <w:tcW w:w="483" w:type="dxa"/>
            <w:vAlign w:val="center"/>
          </w:tcPr>
          <w:p w14:paraId="04A08DBD"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39</w:t>
            </w:r>
          </w:p>
        </w:tc>
        <w:tc>
          <w:tcPr>
            <w:tcW w:w="1094" w:type="dxa"/>
            <w:vAlign w:val="center"/>
          </w:tcPr>
          <w:p w14:paraId="1E6A47FB"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color w:val="000000"/>
                <w:sz w:val="20"/>
                <w:szCs w:val="20"/>
              </w:rPr>
              <w:t>16</w:t>
            </w:r>
          </w:p>
        </w:tc>
        <w:tc>
          <w:tcPr>
            <w:tcW w:w="1180" w:type="dxa"/>
            <w:vMerge/>
            <w:vAlign w:val="center"/>
          </w:tcPr>
          <w:p w14:paraId="6E582420" w14:textId="77777777" w:rsidR="00577A45" w:rsidRDefault="00577A45">
            <w:pPr>
              <w:pStyle w:val="Premierpara"/>
              <w:cnfStyle w:val="000000100000" w:firstRow="0" w:lastRow="0" w:firstColumn="0" w:lastColumn="0" w:oddVBand="0" w:evenVBand="0" w:oddHBand="1" w:evenHBand="0" w:firstRowFirstColumn="0" w:firstRowLastColumn="0" w:lastRowFirstColumn="0" w:lastRowLastColumn="0"/>
              <w:rPr>
                <w:b/>
                <w:sz w:val="20"/>
                <w:szCs w:val="20"/>
                <w:lang w:val="en-GB"/>
              </w:rPr>
            </w:pPr>
          </w:p>
        </w:tc>
      </w:tr>
      <w:tr w:rsidR="00577A45" w14:paraId="087A4803" w14:textId="77777777" w:rsidTr="00577A45">
        <w:trPr>
          <w:trHeight w:val="288"/>
          <w:jc w:val="center"/>
        </w:trPr>
        <w:tc>
          <w:tcPr>
            <w:cnfStyle w:val="001000000000" w:firstRow="0" w:lastRow="0" w:firstColumn="1" w:lastColumn="0" w:oddVBand="0" w:evenVBand="0" w:oddHBand="0" w:evenHBand="0" w:firstRowFirstColumn="0" w:firstRowLastColumn="0" w:lastRowFirstColumn="0" w:lastRowLastColumn="0"/>
            <w:tcW w:w="883" w:type="dxa"/>
            <w:shd w:val="clear" w:color="auto" w:fill="auto"/>
          </w:tcPr>
          <w:p w14:paraId="2299C74A" w14:textId="77777777" w:rsidR="00577A45" w:rsidRDefault="004C2A6E">
            <w:pPr>
              <w:pStyle w:val="Premierpara"/>
              <w:rPr>
                <w:b w:val="0"/>
                <w:sz w:val="20"/>
                <w:szCs w:val="20"/>
                <w:lang w:val="en-GB"/>
              </w:rPr>
            </w:pPr>
            <w:r>
              <w:rPr>
                <w:b w:val="0"/>
                <w:sz w:val="20"/>
                <w:szCs w:val="20"/>
                <w:lang w:val="en-GB"/>
              </w:rPr>
              <w:lastRenderedPageBreak/>
              <w:t>100</w:t>
            </w:r>
          </w:p>
        </w:tc>
        <w:tc>
          <w:tcPr>
            <w:tcW w:w="1183" w:type="dxa"/>
            <w:shd w:val="clear" w:color="auto" w:fill="auto"/>
            <w:vAlign w:val="center"/>
          </w:tcPr>
          <w:p w14:paraId="007F14B0" w14:textId="77777777" w:rsidR="00577A45" w:rsidRDefault="004C2A6E">
            <w:pPr>
              <w:pStyle w:val="Premierpara"/>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Burkina Faso</w:t>
            </w:r>
          </w:p>
        </w:tc>
        <w:tc>
          <w:tcPr>
            <w:tcW w:w="572" w:type="dxa"/>
            <w:shd w:val="clear" w:color="auto" w:fill="auto"/>
            <w:vAlign w:val="center"/>
          </w:tcPr>
          <w:p w14:paraId="26495D42"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-2</w:t>
            </w:r>
          </w:p>
        </w:tc>
        <w:tc>
          <w:tcPr>
            <w:tcW w:w="505" w:type="dxa"/>
            <w:shd w:val="clear" w:color="auto" w:fill="auto"/>
            <w:vAlign w:val="center"/>
          </w:tcPr>
          <w:p w14:paraId="678B8517"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6</w:t>
            </w:r>
          </w:p>
        </w:tc>
        <w:tc>
          <w:tcPr>
            <w:tcW w:w="716" w:type="dxa"/>
            <w:shd w:val="clear" w:color="auto" w:fill="auto"/>
            <w:vAlign w:val="center"/>
          </w:tcPr>
          <w:p w14:paraId="6E7DC012"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w:t>
            </w:r>
          </w:p>
        </w:tc>
        <w:tc>
          <w:tcPr>
            <w:tcW w:w="572" w:type="dxa"/>
            <w:shd w:val="clear" w:color="auto" w:fill="auto"/>
            <w:vAlign w:val="center"/>
          </w:tcPr>
          <w:p w14:paraId="693E6CAC"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19</w:t>
            </w:r>
          </w:p>
        </w:tc>
        <w:tc>
          <w:tcPr>
            <w:tcW w:w="550" w:type="dxa"/>
            <w:shd w:val="clear" w:color="auto" w:fill="auto"/>
            <w:vAlign w:val="center"/>
          </w:tcPr>
          <w:p w14:paraId="1ADBDF53"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6</w:t>
            </w:r>
          </w:p>
        </w:tc>
        <w:tc>
          <w:tcPr>
            <w:tcW w:w="483" w:type="dxa"/>
            <w:shd w:val="clear" w:color="auto" w:fill="auto"/>
            <w:vAlign w:val="center"/>
          </w:tcPr>
          <w:p w14:paraId="001328A8"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20</w:t>
            </w:r>
          </w:p>
        </w:tc>
        <w:tc>
          <w:tcPr>
            <w:tcW w:w="1094" w:type="dxa"/>
            <w:shd w:val="clear" w:color="auto" w:fill="auto"/>
            <w:vAlign w:val="center"/>
          </w:tcPr>
          <w:p w14:paraId="7A0B5CAA"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color w:val="000000"/>
                <w:sz w:val="20"/>
                <w:szCs w:val="20"/>
              </w:rPr>
              <w:t>8</w:t>
            </w:r>
          </w:p>
        </w:tc>
        <w:tc>
          <w:tcPr>
            <w:tcW w:w="1180" w:type="dxa"/>
            <w:vMerge/>
            <w:shd w:val="clear" w:color="auto" w:fill="auto"/>
            <w:vAlign w:val="center"/>
          </w:tcPr>
          <w:p w14:paraId="20EEE956" w14:textId="77777777" w:rsidR="00577A45" w:rsidRDefault="00577A45">
            <w:pPr>
              <w:pStyle w:val="Premierpara"/>
              <w:cnfStyle w:val="000000000000" w:firstRow="0" w:lastRow="0" w:firstColumn="0" w:lastColumn="0" w:oddVBand="0" w:evenVBand="0" w:oddHBand="0" w:evenHBand="0" w:firstRowFirstColumn="0" w:firstRowLastColumn="0" w:lastRowFirstColumn="0" w:lastRowLastColumn="0"/>
              <w:rPr>
                <w:b/>
                <w:sz w:val="20"/>
                <w:szCs w:val="20"/>
                <w:lang w:val="en-GB"/>
              </w:rPr>
            </w:pPr>
          </w:p>
        </w:tc>
      </w:tr>
      <w:tr w:rsidR="00577A45" w14:paraId="76CE7521" w14:textId="77777777" w:rsidTr="00577A4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83" w:type="dxa"/>
          </w:tcPr>
          <w:p w14:paraId="56293E4E" w14:textId="77777777" w:rsidR="00577A45" w:rsidRDefault="004C2A6E">
            <w:pPr>
              <w:pStyle w:val="Premierpara"/>
              <w:rPr>
                <w:b w:val="0"/>
                <w:sz w:val="20"/>
                <w:szCs w:val="20"/>
                <w:lang w:val="en-GB"/>
              </w:rPr>
            </w:pPr>
            <w:r>
              <w:rPr>
                <w:b w:val="0"/>
                <w:sz w:val="20"/>
                <w:szCs w:val="20"/>
                <w:lang w:val="en-GB"/>
              </w:rPr>
              <w:t>101</w:t>
            </w:r>
          </w:p>
        </w:tc>
        <w:tc>
          <w:tcPr>
            <w:tcW w:w="1183" w:type="dxa"/>
            <w:vAlign w:val="center"/>
          </w:tcPr>
          <w:p w14:paraId="07481E6A" w14:textId="77777777" w:rsidR="00577A45" w:rsidRDefault="004C2A6E">
            <w:pPr>
              <w:pStyle w:val="Premierpara"/>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Sierra Leone</w:t>
            </w:r>
          </w:p>
        </w:tc>
        <w:tc>
          <w:tcPr>
            <w:tcW w:w="572" w:type="dxa"/>
            <w:vAlign w:val="center"/>
          </w:tcPr>
          <w:p w14:paraId="74C38772"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0</w:t>
            </w:r>
          </w:p>
        </w:tc>
        <w:tc>
          <w:tcPr>
            <w:tcW w:w="505" w:type="dxa"/>
            <w:vAlign w:val="center"/>
          </w:tcPr>
          <w:p w14:paraId="0C30106F"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0</w:t>
            </w:r>
          </w:p>
        </w:tc>
        <w:tc>
          <w:tcPr>
            <w:tcW w:w="716" w:type="dxa"/>
            <w:vAlign w:val="center"/>
          </w:tcPr>
          <w:p w14:paraId="2AF33B15"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0</w:t>
            </w:r>
          </w:p>
        </w:tc>
        <w:tc>
          <w:tcPr>
            <w:tcW w:w="572" w:type="dxa"/>
            <w:vAlign w:val="center"/>
          </w:tcPr>
          <w:p w14:paraId="502E566A"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14</w:t>
            </w:r>
          </w:p>
        </w:tc>
        <w:tc>
          <w:tcPr>
            <w:tcW w:w="550" w:type="dxa"/>
            <w:vAlign w:val="center"/>
          </w:tcPr>
          <w:p w14:paraId="1CB60CC8"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w:t>
            </w:r>
          </w:p>
        </w:tc>
        <w:tc>
          <w:tcPr>
            <w:tcW w:w="483" w:type="dxa"/>
            <w:vAlign w:val="center"/>
          </w:tcPr>
          <w:p w14:paraId="0F151A31"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9</w:t>
            </w:r>
          </w:p>
        </w:tc>
        <w:tc>
          <w:tcPr>
            <w:tcW w:w="1094" w:type="dxa"/>
            <w:vAlign w:val="center"/>
          </w:tcPr>
          <w:p w14:paraId="379A92DB"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color w:val="000000"/>
                <w:sz w:val="20"/>
                <w:szCs w:val="20"/>
              </w:rPr>
              <w:t>4</w:t>
            </w:r>
          </w:p>
        </w:tc>
        <w:tc>
          <w:tcPr>
            <w:tcW w:w="1180" w:type="dxa"/>
            <w:vMerge/>
            <w:vAlign w:val="center"/>
          </w:tcPr>
          <w:p w14:paraId="4000B938" w14:textId="77777777" w:rsidR="00577A45" w:rsidRDefault="00577A45">
            <w:pPr>
              <w:pStyle w:val="Premierpara"/>
              <w:cnfStyle w:val="000000100000" w:firstRow="0" w:lastRow="0" w:firstColumn="0" w:lastColumn="0" w:oddVBand="0" w:evenVBand="0" w:oddHBand="1" w:evenHBand="0" w:firstRowFirstColumn="0" w:firstRowLastColumn="0" w:lastRowFirstColumn="0" w:lastRowLastColumn="0"/>
              <w:rPr>
                <w:b/>
                <w:sz w:val="20"/>
                <w:szCs w:val="20"/>
                <w:lang w:val="en-GB"/>
              </w:rPr>
            </w:pPr>
          </w:p>
        </w:tc>
      </w:tr>
      <w:tr w:rsidR="00577A45" w14:paraId="2D7B5C54" w14:textId="77777777" w:rsidTr="00577A45">
        <w:trPr>
          <w:trHeight w:val="288"/>
          <w:jc w:val="center"/>
        </w:trPr>
        <w:tc>
          <w:tcPr>
            <w:cnfStyle w:val="001000000000" w:firstRow="0" w:lastRow="0" w:firstColumn="1" w:lastColumn="0" w:oddVBand="0" w:evenVBand="0" w:oddHBand="0" w:evenHBand="0" w:firstRowFirstColumn="0" w:firstRowLastColumn="0" w:lastRowFirstColumn="0" w:lastRowLastColumn="0"/>
            <w:tcW w:w="883" w:type="dxa"/>
            <w:shd w:val="clear" w:color="auto" w:fill="auto"/>
          </w:tcPr>
          <w:p w14:paraId="69706062" w14:textId="77777777" w:rsidR="00577A45" w:rsidRDefault="004C2A6E">
            <w:pPr>
              <w:pStyle w:val="Premierpara"/>
              <w:rPr>
                <w:b w:val="0"/>
                <w:sz w:val="20"/>
                <w:szCs w:val="20"/>
                <w:lang w:val="en-GB"/>
              </w:rPr>
            </w:pPr>
            <w:r>
              <w:rPr>
                <w:b w:val="0"/>
                <w:sz w:val="20"/>
                <w:szCs w:val="20"/>
                <w:lang w:val="en-GB"/>
              </w:rPr>
              <w:t>102</w:t>
            </w:r>
          </w:p>
        </w:tc>
        <w:tc>
          <w:tcPr>
            <w:tcW w:w="1183" w:type="dxa"/>
            <w:shd w:val="clear" w:color="auto" w:fill="auto"/>
            <w:vAlign w:val="center"/>
          </w:tcPr>
          <w:p w14:paraId="172E70F0" w14:textId="77777777" w:rsidR="00577A45" w:rsidRDefault="004C2A6E">
            <w:pPr>
              <w:pStyle w:val="Premierpara"/>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Togo</w:t>
            </w:r>
          </w:p>
        </w:tc>
        <w:tc>
          <w:tcPr>
            <w:tcW w:w="572" w:type="dxa"/>
            <w:shd w:val="clear" w:color="auto" w:fill="auto"/>
            <w:vAlign w:val="center"/>
          </w:tcPr>
          <w:p w14:paraId="6BAF58CA"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7</w:t>
            </w:r>
          </w:p>
        </w:tc>
        <w:tc>
          <w:tcPr>
            <w:tcW w:w="505" w:type="dxa"/>
            <w:shd w:val="clear" w:color="auto" w:fill="auto"/>
            <w:vAlign w:val="center"/>
          </w:tcPr>
          <w:p w14:paraId="40EE20AA"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6</w:t>
            </w:r>
          </w:p>
        </w:tc>
        <w:tc>
          <w:tcPr>
            <w:tcW w:w="716" w:type="dxa"/>
            <w:shd w:val="clear" w:color="auto" w:fill="auto"/>
            <w:vAlign w:val="center"/>
          </w:tcPr>
          <w:p w14:paraId="0A67E72A"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-2</w:t>
            </w:r>
          </w:p>
        </w:tc>
        <w:tc>
          <w:tcPr>
            <w:tcW w:w="572" w:type="dxa"/>
            <w:shd w:val="clear" w:color="auto" w:fill="auto"/>
            <w:vAlign w:val="center"/>
          </w:tcPr>
          <w:p w14:paraId="4F1BDBB9"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10</w:t>
            </w:r>
          </w:p>
        </w:tc>
        <w:tc>
          <w:tcPr>
            <w:tcW w:w="550" w:type="dxa"/>
            <w:shd w:val="clear" w:color="auto" w:fill="auto"/>
            <w:vAlign w:val="center"/>
          </w:tcPr>
          <w:p w14:paraId="7AC91B26"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w:t>
            </w:r>
          </w:p>
        </w:tc>
        <w:tc>
          <w:tcPr>
            <w:tcW w:w="483" w:type="dxa"/>
            <w:shd w:val="clear" w:color="auto" w:fill="auto"/>
            <w:vAlign w:val="center"/>
          </w:tcPr>
          <w:p w14:paraId="102383EF"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4</w:t>
            </w:r>
          </w:p>
        </w:tc>
        <w:tc>
          <w:tcPr>
            <w:tcW w:w="1094" w:type="dxa"/>
            <w:shd w:val="clear" w:color="auto" w:fill="auto"/>
            <w:vAlign w:val="center"/>
          </w:tcPr>
          <w:p w14:paraId="3D891681"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color w:val="000000"/>
                <w:sz w:val="20"/>
                <w:szCs w:val="20"/>
              </w:rPr>
              <w:t>4</w:t>
            </w:r>
          </w:p>
        </w:tc>
        <w:tc>
          <w:tcPr>
            <w:tcW w:w="1180" w:type="dxa"/>
            <w:vMerge/>
            <w:shd w:val="clear" w:color="auto" w:fill="auto"/>
            <w:vAlign w:val="center"/>
          </w:tcPr>
          <w:p w14:paraId="4F3132EC" w14:textId="77777777" w:rsidR="00577A45" w:rsidRDefault="00577A45">
            <w:pPr>
              <w:pStyle w:val="Premierpara"/>
              <w:cnfStyle w:val="000000000000" w:firstRow="0" w:lastRow="0" w:firstColumn="0" w:lastColumn="0" w:oddVBand="0" w:evenVBand="0" w:oddHBand="0" w:evenHBand="0" w:firstRowFirstColumn="0" w:firstRowLastColumn="0" w:lastRowFirstColumn="0" w:lastRowLastColumn="0"/>
              <w:rPr>
                <w:b/>
                <w:sz w:val="20"/>
                <w:szCs w:val="20"/>
                <w:lang w:val="en-GB"/>
              </w:rPr>
            </w:pPr>
          </w:p>
        </w:tc>
      </w:tr>
      <w:tr w:rsidR="00577A45" w14:paraId="7F0183E9" w14:textId="77777777" w:rsidTr="00577A4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83" w:type="dxa"/>
          </w:tcPr>
          <w:p w14:paraId="7091DF20" w14:textId="77777777" w:rsidR="00577A45" w:rsidRDefault="004C2A6E">
            <w:pPr>
              <w:pStyle w:val="Premierpara"/>
              <w:rPr>
                <w:b w:val="0"/>
                <w:sz w:val="20"/>
                <w:szCs w:val="20"/>
                <w:lang w:val="en-GB"/>
              </w:rPr>
            </w:pPr>
            <w:r>
              <w:rPr>
                <w:b w:val="0"/>
                <w:sz w:val="20"/>
                <w:szCs w:val="20"/>
                <w:lang w:val="en-GB"/>
              </w:rPr>
              <w:t>103</w:t>
            </w:r>
          </w:p>
        </w:tc>
        <w:tc>
          <w:tcPr>
            <w:tcW w:w="1183" w:type="dxa"/>
            <w:vAlign w:val="center"/>
          </w:tcPr>
          <w:p w14:paraId="2729BBF2" w14:textId="77777777" w:rsidR="00577A45" w:rsidRDefault="004C2A6E">
            <w:pPr>
              <w:pStyle w:val="Premierpara"/>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Niger</w:t>
            </w:r>
          </w:p>
        </w:tc>
        <w:tc>
          <w:tcPr>
            <w:tcW w:w="572" w:type="dxa"/>
            <w:vAlign w:val="center"/>
          </w:tcPr>
          <w:p w14:paraId="071C0D5B"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w:t>
            </w:r>
          </w:p>
        </w:tc>
        <w:tc>
          <w:tcPr>
            <w:tcW w:w="505" w:type="dxa"/>
            <w:vAlign w:val="center"/>
          </w:tcPr>
          <w:p w14:paraId="5A3918C0"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0</w:t>
            </w:r>
          </w:p>
        </w:tc>
        <w:tc>
          <w:tcPr>
            <w:tcW w:w="716" w:type="dxa"/>
            <w:vAlign w:val="center"/>
          </w:tcPr>
          <w:p w14:paraId="5B775C88"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10</w:t>
            </w:r>
          </w:p>
        </w:tc>
        <w:tc>
          <w:tcPr>
            <w:tcW w:w="572" w:type="dxa"/>
            <w:vAlign w:val="center"/>
          </w:tcPr>
          <w:p w14:paraId="0D25C4FF"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27</w:t>
            </w:r>
          </w:p>
        </w:tc>
        <w:tc>
          <w:tcPr>
            <w:tcW w:w="550" w:type="dxa"/>
            <w:vAlign w:val="center"/>
          </w:tcPr>
          <w:p w14:paraId="7D031A36"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7</w:t>
            </w:r>
          </w:p>
        </w:tc>
        <w:tc>
          <w:tcPr>
            <w:tcW w:w="483" w:type="dxa"/>
            <w:vAlign w:val="center"/>
          </w:tcPr>
          <w:p w14:paraId="7B1196EE"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7</w:t>
            </w:r>
          </w:p>
        </w:tc>
        <w:tc>
          <w:tcPr>
            <w:tcW w:w="1094" w:type="dxa"/>
            <w:vAlign w:val="center"/>
          </w:tcPr>
          <w:p w14:paraId="6CD8187A" w14:textId="77777777" w:rsidR="00577A45" w:rsidRDefault="004C2A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color w:val="000000"/>
                <w:sz w:val="20"/>
                <w:szCs w:val="20"/>
              </w:rPr>
              <w:t>8</w:t>
            </w:r>
          </w:p>
        </w:tc>
        <w:tc>
          <w:tcPr>
            <w:tcW w:w="1180" w:type="dxa"/>
            <w:vMerge/>
            <w:vAlign w:val="center"/>
          </w:tcPr>
          <w:p w14:paraId="392FEF71" w14:textId="77777777" w:rsidR="00577A45" w:rsidRDefault="00577A45">
            <w:pPr>
              <w:pStyle w:val="Premierpara"/>
              <w:cnfStyle w:val="000000100000" w:firstRow="0" w:lastRow="0" w:firstColumn="0" w:lastColumn="0" w:oddVBand="0" w:evenVBand="0" w:oddHBand="1" w:evenHBand="0" w:firstRowFirstColumn="0" w:firstRowLastColumn="0" w:lastRowFirstColumn="0" w:lastRowLastColumn="0"/>
              <w:rPr>
                <w:b/>
                <w:sz w:val="20"/>
                <w:szCs w:val="20"/>
                <w:lang w:val="en-GB"/>
              </w:rPr>
            </w:pPr>
          </w:p>
        </w:tc>
      </w:tr>
      <w:tr w:rsidR="00577A45" w14:paraId="43BDB44F" w14:textId="77777777" w:rsidTr="00577A45">
        <w:trPr>
          <w:trHeight w:val="288"/>
          <w:jc w:val="center"/>
        </w:trPr>
        <w:tc>
          <w:tcPr>
            <w:cnfStyle w:val="001000000000" w:firstRow="0" w:lastRow="0" w:firstColumn="1" w:lastColumn="0" w:oddVBand="0" w:evenVBand="0" w:oddHBand="0" w:evenHBand="0" w:firstRowFirstColumn="0" w:firstRowLastColumn="0" w:lastRowFirstColumn="0" w:lastRowLastColumn="0"/>
            <w:tcW w:w="883" w:type="dxa"/>
            <w:shd w:val="clear" w:color="auto" w:fill="auto"/>
          </w:tcPr>
          <w:p w14:paraId="782E74E2" w14:textId="77777777" w:rsidR="00577A45" w:rsidRDefault="004C2A6E">
            <w:pPr>
              <w:pStyle w:val="Premierpara"/>
              <w:rPr>
                <w:b w:val="0"/>
                <w:sz w:val="20"/>
                <w:szCs w:val="20"/>
                <w:lang w:val="en-GB"/>
              </w:rPr>
            </w:pPr>
            <w:r>
              <w:rPr>
                <w:b w:val="0"/>
                <w:sz w:val="20"/>
                <w:szCs w:val="20"/>
                <w:lang w:val="en-GB"/>
              </w:rPr>
              <w:t>104</w:t>
            </w:r>
          </w:p>
        </w:tc>
        <w:tc>
          <w:tcPr>
            <w:tcW w:w="1183" w:type="dxa"/>
            <w:shd w:val="clear" w:color="auto" w:fill="auto"/>
            <w:vAlign w:val="center"/>
          </w:tcPr>
          <w:p w14:paraId="2946EA07" w14:textId="77777777" w:rsidR="00577A45" w:rsidRDefault="004C2A6E">
            <w:pPr>
              <w:pStyle w:val="Premierpara"/>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Liberia</w:t>
            </w:r>
          </w:p>
        </w:tc>
        <w:tc>
          <w:tcPr>
            <w:tcW w:w="572" w:type="dxa"/>
            <w:shd w:val="clear" w:color="auto" w:fill="auto"/>
            <w:vAlign w:val="center"/>
          </w:tcPr>
          <w:p w14:paraId="208CE5FD"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4</w:t>
            </w:r>
          </w:p>
        </w:tc>
        <w:tc>
          <w:tcPr>
            <w:tcW w:w="505" w:type="dxa"/>
            <w:shd w:val="clear" w:color="auto" w:fill="auto"/>
            <w:vAlign w:val="center"/>
          </w:tcPr>
          <w:p w14:paraId="585FCD69"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4</w:t>
            </w:r>
          </w:p>
        </w:tc>
        <w:tc>
          <w:tcPr>
            <w:tcW w:w="716" w:type="dxa"/>
            <w:shd w:val="clear" w:color="auto" w:fill="auto"/>
            <w:vAlign w:val="center"/>
          </w:tcPr>
          <w:p w14:paraId="6E581F51"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4</w:t>
            </w:r>
          </w:p>
        </w:tc>
        <w:tc>
          <w:tcPr>
            <w:tcW w:w="572" w:type="dxa"/>
            <w:shd w:val="clear" w:color="auto" w:fill="auto"/>
            <w:vAlign w:val="center"/>
          </w:tcPr>
          <w:p w14:paraId="45B64F07"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4</w:t>
            </w:r>
          </w:p>
        </w:tc>
        <w:tc>
          <w:tcPr>
            <w:tcW w:w="550" w:type="dxa"/>
            <w:shd w:val="clear" w:color="auto" w:fill="auto"/>
            <w:vAlign w:val="center"/>
          </w:tcPr>
          <w:p w14:paraId="7E0288E5"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27</w:t>
            </w:r>
          </w:p>
        </w:tc>
        <w:tc>
          <w:tcPr>
            <w:tcW w:w="483" w:type="dxa"/>
            <w:shd w:val="clear" w:color="auto" w:fill="auto"/>
            <w:vAlign w:val="center"/>
          </w:tcPr>
          <w:p w14:paraId="424AB2BA"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5</w:t>
            </w:r>
          </w:p>
        </w:tc>
        <w:tc>
          <w:tcPr>
            <w:tcW w:w="1094" w:type="dxa"/>
            <w:shd w:val="clear" w:color="auto" w:fill="auto"/>
            <w:vAlign w:val="center"/>
          </w:tcPr>
          <w:p w14:paraId="46B75506" w14:textId="77777777" w:rsidR="00577A45" w:rsidRDefault="004C2A6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color w:val="000000"/>
                <w:sz w:val="20"/>
                <w:szCs w:val="20"/>
              </w:rPr>
              <w:t>8</w:t>
            </w:r>
          </w:p>
        </w:tc>
        <w:tc>
          <w:tcPr>
            <w:tcW w:w="1180" w:type="dxa"/>
            <w:vMerge/>
            <w:shd w:val="clear" w:color="auto" w:fill="auto"/>
            <w:vAlign w:val="center"/>
          </w:tcPr>
          <w:p w14:paraId="02459DA7" w14:textId="77777777" w:rsidR="00577A45" w:rsidRDefault="00577A45">
            <w:pPr>
              <w:pStyle w:val="Premierpara"/>
              <w:cnfStyle w:val="000000000000" w:firstRow="0" w:lastRow="0" w:firstColumn="0" w:lastColumn="0" w:oddVBand="0" w:evenVBand="0" w:oddHBand="0" w:evenHBand="0" w:firstRowFirstColumn="0" w:firstRowLastColumn="0" w:lastRowFirstColumn="0" w:lastRowLastColumn="0"/>
              <w:rPr>
                <w:b/>
                <w:sz w:val="20"/>
                <w:szCs w:val="20"/>
                <w:lang w:val="en-GB"/>
              </w:rPr>
            </w:pPr>
          </w:p>
        </w:tc>
      </w:tr>
    </w:tbl>
    <w:p w14:paraId="5FBB0DB8" w14:textId="77777777" w:rsidR="00577A45" w:rsidRDefault="00577A45">
      <w:pPr>
        <w:pStyle w:val="Premierpara"/>
        <w:rPr>
          <w:lang w:val="en-GB"/>
        </w:rPr>
      </w:pPr>
    </w:p>
    <w:p w14:paraId="260A4694" w14:textId="7D452CE5" w:rsidR="00577A45" w:rsidRDefault="004C2A6E">
      <w:pPr>
        <w:pStyle w:val="2mepara"/>
        <w:rPr>
          <w:b/>
          <w:bCs/>
          <w:lang w:val="en-GB"/>
        </w:rPr>
      </w:pPr>
      <w:r>
        <w:rPr>
          <w:lang w:val="en-GB"/>
        </w:rPr>
        <w:t xml:space="preserve">For most of these countries, the choice of one indicator over another has an impact on their rank. For some, this impact is weak (Norway, Switzerland, Sierra Leone, Togo), whereas for others their rank diverges significantly when Beyond GDP indicators are used (Rwanda, Ireland, and above all the USA). One can already get a sense of how differently certain indicators rank certain countries in respect to their GDP ranking, whereas others produce more similar rankings. </w:t>
      </w:r>
      <w:r w:rsidR="00B15B74">
        <w:rPr>
          <w:lang w:val="en-GB"/>
        </w:rPr>
        <w:t>For instance</w:t>
      </w:r>
      <w:r>
        <w:rPr>
          <w:lang w:val="en-GB"/>
        </w:rPr>
        <w:t xml:space="preserve">, the HPI strongly penalises the performance of the Top 10 countries, whereas QoL and the GWBI produce little change in their </w:t>
      </w:r>
      <w:r>
        <w:rPr>
          <w:bCs/>
          <w:lang w:val="en-GB"/>
        </w:rPr>
        <w:t>ranking.</w:t>
      </w:r>
    </w:p>
    <w:p w14:paraId="73426378" w14:textId="77777777" w:rsidR="00577A45" w:rsidRDefault="004C2A6E">
      <w:pPr>
        <w:pStyle w:val="2mepara"/>
        <w:rPr>
          <w:b/>
          <w:lang w:val="en-GB"/>
        </w:rPr>
      </w:pPr>
      <w:r>
        <w:rPr>
          <w:lang w:val="en-GB"/>
        </w:rPr>
        <w:t>This table only shows the highest and lowest ranking countries, but what about the similarity between GDP and the six Beyond GDP indicators in general?</w:t>
      </w:r>
    </w:p>
    <w:p w14:paraId="54EEEC47" w14:textId="77777777" w:rsidR="00577A45" w:rsidRDefault="004C2A6E">
      <w:pPr>
        <w:pStyle w:val="Titre4"/>
        <w:spacing w:before="0" w:after="160"/>
        <w:contextualSpacing/>
        <w:rPr>
          <w:lang w:val="en-GB"/>
        </w:rPr>
      </w:pPr>
      <w:r>
        <w:rPr>
          <w:lang w:val="en-GB"/>
        </w:rPr>
        <w:t>4.3 Extent of divergence between GDP and Beyond GDP indicators</w:t>
      </w:r>
    </w:p>
    <w:p w14:paraId="6CEB3908" w14:textId="77777777" w:rsidR="00577A45" w:rsidRDefault="004C2A6E">
      <w:pPr>
        <w:pStyle w:val="Premierpara"/>
        <w:rPr>
          <w:lang w:val="en-GB"/>
        </w:rPr>
      </w:pPr>
      <w:r>
        <w:rPr>
          <w:lang w:val="en-GB"/>
        </w:rPr>
        <w:t xml:space="preserve">Table 4 shows two modes of examining the disparity between the indicators’ results. The first line calculates the disparity between the rankings produced by GDP and Beyond GDP indicators, using the correlation coefficient between these two rankings (correlation of rank) for the 104 countries under consideration. This approach is inspired by the analyses of McGillivray (1991) and Borgnäs (2016). </w:t>
      </w:r>
    </w:p>
    <w:p w14:paraId="16F7CE90" w14:textId="61D8497F" w:rsidR="00577A45" w:rsidRDefault="004C2A6E">
      <w:pPr>
        <w:pStyle w:val="2mepara"/>
        <w:rPr>
          <w:lang w:val="en-GB"/>
        </w:rPr>
      </w:pPr>
      <w:r>
        <w:rPr>
          <w:lang w:val="en-GB"/>
        </w:rPr>
        <w:t xml:space="preserve">The second stage is more intuitive. The ‘# Rank divergence &gt; 10’ line indicates occurrences of disparities of more than 10 rank positions between the GDP ranking and that of the indicator under consideration. For instance, for the HDI, there are 15 </w:t>
      </w:r>
      <w:r w:rsidRPr="00B15B74">
        <w:rPr>
          <w:lang w:val="en-GB"/>
        </w:rPr>
        <w:t>instances</w:t>
      </w:r>
      <w:r>
        <w:rPr>
          <w:lang w:val="en-GB"/>
        </w:rPr>
        <w:t xml:space="preserve"> of disparities in rank of more than 10 positions. In other words, the rank attributed by the HDI diverges by more than 10 positions from that attributed by GDP in the case of 15 countries. A difference of 10 places may be considered a moderate difference. The ‘# Rank divergence &gt; 20’ line makes a similar calculation, but in this case for disparities of more than 20 positions. Such disparities are considered  more substantial differences in ranking. Table 4 shows these different methods for observing the divergence between GDP and the six other indicators.</w:t>
      </w:r>
    </w:p>
    <w:p w14:paraId="3BBC1818" w14:textId="77777777" w:rsidR="00577A45" w:rsidRDefault="00577A45">
      <w:pPr>
        <w:pStyle w:val="2mepara"/>
        <w:jc w:val="center"/>
        <w:rPr>
          <w:lang w:val="en-GB"/>
        </w:rPr>
      </w:pPr>
    </w:p>
    <w:p w14:paraId="39F529E2" w14:textId="77777777" w:rsidR="00577A45" w:rsidRDefault="004C2A6E">
      <w:pPr>
        <w:pStyle w:val="2mepara"/>
        <w:jc w:val="center"/>
        <w:rPr>
          <w:b/>
          <w:sz w:val="20"/>
          <w:szCs w:val="20"/>
          <w:lang w:val="en-GB" w:eastAsia="fr-BE"/>
        </w:rPr>
      </w:pPr>
      <w:r>
        <w:rPr>
          <w:b/>
          <w:sz w:val="20"/>
          <w:szCs w:val="20"/>
          <w:lang w:val="en-GB" w:eastAsia="fr-BE"/>
        </w:rPr>
        <w:t>Table 4. Three measures of the divergence between GDP and six Beyond GDP indicators’ rankings</w:t>
      </w:r>
    </w:p>
    <w:p w14:paraId="0D54A2CA" w14:textId="77777777" w:rsidR="00577A45" w:rsidRDefault="00577A45">
      <w:pPr>
        <w:pStyle w:val="2mepara"/>
        <w:jc w:val="center"/>
        <w:rPr>
          <w:b/>
          <w:sz w:val="20"/>
          <w:szCs w:val="20"/>
          <w:lang w:val="en-GB" w:eastAsia="fr-BE"/>
        </w:rPr>
      </w:pPr>
    </w:p>
    <w:tbl>
      <w:tblPr>
        <w:tblStyle w:val="Tableausimple41"/>
        <w:tblW w:w="4950" w:type="pct"/>
        <w:jc w:val="center"/>
        <w:tblLook w:val="04A0" w:firstRow="1" w:lastRow="0" w:firstColumn="1" w:lastColumn="0" w:noHBand="0" w:noVBand="1"/>
      </w:tblPr>
      <w:tblGrid>
        <w:gridCol w:w="3289"/>
        <w:gridCol w:w="572"/>
        <w:gridCol w:w="566"/>
        <w:gridCol w:w="716"/>
        <w:gridCol w:w="572"/>
        <w:gridCol w:w="566"/>
        <w:gridCol w:w="566"/>
      </w:tblGrid>
      <w:tr w:rsidR="00577A45" w14:paraId="52A61A81" w14:textId="77777777" w:rsidTr="00577A45">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320" w:type="dxa"/>
            <w:shd w:val="clear" w:color="auto" w:fill="auto"/>
          </w:tcPr>
          <w:p w14:paraId="02F5D124" w14:textId="77777777" w:rsidR="00577A45" w:rsidRDefault="00577A45">
            <w:pPr>
              <w:keepLines/>
              <w:spacing w:after="0" w:line="276" w:lineRule="auto"/>
              <w:jc w:val="center"/>
              <w:rPr>
                <w:rFonts w:ascii="Times New Roman" w:eastAsia="Times New Roman" w:hAnsi="Times New Roman" w:cs="Times New Roman"/>
                <w:sz w:val="20"/>
                <w:lang w:val="en-GB" w:eastAsia="fr-BE"/>
              </w:rPr>
            </w:pPr>
          </w:p>
        </w:tc>
        <w:tc>
          <w:tcPr>
            <w:tcW w:w="567" w:type="dxa"/>
            <w:shd w:val="clear" w:color="auto" w:fill="auto"/>
          </w:tcPr>
          <w:p w14:paraId="2B64F692" w14:textId="77777777" w:rsidR="00577A45" w:rsidRDefault="004C2A6E">
            <w:pPr>
              <w:keepLines/>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lang w:val="en-GB" w:eastAsia="fr-BE"/>
              </w:rPr>
            </w:pPr>
            <w:r>
              <w:rPr>
                <w:rFonts w:ascii="Times New Roman" w:eastAsia="Times New Roman" w:hAnsi="Times New Roman" w:cs="Times New Roman"/>
                <w:b w:val="0"/>
                <w:i/>
                <w:sz w:val="20"/>
                <w:lang w:val="en-GB" w:eastAsia="fr-BE"/>
              </w:rPr>
              <w:t xml:space="preserve">HDI  </w:t>
            </w:r>
          </w:p>
        </w:tc>
        <w:tc>
          <w:tcPr>
            <w:tcW w:w="561" w:type="dxa"/>
            <w:shd w:val="clear" w:color="auto" w:fill="auto"/>
          </w:tcPr>
          <w:p w14:paraId="5B540420" w14:textId="77777777" w:rsidR="00577A45" w:rsidRDefault="004C2A6E">
            <w:pPr>
              <w:keepLines/>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lang w:val="en-GB" w:eastAsia="fr-BE"/>
              </w:rPr>
            </w:pPr>
            <w:r>
              <w:rPr>
                <w:rFonts w:ascii="Times New Roman" w:eastAsia="Times New Roman" w:hAnsi="Times New Roman" w:cs="Times New Roman"/>
                <w:b w:val="0"/>
                <w:i/>
                <w:sz w:val="20"/>
                <w:lang w:val="en-GB" w:eastAsia="fr-BE"/>
              </w:rPr>
              <w:t xml:space="preserve">SPI </w:t>
            </w:r>
          </w:p>
        </w:tc>
        <w:tc>
          <w:tcPr>
            <w:tcW w:w="709" w:type="dxa"/>
            <w:shd w:val="clear" w:color="auto" w:fill="auto"/>
          </w:tcPr>
          <w:p w14:paraId="412F1C3D" w14:textId="77777777" w:rsidR="00577A45" w:rsidRDefault="004C2A6E">
            <w:pPr>
              <w:keepLines/>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lang w:val="en-GB" w:eastAsia="fr-BE"/>
              </w:rPr>
            </w:pPr>
            <w:r>
              <w:rPr>
                <w:rFonts w:ascii="Times New Roman" w:eastAsia="Times New Roman" w:hAnsi="Times New Roman" w:cs="Times New Roman"/>
                <w:b w:val="0"/>
                <w:i/>
                <w:sz w:val="20"/>
                <w:lang w:val="en-GB" w:eastAsia="fr-BE"/>
              </w:rPr>
              <w:t xml:space="preserve">GWBI </w:t>
            </w:r>
          </w:p>
        </w:tc>
        <w:tc>
          <w:tcPr>
            <w:tcW w:w="567" w:type="dxa"/>
            <w:shd w:val="clear" w:color="auto" w:fill="auto"/>
          </w:tcPr>
          <w:p w14:paraId="475B171E" w14:textId="77777777" w:rsidR="00577A45" w:rsidRDefault="004C2A6E">
            <w:pPr>
              <w:keepLines/>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lang w:val="en-GB" w:eastAsia="fr-BE"/>
              </w:rPr>
            </w:pPr>
            <w:r>
              <w:rPr>
                <w:rFonts w:ascii="Times New Roman" w:eastAsia="Times New Roman" w:hAnsi="Times New Roman" w:cs="Times New Roman"/>
                <w:b w:val="0"/>
                <w:i/>
                <w:sz w:val="20"/>
                <w:lang w:val="en-GB" w:eastAsia="fr-BE"/>
              </w:rPr>
              <w:t xml:space="preserve">QoL </w:t>
            </w:r>
          </w:p>
        </w:tc>
        <w:tc>
          <w:tcPr>
            <w:tcW w:w="561" w:type="dxa"/>
            <w:shd w:val="clear" w:color="auto" w:fill="auto"/>
          </w:tcPr>
          <w:p w14:paraId="0C92B444" w14:textId="77777777" w:rsidR="00577A45" w:rsidRDefault="004C2A6E">
            <w:pPr>
              <w:keepLines/>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lang w:val="en-GB" w:eastAsia="fr-BE"/>
              </w:rPr>
            </w:pPr>
            <w:r>
              <w:rPr>
                <w:rFonts w:ascii="Times New Roman" w:eastAsia="Times New Roman" w:hAnsi="Times New Roman" w:cs="Times New Roman"/>
                <w:b w:val="0"/>
                <w:i/>
                <w:sz w:val="20"/>
                <w:lang w:val="en-GB" w:eastAsia="fr-BE"/>
              </w:rPr>
              <w:t xml:space="preserve">HPI </w:t>
            </w:r>
          </w:p>
        </w:tc>
        <w:tc>
          <w:tcPr>
            <w:tcW w:w="560" w:type="dxa"/>
            <w:shd w:val="clear" w:color="auto" w:fill="auto"/>
          </w:tcPr>
          <w:p w14:paraId="731A4A6D" w14:textId="77777777" w:rsidR="00577A45" w:rsidRDefault="004C2A6E">
            <w:pPr>
              <w:keepLines/>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lang w:val="en-GB" w:eastAsia="fr-BE"/>
              </w:rPr>
            </w:pPr>
            <w:r>
              <w:rPr>
                <w:rFonts w:ascii="Times New Roman" w:eastAsia="Times New Roman" w:hAnsi="Times New Roman" w:cs="Times New Roman"/>
                <w:b w:val="0"/>
                <w:i/>
                <w:sz w:val="20"/>
                <w:lang w:val="en-GB" w:eastAsia="fr-BE"/>
              </w:rPr>
              <w:t xml:space="preserve">SSI </w:t>
            </w:r>
          </w:p>
        </w:tc>
      </w:tr>
      <w:tr w:rsidR="00577A45" w14:paraId="5D8F4E17" w14:textId="77777777" w:rsidTr="00577A4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320" w:type="dxa"/>
            <w:vAlign w:val="center"/>
          </w:tcPr>
          <w:p w14:paraId="495397B6" w14:textId="77777777" w:rsidR="00577A45" w:rsidRDefault="00577A45">
            <w:pPr>
              <w:keepLines/>
              <w:spacing w:after="0" w:line="276" w:lineRule="auto"/>
              <w:jc w:val="center"/>
              <w:rPr>
                <w:rFonts w:ascii="Times New Roman" w:eastAsia="Times New Roman" w:hAnsi="Times New Roman" w:cs="Times New Roman"/>
                <w:color w:val="000000"/>
                <w:sz w:val="20"/>
                <w:lang w:val="en-GB" w:eastAsia="fr-BE"/>
              </w:rPr>
            </w:pPr>
          </w:p>
          <w:p w14:paraId="26EFFA95" w14:textId="77777777" w:rsidR="00577A45" w:rsidRDefault="004C2A6E">
            <w:pPr>
              <w:keepLines/>
              <w:spacing w:after="0" w:line="276" w:lineRule="auto"/>
              <w:jc w:val="center"/>
              <w:rPr>
                <w:rFonts w:ascii="Times New Roman" w:eastAsia="Times New Roman" w:hAnsi="Times New Roman" w:cs="Times New Roman"/>
                <w:b w:val="0"/>
                <w:color w:val="000000"/>
                <w:sz w:val="20"/>
                <w:lang w:val="en-GB" w:eastAsia="fr-BE"/>
              </w:rPr>
            </w:pPr>
            <w:r>
              <w:rPr>
                <w:rFonts w:ascii="Times New Roman" w:eastAsia="Times New Roman" w:hAnsi="Times New Roman" w:cs="Times New Roman"/>
                <w:color w:val="000000"/>
                <w:sz w:val="20"/>
                <w:lang w:val="en-GB" w:eastAsia="fr-BE"/>
              </w:rPr>
              <w:t>Correlation with GDP rank, per capita PPP</w:t>
            </w:r>
          </w:p>
        </w:tc>
        <w:tc>
          <w:tcPr>
            <w:tcW w:w="567" w:type="dxa"/>
            <w:vAlign w:val="center"/>
          </w:tcPr>
          <w:p w14:paraId="5F6CFB52"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0,97</w:t>
            </w:r>
          </w:p>
        </w:tc>
        <w:tc>
          <w:tcPr>
            <w:tcW w:w="561" w:type="dxa"/>
            <w:vAlign w:val="center"/>
          </w:tcPr>
          <w:p w14:paraId="72F266C8"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0,92</w:t>
            </w:r>
          </w:p>
        </w:tc>
        <w:tc>
          <w:tcPr>
            <w:tcW w:w="709" w:type="dxa"/>
            <w:vAlign w:val="center"/>
          </w:tcPr>
          <w:p w14:paraId="585DF95F"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0,85</w:t>
            </w:r>
          </w:p>
        </w:tc>
        <w:tc>
          <w:tcPr>
            <w:tcW w:w="567" w:type="dxa"/>
            <w:vAlign w:val="center"/>
          </w:tcPr>
          <w:p w14:paraId="28348EF3"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0,80</w:t>
            </w:r>
          </w:p>
        </w:tc>
        <w:tc>
          <w:tcPr>
            <w:tcW w:w="561" w:type="dxa"/>
            <w:vAlign w:val="center"/>
          </w:tcPr>
          <w:p w14:paraId="035CC72A"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0,26</w:t>
            </w:r>
          </w:p>
        </w:tc>
        <w:tc>
          <w:tcPr>
            <w:tcW w:w="560" w:type="dxa"/>
            <w:vAlign w:val="center"/>
          </w:tcPr>
          <w:p w14:paraId="1951434B"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0,59</w:t>
            </w:r>
          </w:p>
        </w:tc>
      </w:tr>
      <w:tr w:rsidR="00577A45" w14:paraId="44E4EA33" w14:textId="77777777" w:rsidTr="00577A45">
        <w:trPr>
          <w:trHeight w:val="288"/>
          <w:jc w:val="center"/>
        </w:trPr>
        <w:tc>
          <w:tcPr>
            <w:cnfStyle w:val="001000000000" w:firstRow="0" w:lastRow="0" w:firstColumn="1" w:lastColumn="0" w:oddVBand="0" w:evenVBand="0" w:oddHBand="0" w:evenHBand="0" w:firstRowFirstColumn="0" w:firstRowLastColumn="0" w:lastRowFirstColumn="0" w:lastRowLastColumn="0"/>
            <w:tcW w:w="3320" w:type="dxa"/>
            <w:shd w:val="clear" w:color="auto" w:fill="auto"/>
            <w:vAlign w:val="center"/>
          </w:tcPr>
          <w:p w14:paraId="5DB3AAE2" w14:textId="77777777" w:rsidR="00577A45" w:rsidRDefault="004C2A6E">
            <w:pPr>
              <w:keepLines/>
              <w:spacing w:after="0" w:line="276" w:lineRule="auto"/>
              <w:jc w:val="center"/>
              <w:rPr>
                <w:rFonts w:ascii="Times New Roman" w:eastAsia="Times New Roman" w:hAnsi="Times New Roman" w:cs="Times New Roman"/>
                <w:b w:val="0"/>
                <w:color w:val="000000"/>
                <w:sz w:val="20"/>
                <w:lang w:val="en-GB" w:eastAsia="fr-BE"/>
              </w:rPr>
            </w:pPr>
            <w:r>
              <w:rPr>
                <w:rFonts w:ascii="Times New Roman" w:eastAsia="Times New Roman" w:hAnsi="Times New Roman" w:cs="Times New Roman"/>
                <w:b w:val="0"/>
                <w:color w:val="000000"/>
                <w:sz w:val="20"/>
                <w:lang w:val="en-GB" w:eastAsia="fr-BE"/>
              </w:rPr>
              <w:t xml:space="preserve">Moderate divergence </w:t>
            </w:r>
          </w:p>
          <w:p w14:paraId="50AF9AD5" w14:textId="77777777" w:rsidR="00577A45" w:rsidRDefault="004C2A6E">
            <w:pPr>
              <w:keepLines/>
              <w:spacing w:after="0" w:line="276" w:lineRule="auto"/>
              <w:jc w:val="center"/>
              <w:rPr>
                <w:rFonts w:ascii="Times New Roman" w:eastAsia="Times New Roman" w:hAnsi="Times New Roman" w:cs="Times New Roman"/>
                <w:b w:val="0"/>
                <w:color w:val="000000"/>
                <w:sz w:val="20"/>
                <w:lang w:val="en-GB" w:eastAsia="fr-BE"/>
              </w:rPr>
            </w:pPr>
            <w:r>
              <w:rPr>
                <w:rFonts w:ascii="Times New Roman" w:eastAsia="Times New Roman" w:hAnsi="Times New Roman" w:cs="Times New Roman"/>
                <w:b w:val="0"/>
                <w:color w:val="000000"/>
                <w:sz w:val="20"/>
                <w:lang w:val="en-GB" w:eastAsia="fr-BE"/>
              </w:rPr>
              <w:t>(# Rank divergence &gt; 10)</w:t>
            </w:r>
          </w:p>
        </w:tc>
        <w:tc>
          <w:tcPr>
            <w:tcW w:w="567" w:type="dxa"/>
            <w:shd w:val="clear" w:color="auto" w:fill="auto"/>
            <w:vAlign w:val="center"/>
          </w:tcPr>
          <w:p w14:paraId="7BD3CB72"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15</w:t>
            </w:r>
          </w:p>
        </w:tc>
        <w:tc>
          <w:tcPr>
            <w:tcW w:w="561" w:type="dxa"/>
            <w:shd w:val="clear" w:color="auto" w:fill="auto"/>
            <w:vAlign w:val="center"/>
          </w:tcPr>
          <w:p w14:paraId="0730CE1A"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37</w:t>
            </w:r>
          </w:p>
        </w:tc>
        <w:tc>
          <w:tcPr>
            <w:tcW w:w="709" w:type="dxa"/>
            <w:shd w:val="clear" w:color="auto" w:fill="auto"/>
            <w:vAlign w:val="center"/>
          </w:tcPr>
          <w:p w14:paraId="765F6E52"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45</w:t>
            </w:r>
          </w:p>
        </w:tc>
        <w:tc>
          <w:tcPr>
            <w:tcW w:w="567" w:type="dxa"/>
            <w:shd w:val="clear" w:color="auto" w:fill="auto"/>
            <w:vAlign w:val="center"/>
          </w:tcPr>
          <w:p w14:paraId="46182671"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51</w:t>
            </w:r>
          </w:p>
        </w:tc>
        <w:tc>
          <w:tcPr>
            <w:tcW w:w="561" w:type="dxa"/>
            <w:shd w:val="clear" w:color="auto" w:fill="auto"/>
            <w:vAlign w:val="center"/>
          </w:tcPr>
          <w:p w14:paraId="27879132"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81</w:t>
            </w:r>
          </w:p>
        </w:tc>
        <w:tc>
          <w:tcPr>
            <w:tcW w:w="560" w:type="dxa"/>
            <w:shd w:val="clear" w:color="auto" w:fill="auto"/>
            <w:vAlign w:val="center"/>
          </w:tcPr>
          <w:p w14:paraId="16DA0455" w14:textId="77777777" w:rsidR="00577A45" w:rsidRDefault="004C2A6E">
            <w:pPr>
              <w:keepLines/>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73</w:t>
            </w:r>
          </w:p>
        </w:tc>
      </w:tr>
      <w:tr w:rsidR="00577A45" w14:paraId="043A0190" w14:textId="77777777" w:rsidTr="00577A4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320" w:type="dxa"/>
            <w:vAlign w:val="center"/>
          </w:tcPr>
          <w:p w14:paraId="1CF97EA5" w14:textId="77777777" w:rsidR="00577A45" w:rsidRDefault="004C2A6E">
            <w:pPr>
              <w:keepLines/>
              <w:spacing w:after="0" w:line="276" w:lineRule="auto"/>
              <w:jc w:val="center"/>
              <w:rPr>
                <w:rFonts w:ascii="Times New Roman" w:eastAsia="Times New Roman" w:hAnsi="Times New Roman" w:cs="Times New Roman"/>
                <w:b w:val="0"/>
                <w:color w:val="000000"/>
                <w:sz w:val="20"/>
                <w:lang w:val="en-GB" w:eastAsia="fr-BE"/>
              </w:rPr>
            </w:pPr>
            <w:r>
              <w:rPr>
                <w:rFonts w:ascii="Times New Roman" w:eastAsia="Times New Roman" w:hAnsi="Times New Roman" w:cs="Times New Roman"/>
                <w:b w:val="0"/>
                <w:color w:val="000000"/>
                <w:sz w:val="20"/>
                <w:lang w:val="en-GB" w:eastAsia="fr-BE"/>
              </w:rPr>
              <w:t xml:space="preserve">Strong divergence </w:t>
            </w:r>
          </w:p>
          <w:p w14:paraId="2A7C4ACC" w14:textId="77777777" w:rsidR="00577A45" w:rsidRDefault="004C2A6E">
            <w:pPr>
              <w:keepLines/>
              <w:spacing w:after="0" w:line="276" w:lineRule="auto"/>
              <w:jc w:val="center"/>
              <w:rPr>
                <w:rFonts w:ascii="Times New Roman" w:eastAsia="Times New Roman" w:hAnsi="Times New Roman" w:cs="Times New Roman"/>
                <w:b w:val="0"/>
                <w:color w:val="000000"/>
                <w:sz w:val="20"/>
                <w:lang w:val="en-GB" w:eastAsia="fr-BE"/>
              </w:rPr>
            </w:pPr>
            <w:r>
              <w:rPr>
                <w:rFonts w:ascii="Times New Roman" w:eastAsia="Times New Roman" w:hAnsi="Times New Roman" w:cs="Times New Roman"/>
                <w:b w:val="0"/>
                <w:color w:val="000000"/>
                <w:sz w:val="20"/>
                <w:lang w:val="en-GB" w:eastAsia="fr-BE"/>
              </w:rPr>
              <w:t>(# Rank divergence &gt; 20)</w:t>
            </w:r>
          </w:p>
        </w:tc>
        <w:tc>
          <w:tcPr>
            <w:tcW w:w="567" w:type="dxa"/>
            <w:vAlign w:val="center"/>
          </w:tcPr>
          <w:p w14:paraId="7D4E3931"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1</w:t>
            </w:r>
          </w:p>
        </w:tc>
        <w:tc>
          <w:tcPr>
            <w:tcW w:w="561" w:type="dxa"/>
            <w:vAlign w:val="center"/>
          </w:tcPr>
          <w:p w14:paraId="3CF4F8C6"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7</w:t>
            </w:r>
          </w:p>
        </w:tc>
        <w:tc>
          <w:tcPr>
            <w:tcW w:w="709" w:type="dxa"/>
            <w:vAlign w:val="center"/>
          </w:tcPr>
          <w:p w14:paraId="1CF89408"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19</w:t>
            </w:r>
          </w:p>
        </w:tc>
        <w:tc>
          <w:tcPr>
            <w:tcW w:w="567" w:type="dxa"/>
            <w:vAlign w:val="center"/>
          </w:tcPr>
          <w:p w14:paraId="0753B10E"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31</w:t>
            </w:r>
          </w:p>
        </w:tc>
        <w:tc>
          <w:tcPr>
            <w:tcW w:w="561" w:type="dxa"/>
            <w:vAlign w:val="center"/>
          </w:tcPr>
          <w:p w14:paraId="30BC17C4"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61</w:t>
            </w:r>
          </w:p>
        </w:tc>
        <w:tc>
          <w:tcPr>
            <w:tcW w:w="560" w:type="dxa"/>
            <w:vAlign w:val="center"/>
          </w:tcPr>
          <w:p w14:paraId="3AE87E17" w14:textId="77777777" w:rsidR="00577A45" w:rsidRDefault="004C2A6E">
            <w:pPr>
              <w:keepLines/>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GB" w:eastAsia="fr-BE"/>
              </w:rPr>
            </w:pPr>
            <w:r>
              <w:rPr>
                <w:rFonts w:ascii="Times New Roman" w:eastAsia="Times New Roman" w:hAnsi="Times New Roman" w:cs="Times New Roman"/>
                <w:color w:val="000000"/>
                <w:sz w:val="20"/>
                <w:lang w:val="en-GB" w:eastAsia="fr-BE"/>
              </w:rPr>
              <w:t>47</w:t>
            </w:r>
          </w:p>
        </w:tc>
      </w:tr>
    </w:tbl>
    <w:p w14:paraId="405AB68C" w14:textId="77777777" w:rsidR="00577A45" w:rsidRDefault="00577A45">
      <w:pPr>
        <w:spacing w:line="276" w:lineRule="auto"/>
        <w:jc w:val="both"/>
        <w:rPr>
          <w:rFonts w:ascii="Times New Roman" w:hAnsi="Times New Roman" w:cs="Times New Roman"/>
          <w:lang w:val="en-GB"/>
        </w:rPr>
      </w:pPr>
    </w:p>
    <w:p w14:paraId="7319EC67" w14:textId="4188742A" w:rsidR="00577A45" w:rsidRDefault="004C2A6E">
      <w:pPr>
        <w:pStyle w:val="2mepara"/>
        <w:rPr>
          <w:lang w:val="en-GB"/>
        </w:rPr>
      </w:pPr>
      <w:r>
        <w:rPr>
          <w:lang w:val="en-GB"/>
        </w:rPr>
        <w:t xml:space="preserve">The results of both methods converge, resulting in two groups of indicators. The rankings produced by the HPI and the SSI are weakly or moderately correlated with </w:t>
      </w:r>
      <w:r w:rsidR="00B15B74">
        <w:rPr>
          <w:lang w:val="en-GB"/>
        </w:rPr>
        <w:t xml:space="preserve">those </w:t>
      </w:r>
      <w:r>
        <w:rPr>
          <w:lang w:val="en-GB"/>
        </w:rPr>
        <w:t>produced by GDP (0.26 for the HPI, 0.59 for the SSI) and the disparity in ranking of more than 10 or 20 positions is very large (between 47 and 81). The two indicators thus produce rankings strongly divergent from those produced by GDP.</w:t>
      </w:r>
    </w:p>
    <w:p w14:paraId="448F1990" w14:textId="04E2C5EC" w:rsidR="00577A45" w:rsidRDefault="004C2A6E">
      <w:pPr>
        <w:pStyle w:val="2mepara"/>
        <w:rPr>
          <w:lang w:val="en-GB"/>
        </w:rPr>
      </w:pPr>
      <w:r>
        <w:rPr>
          <w:lang w:val="en-GB"/>
        </w:rPr>
        <w:t>At the other end of the scale, the rankings produced by the four other indicators are strongly correlated with GDP (between 0.85 and 0.97). It is difficult to define a threshold above which one might count an indicator as being very close to GDP. But conventionally, one can consider that a correlation between 80% and 90% is very high and leaves little room for divergence in ranking. A strong correlation between GDP and the HDI is not surprising and has</w:t>
      </w:r>
      <w:r w:rsidR="00B15B74">
        <w:rPr>
          <w:lang w:val="en-GB"/>
        </w:rPr>
        <w:t xml:space="preserve"> already</w:t>
      </w:r>
      <w:r>
        <w:rPr>
          <w:lang w:val="en-GB"/>
        </w:rPr>
        <w:t xml:space="preserve"> been pointed to on numerous occasions</w:t>
      </w:r>
      <w:r w:rsidR="00B15B74">
        <w:rPr>
          <w:lang w:val="en-GB"/>
        </w:rPr>
        <w:t xml:space="preserve"> </w:t>
      </w:r>
      <w:r>
        <w:rPr>
          <w:lang w:val="en-GB"/>
        </w:rPr>
        <w:t xml:space="preserve">(McGillivray, 1991; Cahill, 2005). On the one hand, the HDI gives significant weight to GDP in its construction. On the other, the two other dimensions it </w:t>
      </w:r>
      <w:r w:rsidR="00B15B74">
        <w:rPr>
          <w:lang w:val="en-GB"/>
        </w:rPr>
        <w:t>considers</w:t>
      </w:r>
      <w:r>
        <w:rPr>
          <w:lang w:val="en-GB"/>
        </w:rPr>
        <w:t xml:space="preserve"> (health and education) are correlated with GDP. The high correlation coefficients are more unexpected for the SPI, GWBI, and QoL indicators, all of which include a large number of non-economic variables. </w:t>
      </w:r>
    </w:p>
    <w:p w14:paraId="40D483C0" w14:textId="77777777" w:rsidR="00577A45" w:rsidRDefault="004C2A6E">
      <w:pPr>
        <w:pStyle w:val="2mepara"/>
        <w:rPr>
          <w:lang w:val="en-GB"/>
        </w:rPr>
      </w:pPr>
      <w:r>
        <w:rPr>
          <w:lang w:val="en-GB"/>
        </w:rPr>
        <w:t xml:space="preserve">Examining the ranking disparity between GDP and these four indicators, one can note the following: the ranking produced by the HDI diverges very little from that produced by GDP, even when only considering divergences of more than 10 places (only 15 instances out of 104 countries). SPI is also strongly correlated with GDP, with only 7 cases of significant divergence and 37 of moderate divergence. At the other end of the scale, the HPI and the SSI are very different from GDP, with most countries diverging by more than 20 places. QoL and the GWBI are in the middle ground between the SPI and the HDI on one end, and the HPI and the SSI on the other. It is to be noted that the two indicators initiated by powerful stakeholders (HDI and SPI) diverge the least in their rankings from GDP. The strong correlation between the rankings in general may signify one of two things: either GDP is, all things considered, adequate as an indicator for accounting for the dimensions included in Beyond GDP indicators—in which case, Beyond GDP indicators are redundant and are of little interest—, or several Beyond GDP indicators (HDI, SPI, GWBI, QoL…) mainly include variables that have been traditionally correlated with </w:t>
      </w:r>
      <w:r>
        <w:rPr>
          <w:lang w:val="en-GB"/>
        </w:rPr>
        <w:lastRenderedPageBreak/>
        <w:t>GDP, and leave other crucial variables out. We will argue for the second of these options.</w:t>
      </w:r>
    </w:p>
    <w:p w14:paraId="33CF3FCE" w14:textId="77777777" w:rsidR="00577A45" w:rsidRDefault="004C2A6E">
      <w:pPr>
        <w:pStyle w:val="Titre4"/>
        <w:rPr>
          <w:lang w:val="en-GB"/>
        </w:rPr>
      </w:pPr>
      <w:r>
        <w:rPr>
          <w:lang w:val="en-GB"/>
        </w:rPr>
        <w:t>4.4 Analysis by country group</w:t>
      </w:r>
    </w:p>
    <w:p w14:paraId="30CFA09F" w14:textId="654B9B51" w:rsidR="00577A45" w:rsidRDefault="004C2A6E">
      <w:pPr>
        <w:pStyle w:val="Premierpara"/>
        <w:rPr>
          <w:lang w:val="en-GB"/>
        </w:rPr>
      </w:pPr>
      <w:r>
        <w:rPr>
          <w:lang w:val="en-GB"/>
        </w:rPr>
        <w:t xml:space="preserve">There is a strong correlation between the rankings of some Beyond GDP indicators and those based on GDP, which suggests a weak transformative potential. However, if the small divergence in rank lies in dimensions that can be </w:t>
      </w:r>
      <w:r w:rsidR="003A5AE3">
        <w:rPr>
          <w:lang w:val="en-GB"/>
        </w:rPr>
        <w:t>considered</w:t>
      </w:r>
      <w:r>
        <w:rPr>
          <w:lang w:val="en-GB"/>
        </w:rPr>
        <w:t xml:space="preserve"> meaningful (for instance, the indicators convey another narrative about the countries of the global south), this means that these indicators can still indicate another direction than that </w:t>
      </w:r>
      <w:r w:rsidRPr="006C04AE">
        <w:rPr>
          <w:lang w:val="en-GB"/>
        </w:rPr>
        <w:t>pointed to</w:t>
      </w:r>
      <w:r>
        <w:rPr>
          <w:lang w:val="en-GB"/>
        </w:rPr>
        <w:t xml:space="preserve"> by GDP. In the following section, the indicators’ rankings will be observed </w:t>
      </w:r>
      <w:r w:rsidR="001F60A7">
        <w:rPr>
          <w:lang w:val="en-GB"/>
        </w:rPr>
        <w:t>by</w:t>
      </w:r>
      <w:r>
        <w:rPr>
          <w:lang w:val="en-GB"/>
        </w:rPr>
        <w:t xml:space="preserve"> country groups rather than individual countries, according to a major categorisation: ‘OECD countries’ versus ‘non-OECD countries’, the </w:t>
      </w:r>
      <w:r>
        <w:rPr>
          <w:lang w:val="en-GB"/>
        </w:rPr>
        <w:t>OECD member countries generally</w:t>
      </w:r>
      <w:r w:rsidR="005E3629">
        <w:rPr>
          <w:lang w:val="en-GB"/>
        </w:rPr>
        <w:t xml:space="preserve"> being</w:t>
      </w:r>
      <w:r>
        <w:rPr>
          <w:lang w:val="en-GB"/>
        </w:rPr>
        <w:t xml:space="preserve"> considered as more developed. The</w:t>
      </w:r>
      <w:r>
        <w:rPr>
          <w:lang w:val="en-GB"/>
        </w:rPr>
        <w:t xml:space="preserve"> indicators’ rankings will then be observed according to another categorisation: the role of the state in the economy, which is a major concern in current and past socio-economic debates. Since a typology of the role of the state in the economy including all the countries from our test group is unavailable, only the industrialised countries will be considered, using a typology—developed by Esping-Andersen—that is a point of reference in political science. Esping-Andersen (1999) clusters countries according to their welfare state regime. He distributes 17 industrialised countries among three schemes: social democratic, conservative corporatist, and liberal</w:t>
      </w:r>
      <w:r>
        <w:rPr>
          <w:rStyle w:val="Ancladenotaalpie"/>
          <w:lang w:val="en-GB"/>
        </w:rPr>
        <w:footnoteReference w:id="8"/>
      </w:r>
      <w:r>
        <w:rPr>
          <w:lang w:val="en-GB"/>
        </w:rPr>
        <w:t>. These three ideal types account for different conceptions of the role of the state in the economy and in social protection. In our analysis, the welfare scheme will be used as a proxy for reflecting the role of the state of the 17 countries under consideration.</w:t>
      </w:r>
    </w:p>
    <w:p w14:paraId="2851C4FC" w14:textId="77777777" w:rsidR="00577A45" w:rsidRDefault="004C2A6E">
      <w:pPr>
        <w:pStyle w:val="2mepara"/>
        <w:rPr>
          <w:lang w:val="en-GB"/>
        </w:rPr>
      </w:pPr>
      <w:r>
        <w:rPr>
          <w:lang w:val="en-GB"/>
        </w:rPr>
        <w:t>Table 5 gives the mean rank obtained by country group. One should bear in mind that the countries (or the country groups) show better performance the lower their rank.</w:t>
      </w:r>
    </w:p>
    <w:p w14:paraId="63FECD7D" w14:textId="77777777" w:rsidR="00577A45" w:rsidRDefault="00577A45">
      <w:pPr>
        <w:shd w:val="clear" w:color="auto" w:fill="FFFFFF" w:themeFill="background1"/>
        <w:spacing w:line="276" w:lineRule="auto"/>
        <w:ind w:firstLine="708"/>
        <w:jc w:val="both"/>
        <w:rPr>
          <w:rFonts w:ascii="Times New Roman" w:hAnsi="Times New Roman" w:cs="Times New Roman"/>
          <w:lang w:val="en-GB"/>
        </w:rPr>
      </w:pPr>
    </w:p>
    <w:p w14:paraId="411E1B5D" w14:textId="77777777" w:rsidR="00577A45" w:rsidRDefault="004C2A6E">
      <w:pPr>
        <w:shd w:val="clear" w:color="auto" w:fill="FFFFFF" w:themeFill="background1"/>
        <w:spacing w:line="276" w:lineRule="auto"/>
        <w:jc w:val="center"/>
        <w:rPr>
          <w:rFonts w:ascii="Times New Roman" w:hAnsi="Times New Roman" w:cs="Times New Roman"/>
          <w:sz w:val="20"/>
          <w:lang w:val="en-GB"/>
        </w:rPr>
      </w:pPr>
      <w:r>
        <w:rPr>
          <w:rFonts w:ascii="Times New Roman" w:hAnsi="Times New Roman" w:cs="Times New Roman"/>
          <w:b/>
          <w:sz w:val="20"/>
          <w:lang w:val="en-GB"/>
        </w:rPr>
        <w:t>Table 5: Mean rank of OECD vs non-OECD countries and of</w:t>
      </w:r>
      <w:r>
        <w:rPr>
          <w:rFonts w:ascii="Times New Roman" w:hAnsi="Times New Roman" w:cs="Times New Roman"/>
          <w:sz w:val="20"/>
          <w:lang w:val="en-GB"/>
        </w:rPr>
        <w:t xml:space="preserve"> </w:t>
      </w:r>
      <w:r>
        <w:rPr>
          <w:rFonts w:ascii="Times New Roman" w:hAnsi="Times New Roman" w:cs="Times New Roman"/>
          <w:b/>
          <w:sz w:val="20"/>
          <w:lang w:val="en-GB"/>
        </w:rPr>
        <w:t>three welfare regimes, according to GDP and six Beyond GDP indicators</w:t>
      </w:r>
    </w:p>
    <w:tbl>
      <w:tblPr>
        <w:tblStyle w:val="Tableausimple41"/>
        <w:tblW w:w="5000" w:type="pct"/>
        <w:tblLook w:val="04A0" w:firstRow="1" w:lastRow="0" w:firstColumn="1" w:lastColumn="0" w:noHBand="0" w:noVBand="1"/>
      </w:tblPr>
      <w:tblGrid>
        <w:gridCol w:w="1709"/>
        <w:gridCol w:w="745"/>
        <w:gridCol w:w="743"/>
        <w:gridCol w:w="744"/>
        <w:gridCol w:w="744"/>
        <w:gridCol w:w="744"/>
        <w:gridCol w:w="744"/>
        <w:gridCol w:w="743"/>
      </w:tblGrid>
      <w:tr w:rsidR="00577A45" w14:paraId="2AA85408" w14:textId="77777777" w:rsidTr="00577A45">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708" w:type="dxa"/>
            <w:shd w:val="clear" w:color="auto" w:fill="auto"/>
            <w:vAlign w:val="center"/>
          </w:tcPr>
          <w:p w14:paraId="3B0C884A" w14:textId="77777777" w:rsidR="00577A45" w:rsidRDefault="004C2A6E">
            <w:pPr>
              <w:spacing w:after="0" w:line="276" w:lineRule="auto"/>
              <w:rPr>
                <w:rFonts w:ascii="Times New Roman" w:eastAsia="Times New Roman" w:hAnsi="Times New Roman" w:cs="Times New Roman"/>
                <w:b w:val="0"/>
                <w:sz w:val="20"/>
                <w:szCs w:val="20"/>
                <w:lang w:val="en-GB" w:eastAsia="fr-BE"/>
              </w:rPr>
            </w:pPr>
            <w:r>
              <w:rPr>
                <w:rFonts w:ascii="Times New Roman" w:eastAsia="Times New Roman" w:hAnsi="Times New Roman" w:cs="Times New Roman"/>
                <w:b w:val="0"/>
                <w:sz w:val="20"/>
                <w:szCs w:val="20"/>
                <w:lang w:val="en-GB" w:eastAsia="fr-BE"/>
              </w:rPr>
              <w:t> </w:t>
            </w:r>
          </w:p>
        </w:tc>
        <w:tc>
          <w:tcPr>
            <w:tcW w:w="745" w:type="dxa"/>
            <w:shd w:val="clear" w:color="auto" w:fill="auto"/>
            <w:vAlign w:val="center"/>
          </w:tcPr>
          <w:p w14:paraId="6AD55FFD" w14:textId="77777777" w:rsidR="00577A45" w:rsidRDefault="004C2A6E">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szCs w:val="20"/>
                <w:lang w:val="en-GB" w:eastAsia="fr-BE"/>
              </w:rPr>
            </w:pPr>
            <w:r>
              <w:rPr>
                <w:rFonts w:ascii="Times New Roman" w:eastAsia="Times New Roman" w:hAnsi="Times New Roman" w:cs="Times New Roman"/>
                <w:b w:val="0"/>
                <w:i/>
                <w:sz w:val="20"/>
                <w:szCs w:val="20"/>
                <w:lang w:val="en-GB" w:eastAsia="fr-BE"/>
              </w:rPr>
              <w:t xml:space="preserve">GDP </w:t>
            </w:r>
          </w:p>
        </w:tc>
        <w:tc>
          <w:tcPr>
            <w:tcW w:w="743" w:type="dxa"/>
            <w:shd w:val="clear" w:color="auto" w:fill="auto"/>
            <w:vAlign w:val="center"/>
          </w:tcPr>
          <w:p w14:paraId="16D05656" w14:textId="77777777" w:rsidR="00577A45" w:rsidRDefault="004C2A6E">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szCs w:val="20"/>
                <w:lang w:val="en-GB" w:eastAsia="fr-BE"/>
              </w:rPr>
            </w:pPr>
            <w:r>
              <w:rPr>
                <w:rFonts w:ascii="Times New Roman" w:eastAsia="Times New Roman" w:hAnsi="Times New Roman" w:cs="Times New Roman"/>
                <w:b w:val="0"/>
                <w:i/>
                <w:sz w:val="20"/>
                <w:szCs w:val="20"/>
                <w:lang w:val="en-GB" w:eastAsia="fr-BE"/>
              </w:rPr>
              <w:t xml:space="preserve">HDI  </w:t>
            </w:r>
          </w:p>
        </w:tc>
        <w:tc>
          <w:tcPr>
            <w:tcW w:w="744" w:type="dxa"/>
            <w:shd w:val="clear" w:color="auto" w:fill="auto"/>
            <w:vAlign w:val="center"/>
          </w:tcPr>
          <w:p w14:paraId="518CEA99" w14:textId="77777777" w:rsidR="00577A45" w:rsidRDefault="004C2A6E">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szCs w:val="20"/>
                <w:lang w:val="en-GB" w:eastAsia="fr-BE"/>
              </w:rPr>
            </w:pPr>
            <w:r>
              <w:rPr>
                <w:rFonts w:ascii="Times New Roman" w:eastAsia="Times New Roman" w:hAnsi="Times New Roman" w:cs="Times New Roman"/>
                <w:b w:val="0"/>
                <w:i/>
                <w:sz w:val="20"/>
                <w:szCs w:val="20"/>
                <w:lang w:val="en-GB" w:eastAsia="fr-BE"/>
              </w:rPr>
              <w:t xml:space="preserve">SPI </w:t>
            </w:r>
          </w:p>
        </w:tc>
        <w:tc>
          <w:tcPr>
            <w:tcW w:w="744" w:type="dxa"/>
            <w:shd w:val="clear" w:color="auto" w:fill="auto"/>
            <w:vAlign w:val="center"/>
          </w:tcPr>
          <w:p w14:paraId="2610C2C1" w14:textId="77777777" w:rsidR="00577A45" w:rsidRDefault="004C2A6E">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szCs w:val="20"/>
                <w:lang w:val="en-GB" w:eastAsia="fr-BE"/>
              </w:rPr>
            </w:pPr>
            <w:r>
              <w:rPr>
                <w:rFonts w:ascii="Times New Roman" w:eastAsia="Times New Roman" w:hAnsi="Times New Roman" w:cs="Times New Roman"/>
                <w:b w:val="0"/>
                <w:i/>
                <w:sz w:val="20"/>
                <w:szCs w:val="20"/>
                <w:lang w:val="en-GB" w:eastAsia="fr-BE"/>
              </w:rPr>
              <w:t xml:space="preserve">GWBI </w:t>
            </w:r>
          </w:p>
        </w:tc>
        <w:tc>
          <w:tcPr>
            <w:tcW w:w="744" w:type="dxa"/>
            <w:shd w:val="clear" w:color="auto" w:fill="auto"/>
            <w:vAlign w:val="center"/>
          </w:tcPr>
          <w:p w14:paraId="6C0C316A" w14:textId="77777777" w:rsidR="00577A45" w:rsidRDefault="004C2A6E">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szCs w:val="20"/>
                <w:lang w:val="en-GB" w:eastAsia="fr-BE"/>
              </w:rPr>
            </w:pPr>
            <w:r>
              <w:rPr>
                <w:rFonts w:ascii="Times New Roman" w:eastAsia="Times New Roman" w:hAnsi="Times New Roman" w:cs="Times New Roman"/>
                <w:b w:val="0"/>
                <w:i/>
                <w:sz w:val="20"/>
                <w:szCs w:val="20"/>
                <w:lang w:val="en-GB" w:eastAsia="fr-BE"/>
              </w:rPr>
              <w:t xml:space="preserve">QoL </w:t>
            </w:r>
          </w:p>
        </w:tc>
        <w:tc>
          <w:tcPr>
            <w:tcW w:w="744" w:type="dxa"/>
            <w:shd w:val="clear" w:color="auto" w:fill="auto"/>
            <w:vAlign w:val="center"/>
          </w:tcPr>
          <w:p w14:paraId="2AD09E67" w14:textId="77777777" w:rsidR="00577A45" w:rsidRDefault="004C2A6E">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szCs w:val="20"/>
                <w:lang w:val="en-GB" w:eastAsia="fr-BE"/>
              </w:rPr>
            </w:pPr>
            <w:r>
              <w:rPr>
                <w:rFonts w:ascii="Times New Roman" w:eastAsia="Times New Roman" w:hAnsi="Times New Roman" w:cs="Times New Roman"/>
                <w:b w:val="0"/>
                <w:i/>
                <w:sz w:val="20"/>
                <w:szCs w:val="20"/>
                <w:lang w:val="en-GB" w:eastAsia="fr-BE"/>
              </w:rPr>
              <w:t xml:space="preserve">HPI </w:t>
            </w:r>
          </w:p>
        </w:tc>
        <w:tc>
          <w:tcPr>
            <w:tcW w:w="743" w:type="dxa"/>
            <w:shd w:val="clear" w:color="auto" w:fill="auto"/>
            <w:vAlign w:val="center"/>
          </w:tcPr>
          <w:p w14:paraId="2059A8AA" w14:textId="77777777" w:rsidR="00577A45" w:rsidRDefault="004C2A6E">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szCs w:val="20"/>
                <w:lang w:val="en-GB" w:eastAsia="fr-BE"/>
              </w:rPr>
            </w:pPr>
            <w:r>
              <w:rPr>
                <w:rFonts w:ascii="Times New Roman" w:eastAsia="Times New Roman" w:hAnsi="Times New Roman" w:cs="Times New Roman"/>
                <w:b w:val="0"/>
                <w:i/>
                <w:sz w:val="20"/>
                <w:szCs w:val="20"/>
                <w:lang w:val="en-GB" w:eastAsia="fr-BE"/>
              </w:rPr>
              <w:t xml:space="preserve">SSI </w:t>
            </w:r>
          </w:p>
        </w:tc>
      </w:tr>
      <w:tr w:rsidR="00577A45" w14:paraId="4EB79445" w14:textId="77777777" w:rsidTr="00577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8" w:type="dxa"/>
            <w:vAlign w:val="center"/>
          </w:tcPr>
          <w:p w14:paraId="16AC7B52" w14:textId="77777777" w:rsidR="00577A45" w:rsidRDefault="00577A45">
            <w:pPr>
              <w:spacing w:after="0" w:line="276" w:lineRule="auto"/>
              <w:jc w:val="center"/>
              <w:rPr>
                <w:rFonts w:ascii="Times New Roman" w:eastAsia="Times New Roman" w:hAnsi="Times New Roman" w:cs="Times New Roman"/>
                <w:sz w:val="20"/>
                <w:szCs w:val="20"/>
                <w:lang w:val="en-GB" w:eastAsia="fr-BE"/>
              </w:rPr>
            </w:pPr>
          </w:p>
        </w:tc>
        <w:tc>
          <w:tcPr>
            <w:tcW w:w="745" w:type="dxa"/>
            <w:vAlign w:val="center"/>
          </w:tcPr>
          <w:p w14:paraId="7203A60B" w14:textId="77777777" w:rsidR="00577A45" w:rsidRDefault="00577A45">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fr-BE"/>
              </w:rPr>
            </w:pPr>
          </w:p>
        </w:tc>
        <w:tc>
          <w:tcPr>
            <w:tcW w:w="743" w:type="dxa"/>
            <w:vAlign w:val="center"/>
          </w:tcPr>
          <w:p w14:paraId="1105E91D" w14:textId="77777777" w:rsidR="00577A45" w:rsidRDefault="00577A45">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fr-BE"/>
              </w:rPr>
            </w:pPr>
          </w:p>
        </w:tc>
        <w:tc>
          <w:tcPr>
            <w:tcW w:w="744" w:type="dxa"/>
            <w:vAlign w:val="center"/>
          </w:tcPr>
          <w:p w14:paraId="2ACCAD6A" w14:textId="77777777" w:rsidR="00577A45" w:rsidRDefault="00577A45">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fr-BE"/>
              </w:rPr>
            </w:pPr>
          </w:p>
        </w:tc>
        <w:tc>
          <w:tcPr>
            <w:tcW w:w="744" w:type="dxa"/>
            <w:vAlign w:val="center"/>
          </w:tcPr>
          <w:p w14:paraId="092597F9" w14:textId="77777777" w:rsidR="00577A45" w:rsidRDefault="00577A45">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fr-BE"/>
              </w:rPr>
            </w:pPr>
          </w:p>
        </w:tc>
        <w:tc>
          <w:tcPr>
            <w:tcW w:w="744" w:type="dxa"/>
            <w:vAlign w:val="center"/>
          </w:tcPr>
          <w:p w14:paraId="0243E47B" w14:textId="77777777" w:rsidR="00577A45" w:rsidRDefault="00577A45">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fr-BE"/>
              </w:rPr>
            </w:pPr>
          </w:p>
        </w:tc>
        <w:tc>
          <w:tcPr>
            <w:tcW w:w="744" w:type="dxa"/>
            <w:vAlign w:val="center"/>
          </w:tcPr>
          <w:p w14:paraId="01A0FEEE" w14:textId="77777777" w:rsidR="00577A45" w:rsidRDefault="00577A45">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fr-BE"/>
              </w:rPr>
            </w:pPr>
          </w:p>
        </w:tc>
        <w:tc>
          <w:tcPr>
            <w:tcW w:w="743" w:type="dxa"/>
            <w:vAlign w:val="center"/>
          </w:tcPr>
          <w:p w14:paraId="1860A571" w14:textId="77777777" w:rsidR="00577A45" w:rsidRDefault="00577A45">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fr-BE"/>
              </w:rPr>
            </w:pPr>
          </w:p>
        </w:tc>
      </w:tr>
      <w:tr w:rsidR="00577A45" w14:paraId="3BB5C58D" w14:textId="77777777" w:rsidTr="00577A45">
        <w:trPr>
          <w:trHeight w:val="288"/>
        </w:trPr>
        <w:tc>
          <w:tcPr>
            <w:cnfStyle w:val="001000000000" w:firstRow="0" w:lastRow="0" w:firstColumn="1" w:lastColumn="0" w:oddVBand="0" w:evenVBand="0" w:oddHBand="0" w:evenHBand="0" w:firstRowFirstColumn="0" w:firstRowLastColumn="0" w:lastRowFirstColumn="0" w:lastRowLastColumn="0"/>
            <w:tcW w:w="1708" w:type="dxa"/>
            <w:shd w:val="clear" w:color="auto" w:fill="auto"/>
            <w:vAlign w:val="center"/>
          </w:tcPr>
          <w:p w14:paraId="73BFF8EE" w14:textId="77777777" w:rsidR="00577A45" w:rsidRDefault="004C2A6E">
            <w:pPr>
              <w:spacing w:after="0" w:line="276" w:lineRule="auto"/>
              <w:jc w:val="center"/>
              <w:rPr>
                <w:rFonts w:ascii="Times New Roman" w:eastAsia="Times New Roman" w:hAnsi="Times New Roman" w:cs="Times New Roman"/>
                <w:b w:val="0"/>
                <w:color w:val="000000"/>
                <w:sz w:val="20"/>
                <w:szCs w:val="20"/>
                <w:lang w:val="en-GB" w:eastAsia="fr-BE"/>
              </w:rPr>
            </w:pPr>
            <w:r>
              <w:rPr>
                <w:rFonts w:ascii="Times New Roman" w:eastAsia="Times New Roman" w:hAnsi="Times New Roman" w:cs="Times New Roman"/>
                <w:b w:val="0"/>
                <w:color w:val="000000"/>
                <w:sz w:val="20"/>
                <w:szCs w:val="20"/>
                <w:lang w:val="en-GB" w:eastAsia="fr-BE"/>
              </w:rPr>
              <w:lastRenderedPageBreak/>
              <w:t>Rank OECD countries</w:t>
            </w:r>
          </w:p>
        </w:tc>
        <w:tc>
          <w:tcPr>
            <w:tcW w:w="745" w:type="dxa"/>
            <w:shd w:val="clear" w:color="auto" w:fill="auto"/>
            <w:vAlign w:val="center"/>
          </w:tcPr>
          <w:p w14:paraId="26BDBB06"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19</w:t>
            </w:r>
          </w:p>
        </w:tc>
        <w:tc>
          <w:tcPr>
            <w:tcW w:w="743" w:type="dxa"/>
            <w:shd w:val="clear" w:color="auto" w:fill="auto"/>
            <w:vAlign w:val="center"/>
          </w:tcPr>
          <w:p w14:paraId="57BC92B2"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19</w:t>
            </w:r>
          </w:p>
        </w:tc>
        <w:tc>
          <w:tcPr>
            <w:tcW w:w="744" w:type="dxa"/>
            <w:shd w:val="clear" w:color="auto" w:fill="auto"/>
            <w:vAlign w:val="center"/>
          </w:tcPr>
          <w:p w14:paraId="7854955F"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19</w:t>
            </w:r>
          </w:p>
        </w:tc>
        <w:tc>
          <w:tcPr>
            <w:tcW w:w="744" w:type="dxa"/>
            <w:shd w:val="clear" w:color="auto" w:fill="auto"/>
            <w:vAlign w:val="center"/>
          </w:tcPr>
          <w:p w14:paraId="5FF34E21"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22</w:t>
            </w:r>
          </w:p>
        </w:tc>
        <w:tc>
          <w:tcPr>
            <w:tcW w:w="744" w:type="dxa"/>
            <w:shd w:val="clear" w:color="auto" w:fill="auto"/>
            <w:vAlign w:val="center"/>
          </w:tcPr>
          <w:p w14:paraId="14092221"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23</w:t>
            </w:r>
          </w:p>
        </w:tc>
        <w:tc>
          <w:tcPr>
            <w:tcW w:w="744" w:type="dxa"/>
            <w:shd w:val="clear" w:color="auto" w:fill="auto"/>
            <w:vAlign w:val="center"/>
          </w:tcPr>
          <w:p w14:paraId="3D6F132C"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48</w:t>
            </w:r>
          </w:p>
        </w:tc>
        <w:tc>
          <w:tcPr>
            <w:tcW w:w="743" w:type="dxa"/>
            <w:shd w:val="clear" w:color="auto" w:fill="auto"/>
            <w:vAlign w:val="center"/>
          </w:tcPr>
          <w:p w14:paraId="693F47E3"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hAnsi="Times New Roman" w:cs="Times New Roman"/>
                <w:color w:val="000000"/>
                <w:sz w:val="20"/>
                <w:szCs w:val="20"/>
                <w:lang w:val="en-GB"/>
              </w:rPr>
              <w:t>30</w:t>
            </w:r>
          </w:p>
        </w:tc>
      </w:tr>
      <w:tr w:rsidR="00577A45" w14:paraId="1FE54EF0" w14:textId="77777777" w:rsidTr="00577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8" w:type="dxa"/>
            <w:tcBorders>
              <w:top w:val="double" w:sz="4" w:space="0" w:color="000000"/>
              <w:bottom w:val="double" w:sz="4" w:space="0" w:color="000000"/>
            </w:tcBorders>
            <w:vAlign w:val="center"/>
          </w:tcPr>
          <w:p w14:paraId="47689640" w14:textId="77777777" w:rsidR="00577A45" w:rsidRDefault="004C2A6E">
            <w:pPr>
              <w:spacing w:after="0" w:line="276" w:lineRule="auto"/>
              <w:jc w:val="center"/>
              <w:rPr>
                <w:rFonts w:ascii="Times New Roman" w:eastAsia="Times New Roman" w:hAnsi="Times New Roman" w:cs="Times New Roman"/>
                <w:b w:val="0"/>
                <w:color w:val="000000"/>
                <w:sz w:val="20"/>
                <w:szCs w:val="20"/>
                <w:lang w:val="en-GB" w:eastAsia="fr-BE"/>
              </w:rPr>
            </w:pPr>
            <w:r>
              <w:rPr>
                <w:rFonts w:ascii="Times New Roman" w:eastAsia="Times New Roman" w:hAnsi="Times New Roman" w:cs="Times New Roman"/>
                <w:b w:val="0"/>
                <w:color w:val="000000"/>
                <w:sz w:val="20"/>
                <w:szCs w:val="20"/>
                <w:lang w:val="en-GB" w:eastAsia="fr-BE"/>
              </w:rPr>
              <w:t xml:space="preserve">Rank Non-OECD </w:t>
            </w:r>
          </w:p>
        </w:tc>
        <w:tc>
          <w:tcPr>
            <w:tcW w:w="745" w:type="dxa"/>
            <w:tcBorders>
              <w:top w:val="double" w:sz="4" w:space="0" w:color="000000"/>
              <w:bottom w:val="double" w:sz="4" w:space="0" w:color="000000"/>
            </w:tcBorders>
            <w:vAlign w:val="center"/>
          </w:tcPr>
          <w:p w14:paraId="125901E6" w14:textId="77777777" w:rsidR="00577A45" w:rsidRDefault="004C2A6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69</w:t>
            </w:r>
          </w:p>
        </w:tc>
        <w:tc>
          <w:tcPr>
            <w:tcW w:w="743" w:type="dxa"/>
            <w:tcBorders>
              <w:top w:val="double" w:sz="4" w:space="0" w:color="000000"/>
              <w:bottom w:val="double" w:sz="4" w:space="0" w:color="000000"/>
            </w:tcBorders>
            <w:vAlign w:val="center"/>
          </w:tcPr>
          <w:p w14:paraId="7BAA9690" w14:textId="77777777" w:rsidR="00577A45" w:rsidRDefault="004C2A6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70</w:t>
            </w:r>
          </w:p>
        </w:tc>
        <w:tc>
          <w:tcPr>
            <w:tcW w:w="744" w:type="dxa"/>
            <w:tcBorders>
              <w:top w:val="double" w:sz="4" w:space="0" w:color="000000"/>
              <w:bottom w:val="double" w:sz="4" w:space="0" w:color="000000"/>
            </w:tcBorders>
            <w:vAlign w:val="center"/>
          </w:tcPr>
          <w:p w14:paraId="5A5F137D" w14:textId="77777777" w:rsidR="00577A45" w:rsidRDefault="004C2A6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69</w:t>
            </w:r>
          </w:p>
        </w:tc>
        <w:tc>
          <w:tcPr>
            <w:tcW w:w="744" w:type="dxa"/>
            <w:tcBorders>
              <w:top w:val="double" w:sz="4" w:space="0" w:color="000000"/>
              <w:bottom w:val="double" w:sz="4" w:space="0" w:color="000000"/>
            </w:tcBorders>
            <w:vAlign w:val="center"/>
          </w:tcPr>
          <w:p w14:paraId="0C7B81F2" w14:textId="77777777" w:rsidR="00577A45" w:rsidRDefault="004C2A6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68</w:t>
            </w:r>
          </w:p>
        </w:tc>
        <w:tc>
          <w:tcPr>
            <w:tcW w:w="744" w:type="dxa"/>
            <w:tcBorders>
              <w:top w:val="double" w:sz="4" w:space="0" w:color="000000"/>
              <w:bottom w:val="double" w:sz="4" w:space="0" w:color="000000"/>
            </w:tcBorders>
            <w:vAlign w:val="center"/>
          </w:tcPr>
          <w:p w14:paraId="7934EB17" w14:textId="77777777" w:rsidR="00577A45" w:rsidRDefault="004C2A6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68</w:t>
            </w:r>
          </w:p>
        </w:tc>
        <w:tc>
          <w:tcPr>
            <w:tcW w:w="744" w:type="dxa"/>
            <w:tcBorders>
              <w:top w:val="double" w:sz="4" w:space="0" w:color="000000"/>
              <w:bottom w:val="double" w:sz="4" w:space="0" w:color="000000"/>
            </w:tcBorders>
            <w:vAlign w:val="center"/>
          </w:tcPr>
          <w:p w14:paraId="7E2BCAD0" w14:textId="77777777" w:rsidR="00577A45" w:rsidRDefault="004C2A6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56</w:t>
            </w:r>
          </w:p>
        </w:tc>
        <w:tc>
          <w:tcPr>
            <w:tcW w:w="743" w:type="dxa"/>
            <w:tcBorders>
              <w:top w:val="double" w:sz="4" w:space="0" w:color="000000"/>
              <w:bottom w:val="double" w:sz="4" w:space="0" w:color="000000"/>
            </w:tcBorders>
            <w:vAlign w:val="center"/>
          </w:tcPr>
          <w:p w14:paraId="71107855" w14:textId="77777777" w:rsidR="00577A45" w:rsidRDefault="004C2A6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hAnsi="Times New Roman" w:cs="Times New Roman"/>
                <w:color w:val="000000"/>
                <w:sz w:val="20"/>
                <w:szCs w:val="20"/>
                <w:lang w:val="en-GB"/>
              </w:rPr>
              <w:t>64</w:t>
            </w:r>
          </w:p>
        </w:tc>
      </w:tr>
      <w:tr w:rsidR="00577A45" w14:paraId="2F860EF3" w14:textId="77777777" w:rsidTr="00577A45">
        <w:trPr>
          <w:trHeight w:val="288"/>
        </w:trPr>
        <w:tc>
          <w:tcPr>
            <w:cnfStyle w:val="001000000000" w:firstRow="0" w:lastRow="0" w:firstColumn="1" w:lastColumn="0" w:oddVBand="0" w:evenVBand="0" w:oddHBand="0" w:evenHBand="0" w:firstRowFirstColumn="0" w:firstRowLastColumn="0" w:lastRowFirstColumn="0" w:lastRowLastColumn="0"/>
            <w:tcW w:w="1708" w:type="dxa"/>
            <w:tcBorders>
              <w:top w:val="double" w:sz="4" w:space="0" w:color="000000"/>
            </w:tcBorders>
            <w:shd w:val="clear" w:color="auto" w:fill="auto"/>
            <w:vAlign w:val="center"/>
          </w:tcPr>
          <w:p w14:paraId="3B1222FB" w14:textId="77777777" w:rsidR="00577A45" w:rsidRDefault="004C2A6E">
            <w:pPr>
              <w:spacing w:after="0" w:line="276" w:lineRule="auto"/>
              <w:jc w:val="center"/>
              <w:rPr>
                <w:rFonts w:ascii="Times New Roman" w:eastAsia="Times New Roman" w:hAnsi="Times New Roman" w:cs="Times New Roman"/>
                <w:b w:val="0"/>
                <w:color w:val="000000"/>
                <w:sz w:val="20"/>
                <w:szCs w:val="20"/>
                <w:lang w:val="en-GB" w:eastAsia="fr-BE"/>
              </w:rPr>
            </w:pPr>
            <w:r>
              <w:rPr>
                <w:rFonts w:ascii="Times New Roman" w:eastAsia="Times New Roman" w:hAnsi="Times New Roman" w:cs="Times New Roman"/>
                <w:b w:val="0"/>
                <w:color w:val="000000"/>
                <w:sz w:val="20"/>
                <w:szCs w:val="20"/>
                <w:lang w:val="en-GB" w:eastAsia="fr-BE"/>
              </w:rPr>
              <w:t>Social Democratic</w:t>
            </w:r>
          </w:p>
        </w:tc>
        <w:tc>
          <w:tcPr>
            <w:tcW w:w="745" w:type="dxa"/>
            <w:tcBorders>
              <w:top w:val="double" w:sz="4" w:space="0" w:color="000000"/>
            </w:tcBorders>
            <w:shd w:val="clear" w:color="auto" w:fill="auto"/>
            <w:vAlign w:val="center"/>
          </w:tcPr>
          <w:p w14:paraId="41D4D033"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9</w:t>
            </w:r>
          </w:p>
        </w:tc>
        <w:tc>
          <w:tcPr>
            <w:tcW w:w="743" w:type="dxa"/>
            <w:tcBorders>
              <w:top w:val="double" w:sz="4" w:space="0" w:color="000000"/>
            </w:tcBorders>
            <w:shd w:val="clear" w:color="auto" w:fill="auto"/>
            <w:vAlign w:val="center"/>
          </w:tcPr>
          <w:p w14:paraId="1C440647"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9</w:t>
            </w:r>
          </w:p>
        </w:tc>
        <w:tc>
          <w:tcPr>
            <w:tcW w:w="744" w:type="dxa"/>
            <w:tcBorders>
              <w:top w:val="double" w:sz="4" w:space="0" w:color="000000"/>
            </w:tcBorders>
            <w:shd w:val="clear" w:color="auto" w:fill="auto"/>
            <w:vAlign w:val="center"/>
          </w:tcPr>
          <w:p w14:paraId="78B18BC9"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4</w:t>
            </w:r>
          </w:p>
        </w:tc>
        <w:tc>
          <w:tcPr>
            <w:tcW w:w="744" w:type="dxa"/>
            <w:tcBorders>
              <w:top w:val="double" w:sz="4" w:space="0" w:color="000000"/>
            </w:tcBorders>
            <w:shd w:val="clear" w:color="auto" w:fill="auto"/>
            <w:vAlign w:val="center"/>
          </w:tcPr>
          <w:p w14:paraId="4E4C8E7D"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9</w:t>
            </w:r>
          </w:p>
        </w:tc>
        <w:tc>
          <w:tcPr>
            <w:tcW w:w="744" w:type="dxa"/>
            <w:tcBorders>
              <w:top w:val="double" w:sz="4" w:space="0" w:color="000000"/>
            </w:tcBorders>
            <w:shd w:val="clear" w:color="auto" w:fill="auto"/>
            <w:vAlign w:val="center"/>
          </w:tcPr>
          <w:p w14:paraId="6A031D9C"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11</w:t>
            </w:r>
          </w:p>
        </w:tc>
        <w:tc>
          <w:tcPr>
            <w:tcW w:w="744" w:type="dxa"/>
            <w:tcBorders>
              <w:top w:val="double" w:sz="4" w:space="0" w:color="000000"/>
            </w:tcBorders>
            <w:shd w:val="clear" w:color="auto" w:fill="auto"/>
            <w:vAlign w:val="center"/>
          </w:tcPr>
          <w:p w14:paraId="1493DF76"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30</w:t>
            </w:r>
          </w:p>
        </w:tc>
        <w:tc>
          <w:tcPr>
            <w:tcW w:w="743" w:type="dxa"/>
            <w:tcBorders>
              <w:top w:val="double" w:sz="4" w:space="0" w:color="000000"/>
            </w:tcBorders>
            <w:shd w:val="clear" w:color="auto" w:fill="auto"/>
            <w:vAlign w:val="center"/>
          </w:tcPr>
          <w:p w14:paraId="07F07A07"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6</w:t>
            </w:r>
          </w:p>
        </w:tc>
      </w:tr>
      <w:tr w:rsidR="00577A45" w14:paraId="18ED9FE9" w14:textId="77777777" w:rsidTr="00577A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8" w:type="dxa"/>
            <w:vAlign w:val="center"/>
          </w:tcPr>
          <w:p w14:paraId="44F840CA" w14:textId="77777777" w:rsidR="00577A45" w:rsidRDefault="004C2A6E">
            <w:pPr>
              <w:spacing w:after="0" w:line="276" w:lineRule="auto"/>
              <w:jc w:val="center"/>
              <w:rPr>
                <w:rFonts w:ascii="Times New Roman" w:eastAsia="Times New Roman" w:hAnsi="Times New Roman" w:cs="Times New Roman"/>
                <w:b w:val="0"/>
                <w:color w:val="000000"/>
                <w:sz w:val="20"/>
                <w:szCs w:val="20"/>
                <w:lang w:val="en-GB" w:eastAsia="fr-BE"/>
              </w:rPr>
            </w:pPr>
            <w:r>
              <w:rPr>
                <w:rFonts w:ascii="Times New Roman" w:eastAsia="Times New Roman" w:hAnsi="Times New Roman" w:cs="Times New Roman"/>
                <w:b w:val="0"/>
                <w:color w:val="000000"/>
                <w:sz w:val="20"/>
                <w:szCs w:val="20"/>
                <w:lang w:val="en-GB" w:eastAsia="fr-BE"/>
              </w:rPr>
              <w:t>Conservative Corporatist</w:t>
            </w:r>
          </w:p>
        </w:tc>
        <w:tc>
          <w:tcPr>
            <w:tcW w:w="745" w:type="dxa"/>
            <w:vAlign w:val="center"/>
          </w:tcPr>
          <w:p w14:paraId="02DA6E49" w14:textId="77777777" w:rsidR="00577A45" w:rsidRDefault="004C2A6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19</w:t>
            </w:r>
          </w:p>
        </w:tc>
        <w:tc>
          <w:tcPr>
            <w:tcW w:w="743" w:type="dxa"/>
            <w:vAlign w:val="center"/>
          </w:tcPr>
          <w:p w14:paraId="10C5A563" w14:textId="77777777" w:rsidR="00577A45" w:rsidRDefault="004C2A6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24</w:t>
            </w:r>
          </w:p>
        </w:tc>
        <w:tc>
          <w:tcPr>
            <w:tcW w:w="744" w:type="dxa"/>
            <w:vAlign w:val="center"/>
          </w:tcPr>
          <w:p w14:paraId="096689A8" w14:textId="77777777" w:rsidR="00577A45" w:rsidRDefault="004C2A6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22</w:t>
            </w:r>
          </w:p>
        </w:tc>
        <w:tc>
          <w:tcPr>
            <w:tcW w:w="744" w:type="dxa"/>
            <w:vAlign w:val="center"/>
          </w:tcPr>
          <w:p w14:paraId="3DBBAF79" w14:textId="77777777" w:rsidR="00577A45" w:rsidRDefault="004C2A6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25</w:t>
            </w:r>
          </w:p>
        </w:tc>
        <w:tc>
          <w:tcPr>
            <w:tcW w:w="744" w:type="dxa"/>
            <w:vAlign w:val="center"/>
          </w:tcPr>
          <w:p w14:paraId="64478CB2" w14:textId="77777777" w:rsidR="00577A45" w:rsidRDefault="004C2A6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21</w:t>
            </w:r>
          </w:p>
        </w:tc>
        <w:tc>
          <w:tcPr>
            <w:tcW w:w="744" w:type="dxa"/>
            <w:vAlign w:val="center"/>
          </w:tcPr>
          <w:p w14:paraId="27ED7D67" w14:textId="77777777" w:rsidR="00577A45" w:rsidRDefault="004C2A6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55</w:t>
            </w:r>
          </w:p>
        </w:tc>
        <w:tc>
          <w:tcPr>
            <w:tcW w:w="743" w:type="dxa"/>
            <w:vAlign w:val="center"/>
          </w:tcPr>
          <w:p w14:paraId="5CF0B21B" w14:textId="77777777" w:rsidR="00577A45" w:rsidRDefault="004C2A6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37</w:t>
            </w:r>
          </w:p>
        </w:tc>
      </w:tr>
      <w:tr w:rsidR="00577A45" w14:paraId="2183DC35" w14:textId="77777777" w:rsidTr="00577A45">
        <w:trPr>
          <w:trHeight w:val="288"/>
        </w:trPr>
        <w:tc>
          <w:tcPr>
            <w:cnfStyle w:val="001000000000" w:firstRow="0" w:lastRow="0" w:firstColumn="1" w:lastColumn="0" w:oddVBand="0" w:evenVBand="0" w:oddHBand="0" w:evenHBand="0" w:firstRowFirstColumn="0" w:firstRowLastColumn="0" w:lastRowFirstColumn="0" w:lastRowLastColumn="0"/>
            <w:tcW w:w="1708" w:type="dxa"/>
            <w:shd w:val="clear" w:color="auto" w:fill="auto"/>
            <w:vAlign w:val="center"/>
          </w:tcPr>
          <w:p w14:paraId="6F1C68E9" w14:textId="77777777" w:rsidR="00577A45" w:rsidRDefault="004C2A6E">
            <w:pPr>
              <w:spacing w:after="0" w:line="276" w:lineRule="auto"/>
              <w:jc w:val="center"/>
              <w:rPr>
                <w:rFonts w:ascii="Times New Roman" w:eastAsia="Times New Roman" w:hAnsi="Times New Roman" w:cs="Times New Roman"/>
                <w:b w:val="0"/>
                <w:color w:val="000000"/>
                <w:sz w:val="20"/>
                <w:szCs w:val="20"/>
                <w:lang w:val="en-GB" w:eastAsia="fr-BE"/>
              </w:rPr>
            </w:pPr>
            <w:r>
              <w:rPr>
                <w:rFonts w:ascii="Times New Roman" w:eastAsia="Times New Roman" w:hAnsi="Times New Roman" w:cs="Times New Roman"/>
                <w:b w:val="0"/>
                <w:color w:val="000000"/>
                <w:sz w:val="20"/>
                <w:szCs w:val="20"/>
                <w:lang w:val="en-GB" w:eastAsia="fr-BE"/>
              </w:rPr>
              <w:t>Liberal</w:t>
            </w:r>
          </w:p>
        </w:tc>
        <w:tc>
          <w:tcPr>
            <w:tcW w:w="745" w:type="dxa"/>
            <w:shd w:val="clear" w:color="auto" w:fill="auto"/>
            <w:vAlign w:val="center"/>
          </w:tcPr>
          <w:p w14:paraId="2FF1A67C"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9</w:t>
            </w:r>
          </w:p>
        </w:tc>
        <w:tc>
          <w:tcPr>
            <w:tcW w:w="743" w:type="dxa"/>
            <w:shd w:val="clear" w:color="auto" w:fill="auto"/>
            <w:vAlign w:val="center"/>
          </w:tcPr>
          <w:p w14:paraId="648CB5FE"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8</w:t>
            </w:r>
          </w:p>
        </w:tc>
        <w:tc>
          <w:tcPr>
            <w:tcW w:w="744" w:type="dxa"/>
            <w:shd w:val="clear" w:color="auto" w:fill="auto"/>
            <w:vAlign w:val="center"/>
          </w:tcPr>
          <w:p w14:paraId="052EAE0A"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9</w:t>
            </w:r>
          </w:p>
        </w:tc>
        <w:tc>
          <w:tcPr>
            <w:tcW w:w="744" w:type="dxa"/>
            <w:shd w:val="clear" w:color="auto" w:fill="auto"/>
            <w:vAlign w:val="center"/>
          </w:tcPr>
          <w:p w14:paraId="6AD76429"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9</w:t>
            </w:r>
          </w:p>
        </w:tc>
        <w:tc>
          <w:tcPr>
            <w:tcW w:w="744" w:type="dxa"/>
            <w:shd w:val="clear" w:color="auto" w:fill="auto"/>
            <w:vAlign w:val="center"/>
          </w:tcPr>
          <w:p w14:paraId="642A7161"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7</w:t>
            </w:r>
          </w:p>
        </w:tc>
        <w:tc>
          <w:tcPr>
            <w:tcW w:w="744" w:type="dxa"/>
            <w:shd w:val="clear" w:color="auto" w:fill="auto"/>
            <w:vAlign w:val="center"/>
          </w:tcPr>
          <w:p w14:paraId="4B4C7313"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62</w:t>
            </w:r>
          </w:p>
        </w:tc>
        <w:tc>
          <w:tcPr>
            <w:tcW w:w="743" w:type="dxa"/>
            <w:shd w:val="clear" w:color="auto" w:fill="auto"/>
            <w:vAlign w:val="center"/>
          </w:tcPr>
          <w:p w14:paraId="4EE77BC4"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55</w:t>
            </w:r>
          </w:p>
        </w:tc>
      </w:tr>
    </w:tbl>
    <w:p w14:paraId="5AA3941A" w14:textId="77777777" w:rsidR="00577A45" w:rsidRDefault="00577A45">
      <w:pPr>
        <w:shd w:val="clear" w:color="auto" w:fill="FFFFFF" w:themeFill="background1"/>
        <w:spacing w:line="276" w:lineRule="auto"/>
        <w:ind w:firstLine="708"/>
        <w:jc w:val="both"/>
        <w:rPr>
          <w:rFonts w:ascii="Times New Roman" w:hAnsi="Times New Roman" w:cs="Times New Roman"/>
          <w:lang w:val="en-GB"/>
        </w:rPr>
      </w:pPr>
    </w:p>
    <w:p w14:paraId="507581C9" w14:textId="2CA64346" w:rsidR="00577A45" w:rsidRDefault="004C2A6E">
      <w:pPr>
        <w:pStyle w:val="2mepara"/>
        <w:rPr>
          <w:lang w:val="en-GB"/>
        </w:rPr>
      </w:pPr>
      <w:r>
        <w:rPr>
          <w:lang w:val="en-GB"/>
        </w:rPr>
        <w:t>The same two groups of indicators emerge from Table 5. The HDI, SPI, GWBI, and QoL indicators produce a mean between 19 and 23 for the OECD countries, close to the GDP-based mean (19). For these indicators, the mean rank of the non-OECD countries oscillates between 68 and 70, which is also close to the GDP mean (69).</w:t>
      </w:r>
      <w:r>
        <w:rPr>
          <w:rStyle w:val="Ancladenotaalpie"/>
          <w:lang w:val="en-GB"/>
        </w:rPr>
        <w:footnoteReference w:id="9"/>
      </w:r>
      <w:r>
        <w:rPr>
          <w:lang w:val="en-GB"/>
        </w:rPr>
        <w:t xml:space="preserve"> The four indicators thus lead to a </w:t>
      </w:r>
      <w:r w:rsidR="001F60A7">
        <w:rPr>
          <w:lang w:val="en-GB"/>
        </w:rPr>
        <w:t>difference in performance</w:t>
      </w:r>
      <w:r>
        <w:rPr>
          <w:lang w:val="en-GB"/>
        </w:rPr>
        <w:t xml:space="preserve"> between OECD and non-OECD countries similar to that produced by GDP. The narrative that is conveyed here is therefore not different to that conveyed by GDP. On the other hand, the remaining two indicators, the HPI and the SSI, produce a mean rank considerably more favourable to non-OECD countries (in comparison with GDP). </w:t>
      </w:r>
    </w:p>
    <w:p w14:paraId="4700DBC7" w14:textId="127E0A50" w:rsidR="00577A45" w:rsidRDefault="004C2A6E">
      <w:pPr>
        <w:pStyle w:val="2mepara"/>
        <w:rPr>
          <w:lang w:val="en-GB"/>
        </w:rPr>
      </w:pPr>
      <w:r>
        <w:rPr>
          <w:lang w:val="en-GB"/>
        </w:rPr>
        <w:t>Amongst the three categories of welfare state, the social democratic countries appear in top ranking position for all the indicators except QoL</w:t>
      </w:r>
      <w:r>
        <w:rPr>
          <w:rStyle w:val="Ancladenotaalpie"/>
          <w:lang w:val="en-GB"/>
        </w:rPr>
        <w:footnoteReference w:id="10"/>
      </w:r>
      <w:r>
        <w:rPr>
          <w:lang w:val="en-GB"/>
        </w:rPr>
        <w:t xml:space="preserve">. The HDI, SPI, and GWBI (as well as GDP) hold the liberal countries in second place. The HPI and SSI indicators hold the Western European conservative corporatist countries in second place, and the liberal countries in last place. It is worth noting again that the mean rankings of the HDI, SPI, and GWBI indicators are very close to those produced by GDP across all welfare regimes, except for QoL, which ranks liberal countries at the top. These results thus converge with those that emerged from separating the OECD </w:t>
      </w:r>
      <w:r>
        <w:rPr>
          <w:lang w:val="en-GB"/>
        </w:rPr>
        <w:t xml:space="preserve">and non-OECD countries. When the countries are compared </w:t>
      </w:r>
      <w:r w:rsidR="005E3629">
        <w:rPr>
          <w:lang w:val="en-GB"/>
        </w:rPr>
        <w:t>based on</w:t>
      </w:r>
      <w:r>
        <w:rPr>
          <w:lang w:val="en-GB"/>
        </w:rPr>
        <w:t xml:space="preserve"> their </w:t>
      </w:r>
      <w:r>
        <w:rPr>
          <w:lang w:val="en-GB"/>
        </w:rPr>
        <w:t xml:space="preserve">welfare regimes, the SPI, GWBI, HDI indicators do not supply additional information to that supplied by GDP. </w:t>
      </w:r>
    </w:p>
    <w:p w14:paraId="06FC4061" w14:textId="77777777" w:rsidR="00577A45" w:rsidRDefault="004C2A6E">
      <w:pPr>
        <w:spacing w:before="520" w:after="280" w:line="240" w:lineRule="auto"/>
        <w:outlineLvl w:val="0"/>
        <w:rPr>
          <w:rFonts w:ascii="Times New Roman" w:eastAsia="Times New Roman" w:hAnsi="Times New Roman" w:cs="Times New Roman"/>
          <w:b/>
          <w:bCs/>
          <w:color w:val="000000"/>
          <w:kern w:val="2"/>
          <w:sz w:val="24"/>
          <w:szCs w:val="24"/>
          <w:lang w:val="en-GB" w:eastAsia="hu-HU"/>
        </w:rPr>
      </w:pPr>
      <w:r>
        <w:rPr>
          <w:rFonts w:ascii="Times New Roman" w:eastAsia="Times New Roman" w:hAnsi="Times New Roman" w:cs="Times New Roman"/>
          <w:b/>
          <w:bCs/>
          <w:color w:val="000000"/>
          <w:kern w:val="2"/>
          <w:sz w:val="24"/>
          <w:szCs w:val="24"/>
          <w:lang w:val="en-GB" w:eastAsia="hu-HU"/>
        </w:rPr>
        <w:lastRenderedPageBreak/>
        <w:t>5. Correlation with GDP factors</w:t>
      </w:r>
    </w:p>
    <w:p w14:paraId="163E8FF9" w14:textId="33C436ED" w:rsidR="00577A45" w:rsidRDefault="004C2A6E">
      <w:pPr>
        <w:pStyle w:val="Premierpara"/>
      </w:pPr>
      <w:r>
        <w:rPr>
          <w:lang w:val="en-GB"/>
        </w:rPr>
        <w:t xml:space="preserve">The indicators initiated by powerful stakeholders presented here produce rankings that are near or very near to those produced by GDP. Does this mean that GDP is an adequate indicator of </w:t>
      </w:r>
      <w:r w:rsidRPr="005E3629">
        <w:rPr>
          <w:lang w:val="en-GB"/>
        </w:rPr>
        <w:t>well</w:t>
      </w:r>
      <w:r w:rsidR="005E3629" w:rsidRPr="005E3629">
        <w:rPr>
          <w:lang w:val="en-GB"/>
        </w:rPr>
        <w:t>-</w:t>
      </w:r>
      <w:r w:rsidRPr="005E3629">
        <w:rPr>
          <w:lang w:val="en-GB"/>
        </w:rPr>
        <w:t>being</w:t>
      </w:r>
      <w:r>
        <w:rPr>
          <w:lang w:val="en-GB"/>
        </w:rPr>
        <w:t xml:space="preserve"> after all? Or is the proximity of the results due to the fact that the Beyond GDP indicators initiated by powerful stakeholders make use of variables and methods that in consequence end up producing results close to those produced by GDP? A more or less close correlation with GDP can be the result of three things: the choice of variables, the weight attributed to each and the aggregation method. The following will examine what these different methodological options entail.</w:t>
      </w:r>
    </w:p>
    <w:p w14:paraId="792608EA" w14:textId="77777777" w:rsidR="00577A45" w:rsidRDefault="00577A45">
      <w:pPr>
        <w:jc w:val="both"/>
        <w:rPr>
          <w:rFonts w:ascii="Times New Roman" w:hAnsi="Times New Roman" w:cs="Times New Roman"/>
          <w:lang w:val="en-GB"/>
        </w:rPr>
      </w:pPr>
    </w:p>
    <w:p w14:paraId="4330E175" w14:textId="77777777" w:rsidR="00577A45" w:rsidRDefault="004C2A6E">
      <w:pPr>
        <w:pStyle w:val="Titre4"/>
        <w:rPr>
          <w:lang w:val="en-GB"/>
        </w:rPr>
      </w:pPr>
      <w:r>
        <w:rPr>
          <w:lang w:val="en-GB"/>
        </w:rPr>
        <w:t>5.1 The choice of variables</w:t>
      </w:r>
    </w:p>
    <w:p w14:paraId="4546276F" w14:textId="77777777" w:rsidR="00577A45" w:rsidRDefault="004C2A6E">
      <w:pPr>
        <w:pStyle w:val="Premierpara"/>
        <w:rPr>
          <w:lang w:val="en-GB"/>
        </w:rPr>
      </w:pPr>
      <w:r>
        <w:rPr>
          <w:lang w:val="en-GB"/>
        </w:rPr>
        <w:t>If GDP is positively correlated with most Beyond GDP indicators, this is because the latter are based on variables that are themselves correlated with GDP. As Easterly notes in a review of different studies investigating the link between quality of life and GDP, ‘Studies such as Wheeler (1980), Ram (1985), Dasgupta and Weale (1992), Dasgupta (1993), Kakwani (1993), Sen (1994), and Fedderke and Klitgaard (1998) generally found quality-of-life indicators to be higher in richer nations’ (Easterly, 1999, 241). A positive correlation between GDP and most Beyond GDP indicators is not surprising. What is surprising, however, is the scale of the correlation (more than 80%) in most of the indicators under consideration. It is important then to identify which variables correlate most closely with GDP.</w:t>
      </w:r>
    </w:p>
    <w:p w14:paraId="2F63B6AD" w14:textId="13102D9F" w:rsidR="00577A45" w:rsidRDefault="004C2A6E">
      <w:pPr>
        <w:pStyle w:val="2mepara"/>
        <w:rPr>
          <w:lang w:val="en-GB"/>
        </w:rPr>
      </w:pPr>
      <w:r>
        <w:rPr>
          <w:lang w:val="en-GB"/>
        </w:rPr>
        <w:t>McGillivray (1991) and Cahil (2005) demonstrate that health and education variables are strongly correlated with GDP, on a scale of more than 70% in the 1980’s and in 2001.</w:t>
      </w:r>
      <w:r>
        <w:rPr>
          <w:rStyle w:val="Ancladenotaalpie"/>
          <w:lang w:val="en-GB"/>
        </w:rPr>
        <w:footnoteReference w:id="11"/>
      </w:r>
      <w:r>
        <w:rPr>
          <w:lang w:val="en-GB"/>
        </w:rPr>
        <w:t xml:space="preserve"> Inglehart and Klingemann (2000) calculate a 70% correlation coefficient between subjective satisfaction with life and GDP in the 1990’s. Federkke and Klitgaard (1998) observe a positive correlation between GDP, </w:t>
      </w:r>
      <w:r w:rsidR="005E3629">
        <w:rPr>
          <w:lang w:val="en-GB"/>
        </w:rPr>
        <w:t xml:space="preserve">civil </w:t>
      </w:r>
      <w:r>
        <w:rPr>
          <w:lang w:val="en-GB"/>
        </w:rPr>
        <w:t xml:space="preserve">and political rights (44-74%), and institutional efficacy (54-76%), as well as a negative correlation between GDP and political instability (-45- -64%) </w:t>
      </w:r>
      <w:r>
        <w:rPr>
          <w:sz w:val="21"/>
          <w:szCs w:val="21"/>
          <w:lang w:val="en-US"/>
        </w:rPr>
        <w:t>for the 1960–85 period</w:t>
      </w:r>
      <w:r>
        <w:rPr>
          <w:lang w:val="en-GB"/>
        </w:rPr>
        <w:t xml:space="preserve">. Health, education, </w:t>
      </w:r>
      <w:r w:rsidR="005E3629">
        <w:rPr>
          <w:lang w:val="en-GB"/>
        </w:rPr>
        <w:t xml:space="preserve">civil </w:t>
      </w:r>
      <w:r>
        <w:rPr>
          <w:lang w:val="en-GB"/>
        </w:rPr>
        <w:t xml:space="preserve">and political rights, </w:t>
      </w:r>
      <w:r>
        <w:rPr>
          <w:lang w:val="en-GB"/>
        </w:rPr>
        <w:lastRenderedPageBreak/>
        <w:t xml:space="preserve">subjective satisfaction, and other such variables are thus strongly correlated with GDP (up to a certain point). This means that an indicator made up solely of this kind of variable has a strong chance of being strongly correlated with GDP and hence of being redundant. The inclusion of GDP among the variables </w:t>
      </w:r>
      <w:r w:rsidR="005E3629">
        <w:rPr>
          <w:lang w:val="en-GB"/>
        </w:rPr>
        <w:t>considered</w:t>
      </w:r>
      <w:r>
        <w:rPr>
          <w:lang w:val="en-GB"/>
        </w:rPr>
        <w:t xml:space="preserve"> by the indicator makes such an outcome even more likely. The HDI makes use of these variables all together, and a number of articles have considered it to be redundant in regard to GDP (Mc Gillivray, 1991; Cahil, 2005). For an indicator to diverge from GDP, it must also </w:t>
      </w:r>
      <w:r w:rsidR="005E3629">
        <w:rPr>
          <w:lang w:val="en-GB"/>
        </w:rPr>
        <w:t>consider</w:t>
      </w:r>
      <w:r>
        <w:rPr>
          <w:lang w:val="en-GB"/>
        </w:rPr>
        <w:t xml:space="preserve"> variables less strongly correlated</w:t>
      </w:r>
      <w:r w:rsidR="005E3629">
        <w:rPr>
          <w:lang w:val="en-GB"/>
        </w:rPr>
        <w:t xml:space="preserve"> with GDP</w:t>
      </w:r>
      <w:r>
        <w:rPr>
          <w:lang w:val="en-GB"/>
        </w:rPr>
        <w:t>. Table 6 lays out a few instances of variables that have been a concern for the Beyond GDP indicators’ movement, such as inequality and environmental variables. These are weakly correlated with GDP.</w:t>
      </w:r>
    </w:p>
    <w:p w14:paraId="1F63CD29" w14:textId="77777777" w:rsidR="00577A45" w:rsidRDefault="00577A45">
      <w:pPr>
        <w:pStyle w:val="2mepara"/>
        <w:rPr>
          <w:lang w:val="en-GB"/>
        </w:rPr>
      </w:pPr>
    </w:p>
    <w:p w14:paraId="52C26E38" w14:textId="77777777" w:rsidR="00577A45" w:rsidRDefault="004C2A6E">
      <w:pPr>
        <w:pStyle w:val="Premierpara"/>
        <w:ind w:firstLine="227"/>
        <w:rPr>
          <w:sz w:val="20"/>
          <w:lang w:val="en-GB"/>
        </w:rPr>
      </w:pPr>
      <w:r>
        <w:rPr>
          <w:b/>
          <w:sz w:val="20"/>
          <w:lang w:val="en-GB"/>
        </w:rPr>
        <w:t xml:space="preserve">Table 6: Variables with low or moderate correlation (rank) with GDP </w:t>
      </w:r>
    </w:p>
    <w:p w14:paraId="080B2966" w14:textId="77777777" w:rsidR="00577A45" w:rsidRDefault="00577A45">
      <w:pPr>
        <w:pStyle w:val="Premierpara"/>
        <w:rPr>
          <w:i/>
          <w:lang w:val="en-GB"/>
        </w:rPr>
      </w:pPr>
    </w:p>
    <w:tbl>
      <w:tblPr>
        <w:tblStyle w:val="Tableausimple4"/>
        <w:tblW w:w="6900" w:type="dxa"/>
        <w:tblLook w:val="04A0" w:firstRow="1" w:lastRow="0" w:firstColumn="1" w:lastColumn="0" w:noHBand="0" w:noVBand="1"/>
      </w:tblPr>
      <w:tblGrid>
        <w:gridCol w:w="3451"/>
        <w:gridCol w:w="3449"/>
      </w:tblGrid>
      <w:tr w:rsidR="00577A45" w14:paraId="1AF9DB53" w14:textId="77777777" w:rsidTr="00577A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0" w:type="dxa"/>
            <w:shd w:val="clear" w:color="auto" w:fill="auto"/>
          </w:tcPr>
          <w:p w14:paraId="2F3FD35F" w14:textId="77777777" w:rsidR="00577A45" w:rsidRDefault="00577A45">
            <w:pPr>
              <w:spacing w:after="0" w:line="276" w:lineRule="auto"/>
              <w:jc w:val="center"/>
              <w:rPr>
                <w:rFonts w:ascii="Times New Roman" w:eastAsia="Times New Roman" w:hAnsi="Times New Roman" w:cs="Times New Roman"/>
                <w:color w:val="000000"/>
                <w:sz w:val="20"/>
                <w:szCs w:val="20"/>
                <w:lang w:val="en-GB" w:eastAsia="fr-BE"/>
              </w:rPr>
            </w:pPr>
          </w:p>
        </w:tc>
        <w:tc>
          <w:tcPr>
            <w:tcW w:w="3449" w:type="dxa"/>
            <w:shd w:val="clear" w:color="auto" w:fill="auto"/>
          </w:tcPr>
          <w:p w14:paraId="3E9CA885" w14:textId="77777777" w:rsidR="00577A45" w:rsidRDefault="004C2A6E">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0"/>
                <w:szCs w:val="20"/>
                <w:lang w:val="en-GB" w:eastAsia="fr-BE"/>
              </w:rPr>
            </w:pPr>
            <w:r>
              <w:rPr>
                <w:rFonts w:ascii="Times New Roman" w:eastAsia="Times New Roman" w:hAnsi="Times New Roman" w:cs="Times New Roman"/>
                <w:b w:val="0"/>
                <w:color w:val="000000"/>
                <w:sz w:val="20"/>
                <w:szCs w:val="20"/>
                <w:lang w:val="en-GB" w:eastAsia="fr-BE"/>
              </w:rPr>
              <w:t>Correlation with GDP rank, per capita PPP</w:t>
            </w:r>
          </w:p>
        </w:tc>
      </w:tr>
      <w:tr w:rsidR="00577A45" w14:paraId="64103ABE" w14:textId="77777777" w:rsidTr="00577A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0" w:type="dxa"/>
          </w:tcPr>
          <w:p w14:paraId="7E5FACEE" w14:textId="77777777" w:rsidR="00577A45" w:rsidRDefault="004C2A6E">
            <w:pPr>
              <w:spacing w:after="0" w:line="276" w:lineRule="auto"/>
              <w:jc w:val="center"/>
              <w:rPr>
                <w:rFonts w:ascii="Times New Roman" w:eastAsia="Times New Roman" w:hAnsi="Times New Roman" w:cs="Times New Roman"/>
                <w:b w:val="0"/>
                <w:color w:val="000000"/>
                <w:sz w:val="20"/>
                <w:szCs w:val="20"/>
                <w:lang w:val="en-GB" w:eastAsia="fr-BE"/>
              </w:rPr>
            </w:pPr>
            <w:r>
              <w:rPr>
                <w:rFonts w:ascii="Times New Roman" w:eastAsia="Times New Roman" w:hAnsi="Times New Roman" w:cs="Times New Roman"/>
                <w:b w:val="0"/>
                <w:color w:val="000000"/>
                <w:sz w:val="20"/>
                <w:szCs w:val="20"/>
                <w:lang w:val="en-GB" w:eastAsia="fr-BE"/>
              </w:rPr>
              <w:t>Availability of affordable housing</w:t>
            </w:r>
          </w:p>
        </w:tc>
        <w:tc>
          <w:tcPr>
            <w:tcW w:w="3449" w:type="dxa"/>
          </w:tcPr>
          <w:p w14:paraId="377A25FD" w14:textId="77777777" w:rsidR="00577A45" w:rsidRDefault="004C2A6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0,13</w:t>
            </w:r>
          </w:p>
        </w:tc>
      </w:tr>
      <w:tr w:rsidR="00577A45" w14:paraId="75CD5392" w14:textId="77777777" w:rsidTr="00577A45">
        <w:tc>
          <w:tcPr>
            <w:cnfStyle w:val="001000000000" w:firstRow="0" w:lastRow="0" w:firstColumn="1" w:lastColumn="0" w:oddVBand="0" w:evenVBand="0" w:oddHBand="0" w:evenHBand="0" w:firstRowFirstColumn="0" w:firstRowLastColumn="0" w:lastRowFirstColumn="0" w:lastRowLastColumn="0"/>
            <w:tcW w:w="3450" w:type="dxa"/>
            <w:shd w:val="clear" w:color="auto" w:fill="auto"/>
          </w:tcPr>
          <w:p w14:paraId="5DAA7113" w14:textId="77777777" w:rsidR="00577A45" w:rsidRDefault="004C2A6E">
            <w:pPr>
              <w:spacing w:after="0" w:line="276" w:lineRule="auto"/>
              <w:jc w:val="center"/>
              <w:rPr>
                <w:rFonts w:ascii="Times New Roman" w:eastAsia="Times New Roman" w:hAnsi="Times New Roman" w:cs="Times New Roman"/>
                <w:b w:val="0"/>
                <w:color w:val="000000"/>
                <w:sz w:val="20"/>
                <w:szCs w:val="20"/>
                <w:lang w:val="en-GB" w:eastAsia="fr-BE"/>
              </w:rPr>
            </w:pPr>
            <w:r>
              <w:rPr>
                <w:rFonts w:ascii="Times New Roman" w:eastAsia="Times New Roman" w:hAnsi="Times New Roman" w:cs="Times New Roman"/>
                <w:b w:val="0"/>
                <w:color w:val="000000"/>
                <w:sz w:val="20"/>
                <w:szCs w:val="20"/>
                <w:lang w:val="en-GB" w:eastAsia="fr-BE"/>
              </w:rPr>
              <w:t>Gini coefficient</w:t>
            </w:r>
          </w:p>
        </w:tc>
        <w:tc>
          <w:tcPr>
            <w:tcW w:w="3449" w:type="dxa"/>
            <w:shd w:val="clear" w:color="auto" w:fill="auto"/>
          </w:tcPr>
          <w:p w14:paraId="6EC0CEE0"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0"/>
                <w:szCs w:val="20"/>
                <w:lang w:val="en-GB" w:eastAsia="fr-BE"/>
              </w:rPr>
            </w:pPr>
            <w:r>
              <w:rPr>
                <w:rFonts w:ascii="Times New Roman" w:eastAsia="Times New Roman" w:hAnsi="Times New Roman" w:cs="Times New Roman"/>
                <w:bCs/>
                <w:color w:val="000000"/>
                <w:sz w:val="20"/>
                <w:szCs w:val="20"/>
                <w:lang w:val="en-GB" w:eastAsia="fr-BE"/>
              </w:rPr>
              <w:t>0,37</w:t>
            </w:r>
          </w:p>
        </w:tc>
      </w:tr>
      <w:tr w:rsidR="00577A45" w14:paraId="7A831B38" w14:textId="77777777" w:rsidTr="00577A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0" w:type="dxa"/>
          </w:tcPr>
          <w:p w14:paraId="610BECF7" w14:textId="77777777" w:rsidR="00577A45" w:rsidRDefault="004C2A6E">
            <w:pPr>
              <w:spacing w:after="0" w:line="276" w:lineRule="auto"/>
              <w:jc w:val="center"/>
              <w:rPr>
                <w:rFonts w:ascii="Times New Roman" w:eastAsia="Times New Roman" w:hAnsi="Times New Roman" w:cs="Times New Roman"/>
                <w:b w:val="0"/>
                <w:color w:val="000000"/>
                <w:sz w:val="20"/>
                <w:szCs w:val="20"/>
                <w:lang w:val="en-GB" w:eastAsia="fr-BE"/>
              </w:rPr>
            </w:pPr>
            <w:r>
              <w:rPr>
                <w:rFonts w:ascii="Times New Roman" w:eastAsia="Times New Roman" w:hAnsi="Times New Roman" w:cs="Times New Roman"/>
                <w:b w:val="0"/>
                <w:color w:val="000000"/>
                <w:sz w:val="20"/>
                <w:szCs w:val="20"/>
                <w:lang w:val="en-GB" w:eastAsia="fr-BE"/>
              </w:rPr>
              <w:t> Biodiversity and habitat</w:t>
            </w:r>
          </w:p>
        </w:tc>
        <w:tc>
          <w:tcPr>
            <w:tcW w:w="3449" w:type="dxa"/>
          </w:tcPr>
          <w:p w14:paraId="218EB359" w14:textId="77777777" w:rsidR="00577A45" w:rsidRDefault="004C2A6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val="en-GB" w:eastAsia="fr-BE"/>
              </w:rPr>
            </w:pPr>
            <w:r>
              <w:rPr>
                <w:rFonts w:ascii="Times New Roman" w:eastAsia="Times New Roman" w:hAnsi="Times New Roman" w:cs="Times New Roman"/>
                <w:bCs/>
                <w:color w:val="000000"/>
                <w:sz w:val="20"/>
                <w:szCs w:val="20"/>
                <w:lang w:val="en-GB" w:eastAsia="fr-BE"/>
              </w:rPr>
              <w:t>0,33</w:t>
            </w:r>
            <w:r>
              <w:rPr>
                <w:rFonts w:ascii="Times New Roman" w:eastAsia="Times New Roman" w:hAnsi="Times New Roman" w:cs="Times New Roman"/>
                <w:b/>
                <w:color w:val="000000"/>
                <w:sz w:val="20"/>
                <w:szCs w:val="20"/>
                <w:lang w:val="en-GB" w:eastAsia="fr-BE"/>
              </w:rPr>
              <w:t> </w:t>
            </w:r>
          </w:p>
        </w:tc>
      </w:tr>
      <w:tr w:rsidR="00577A45" w14:paraId="78EDB3B2" w14:textId="77777777" w:rsidTr="00577A45">
        <w:tc>
          <w:tcPr>
            <w:cnfStyle w:val="001000000000" w:firstRow="0" w:lastRow="0" w:firstColumn="1" w:lastColumn="0" w:oddVBand="0" w:evenVBand="0" w:oddHBand="0" w:evenHBand="0" w:firstRowFirstColumn="0" w:firstRowLastColumn="0" w:lastRowFirstColumn="0" w:lastRowLastColumn="0"/>
            <w:tcW w:w="3450" w:type="dxa"/>
            <w:shd w:val="clear" w:color="auto" w:fill="auto"/>
          </w:tcPr>
          <w:p w14:paraId="12B834E6" w14:textId="77777777" w:rsidR="00577A45" w:rsidRDefault="004C2A6E">
            <w:pPr>
              <w:spacing w:after="0" w:line="276" w:lineRule="auto"/>
              <w:jc w:val="center"/>
              <w:rPr>
                <w:rFonts w:ascii="Times New Roman" w:eastAsia="Times New Roman" w:hAnsi="Times New Roman" w:cs="Times New Roman"/>
                <w:b w:val="0"/>
                <w:color w:val="000000"/>
                <w:sz w:val="20"/>
                <w:szCs w:val="20"/>
                <w:lang w:val="en-GB" w:eastAsia="fr-BE"/>
              </w:rPr>
            </w:pPr>
            <w:r>
              <w:rPr>
                <w:rFonts w:ascii="Times New Roman" w:eastAsia="Times New Roman" w:hAnsi="Times New Roman" w:cs="Times New Roman"/>
                <w:b w:val="0"/>
                <w:color w:val="000000"/>
                <w:sz w:val="20"/>
                <w:szCs w:val="20"/>
                <w:lang w:val="en-GB" w:eastAsia="fr-BE"/>
              </w:rPr>
              <w:t>Greenhouse gas emissions / Pop.</w:t>
            </w:r>
          </w:p>
        </w:tc>
        <w:tc>
          <w:tcPr>
            <w:tcW w:w="3449" w:type="dxa"/>
            <w:shd w:val="clear" w:color="auto" w:fill="auto"/>
          </w:tcPr>
          <w:p w14:paraId="3FD21147" w14:textId="77777777" w:rsidR="00577A45" w:rsidRDefault="004C2A6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0"/>
                <w:szCs w:val="20"/>
                <w:lang w:val="en-GB" w:eastAsia="fr-BE"/>
              </w:rPr>
            </w:pPr>
            <w:r>
              <w:rPr>
                <w:rFonts w:ascii="Times New Roman" w:eastAsia="Times New Roman" w:hAnsi="Times New Roman" w:cs="Times New Roman"/>
                <w:bCs/>
                <w:color w:val="000000"/>
                <w:sz w:val="20"/>
                <w:szCs w:val="20"/>
                <w:lang w:val="en-GB" w:eastAsia="fr-BE"/>
              </w:rPr>
              <w:t>-0,85</w:t>
            </w:r>
          </w:p>
        </w:tc>
      </w:tr>
      <w:tr w:rsidR="00577A45" w14:paraId="2ABAE92C" w14:textId="77777777" w:rsidTr="00577A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0" w:type="dxa"/>
          </w:tcPr>
          <w:p w14:paraId="5213AAE0" w14:textId="77777777" w:rsidR="00577A45" w:rsidRDefault="004C2A6E">
            <w:pPr>
              <w:spacing w:after="0" w:line="276" w:lineRule="auto"/>
              <w:jc w:val="center"/>
              <w:rPr>
                <w:rFonts w:ascii="Times New Roman" w:eastAsia="Times New Roman" w:hAnsi="Times New Roman" w:cs="Times New Roman"/>
                <w:b w:val="0"/>
                <w:color w:val="000000"/>
                <w:sz w:val="20"/>
                <w:szCs w:val="20"/>
                <w:lang w:val="en-GB" w:eastAsia="fr-BE"/>
              </w:rPr>
            </w:pPr>
            <w:r>
              <w:rPr>
                <w:rFonts w:ascii="Times New Roman" w:eastAsia="Times New Roman" w:hAnsi="Times New Roman" w:cs="Times New Roman"/>
                <w:b w:val="0"/>
                <w:color w:val="000000"/>
                <w:sz w:val="20"/>
                <w:szCs w:val="20"/>
                <w:lang w:val="en-GB" w:eastAsia="fr-BE"/>
              </w:rPr>
              <w:t>Greenhouse gas emissions / GDP</w:t>
            </w:r>
          </w:p>
        </w:tc>
        <w:tc>
          <w:tcPr>
            <w:tcW w:w="3449" w:type="dxa"/>
          </w:tcPr>
          <w:p w14:paraId="578F2CEA" w14:textId="77777777" w:rsidR="00577A45" w:rsidRDefault="004C2A6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fr-BE"/>
              </w:rPr>
            </w:pPr>
            <w:r>
              <w:rPr>
                <w:rFonts w:ascii="Times New Roman" w:eastAsia="Times New Roman" w:hAnsi="Times New Roman" w:cs="Times New Roman"/>
                <w:color w:val="000000"/>
                <w:sz w:val="20"/>
                <w:szCs w:val="20"/>
                <w:lang w:val="en-GB" w:eastAsia="fr-BE"/>
              </w:rPr>
              <w:t>0,58</w:t>
            </w:r>
          </w:p>
        </w:tc>
      </w:tr>
    </w:tbl>
    <w:p w14:paraId="5F90007E" w14:textId="77777777" w:rsidR="00577A45" w:rsidRDefault="00577A45">
      <w:pPr>
        <w:pStyle w:val="Premierpara"/>
        <w:rPr>
          <w:i/>
          <w:lang w:val="en-GB"/>
        </w:rPr>
      </w:pPr>
    </w:p>
    <w:p w14:paraId="326FD4DD" w14:textId="77777777" w:rsidR="00577A45" w:rsidRDefault="00577A45">
      <w:pPr>
        <w:pStyle w:val="Premierpara"/>
        <w:rPr>
          <w:i/>
          <w:lang w:val="en-GB"/>
        </w:rPr>
      </w:pPr>
    </w:p>
    <w:p w14:paraId="0745FC21" w14:textId="77777777" w:rsidR="00577A45" w:rsidRDefault="004C2A6E">
      <w:pPr>
        <w:pStyle w:val="Premierpara"/>
        <w:rPr>
          <w:sz w:val="20"/>
          <w:lang w:val="en-GB"/>
        </w:rPr>
      </w:pPr>
      <w:r>
        <w:rPr>
          <w:i/>
          <w:sz w:val="20"/>
          <w:lang w:val="en-GB"/>
        </w:rPr>
        <w:t>Sources</w:t>
      </w:r>
      <w:r>
        <w:rPr>
          <w:sz w:val="20"/>
          <w:lang w:val="en-GB"/>
        </w:rPr>
        <w:t xml:space="preserve">: Gallup (via Porter </w:t>
      </w:r>
      <w:r>
        <w:rPr>
          <w:i/>
          <w:sz w:val="20"/>
          <w:lang w:val="en-GB"/>
        </w:rPr>
        <w:t>et al.</w:t>
      </w:r>
      <w:r>
        <w:rPr>
          <w:sz w:val="20"/>
          <w:lang w:val="en-GB"/>
        </w:rPr>
        <w:t xml:space="preserve">, 2016), World Bank (2014), Hsu </w:t>
      </w:r>
      <w:r>
        <w:rPr>
          <w:i/>
          <w:sz w:val="20"/>
          <w:lang w:val="en-GB"/>
        </w:rPr>
        <w:t>et al</w:t>
      </w:r>
      <w:r>
        <w:rPr>
          <w:sz w:val="20"/>
          <w:lang w:val="en-GB"/>
        </w:rPr>
        <w:t>. (2016) and World Resources Institute (2016). 132 countries.</w:t>
      </w:r>
    </w:p>
    <w:p w14:paraId="22E6294D" w14:textId="77777777" w:rsidR="00577A45" w:rsidRDefault="00577A45">
      <w:pPr>
        <w:pStyle w:val="Premierpara"/>
        <w:rPr>
          <w:sz w:val="20"/>
          <w:lang w:val="en-GB"/>
        </w:rPr>
      </w:pPr>
    </w:p>
    <w:p w14:paraId="72CB21FF" w14:textId="20C33DC3" w:rsidR="00577A45" w:rsidRDefault="004C2A6E">
      <w:pPr>
        <w:pStyle w:val="2mepara"/>
        <w:rPr>
          <w:lang w:val="en-GB"/>
        </w:rPr>
      </w:pPr>
      <w:r>
        <w:rPr>
          <w:lang w:val="en-GB"/>
        </w:rPr>
        <w:t>It is worth noting that the choice of a particular variable or its deflators can considerably influence the correlation with GDP. This is the case with greenhouse gas emissions. When measured in terms of per capita, they are negatively correlated with GDP (-85%), whereas in relation to a unit of GDP, they are positively correlated (58%). The SPI, which makes use of a measure for greenhouse gas emissions, used emissions per capita until 2014. Since then, its developers have modified the deflator by using GDP, which has had the effect of lowering the rank attributed to non-OECD countries. ‘Greenhouse gas emissions per $1000 of GDP replaces the narrower 2013 CO</w:t>
      </w:r>
      <w:r>
        <w:rPr>
          <w:vertAlign w:val="subscript"/>
          <w:lang w:val="en-GB"/>
        </w:rPr>
        <w:t>2</w:t>
      </w:r>
      <w:r>
        <w:rPr>
          <w:lang w:val="en-GB"/>
        </w:rPr>
        <w:t xml:space="preserve"> emissions per capita, which rewarded countries at lower levels of economic development’ (Stern </w:t>
      </w:r>
      <w:r>
        <w:rPr>
          <w:i/>
          <w:lang w:val="en-GB"/>
        </w:rPr>
        <w:t>et al</w:t>
      </w:r>
      <w:r>
        <w:rPr>
          <w:lang w:val="en-GB"/>
        </w:rPr>
        <w:t>., 2014, 21).</w:t>
      </w:r>
      <w:r>
        <w:t xml:space="preserve"> With that measure, the greenhouse gas/GDP emission ratio is three times smaller for the USA than</w:t>
      </w:r>
      <w:r w:rsidR="00D635FE">
        <w:t xml:space="preserve"> it is</w:t>
      </w:r>
      <w:r>
        <w:t xml:space="preserve"> for Mali, Cameroon or Mongolia.</w:t>
      </w:r>
      <w:r>
        <w:rPr>
          <w:lang w:val="en-GB"/>
        </w:rPr>
        <w:t> </w:t>
      </w:r>
    </w:p>
    <w:p w14:paraId="75E42839" w14:textId="6EB2F883" w:rsidR="00577A45" w:rsidRDefault="004C2A6E">
      <w:pPr>
        <w:pStyle w:val="2mepara"/>
        <w:rPr>
          <w:lang w:val="en-GB"/>
        </w:rPr>
      </w:pPr>
      <w:r>
        <w:rPr>
          <w:lang w:val="en-GB"/>
        </w:rPr>
        <w:t xml:space="preserve">The choice of theme included in an indicator, along with the choice of variables with which to evaluate, is </w:t>
      </w:r>
      <w:r w:rsidR="00D635FE">
        <w:rPr>
          <w:lang w:val="en-GB"/>
        </w:rPr>
        <w:t xml:space="preserve">therefore </w:t>
      </w:r>
      <w:r>
        <w:rPr>
          <w:lang w:val="en-GB"/>
        </w:rPr>
        <w:t xml:space="preserve">crucial to the output that the indicator will produce. </w:t>
      </w:r>
    </w:p>
    <w:p w14:paraId="4CE804D3" w14:textId="77777777" w:rsidR="00577A45" w:rsidRDefault="004C2A6E">
      <w:pPr>
        <w:pStyle w:val="Titre4"/>
        <w:rPr>
          <w:lang w:val="en-GB"/>
        </w:rPr>
      </w:pPr>
      <w:r>
        <w:rPr>
          <w:lang w:val="en-GB"/>
        </w:rPr>
        <w:lastRenderedPageBreak/>
        <w:t>5.2 Weight of Variables</w:t>
      </w:r>
    </w:p>
    <w:p w14:paraId="7C0DDEB4" w14:textId="77777777" w:rsidR="00577A45" w:rsidRDefault="004C2A6E">
      <w:pPr>
        <w:pStyle w:val="Premierpara"/>
        <w:rPr>
          <w:lang w:val="en-GB"/>
        </w:rPr>
      </w:pPr>
      <w:r>
        <w:rPr>
          <w:lang w:val="en-GB"/>
        </w:rPr>
        <w:t>The weight attributed to each variable, along with the aggregation method with which the indicator will be determined, can also explain a part of the correlation with GDP. </w:t>
      </w:r>
      <w:r>
        <w:rPr>
          <w:bCs/>
          <w:lang w:val="en-GB"/>
        </w:rPr>
        <w:t>Table 7</w:t>
      </w:r>
      <w:r>
        <w:rPr>
          <w:b/>
          <w:bCs/>
          <w:lang w:val="en-GB"/>
        </w:rPr>
        <w:t> </w:t>
      </w:r>
      <w:r>
        <w:rPr>
          <w:lang w:val="en-GB"/>
        </w:rPr>
        <w:t>displays the weight given to environmental and inequality variables</w:t>
      </w:r>
      <w:r>
        <w:rPr>
          <w:rStyle w:val="Ancladenotaalpie"/>
          <w:lang w:val="en-GB"/>
        </w:rPr>
        <w:footnoteReference w:id="12"/>
      </w:r>
      <w:r>
        <w:rPr>
          <w:lang w:val="en-GB"/>
        </w:rPr>
        <w:t>—generally weakly correlated with GDP—by each of the indicators under consideration. It should be noted that the weight measured is before aggregation</w:t>
      </w:r>
      <w:r>
        <w:rPr>
          <w:rStyle w:val="Ancladenotaalpie"/>
          <w:lang w:val="en-GB"/>
        </w:rPr>
        <w:footnoteReference w:id="13"/>
      </w:r>
      <w:r>
        <w:rPr>
          <w:lang w:val="en-GB"/>
        </w:rPr>
        <w:t xml:space="preserve">. </w:t>
      </w:r>
    </w:p>
    <w:p w14:paraId="3B25873E" w14:textId="77777777" w:rsidR="00577A45" w:rsidRDefault="00577A45">
      <w:pPr>
        <w:pStyle w:val="Premierpara"/>
        <w:rPr>
          <w:lang w:val="en-GB"/>
        </w:rPr>
      </w:pPr>
    </w:p>
    <w:p w14:paraId="29C22613" w14:textId="77777777" w:rsidR="00577A45" w:rsidRDefault="004C2A6E">
      <w:pPr>
        <w:shd w:val="clear" w:color="auto" w:fill="FFFFFF" w:themeFill="background1"/>
        <w:spacing w:line="276" w:lineRule="auto"/>
        <w:jc w:val="center"/>
        <w:rPr>
          <w:rFonts w:ascii="Times New Roman" w:hAnsi="Times New Roman" w:cs="Times New Roman"/>
          <w:b/>
          <w:sz w:val="20"/>
          <w:szCs w:val="20"/>
          <w:lang w:val="en-GB" w:eastAsia="fr-BE"/>
        </w:rPr>
      </w:pPr>
      <w:r>
        <w:rPr>
          <w:rFonts w:ascii="Times New Roman" w:hAnsi="Times New Roman" w:cs="Times New Roman"/>
          <w:b/>
          <w:sz w:val="20"/>
          <w:lang w:val="en-GB"/>
        </w:rPr>
        <w:t>Table 7: Weight of environmental and inequalities variables</w:t>
      </w:r>
    </w:p>
    <w:tbl>
      <w:tblPr>
        <w:tblW w:w="4800" w:type="pct"/>
        <w:jc w:val="center"/>
        <w:tblLook w:val="04A0" w:firstRow="1" w:lastRow="0" w:firstColumn="1" w:lastColumn="0" w:noHBand="0" w:noVBand="1"/>
      </w:tblPr>
      <w:tblGrid>
        <w:gridCol w:w="1369"/>
        <w:gridCol w:w="890"/>
        <w:gridCol w:w="890"/>
        <w:gridCol w:w="889"/>
        <w:gridCol w:w="891"/>
        <w:gridCol w:w="890"/>
        <w:gridCol w:w="820"/>
      </w:tblGrid>
      <w:tr w:rsidR="00577A45" w14:paraId="53038AC3" w14:textId="77777777">
        <w:trPr>
          <w:jc w:val="center"/>
        </w:trPr>
        <w:tc>
          <w:tcPr>
            <w:tcW w:w="1368" w:type="dxa"/>
            <w:shd w:val="clear" w:color="auto" w:fill="auto"/>
          </w:tcPr>
          <w:p w14:paraId="183B647F"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b/>
                <w:bCs/>
                <w:i/>
                <w:iCs/>
                <w:sz w:val="20"/>
                <w:szCs w:val="20"/>
                <w:lang w:val="en-GB"/>
              </w:rPr>
              <w:t> </w:t>
            </w:r>
          </w:p>
        </w:tc>
        <w:tc>
          <w:tcPr>
            <w:tcW w:w="890" w:type="dxa"/>
            <w:shd w:val="clear" w:color="auto" w:fill="auto"/>
          </w:tcPr>
          <w:p w14:paraId="398B1B74"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i/>
                <w:iCs/>
                <w:sz w:val="20"/>
                <w:szCs w:val="20"/>
                <w:lang w:val="en-GB"/>
              </w:rPr>
              <w:t>HDI</w:t>
            </w:r>
          </w:p>
        </w:tc>
        <w:tc>
          <w:tcPr>
            <w:tcW w:w="890" w:type="dxa"/>
            <w:shd w:val="clear" w:color="auto" w:fill="auto"/>
          </w:tcPr>
          <w:p w14:paraId="28A8F746"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i/>
                <w:iCs/>
                <w:sz w:val="20"/>
                <w:szCs w:val="20"/>
                <w:lang w:val="en-GB"/>
              </w:rPr>
              <w:t>SPI</w:t>
            </w:r>
          </w:p>
        </w:tc>
        <w:tc>
          <w:tcPr>
            <w:tcW w:w="889" w:type="dxa"/>
            <w:shd w:val="clear" w:color="auto" w:fill="auto"/>
          </w:tcPr>
          <w:p w14:paraId="752312DD"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i/>
                <w:iCs/>
                <w:sz w:val="20"/>
                <w:szCs w:val="20"/>
                <w:lang w:val="en-GB"/>
              </w:rPr>
              <w:t>GWBI</w:t>
            </w:r>
          </w:p>
        </w:tc>
        <w:tc>
          <w:tcPr>
            <w:tcW w:w="891" w:type="dxa"/>
            <w:shd w:val="clear" w:color="auto" w:fill="auto"/>
          </w:tcPr>
          <w:p w14:paraId="5D97B1B4"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i/>
                <w:iCs/>
                <w:sz w:val="20"/>
                <w:szCs w:val="20"/>
                <w:lang w:val="en-GB"/>
              </w:rPr>
              <w:t>QoL</w:t>
            </w:r>
          </w:p>
        </w:tc>
        <w:tc>
          <w:tcPr>
            <w:tcW w:w="890" w:type="dxa"/>
            <w:shd w:val="clear" w:color="auto" w:fill="auto"/>
          </w:tcPr>
          <w:p w14:paraId="1F892554"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i/>
                <w:iCs/>
                <w:sz w:val="20"/>
                <w:szCs w:val="20"/>
                <w:lang w:val="en-GB"/>
              </w:rPr>
              <w:t>HPI</w:t>
            </w:r>
          </w:p>
        </w:tc>
        <w:tc>
          <w:tcPr>
            <w:tcW w:w="820" w:type="dxa"/>
            <w:shd w:val="clear" w:color="auto" w:fill="auto"/>
          </w:tcPr>
          <w:p w14:paraId="6B69C04F"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i/>
                <w:iCs/>
                <w:sz w:val="20"/>
                <w:szCs w:val="20"/>
                <w:lang w:val="en-GB"/>
              </w:rPr>
              <w:t>SSI</w:t>
            </w:r>
          </w:p>
        </w:tc>
      </w:tr>
      <w:tr w:rsidR="00577A45" w14:paraId="00D5ACC0" w14:textId="77777777">
        <w:trPr>
          <w:jc w:val="center"/>
        </w:trPr>
        <w:tc>
          <w:tcPr>
            <w:tcW w:w="1368" w:type="dxa"/>
            <w:shd w:val="clear" w:color="auto" w:fill="F2F2F2"/>
            <w:vAlign w:val="center"/>
          </w:tcPr>
          <w:p w14:paraId="49EF429E"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sz w:val="20"/>
                <w:szCs w:val="20"/>
                <w:lang w:val="en-GB"/>
              </w:rPr>
              <w:t>Environment</w:t>
            </w:r>
          </w:p>
        </w:tc>
        <w:tc>
          <w:tcPr>
            <w:tcW w:w="890" w:type="dxa"/>
            <w:shd w:val="clear" w:color="auto" w:fill="F2F2F2"/>
            <w:vAlign w:val="center"/>
          </w:tcPr>
          <w:p w14:paraId="7ADB70D3"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890" w:type="dxa"/>
            <w:shd w:val="clear" w:color="auto" w:fill="F2F2F2"/>
            <w:vAlign w:val="center"/>
          </w:tcPr>
          <w:p w14:paraId="4F844F27"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sz w:val="20"/>
                <w:szCs w:val="20"/>
                <w:lang w:val="en-GB"/>
              </w:rPr>
              <w:t>8%</w:t>
            </w:r>
          </w:p>
        </w:tc>
        <w:tc>
          <w:tcPr>
            <w:tcW w:w="889" w:type="dxa"/>
            <w:shd w:val="clear" w:color="auto" w:fill="F2F2F2"/>
            <w:vAlign w:val="center"/>
          </w:tcPr>
          <w:p w14:paraId="21DD78CA"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sz w:val="20"/>
                <w:szCs w:val="20"/>
                <w:lang w:val="en-GB"/>
              </w:rPr>
              <w:t>9%</w:t>
            </w:r>
          </w:p>
        </w:tc>
        <w:tc>
          <w:tcPr>
            <w:tcW w:w="891" w:type="dxa"/>
            <w:shd w:val="clear" w:color="auto" w:fill="F2F2F2"/>
            <w:vAlign w:val="center"/>
          </w:tcPr>
          <w:p w14:paraId="486FAD42"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sz w:val="20"/>
                <w:szCs w:val="20"/>
                <w:lang w:val="en-GB"/>
              </w:rPr>
              <w:t>10%</w:t>
            </w:r>
          </w:p>
        </w:tc>
        <w:tc>
          <w:tcPr>
            <w:tcW w:w="890" w:type="dxa"/>
            <w:shd w:val="clear" w:color="auto" w:fill="F2F2F2"/>
            <w:vAlign w:val="center"/>
          </w:tcPr>
          <w:p w14:paraId="7F568893"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sz w:val="20"/>
                <w:szCs w:val="20"/>
                <w:lang w:val="en-GB"/>
              </w:rPr>
              <w:t>25%</w:t>
            </w:r>
          </w:p>
        </w:tc>
        <w:tc>
          <w:tcPr>
            <w:tcW w:w="820" w:type="dxa"/>
            <w:shd w:val="clear" w:color="auto" w:fill="F2F2F2"/>
            <w:vAlign w:val="center"/>
          </w:tcPr>
          <w:p w14:paraId="35C27A2C"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sz w:val="20"/>
                <w:szCs w:val="20"/>
                <w:lang w:val="en-GB"/>
              </w:rPr>
              <w:t>33%</w:t>
            </w:r>
          </w:p>
        </w:tc>
      </w:tr>
      <w:tr w:rsidR="00577A45" w14:paraId="094C2CDA" w14:textId="77777777">
        <w:trPr>
          <w:jc w:val="center"/>
        </w:trPr>
        <w:tc>
          <w:tcPr>
            <w:tcW w:w="1368" w:type="dxa"/>
            <w:shd w:val="clear" w:color="auto" w:fill="auto"/>
            <w:vAlign w:val="center"/>
          </w:tcPr>
          <w:p w14:paraId="2050EF29"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sz w:val="20"/>
                <w:szCs w:val="20"/>
                <w:lang w:val="en-GB"/>
              </w:rPr>
              <w:t>Inequalities</w:t>
            </w:r>
          </w:p>
        </w:tc>
        <w:tc>
          <w:tcPr>
            <w:tcW w:w="890" w:type="dxa"/>
            <w:shd w:val="clear" w:color="auto" w:fill="auto"/>
            <w:vAlign w:val="center"/>
          </w:tcPr>
          <w:p w14:paraId="5BF3AE38"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sz w:val="20"/>
                <w:szCs w:val="20"/>
                <w:lang w:val="en-GB"/>
              </w:rPr>
              <w:t>0</w:t>
            </w:r>
          </w:p>
        </w:tc>
        <w:tc>
          <w:tcPr>
            <w:tcW w:w="890" w:type="dxa"/>
            <w:shd w:val="clear" w:color="auto" w:fill="auto"/>
            <w:vAlign w:val="center"/>
          </w:tcPr>
          <w:p w14:paraId="2E6F73C6"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sz w:val="20"/>
                <w:szCs w:val="20"/>
                <w:lang w:val="en-GB"/>
              </w:rPr>
              <w:t>2%</w:t>
            </w:r>
          </w:p>
        </w:tc>
        <w:tc>
          <w:tcPr>
            <w:tcW w:w="889" w:type="dxa"/>
            <w:shd w:val="clear" w:color="auto" w:fill="auto"/>
            <w:vAlign w:val="center"/>
          </w:tcPr>
          <w:p w14:paraId="04B9316D"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sz w:val="20"/>
                <w:szCs w:val="20"/>
                <w:lang w:val="en-GB"/>
              </w:rPr>
              <w:t>4%</w:t>
            </w:r>
          </w:p>
        </w:tc>
        <w:tc>
          <w:tcPr>
            <w:tcW w:w="891" w:type="dxa"/>
            <w:shd w:val="clear" w:color="auto" w:fill="auto"/>
            <w:vAlign w:val="center"/>
          </w:tcPr>
          <w:p w14:paraId="4FA9C271"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sz w:val="20"/>
                <w:szCs w:val="20"/>
                <w:lang w:val="en-GB"/>
              </w:rPr>
              <w:t>3%</w:t>
            </w:r>
          </w:p>
        </w:tc>
        <w:tc>
          <w:tcPr>
            <w:tcW w:w="890" w:type="dxa"/>
            <w:shd w:val="clear" w:color="auto" w:fill="auto"/>
            <w:vAlign w:val="center"/>
          </w:tcPr>
          <w:p w14:paraId="3E954A75"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sz w:val="20"/>
                <w:szCs w:val="20"/>
                <w:lang w:val="en-GB"/>
              </w:rPr>
              <w:t>25%</w:t>
            </w:r>
          </w:p>
        </w:tc>
        <w:tc>
          <w:tcPr>
            <w:tcW w:w="820" w:type="dxa"/>
            <w:shd w:val="clear" w:color="auto" w:fill="auto"/>
            <w:vAlign w:val="center"/>
          </w:tcPr>
          <w:p w14:paraId="00564971"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sz w:val="20"/>
                <w:szCs w:val="20"/>
                <w:lang w:val="en-GB"/>
              </w:rPr>
              <w:t>5%</w:t>
            </w:r>
          </w:p>
        </w:tc>
      </w:tr>
      <w:tr w:rsidR="00577A45" w14:paraId="66037084" w14:textId="77777777">
        <w:trPr>
          <w:jc w:val="center"/>
        </w:trPr>
        <w:tc>
          <w:tcPr>
            <w:tcW w:w="1368" w:type="dxa"/>
            <w:shd w:val="clear" w:color="auto" w:fill="F2F2F2"/>
            <w:vAlign w:val="center"/>
          </w:tcPr>
          <w:p w14:paraId="4A614E89"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Rank correlation with GDP </w:t>
            </w:r>
          </w:p>
        </w:tc>
        <w:tc>
          <w:tcPr>
            <w:tcW w:w="890" w:type="dxa"/>
            <w:shd w:val="clear" w:color="auto" w:fill="F2F2F2"/>
            <w:vAlign w:val="center"/>
          </w:tcPr>
          <w:p w14:paraId="120EAD7D"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sz w:val="20"/>
                <w:szCs w:val="20"/>
                <w:lang w:val="en-GB"/>
              </w:rPr>
              <w:t>0,97</w:t>
            </w:r>
          </w:p>
        </w:tc>
        <w:tc>
          <w:tcPr>
            <w:tcW w:w="890" w:type="dxa"/>
            <w:shd w:val="clear" w:color="auto" w:fill="F2F2F2"/>
            <w:vAlign w:val="center"/>
          </w:tcPr>
          <w:p w14:paraId="582242CA"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sz w:val="20"/>
                <w:szCs w:val="20"/>
                <w:lang w:val="en-GB"/>
              </w:rPr>
              <w:t>0,92</w:t>
            </w:r>
          </w:p>
        </w:tc>
        <w:tc>
          <w:tcPr>
            <w:tcW w:w="889" w:type="dxa"/>
            <w:shd w:val="clear" w:color="auto" w:fill="F2F2F2"/>
            <w:vAlign w:val="center"/>
          </w:tcPr>
          <w:p w14:paraId="356929EF"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sz w:val="20"/>
                <w:szCs w:val="20"/>
                <w:lang w:val="en-GB"/>
              </w:rPr>
              <w:t>0,85</w:t>
            </w:r>
          </w:p>
        </w:tc>
        <w:tc>
          <w:tcPr>
            <w:tcW w:w="891" w:type="dxa"/>
            <w:shd w:val="clear" w:color="auto" w:fill="F2F2F2"/>
            <w:vAlign w:val="center"/>
          </w:tcPr>
          <w:p w14:paraId="1E7A748B"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sz w:val="20"/>
                <w:szCs w:val="20"/>
                <w:lang w:val="en-GB"/>
              </w:rPr>
              <w:t>0,80</w:t>
            </w:r>
          </w:p>
        </w:tc>
        <w:tc>
          <w:tcPr>
            <w:tcW w:w="890" w:type="dxa"/>
            <w:shd w:val="clear" w:color="auto" w:fill="F2F2F2"/>
            <w:vAlign w:val="center"/>
          </w:tcPr>
          <w:p w14:paraId="5AD5AD3F"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sz w:val="20"/>
                <w:szCs w:val="20"/>
                <w:lang w:val="en-GB"/>
              </w:rPr>
              <w:t>0,26</w:t>
            </w:r>
          </w:p>
        </w:tc>
        <w:tc>
          <w:tcPr>
            <w:tcW w:w="820" w:type="dxa"/>
            <w:shd w:val="clear" w:color="auto" w:fill="F2F2F2"/>
            <w:vAlign w:val="center"/>
          </w:tcPr>
          <w:p w14:paraId="52641EEE" w14:textId="77777777" w:rsidR="00577A45" w:rsidRDefault="004C2A6E">
            <w:pPr>
              <w:spacing w:beforeAutospacing="1" w:afterAutospacing="1"/>
              <w:jc w:val="center"/>
              <w:rPr>
                <w:rFonts w:ascii="Times New Roman" w:hAnsi="Times New Roman" w:cs="Times New Roman"/>
                <w:sz w:val="20"/>
                <w:szCs w:val="20"/>
                <w:lang w:val="en-GB"/>
              </w:rPr>
            </w:pPr>
            <w:r>
              <w:rPr>
                <w:rFonts w:ascii="Times New Roman" w:hAnsi="Times New Roman" w:cs="Times New Roman"/>
                <w:sz w:val="20"/>
                <w:szCs w:val="20"/>
                <w:lang w:val="en-GB"/>
              </w:rPr>
              <w:t>0,59</w:t>
            </w:r>
          </w:p>
        </w:tc>
      </w:tr>
    </w:tbl>
    <w:p w14:paraId="2D0072E9" w14:textId="77777777" w:rsidR="00577A45" w:rsidRDefault="00577A45">
      <w:pPr>
        <w:pStyle w:val="2mepara"/>
        <w:rPr>
          <w:lang w:val="en-GB"/>
        </w:rPr>
      </w:pPr>
    </w:p>
    <w:p w14:paraId="05453143" w14:textId="62F4ABEE" w:rsidR="00577A45" w:rsidRDefault="004C2A6E">
      <w:pPr>
        <w:pStyle w:val="2mepara"/>
        <w:rPr>
          <w:lang w:val="en-GB"/>
        </w:rPr>
      </w:pPr>
      <w:r>
        <w:rPr>
          <w:lang w:val="en-GB"/>
        </w:rPr>
        <w:t>One can observe a high degree of consideration for the environment and inequality in the Beyond GDP indicators that are the least correlated with GDP. The HPI and the SSI are both the least correlated with GDP and those that place most emphasis on inequality and the environment. In contrast, the SPI and the HDI are the most correlated with GDP and put the least emphasis on these two aspects.</w:t>
      </w:r>
    </w:p>
    <w:p w14:paraId="4A7F77EF" w14:textId="77777777" w:rsidR="00577A45" w:rsidRDefault="004C2A6E">
      <w:pPr>
        <w:pStyle w:val="2mepara"/>
        <w:rPr>
          <w:lang w:val="en-GB"/>
        </w:rPr>
      </w:pPr>
      <w:r>
        <w:rPr>
          <w:lang w:val="en-GB"/>
        </w:rPr>
        <w:t xml:space="preserve">This result may seem straightforward, but it has a strong implication: if an indicator claims to go Beyond GDP, it should sufficiently include variables other than those that are strongly correlated with GDP, </w:t>
      </w:r>
      <w:r>
        <w:rPr>
          <w:i/>
          <w:lang w:val="en-GB"/>
        </w:rPr>
        <w:t>e.g.</w:t>
      </w:r>
      <w:r>
        <w:rPr>
          <w:lang w:val="en-GB"/>
        </w:rPr>
        <w:t xml:space="preserve"> include inequalities or environment. If it does not, it risks being redundant.</w:t>
      </w:r>
    </w:p>
    <w:p w14:paraId="1728E631" w14:textId="77777777" w:rsidR="00577A45" w:rsidRDefault="004C2A6E">
      <w:pPr>
        <w:pStyle w:val="Titre4"/>
        <w:rPr>
          <w:lang w:val="en-GB"/>
        </w:rPr>
      </w:pPr>
      <w:r>
        <w:rPr>
          <w:lang w:val="en-GB"/>
        </w:rPr>
        <w:t>5.3 Aggregation method</w:t>
      </w:r>
    </w:p>
    <w:p w14:paraId="17139B87" w14:textId="19BD863B" w:rsidR="00577A45" w:rsidRDefault="004C2A6E">
      <w:pPr>
        <w:pStyle w:val="Premierpara"/>
        <w:rPr>
          <w:lang w:val="en-GB"/>
        </w:rPr>
      </w:pPr>
      <w:r>
        <w:rPr>
          <w:lang w:val="en-GB"/>
        </w:rPr>
        <w:t>What about the aggregation method? The objective of this article is not to make an in-depth study of the impact that aggregation methods have on correlation with GDP. The following will simply be a</w:t>
      </w:r>
      <w:r w:rsidR="00781E9E">
        <w:rPr>
          <w:lang w:val="en-GB"/>
        </w:rPr>
        <w:t>n explanation</w:t>
      </w:r>
      <w:r w:rsidR="00F2727B">
        <w:rPr>
          <w:lang w:val="en-GB"/>
        </w:rPr>
        <w:t xml:space="preserve"> </w:t>
      </w:r>
      <w:r>
        <w:rPr>
          <w:lang w:val="en-GB"/>
        </w:rPr>
        <w:t xml:space="preserve">concerning compensability between different dimensions, an issue at the heart of the </w:t>
      </w:r>
      <w:r>
        <w:rPr>
          <w:lang w:val="en-GB"/>
        </w:rPr>
        <w:lastRenderedPageBreak/>
        <w:t>debates between supporters of weak sustainability indicators (which authorise compensation) and strong sustainability indicators (that heavily limit compensation) (Dietz et Neumayer, 2007). It is a debate taking place between the promoters of Beyond GDP indicators, as certain aggregation methods, such as the arithmetic mean, allow for perfect compensation between the performances of the different categories (this is the case for the SPI, the GWBI, and the QoL), whereas other methods, such as the geometric mean</w:t>
      </w:r>
      <w:r>
        <w:rPr>
          <w:rStyle w:val="Ancladenotaalpie"/>
          <w:lang w:val="en-GB"/>
        </w:rPr>
        <w:footnoteReference w:id="14"/>
      </w:r>
      <w:r>
        <w:rPr>
          <w:lang w:val="en-GB"/>
        </w:rPr>
        <w:t>, limit compensation (this is the case with the HDI, the SSI, and the HPI).</w:t>
      </w:r>
      <w:r>
        <w:rPr>
          <w:rStyle w:val="FootnoteCharacters"/>
          <w:lang w:val="en-GB"/>
        </w:rPr>
        <w:t xml:space="preserve"> </w:t>
      </w:r>
    </w:p>
    <w:p w14:paraId="66424695" w14:textId="16D352D6" w:rsidR="00577A45" w:rsidRDefault="004C2A6E">
      <w:pPr>
        <w:pStyle w:val="2mepara"/>
        <w:rPr>
          <w:lang w:val="en-GB"/>
        </w:rPr>
      </w:pPr>
      <w:r>
        <w:rPr>
          <w:lang w:val="en-GB"/>
        </w:rPr>
        <w:t xml:space="preserve">Would an indicator that limits compensation correlate less strongly with GDP and thus indicate a higher transformative potential? In the case of the SPI, changing the aggregation method causes the correlation with GDP to shift from 0.92 (arithmetic mean) to 0.90 (geometric mean). In the case of the SSI, the correlation shifts from 0.72 (arithmetic mean) to 0.59 (geometric mean). In both instances, the use of the geometric mean diminishes correlation with GDP to a small extent. In general, two conditions are required for such a weakening of correlation to occur: (1) the majority of the indicator’s variables must be correlated with GDP, and (2) the indicator must include other variables that are only very weakly correlated (so that there is variability between the performances of the indicator’s categories). If these two conditions are satisfied, limiting the categories’ compensability reduces the </w:t>
      </w:r>
      <w:r>
        <w:rPr>
          <w:lang w:val="en-GB"/>
        </w:rPr>
        <w:t>correlation with GDP, since the variability of performances is penalised. This is the case particular</w:t>
      </w:r>
      <w:r w:rsidR="00781E9E">
        <w:rPr>
          <w:lang w:val="en-GB"/>
        </w:rPr>
        <w:t>ly</w:t>
      </w:r>
      <w:r>
        <w:rPr>
          <w:lang w:val="en-GB"/>
        </w:rPr>
        <w:t xml:space="preserve"> with the SSI, where environmental performances contrast </w:t>
      </w:r>
      <w:r>
        <w:rPr>
          <w:lang w:val="en-GB"/>
        </w:rPr>
        <w:t>with socio-economic performances. On the other hand, if these two conditions are not simultaneously satisfied, an aggregation by geometric mean will not negatively influence the correlation with GDP (as is the case with the HDI), and can even increase it.</w:t>
      </w:r>
    </w:p>
    <w:p w14:paraId="179AB958" w14:textId="40B25EFC" w:rsidR="00577A45" w:rsidRDefault="004C2A6E">
      <w:pPr>
        <w:pStyle w:val="2mepara"/>
        <w:rPr>
          <w:lang w:val="en-GB"/>
        </w:rPr>
      </w:pPr>
      <w:r>
        <w:rPr>
          <w:lang w:val="en-GB"/>
        </w:rPr>
        <w:t>The choice of the aggregation method, along with that of the variables and their weighting, are thus factors that influence the transformative potential of an indicator. This potential appears stronger the more weight an indicator gives to inequality and environmental variables, and</w:t>
      </w:r>
      <w:r w:rsidR="00781E9E">
        <w:rPr>
          <w:lang w:val="en-GB"/>
        </w:rPr>
        <w:t xml:space="preserve"> especially</w:t>
      </w:r>
      <w:r w:rsidR="00F2727B">
        <w:rPr>
          <w:lang w:val="en-GB"/>
        </w:rPr>
        <w:t xml:space="preserve"> </w:t>
      </w:r>
      <w:r>
        <w:rPr>
          <w:lang w:val="en-GB"/>
        </w:rPr>
        <w:t xml:space="preserve">when it limits compensability between the different dimensions. </w:t>
      </w:r>
    </w:p>
    <w:p w14:paraId="25C51812" w14:textId="77777777" w:rsidR="00577A45" w:rsidRDefault="004C2A6E">
      <w:pPr>
        <w:spacing w:before="520" w:after="280" w:line="240" w:lineRule="auto"/>
        <w:outlineLvl w:val="0"/>
        <w:rPr>
          <w:rFonts w:ascii="Times New Roman" w:eastAsia="Times New Roman" w:hAnsi="Times New Roman" w:cs="Times New Roman"/>
          <w:b/>
          <w:bCs/>
          <w:color w:val="000000"/>
          <w:kern w:val="2"/>
          <w:sz w:val="24"/>
          <w:szCs w:val="24"/>
          <w:lang w:val="en-GB" w:eastAsia="hu-HU"/>
        </w:rPr>
      </w:pPr>
      <w:r>
        <w:rPr>
          <w:rFonts w:ascii="Times New Roman" w:eastAsia="Times New Roman" w:hAnsi="Times New Roman" w:cs="Times New Roman"/>
          <w:b/>
          <w:bCs/>
          <w:color w:val="000000"/>
          <w:kern w:val="2"/>
          <w:sz w:val="24"/>
          <w:szCs w:val="24"/>
          <w:lang w:val="en-GB" w:eastAsia="hu-HU"/>
        </w:rPr>
        <w:t>6. Discussion of the results and conclusion</w:t>
      </w:r>
    </w:p>
    <w:p w14:paraId="15393FBC" w14:textId="4E472E57" w:rsidR="00577A45" w:rsidRDefault="004C2A6E">
      <w:pPr>
        <w:pStyle w:val="Premierpara"/>
        <w:rPr>
          <w:lang w:val="en-GB"/>
        </w:rPr>
      </w:pPr>
      <w:r>
        <w:rPr>
          <w:lang w:val="en-GB"/>
        </w:rPr>
        <w:t xml:space="preserve">The analysis of six Beyond GDP indicators demonstrates a significant variability in their correlation with GDP. Amongst this diversity, the indicators </w:t>
      </w:r>
      <w:r>
        <w:rPr>
          <w:lang w:val="en-GB"/>
        </w:rPr>
        <w:lastRenderedPageBreak/>
        <w:t>initiated by powerful stakeholders (HDI, SPI) produce rankings that are more than 90% correlated with those produced by GDP</w:t>
      </w:r>
      <w:r>
        <w:rPr>
          <w:lang w:val="en-GB"/>
        </w:rPr>
        <w:t xml:space="preserve">. In addition, when </w:t>
      </w:r>
      <w:r w:rsidR="00037C8F">
        <w:rPr>
          <w:lang w:val="en-GB"/>
        </w:rPr>
        <w:t xml:space="preserve">analysing </w:t>
      </w:r>
      <w:r>
        <w:rPr>
          <w:lang w:val="en-GB"/>
        </w:rPr>
        <w:t xml:space="preserve">by country group, the </w:t>
      </w:r>
      <w:r w:rsidR="00037C8F">
        <w:rPr>
          <w:lang w:val="en-GB"/>
        </w:rPr>
        <w:t xml:space="preserve">results </w:t>
      </w:r>
      <w:r>
        <w:rPr>
          <w:lang w:val="en-GB"/>
        </w:rPr>
        <w:t xml:space="preserve">produced </w:t>
      </w:r>
      <w:r>
        <w:rPr>
          <w:lang w:val="en-GB"/>
        </w:rPr>
        <w:t xml:space="preserve">by these two indicators are </w:t>
      </w:r>
      <w:r w:rsidR="00F2727B">
        <w:rPr>
          <w:lang w:val="en-GB"/>
        </w:rPr>
        <w:t xml:space="preserve">nearly </w:t>
      </w:r>
      <w:r>
        <w:rPr>
          <w:lang w:val="en-GB"/>
        </w:rPr>
        <w:t xml:space="preserve">the same as those produced by GDP. </w:t>
      </w:r>
      <w:r w:rsidRPr="00CC39F5">
        <w:rPr>
          <w:lang w:val="en-GB"/>
        </w:rPr>
        <w:t>The hypothesis that major stakeholders—at least those considered for this analysis</w:t>
      </w:r>
      <w:r w:rsidRPr="00CC39F5">
        <w:rPr>
          <w:rStyle w:val="Ancladenotaalpie"/>
          <w:lang w:val="en-GB"/>
        </w:rPr>
        <w:footnoteReference w:id="15"/>
      </w:r>
      <w:r w:rsidRPr="00CC39F5">
        <w:rPr>
          <w:lang w:val="en-GB"/>
        </w:rPr>
        <w:t>—create indicators with weak transformative potential appears to be verified. Among the other indicators under consideration, both HPI and SSI show a large divergence from GDP, both in terms of global ranking and</w:t>
      </w:r>
      <w:r>
        <w:rPr>
          <w:lang w:val="en-GB"/>
        </w:rPr>
        <w:t xml:space="preserve"> in terms of narrative. They are the indexes most likely to challenge the GDP model. </w:t>
      </w:r>
    </w:p>
    <w:p w14:paraId="504ED6ED" w14:textId="77777777" w:rsidR="00577A45" w:rsidRDefault="004C2A6E">
      <w:pPr>
        <w:pStyle w:val="Premierpara"/>
        <w:ind w:firstLine="227"/>
        <w:rPr>
          <w:lang w:val="en-GB"/>
        </w:rPr>
      </w:pPr>
      <w:r>
        <w:rPr>
          <w:lang w:val="en-GB"/>
        </w:rPr>
        <w:t xml:space="preserve">How can this result be interpreted? And how does one explain the fact that some developers of Beyond GDP indicators, while wishing to go beyond GDP, end up producing rankings that are very close to those produced by GDP? </w:t>
      </w:r>
    </w:p>
    <w:p w14:paraId="7B9834CF" w14:textId="7B815A1C" w:rsidR="00577A45" w:rsidRDefault="004C2A6E">
      <w:pPr>
        <w:pStyle w:val="2mepara"/>
        <w:rPr>
          <w:lang w:val="en-GB"/>
        </w:rPr>
      </w:pPr>
      <w:r>
        <w:rPr>
          <w:lang w:val="en-GB"/>
        </w:rPr>
        <w:t>A first explanation for the weak transformative potential of the indicators initiated by powerful stakeholders is the lack of adequate data (Hak et al., 2012) or data that is not updated often enough (Lehtonen, 2015; Rinne et al., 2013; Seaford, 2013b). Thus, when the figures of a variable under consideration are not available to a sufficiently rigorous degree, there can be a trade-off between choosing a bad measure of a pertinent phenomenon and not having any measure of this phenomenon. The Gini coefficient, for instance, is only calculated for a limited number of countries and it is not systematically kept up to date. Nor is there a global measure of emissions (such as CO</w:t>
      </w:r>
      <w:r>
        <w:rPr>
          <w:vertAlign w:val="subscript"/>
          <w:lang w:val="en-GB"/>
        </w:rPr>
        <w:t>2</w:t>
      </w:r>
      <w:r>
        <w:rPr>
          <w:lang w:val="en-GB"/>
        </w:rPr>
        <w:t>) embedded in goods consumed. In many instances, statistics institutions’ need for credibility induces them to opt for the second of the two options, that is, not to include the pertinent variable in the indicator. Frederiksen notes in this respect that certain ‘</w:t>
      </w:r>
      <w:r>
        <w:rPr>
          <w:iCs/>
          <w:lang w:val="en-GB"/>
        </w:rPr>
        <w:t xml:space="preserve">indicators that would potentially be better in line with redundantly formulated demands from stakeholders (notably for indicators which helped to grasp an </w:t>
      </w:r>
      <w:r>
        <w:rPr>
          <w:iCs/>
          <w:lang w:val="en-GB"/>
        </w:rPr>
        <w:lastRenderedPageBreak/>
        <w:t>overall image of the sustainability of Europe) were discarded by ESTAT due to lack of data, or non-robustness of the potential indicators</w:t>
      </w:r>
      <w:r>
        <w:rPr>
          <w:lang w:val="en-GB"/>
        </w:rPr>
        <w:t>’ (Frederiksen, 2012, complete report, 24). During the conception of HDI, it appears that variables such as inequality or the state of nutrition have been discarded because of incomplete or poor-quality data (Masood, 2016). Undeniably, new indicators need new statistics. However, here they are required to be built on the same statistics that have been produced to serve the macroeconomics that their developers strive to move beyond. This first explanation is thus partly involuntary, the result of institutional actors’ need for robust statistical data, a demand not met for certain key dimensions of Beyond GDP indicators. However, the very decision to develop new statistical data is an eminently political one, which suggests that other factors are at play here.</w:t>
      </w:r>
    </w:p>
    <w:p w14:paraId="192EECED" w14:textId="63E65139" w:rsidR="00577A45" w:rsidRDefault="004C2A6E">
      <w:pPr>
        <w:pStyle w:val="2mepara"/>
        <w:rPr>
          <w:lang w:val="en-GB"/>
        </w:rPr>
      </w:pPr>
      <w:r>
        <w:rPr>
          <w:lang w:val="en-GB"/>
        </w:rPr>
        <w:t xml:space="preserve">The second explanation draws its inspiration from the notion of epistemic communities (Hass, 1992), or ‘advocacy coalitions’ (Sabatier, 1998). An epistemic community is a network of professionals in a particular domain who share a ‘set of normative and principled beliefs […], shared causal beliefs […], shared notions of validity—that is, intersubjective, internally defined criteria for weighing and validating knowledge in the domain of their expertise; and a common policy enterprise—that is, a set of common practises associated with a set of problems to which their professional competence is directed, presumably out of the conviction that human welfare will be enhanced as a consequence’ (Haas, 1992, 3). According to this framework we claim that (1) the producers of indicators among powerful stakeholders constitute an epistemic community and (2) that this community is characterised by values, criteria for validating ‘good’ indicators, professional ethos and common beliefs about the mechanisms that drive societal development. These characteristics would end up producing indicators with weak transformative potential. As it has been observed by Thiry </w:t>
      </w:r>
      <w:r>
        <w:rPr>
          <w:i/>
          <w:iCs/>
          <w:lang w:val="en-GB"/>
        </w:rPr>
        <w:t xml:space="preserve">et al. </w:t>
      </w:r>
      <w:r>
        <w:rPr>
          <w:iCs/>
          <w:lang w:val="en-GB"/>
        </w:rPr>
        <w:t>through interviews of policy makers, economists and statisticians</w:t>
      </w:r>
      <w:r>
        <w:rPr>
          <w:lang w:val="en-GB"/>
        </w:rPr>
        <w:t xml:space="preserve">: ‘We note that in official circles, the debates about Beyond GDP, while bringing new stakes to the table, nonetheless do not </w:t>
      </w:r>
      <w:r w:rsidR="00CC39F5">
        <w:rPr>
          <w:lang w:val="en-GB"/>
        </w:rPr>
        <w:t>converge</w:t>
      </w:r>
      <w:r>
        <w:rPr>
          <w:lang w:val="en-GB"/>
        </w:rPr>
        <w:t xml:space="preserve"> in</w:t>
      </w:r>
      <w:r w:rsidR="00CC39F5">
        <w:rPr>
          <w:lang w:val="en-GB"/>
        </w:rPr>
        <w:t>to</w:t>
      </w:r>
      <w:r>
        <w:rPr>
          <w:lang w:val="en-GB"/>
        </w:rPr>
        <w:t xml:space="preserve"> the emergence of a fundamentally new cognitive framework. Compartmentalised values, norms dominated by an imperative towards short-term growth, unchanged algorithms, and images characterised by a vision that does not question the hierarchy of the respective spheres of the environment, society, and the economy</w:t>
      </w:r>
      <w:r w:rsidR="00094D48">
        <w:rPr>
          <w:lang w:val="en-GB"/>
        </w:rPr>
        <w:t xml:space="preserve"> […]</w:t>
      </w:r>
      <w:r>
        <w:rPr>
          <w:lang w:val="en-GB"/>
        </w:rPr>
        <w:t>’ (Thiry </w:t>
      </w:r>
      <w:r>
        <w:rPr>
          <w:i/>
          <w:iCs/>
          <w:lang w:val="en-GB"/>
        </w:rPr>
        <w:t>et al.</w:t>
      </w:r>
      <w:r>
        <w:rPr>
          <w:lang w:val="en-GB"/>
        </w:rPr>
        <w:t>, 2014, 16). For instance, the weak presence of environmental variables could be the result of the fact that the position that ‘favours well-being over sustainability is dominant among institutional actors close to decision makers (national accountants, statisticians in international institutions, etc.)’ (Thiry </w:t>
      </w:r>
      <w:r>
        <w:rPr>
          <w:i/>
          <w:iCs/>
          <w:lang w:val="en-GB"/>
        </w:rPr>
        <w:t>et al.</w:t>
      </w:r>
      <w:r>
        <w:rPr>
          <w:lang w:val="en-GB"/>
        </w:rPr>
        <w:t xml:space="preserve"> 2014, 10). This would also be because decision makers are caught up in the urgency of the most immediate stakes and continue to emphasise economic dimensions (Seaford, 2013b).  </w:t>
      </w:r>
    </w:p>
    <w:p w14:paraId="3844002A" w14:textId="6199B47F" w:rsidR="00577A45" w:rsidRDefault="004C2A6E" w:rsidP="005A23EE">
      <w:pPr>
        <w:pStyle w:val="2mepara"/>
        <w:rPr>
          <w:lang w:val="en-GB"/>
        </w:rPr>
      </w:pPr>
      <w:r>
        <w:rPr>
          <w:lang w:val="en-GB"/>
        </w:rPr>
        <w:t xml:space="preserve">The use of dominant frameworks among powerful stakeholders can be </w:t>
      </w:r>
      <w:r w:rsidR="00A16AAC">
        <w:rPr>
          <w:lang w:val="en-GB"/>
        </w:rPr>
        <w:t xml:space="preserve">linked to </w:t>
      </w:r>
      <w:r w:rsidR="00A16AAC">
        <w:rPr>
          <w:lang w:val="en-GB"/>
        </w:rPr>
        <w:t>the transformative intention of the initiator</w:t>
      </w:r>
      <w:r>
        <w:rPr>
          <w:lang w:val="en-GB"/>
        </w:rPr>
        <w:t xml:space="preserve">. As Borgnäs (2016) demonstrates, </w:t>
      </w:r>
      <w:r>
        <w:rPr>
          <w:lang w:val="en-GB"/>
        </w:rPr>
        <w:lastRenderedPageBreak/>
        <w:t xml:space="preserve">key methodological choices are often the product of the theoretical paradigm </w:t>
      </w:r>
      <w:r w:rsidR="00A16AAC">
        <w:rPr>
          <w:lang w:val="en-GB"/>
        </w:rPr>
        <w:t xml:space="preserve">of an indicator’s developers. </w:t>
      </w:r>
      <w:r>
        <w:rPr>
          <w:lang w:val="en-GB"/>
        </w:rPr>
        <w:t xml:space="preserve">For instance, SPI’s founding father Michael Porter aims to reinvent the capitalist system, presumed to be ‘under siege’ by critics (Porter and Kramer, 2011, 4). On the other side, HPI’s initiator (New Economic Foundation) endorses the more radical project of a ‘steady state’ economy (O’Neill et al., 2010). These different agendas </w:t>
      </w:r>
      <w:r>
        <w:rPr>
          <w:lang w:val="en-GB"/>
        </w:rPr>
        <w:t xml:space="preserve">can partly explain </w:t>
      </w:r>
      <w:r w:rsidR="005A23EE">
        <w:rPr>
          <w:lang w:val="en-GB"/>
        </w:rPr>
        <w:t xml:space="preserve">why </w:t>
      </w:r>
      <w:r>
        <w:rPr>
          <w:lang w:val="en-GB"/>
        </w:rPr>
        <w:t>certain indicators show strong divergence with GDP and others</w:t>
      </w:r>
      <w:r w:rsidR="005A23EE">
        <w:rPr>
          <w:lang w:val="en-GB"/>
        </w:rPr>
        <w:t xml:space="preserve"> do</w:t>
      </w:r>
      <w:r>
        <w:rPr>
          <w:lang w:val="en-GB"/>
        </w:rPr>
        <w:t xml:space="preserve"> not. The problem is that the true intent behind indicators nearly </w:t>
      </w:r>
      <w:r>
        <w:rPr>
          <w:lang w:val="en-GB"/>
        </w:rPr>
        <w:t>always remains implicit and is absent from reports, which refer to consensual terms such as ‘well-being’ or ‘sustainability’.</w:t>
      </w:r>
    </w:p>
    <w:p w14:paraId="23C70A59" w14:textId="77777777" w:rsidR="00577A45" w:rsidRDefault="004C2A6E">
      <w:pPr>
        <w:pStyle w:val="2mepara"/>
        <w:rPr>
          <w:lang w:val="en-GB"/>
        </w:rPr>
      </w:pPr>
      <w:r>
        <w:rPr>
          <w:lang w:val="en-GB"/>
        </w:rPr>
        <w:t xml:space="preserve">The use of dominant frameworks can also be caused by isomorphism. According to Stewart, who was part of the team that developed HDI, even a reformist like Sen argued to remain close to mainstream economic thinking for strategical reasons: ‘Sen was determined to include incomes in the index [HDI], as ignoring them would have been too radical a step for mainstream economists and policy makers. He was worried, Stewart says, that without a financial measure, the HDI wouldn’t be taken seriously’ (Masood, 2016, 94). In summary, the conceptual and methodological frameworks that the epistemic community close to the spheres of power expect are close to those of GDP. </w:t>
      </w:r>
    </w:p>
    <w:p w14:paraId="25E4CFED" w14:textId="3AC5753F" w:rsidR="00577A45" w:rsidRDefault="004C2A6E">
      <w:pPr>
        <w:pStyle w:val="2mepara"/>
        <w:rPr>
          <w:lang w:val="en-GB"/>
        </w:rPr>
      </w:pPr>
      <w:r>
        <w:rPr>
          <w:lang w:val="en-GB"/>
        </w:rPr>
        <w:t xml:space="preserve">This link between GDP concepts and frameworks and a dominant epistemic community means that evolutions are likely to be observed in case of a change </w:t>
      </w:r>
      <w:r w:rsidR="00CC39F5">
        <w:rPr>
          <w:lang w:val="en-GB"/>
        </w:rPr>
        <w:t>in</w:t>
      </w:r>
      <w:r>
        <w:rPr>
          <w:lang w:val="en-GB"/>
        </w:rPr>
        <w:t xml:space="preserve"> that community</w:t>
      </w:r>
      <w:r w:rsidR="00CC39F5">
        <w:rPr>
          <w:lang w:val="en-GB"/>
        </w:rPr>
        <w:t>, or the emergence of a new one</w:t>
      </w:r>
      <w:r>
        <w:rPr>
          <w:lang w:val="en-GB"/>
        </w:rPr>
        <w:t>. In this respect, the rising influence of currently marginal actors, such as social economy organisations (Defourny and Develtere, 1999; Eme and Laville, 2006), the ecological transition movement (Hopkins, 2008; Seyfang and Smith, 2007), and new movement parties (Podemos, France Insoumise,…) appear to question the centrality of economic growth and GDP, as well as the current balance of power. It remains to be seen if these actors will begin soliciting Beyond GDP indicators and, if so, what shape these will take.</w:t>
      </w:r>
    </w:p>
    <w:p w14:paraId="56097789" w14:textId="77777777" w:rsidR="00577A45" w:rsidRDefault="004C2A6E">
      <w:pPr>
        <w:spacing w:before="520" w:after="280" w:line="240" w:lineRule="auto"/>
        <w:outlineLvl w:val="0"/>
        <w:rPr>
          <w:rFonts w:ascii="Times New Roman" w:eastAsia="Times New Roman" w:hAnsi="Times New Roman" w:cs="Times New Roman"/>
          <w:b/>
          <w:bCs/>
          <w:color w:val="000000"/>
          <w:kern w:val="2"/>
          <w:sz w:val="24"/>
          <w:szCs w:val="24"/>
          <w:lang w:val="en-GB" w:eastAsia="hu-HU"/>
        </w:rPr>
      </w:pPr>
      <w:r>
        <w:rPr>
          <w:rFonts w:ascii="Times New Roman" w:eastAsia="Times New Roman" w:hAnsi="Times New Roman" w:cs="Times New Roman"/>
          <w:b/>
          <w:bCs/>
          <w:color w:val="000000"/>
          <w:kern w:val="2"/>
          <w:sz w:val="24"/>
          <w:szCs w:val="24"/>
          <w:lang w:val="en-GB" w:eastAsia="hu-HU"/>
        </w:rPr>
        <w:t>Acknowledgments</w:t>
      </w:r>
    </w:p>
    <w:p w14:paraId="443BA4B3" w14:textId="77777777" w:rsidR="00577A45" w:rsidRDefault="004C2A6E">
      <w:pPr>
        <w:pStyle w:val="Premierpara"/>
        <w:rPr>
          <w:lang w:val="en-GB"/>
        </w:rPr>
      </w:pPr>
      <w:r>
        <w:rPr>
          <w:lang w:val="en-GB"/>
        </w:rPr>
        <w:t>I sincerely thank Isabelle Cassiers, Geraldine Thiry, Axel Gosseries, Florence Jany-Catrice, Clément Fontan, Louis Larue, Mathieu Sauvenier and Sébastien Fontenay for their very insightful comments on an earlier draft; the two anonymous reviewers for their in depth reading of the paper and their accurate critiques and suggestions; the Bernheim Foundation, the FNRS and the IACCHOS for their financial support; and the European Society for Ecological Economics committee for the prize they awarded to a preliminary version of this paper.</w:t>
      </w:r>
    </w:p>
    <w:p w14:paraId="3F2A5060" w14:textId="77777777" w:rsidR="00577A45" w:rsidRDefault="004C2A6E">
      <w:pPr>
        <w:spacing w:before="520" w:after="280" w:line="240" w:lineRule="auto"/>
        <w:outlineLvl w:val="0"/>
        <w:rPr>
          <w:rFonts w:ascii="Times New Roman" w:eastAsia="Times New Roman" w:hAnsi="Times New Roman" w:cs="Times New Roman"/>
          <w:b/>
          <w:bCs/>
          <w:color w:val="000000"/>
          <w:kern w:val="2"/>
          <w:sz w:val="24"/>
          <w:szCs w:val="24"/>
          <w:lang w:val="en-GB" w:eastAsia="hu-HU"/>
        </w:rPr>
      </w:pPr>
      <w:r>
        <w:rPr>
          <w:rFonts w:ascii="Times New Roman" w:eastAsia="Times New Roman" w:hAnsi="Times New Roman" w:cs="Times New Roman"/>
          <w:b/>
          <w:bCs/>
          <w:color w:val="000000"/>
          <w:kern w:val="2"/>
          <w:sz w:val="24"/>
          <w:szCs w:val="24"/>
          <w:lang w:val="en-GB" w:eastAsia="hu-HU"/>
        </w:rPr>
        <w:lastRenderedPageBreak/>
        <w:t>References</w:t>
      </w:r>
    </w:p>
    <w:p w14:paraId="555A5B8D"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Avant, D. D., Finnemore, M., &amp; Sell, S. K. (Eds.). (2010). </w:t>
      </w:r>
      <w:r>
        <w:rPr>
          <w:rFonts w:ascii="Times New Roman" w:eastAsia="Times New Roman" w:hAnsi="Times New Roman" w:cs="Times New Roman"/>
          <w:i/>
          <w:iCs/>
          <w:color w:val="000000"/>
          <w:sz w:val="20"/>
          <w:szCs w:val="20"/>
          <w:lang w:val="en-GB" w:eastAsia="hu-HU"/>
        </w:rPr>
        <w:t>Who governs the globe?</w:t>
      </w:r>
      <w:r>
        <w:rPr>
          <w:rFonts w:ascii="Times New Roman" w:eastAsia="Times New Roman" w:hAnsi="Times New Roman" w:cs="Times New Roman"/>
          <w:color w:val="000000"/>
          <w:sz w:val="20"/>
          <w:szCs w:val="20"/>
          <w:lang w:val="en-GB" w:eastAsia="hu-HU"/>
        </w:rPr>
        <w:t xml:space="preserve"> (Vol. 114). Cambridge University Press. </w:t>
      </w:r>
    </w:p>
    <w:p w14:paraId="0677008D" w14:textId="77777777" w:rsidR="00577A45" w:rsidRDefault="004C2A6E">
      <w:pPr>
        <w:spacing w:after="0" w:line="240" w:lineRule="auto"/>
        <w:ind w:hanging="340"/>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Blanton, S. L., &amp; Kegley, C. W. (2016). </w:t>
      </w:r>
      <w:r>
        <w:rPr>
          <w:rFonts w:ascii="Times New Roman" w:eastAsia="Times New Roman" w:hAnsi="Times New Roman" w:cs="Times New Roman"/>
          <w:i/>
          <w:iCs/>
          <w:color w:val="000000"/>
          <w:sz w:val="20"/>
          <w:szCs w:val="20"/>
          <w:lang w:eastAsia="hu-HU"/>
        </w:rPr>
        <w:t>World Politics: Trend and Transformation, 2016-2017</w:t>
      </w:r>
      <w:r>
        <w:rPr>
          <w:rFonts w:ascii="Times New Roman" w:eastAsia="Times New Roman" w:hAnsi="Times New Roman" w:cs="Times New Roman"/>
          <w:color w:val="000000"/>
          <w:sz w:val="20"/>
          <w:szCs w:val="20"/>
          <w:lang w:eastAsia="hu-HU"/>
        </w:rPr>
        <w:t>. Cengage Learning.</w:t>
      </w:r>
    </w:p>
    <w:p w14:paraId="1E5CC9E9"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Borgnäs, K. Indicators as ‘circular argumentation constructs’? An input–output analysis of the variable structure of five environmental sustainability country rankings. </w:t>
      </w:r>
      <w:r>
        <w:rPr>
          <w:rFonts w:ascii="Times New Roman" w:eastAsia="Times New Roman" w:hAnsi="Times New Roman" w:cs="Times New Roman"/>
          <w:i/>
          <w:iCs/>
          <w:color w:val="000000"/>
          <w:sz w:val="20"/>
          <w:szCs w:val="20"/>
          <w:lang w:val="en-GB" w:eastAsia="hu-HU"/>
        </w:rPr>
        <w:t>Environment, Development and Sustainability</w:t>
      </w:r>
      <w:r>
        <w:rPr>
          <w:rFonts w:ascii="Times New Roman" w:eastAsia="Times New Roman" w:hAnsi="Times New Roman" w:cs="Times New Roman"/>
          <w:color w:val="000000"/>
          <w:sz w:val="20"/>
          <w:szCs w:val="20"/>
          <w:lang w:val="en-GB" w:eastAsia="hu-HU"/>
        </w:rPr>
        <w:t xml:space="preserve">, 1-22. </w:t>
      </w:r>
    </w:p>
    <w:p w14:paraId="68BABB52" w14:textId="77777777" w:rsidR="00577A45" w:rsidRDefault="004C2A6E">
      <w:pPr>
        <w:spacing w:after="0" w:line="240" w:lineRule="auto"/>
        <w:ind w:hanging="340"/>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Breslin, S., &amp; Nesadurai, H. E. (2018). Who Governs and How? Non-State Actors and Transnational Governance in Southeast Asia. </w:t>
      </w:r>
      <w:r>
        <w:rPr>
          <w:rFonts w:ascii="Times New Roman" w:eastAsia="Times New Roman" w:hAnsi="Times New Roman" w:cs="Times New Roman"/>
          <w:i/>
          <w:iCs/>
          <w:color w:val="000000"/>
          <w:sz w:val="20"/>
          <w:szCs w:val="20"/>
          <w:lang w:eastAsia="hu-HU"/>
        </w:rPr>
        <w:t>Journal of Contemporary Asia</w:t>
      </w:r>
      <w:r>
        <w:rPr>
          <w:rFonts w:ascii="Times New Roman" w:eastAsia="Times New Roman" w:hAnsi="Times New Roman" w:cs="Times New Roman"/>
          <w:color w:val="000000"/>
          <w:sz w:val="20"/>
          <w:szCs w:val="20"/>
          <w:lang w:eastAsia="hu-HU"/>
        </w:rPr>
        <w:t>, </w:t>
      </w:r>
      <w:r>
        <w:rPr>
          <w:rFonts w:ascii="Times New Roman" w:eastAsia="Times New Roman" w:hAnsi="Times New Roman" w:cs="Times New Roman"/>
          <w:i/>
          <w:iCs/>
          <w:color w:val="000000"/>
          <w:sz w:val="20"/>
          <w:szCs w:val="20"/>
          <w:lang w:eastAsia="hu-HU"/>
        </w:rPr>
        <w:t>48</w:t>
      </w:r>
      <w:r>
        <w:rPr>
          <w:rFonts w:ascii="Times New Roman" w:eastAsia="Times New Roman" w:hAnsi="Times New Roman" w:cs="Times New Roman"/>
          <w:color w:val="000000"/>
          <w:sz w:val="20"/>
          <w:szCs w:val="20"/>
          <w:lang w:eastAsia="hu-HU"/>
        </w:rPr>
        <w:t>(2), 187-203.</w:t>
      </w:r>
    </w:p>
    <w:p w14:paraId="5EB12429" w14:textId="77777777" w:rsidR="00577A45" w:rsidRDefault="004C2A6E">
      <w:pPr>
        <w:spacing w:after="0" w:line="240" w:lineRule="auto"/>
        <w:ind w:hanging="340"/>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Büthe, T. (2010). Private regulation in the global economy: a (P) review. </w:t>
      </w:r>
      <w:r>
        <w:rPr>
          <w:rFonts w:ascii="Times New Roman" w:eastAsia="Times New Roman" w:hAnsi="Times New Roman" w:cs="Times New Roman"/>
          <w:i/>
          <w:iCs/>
          <w:color w:val="000000"/>
          <w:sz w:val="20"/>
          <w:szCs w:val="20"/>
          <w:lang w:eastAsia="hu-HU"/>
        </w:rPr>
        <w:t>Business and Politics</w:t>
      </w:r>
      <w:r>
        <w:rPr>
          <w:rFonts w:ascii="Times New Roman" w:eastAsia="Times New Roman" w:hAnsi="Times New Roman" w:cs="Times New Roman"/>
          <w:color w:val="000000"/>
          <w:sz w:val="20"/>
          <w:szCs w:val="20"/>
          <w:lang w:eastAsia="hu-HU"/>
        </w:rPr>
        <w:t>, </w:t>
      </w:r>
      <w:r>
        <w:rPr>
          <w:rFonts w:ascii="Times New Roman" w:eastAsia="Times New Roman" w:hAnsi="Times New Roman" w:cs="Times New Roman"/>
          <w:i/>
          <w:iCs/>
          <w:color w:val="000000"/>
          <w:sz w:val="20"/>
          <w:szCs w:val="20"/>
          <w:lang w:eastAsia="hu-HU"/>
        </w:rPr>
        <w:t>12</w:t>
      </w:r>
      <w:r>
        <w:rPr>
          <w:rFonts w:ascii="Times New Roman" w:eastAsia="Times New Roman" w:hAnsi="Times New Roman" w:cs="Times New Roman"/>
          <w:color w:val="000000"/>
          <w:sz w:val="20"/>
          <w:szCs w:val="20"/>
          <w:lang w:eastAsia="hu-HU"/>
        </w:rPr>
        <w:t>(3), 1-38.</w:t>
      </w:r>
    </w:p>
    <w:p w14:paraId="4CC51DE6"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Cahill, M. B. (2005). Is the human development index redundant?. </w:t>
      </w:r>
      <w:r>
        <w:rPr>
          <w:rFonts w:ascii="Times New Roman" w:eastAsia="Times New Roman" w:hAnsi="Times New Roman" w:cs="Times New Roman"/>
          <w:i/>
          <w:iCs/>
          <w:color w:val="000000"/>
          <w:sz w:val="20"/>
          <w:szCs w:val="20"/>
          <w:lang w:val="en-GB" w:eastAsia="hu-HU"/>
        </w:rPr>
        <w:t>Eastern Economic Journal</w:t>
      </w:r>
      <w:r>
        <w:rPr>
          <w:rFonts w:ascii="Times New Roman" w:eastAsia="Times New Roman" w:hAnsi="Times New Roman" w:cs="Times New Roman"/>
          <w:color w:val="000000"/>
          <w:sz w:val="20"/>
          <w:szCs w:val="20"/>
          <w:lang w:val="en-GB" w:eastAsia="hu-HU"/>
        </w:rPr>
        <w:t>, </w:t>
      </w:r>
      <w:r>
        <w:rPr>
          <w:rFonts w:ascii="Times New Roman" w:eastAsia="Times New Roman" w:hAnsi="Times New Roman" w:cs="Times New Roman"/>
          <w:i/>
          <w:iCs/>
          <w:color w:val="000000"/>
          <w:sz w:val="20"/>
          <w:szCs w:val="20"/>
          <w:lang w:val="en-GB" w:eastAsia="hu-HU"/>
        </w:rPr>
        <w:t>31</w:t>
      </w:r>
      <w:r>
        <w:rPr>
          <w:rFonts w:ascii="Times New Roman" w:eastAsia="Times New Roman" w:hAnsi="Times New Roman" w:cs="Times New Roman"/>
          <w:color w:val="000000"/>
          <w:sz w:val="20"/>
          <w:szCs w:val="20"/>
          <w:lang w:val="en-GB" w:eastAsia="hu-HU"/>
        </w:rPr>
        <w:t>(1), 1-5.</w:t>
      </w:r>
    </w:p>
    <w:p w14:paraId="4118D4B3"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Cassiers, I., &amp; Thiry, G. (2014). A high-stakes shift: Turning the tide from GDP to new prosperity indicators. </w:t>
      </w:r>
      <w:r>
        <w:rPr>
          <w:rFonts w:ascii="Times New Roman" w:eastAsia="Times New Roman" w:hAnsi="Times New Roman" w:cs="Times New Roman"/>
          <w:i/>
          <w:iCs/>
          <w:color w:val="000000"/>
          <w:sz w:val="20"/>
          <w:szCs w:val="20"/>
          <w:lang w:val="en-GB" w:eastAsia="hu-HU"/>
        </w:rPr>
        <w:t>Redefining prosperity. London: Routledge</w:t>
      </w:r>
      <w:r>
        <w:rPr>
          <w:rFonts w:ascii="Times New Roman" w:eastAsia="Times New Roman" w:hAnsi="Times New Roman" w:cs="Times New Roman"/>
          <w:color w:val="000000"/>
          <w:sz w:val="20"/>
          <w:szCs w:val="20"/>
          <w:lang w:val="en-GB" w:eastAsia="hu-HU"/>
        </w:rPr>
        <w:t>, 22-40.</w:t>
      </w:r>
    </w:p>
    <w:p w14:paraId="70A4B030"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Chaaban, J., Irani, A., &amp; Khoury, A. (2015). The Composite Global Well-Being Index (CGWBI): A New Multi-Dimensional Measure of Human Development. </w:t>
      </w:r>
      <w:r>
        <w:rPr>
          <w:rFonts w:ascii="Times New Roman" w:eastAsia="Times New Roman" w:hAnsi="Times New Roman" w:cs="Times New Roman"/>
          <w:i/>
          <w:iCs/>
          <w:color w:val="000000"/>
          <w:sz w:val="20"/>
          <w:szCs w:val="20"/>
          <w:lang w:val="en-GB" w:eastAsia="hu-HU"/>
        </w:rPr>
        <w:t>Social Indicators Research</w:t>
      </w:r>
      <w:r>
        <w:rPr>
          <w:rFonts w:ascii="Times New Roman" w:eastAsia="Times New Roman" w:hAnsi="Times New Roman" w:cs="Times New Roman"/>
          <w:color w:val="000000"/>
          <w:sz w:val="20"/>
          <w:szCs w:val="20"/>
          <w:lang w:val="en-GB" w:eastAsia="hu-HU"/>
        </w:rPr>
        <w:t>, 1-23.</w:t>
      </w:r>
    </w:p>
    <w:p w14:paraId="7908277B"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Chancel, L., Thiry, G., &amp; Demailly, D. (2014). Beyond-GDP indicators: to what end?. </w:t>
      </w:r>
      <w:r>
        <w:rPr>
          <w:rFonts w:ascii="Times New Roman" w:eastAsia="Times New Roman" w:hAnsi="Times New Roman" w:cs="Times New Roman"/>
          <w:i/>
          <w:iCs/>
          <w:color w:val="000000"/>
          <w:sz w:val="20"/>
          <w:szCs w:val="20"/>
          <w:lang w:val="en-GB" w:eastAsia="hu-HU"/>
        </w:rPr>
        <w:t>Vol. Study</w:t>
      </w:r>
      <w:r>
        <w:rPr>
          <w:rFonts w:ascii="Times New Roman" w:eastAsia="Times New Roman" w:hAnsi="Times New Roman" w:cs="Times New Roman"/>
          <w:color w:val="000000"/>
          <w:sz w:val="20"/>
          <w:szCs w:val="20"/>
          <w:lang w:val="en-GB" w:eastAsia="hu-HU"/>
        </w:rPr>
        <w:t xml:space="preserve">, (04). </w:t>
      </w:r>
    </w:p>
    <w:p w14:paraId="48DF983D"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Clark, W. C., Mitchell, R. B., &amp; Cash, D. W. (2006). Evaluating the inﬂuence of global environmental assessments. </w:t>
      </w:r>
      <w:r>
        <w:rPr>
          <w:rFonts w:ascii="Times New Roman" w:eastAsia="Times New Roman" w:hAnsi="Times New Roman" w:cs="Times New Roman"/>
          <w:i/>
          <w:iCs/>
          <w:color w:val="000000"/>
          <w:sz w:val="20"/>
          <w:szCs w:val="20"/>
          <w:lang w:val="en-GB" w:eastAsia="hu-HU"/>
        </w:rPr>
        <w:t>Global environmental assessments: information and inﬂuence. MIT, Cambridge</w:t>
      </w:r>
      <w:r>
        <w:rPr>
          <w:rFonts w:ascii="Times New Roman" w:eastAsia="Times New Roman" w:hAnsi="Times New Roman" w:cs="Times New Roman"/>
          <w:color w:val="000000"/>
          <w:sz w:val="20"/>
          <w:szCs w:val="20"/>
          <w:lang w:val="en-GB" w:eastAsia="hu-HU"/>
        </w:rPr>
        <w:t>, 1-28.</w:t>
      </w:r>
    </w:p>
    <w:p w14:paraId="44E02E0F"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De Kerk, G., &amp; Manuel, A. (2016). Sustainable Society Index SSI-2016. The Netherlands: Sustainable Society Foundation.</w:t>
      </w:r>
    </w:p>
    <w:p w14:paraId="6753BD61" w14:textId="77777777" w:rsidR="00577A45" w:rsidRDefault="004C2A6E">
      <w:pPr>
        <w:spacing w:after="0" w:line="240" w:lineRule="auto"/>
        <w:ind w:hanging="340"/>
        <w:rPr>
          <w:rFonts w:ascii="Times New Roman" w:eastAsia="Times New Roman" w:hAnsi="Times New Roman" w:cs="Times New Roman"/>
          <w:color w:val="000000"/>
          <w:sz w:val="20"/>
          <w:szCs w:val="20"/>
          <w:lang w:val="fr-BE" w:eastAsia="hu-HU"/>
        </w:rPr>
      </w:pPr>
      <w:r>
        <w:rPr>
          <w:rFonts w:ascii="Times New Roman" w:eastAsia="Times New Roman" w:hAnsi="Times New Roman" w:cs="Times New Roman"/>
          <w:color w:val="000000"/>
          <w:sz w:val="20"/>
          <w:szCs w:val="20"/>
          <w:lang w:val="en-US" w:eastAsia="hu-HU"/>
        </w:rPr>
        <w:t xml:space="preserve">Defourny, J., Develtere, P., &amp; Fonteneau, B. (1999). </w:t>
      </w:r>
      <w:r>
        <w:rPr>
          <w:rFonts w:ascii="Times New Roman" w:eastAsia="Times New Roman" w:hAnsi="Times New Roman" w:cs="Times New Roman"/>
          <w:i/>
          <w:iCs/>
          <w:color w:val="000000"/>
          <w:sz w:val="20"/>
          <w:szCs w:val="20"/>
          <w:lang w:val="fr-BE" w:eastAsia="hu-HU"/>
        </w:rPr>
        <w:t>L'économie sociale au Nord et au Sud</w:t>
      </w:r>
      <w:r>
        <w:rPr>
          <w:rFonts w:ascii="Times New Roman" w:eastAsia="Times New Roman" w:hAnsi="Times New Roman" w:cs="Times New Roman"/>
          <w:color w:val="000000"/>
          <w:sz w:val="20"/>
          <w:szCs w:val="20"/>
          <w:lang w:val="fr-BE" w:eastAsia="hu-HU"/>
        </w:rPr>
        <w:t>. De Boeck Supérieur.</w:t>
      </w:r>
    </w:p>
    <w:p w14:paraId="12951A77" w14:textId="77777777" w:rsidR="00577A45" w:rsidRDefault="004C2A6E">
      <w:pPr>
        <w:spacing w:after="0" w:line="240" w:lineRule="auto"/>
        <w:ind w:hanging="340"/>
        <w:rPr>
          <w:rFonts w:ascii="Times New Roman" w:eastAsia="Times New Roman" w:hAnsi="Times New Roman" w:cs="Times New Roman"/>
          <w:color w:val="000000"/>
          <w:sz w:val="20"/>
          <w:szCs w:val="20"/>
          <w:lang w:val="fr-BE" w:eastAsia="hu-HU"/>
        </w:rPr>
      </w:pPr>
      <w:r>
        <w:rPr>
          <w:rFonts w:ascii="Times New Roman" w:eastAsia="Times New Roman" w:hAnsi="Times New Roman" w:cs="Times New Roman"/>
          <w:color w:val="000000"/>
          <w:sz w:val="20"/>
          <w:szCs w:val="20"/>
          <w:lang w:val="fr-BE" w:eastAsia="hu-HU"/>
        </w:rPr>
        <w:t>Desrosières, A. (2012). Est-il bon, est-il méchant? Le rôle du nombre dans le gouvernement de la cité néolibérale. </w:t>
      </w:r>
      <w:r>
        <w:rPr>
          <w:rFonts w:ascii="Times New Roman" w:eastAsia="Times New Roman" w:hAnsi="Times New Roman" w:cs="Times New Roman"/>
          <w:i/>
          <w:iCs/>
          <w:color w:val="000000"/>
          <w:sz w:val="20"/>
          <w:szCs w:val="20"/>
          <w:lang w:val="fr-BE" w:eastAsia="hu-HU"/>
        </w:rPr>
        <w:t>Nouvelles perspectives en sciences sociales: Revue internationale de systémique complexe et d'études relationnelles</w:t>
      </w:r>
      <w:r>
        <w:rPr>
          <w:rFonts w:ascii="Times New Roman" w:eastAsia="Times New Roman" w:hAnsi="Times New Roman" w:cs="Times New Roman"/>
          <w:color w:val="000000"/>
          <w:sz w:val="20"/>
          <w:szCs w:val="20"/>
          <w:lang w:val="fr-BE" w:eastAsia="hu-HU"/>
        </w:rPr>
        <w:t>, </w:t>
      </w:r>
      <w:r>
        <w:rPr>
          <w:rFonts w:ascii="Times New Roman" w:eastAsia="Times New Roman" w:hAnsi="Times New Roman" w:cs="Times New Roman"/>
          <w:i/>
          <w:iCs/>
          <w:color w:val="000000"/>
          <w:sz w:val="20"/>
          <w:szCs w:val="20"/>
          <w:lang w:val="fr-BE" w:eastAsia="hu-HU"/>
        </w:rPr>
        <w:t>7</w:t>
      </w:r>
      <w:r>
        <w:rPr>
          <w:rFonts w:ascii="Times New Roman" w:eastAsia="Times New Roman" w:hAnsi="Times New Roman" w:cs="Times New Roman"/>
          <w:color w:val="000000"/>
          <w:sz w:val="20"/>
          <w:szCs w:val="20"/>
          <w:lang w:val="fr-BE" w:eastAsia="hu-HU"/>
        </w:rPr>
        <w:t>(2), 261-295.</w:t>
      </w:r>
    </w:p>
    <w:p w14:paraId="7D25141A" w14:textId="77777777" w:rsidR="00577A45" w:rsidRDefault="004C2A6E">
      <w:pPr>
        <w:spacing w:after="0" w:line="240" w:lineRule="auto"/>
        <w:ind w:hanging="340"/>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Dietz, R., &amp; O'Neill, D. (2013). </w:t>
      </w:r>
      <w:r>
        <w:rPr>
          <w:rFonts w:ascii="Times New Roman" w:eastAsia="Times New Roman" w:hAnsi="Times New Roman" w:cs="Times New Roman"/>
          <w:i/>
          <w:iCs/>
          <w:color w:val="000000"/>
          <w:sz w:val="20"/>
          <w:szCs w:val="20"/>
          <w:lang w:eastAsia="hu-HU"/>
        </w:rPr>
        <w:t>Enough is enough: Building a sustainable economy in a world of finite resources</w:t>
      </w:r>
      <w:r>
        <w:rPr>
          <w:rFonts w:ascii="Times New Roman" w:eastAsia="Times New Roman" w:hAnsi="Times New Roman" w:cs="Times New Roman"/>
          <w:color w:val="000000"/>
          <w:sz w:val="20"/>
          <w:szCs w:val="20"/>
          <w:lang w:eastAsia="hu-HU"/>
        </w:rPr>
        <w:t>. Routledge.</w:t>
      </w:r>
    </w:p>
    <w:p w14:paraId="12813796"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Dietz, S., &amp; Neumayer, E. (2007). Weak and strong sustainability in the SEEA: Concepts and measurement. </w:t>
      </w:r>
      <w:r>
        <w:rPr>
          <w:rFonts w:ascii="Times New Roman" w:eastAsia="Times New Roman" w:hAnsi="Times New Roman" w:cs="Times New Roman"/>
          <w:i/>
          <w:iCs/>
          <w:color w:val="000000"/>
          <w:sz w:val="20"/>
          <w:szCs w:val="20"/>
          <w:lang w:val="en-GB" w:eastAsia="hu-HU"/>
        </w:rPr>
        <w:t>Ecological economics</w:t>
      </w:r>
      <w:r>
        <w:rPr>
          <w:rFonts w:ascii="Times New Roman" w:eastAsia="Times New Roman" w:hAnsi="Times New Roman" w:cs="Times New Roman"/>
          <w:color w:val="000000"/>
          <w:sz w:val="20"/>
          <w:szCs w:val="20"/>
          <w:lang w:val="en-GB" w:eastAsia="hu-HU"/>
        </w:rPr>
        <w:t>, </w:t>
      </w:r>
      <w:r>
        <w:rPr>
          <w:rFonts w:ascii="Times New Roman" w:eastAsia="Times New Roman" w:hAnsi="Times New Roman" w:cs="Times New Roman"/>
          <w:i/>
          <w:iCs/>
          <w:color w:val="000000"/>
          <w:sz w:val="20"/>
          <w:szCs w:val="20"/>
          <w:lang w:val="en-GB" w:eastAsia="hu-HU"/>
        </w:rPr>
        <w:t>61</w:t>
      </w:r>
      <w:r>
        <w:rPr>
          <w:rFonts w:ascii="Times New Roman" w:eastAsia="Times New Roman" w:hAnsi="Times New Roman" w:cs="Times New Roman"/>
          <w:color w:val="000000"/>
          <w:sz w:val="20"/>
          <w:szCs w:val="20"/>
          <w:lang w:val="en-GB" w:eastAsia="hu-HU"/>
        </w:rPr>
        <w:t>(4), 617-626.</w:t>
      </w:r>
    </w:p>
    <w:p w14:paraId="023E3F00"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 xml:space="preserve">Easterlin R.E. (1974). Does economic growth improve the human lot? Some empirical evidence, in David P.A et Reder M.W. (Eds.) (1974), </w:t>
      </w:r>
      <w:r>
        <w:rPr>
          <w:rFonts w:ascii="Times New Roman" w:eastAsia="Times New Roman" w:hAnsi="Times New Roman" w:cs="Times New Roman"/>
          <w:i/>
          <w:color w:val="000000"/>
          <w:sz w:val="20"/>
          <w:szCs w:val="20"/>
          <w:lang w:val="en-GB" w:eastAsia="hu-HU"/>
        </w:rPr>
        <w:t>Nations and Households in Economic Growth: essays in honor of Moses Abramovitz</w:t>
      </w:r>
      <w:r>
        <w:rPr>
          <w:rFonts w:ascii="Times New Roman" w:eastAsia="Times New Roman" w:hAnsi="Times New Roman" w:cs="Times New Roman"/>
          <w:color w:val="000000"/>
          <w:sz w:val="20"/>
          <w:szCs w:val="20"/>
          <w:lang w:val="en-GB" w:eastAsia="hu-HU"/>
        </w:rPr>
        <w:t>, Academic Press, p.89-125.</w:t>
      </w:r>
    </w:p>
    <w:p w14:paraId="29039DBF" w14:textId="77777777" w:rsidR="00577A45" w:rsidRDefault="004C2A6E">
      <w:pPr>
        <w:spacing w:after="0" w:line="240" w:lineRule="auto"/>
        <w:ind w:hanging="340"/>
        <w:rPr>
          <w:rFonts w:ascii="Times New Roman" w:eastAsia="Times New Roman" w:hAnsi="Times New Roman" w:cs="Times New Roman"/>
          <w:color w:val="000000"/>
          <w:sz w:val="20"/>
          <w:szCs w:val="20"/>
          <w:lang w:val="fr-BE" w:eastAsia="hu-HU"/>
        </w:rPr>
      </w:pPr>
      <w:r>
        <w:rPr>
          <w:rFonts w:ascii="Times New Roman" w:eastAsia="Times New Roman" w:hAnsi="Times New Roman" w:cs="Times New Roman"/>
          <w:color w:val="000000"/>
          <w:sz w:val="20"/>
          <w:szCs w:val="20"/>
          <w:lang w:val="en-GB" w:eastAsia="hu-HU"/>
        </w:rPr>
        <w:t>Easterly, W. (1999). Life during growth. </w:t>
      </w:r>
      <w:r>
        <w:rPr>
          <w:rFonts w:ascii="Times New Roman" w:eastAsia="Times New Roman" w:hAnsi="Times New Roman" w:cs="Times New Roman"/>
          <w:i/>
          <w:iCs/>
          <w:color w:val="000000"/>
          <w:sz w:val="20"/>
          <w:szCs w:val="20"/>
          <w:lang w:val="en-GB" w:eastAsia="hu-HU"/>
        </w:rPr>
        <w:t>Journal of economic growth</w:t>
      </w:r>
      <w:r>
        <w:rPr>
          <w:rFonts w:ascii="Times New Roman" w:eastAsia="Times New Roman" w:hAnsi="Times New Roman" w:cs="Times New Roman"/>
          <w:color w:val="000000"/>
          <w:sz w:val="20"/>
          <w:szCs w:val="20"/>
          <w:lang w:val="en-GB" w:eastAsia="hu-HU"/>
        </w:rPr>
        <w:t>, </w:t>
      </w:r>
      <w:r>
        <w:rPr>
          <w:rFonts w:ascii="Times New Roman" w:eastAsia="Times New Roman" w:hAnsi="Times New Roman" w:cs="Times New Roman"/>
          <w:i/>
          <w:iCs/>
          <w:color w:val="000000"/>
          <w:sz w:val="20"/>
          <w:szCs w:val="20"/>
          <w:lang w:val="en-GB" w:eastAsia="hu-HU"/>
        </w:rPr>
        <w:t>4</w:t>
      </w:r>
      <w:r>
        <w:rPr>
          <w:rFonts w:ascii="Times New Roman" w:eastAsia="Times New Roman" w:hAnsi="Times New Roman" w:cs="Times New Roman"/>
          <w:color w:val="000000"/>
          <w:sz w:val="20"/>
          <w:szCs w:val="20"/>
          <w:lang w:val="en-GB" w:eastAsia="hu-HU"/>
        </w:rPr>
        <w:t xml:space="preserve">(3), 239-276.Eme, B., &amp; Laville, J. L. (2006). </w:t>
      </w:r>
      <w:r>
        <w:rPr>
          <w:rFonts w:ascii="Times New Roman" w:eastAsia="Times New Roman" w:hAnsi="Times New Roman" w:cs="Times New Roman"/>
          <w:color w:val="000000"/>
          <w:sz w:val="20"/>
          <w:szCs w:val="20"/>
          <w:lang w:val="fr-BE" w:eastAsia="hu-HU"/>
        </w:rPr>
        <w:t xml:space="preserve">Économie solidaire. </w:t>
      </w:r>
      <w:r>
        <w:rPr>
          <w:rFonts w:ascii="Times New Roman" w:eastAsia="Times New Roman" w:hAnsi="Times New Roman" w:cs="Times New Roman"/>
          <w:i/>
          <w:iCs/>
          <w:color w:val="000000"/>
          <w:sz w:val="20"/>
          <w:szCs w:val="20"/>
          <w:lang w:val="fr-BE" w:eastAsia="hu-HU"/>
        </w:rPr>
        <w:t>Laville, JL., Cattani, AD.(eds), Dictionnaire de l’autre économie, Folio actuel, Gallimard, Paris</w:t>
      </w:r>
      <w:r>
        <w:rPr>
          <w:rFonts w:ascii="Times New Roman" w:eastAsia="Times New Roman" w:hAnsi="Times New Roman" w:cs="Times New Roman"/>
          <w:color w:val="000000"/>
          <w:sz w:val="20"/>
          <w:szCs w:val="20"/>
          <w:lang w:val="fr-BE" w:eastAsia="hu-HU"/>
        </w:rPr>
        <w:t>, 303-312.</w:t>
      </w:r>
    </w:p>
    <w:p w14:paraId="0AC76B74"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Esping-Andersen, G. (1999). </w:t>
      </w:r>
      <w:r>
        <w:rPr>
          <w:rFonts w:ascii="Times New Roman" w:eastAsia="Times New Roman" w:hAnsi="Times New Roman" w:cs="Times New Roman"/>
          <w:i/>
          <w:iCs/>
          <w:color w:val="000000"/>
          <w:sz w:val="20"/>
          <w:szCs w:val="20"/>
          <w:lang w:val="en-GB" w:eastAsia="hu-HU"/>
        </w:rPr>
        <w:t>Social foundations of postindustrial economies</w:t>
      </w:r>
      <w:r>
        <w:rPr>
          <w:rFonts w:ascii="Times New Roman" w:eastAsia="Times New Roman" w:hAnsi="Times New Roman" w:cs="Times New Roman"/>
          <w:color w:val="000000"/>
          <w:sz w:val="20"/>
          <w:szCs w:val="20"/>
          <w:lang w:val="en-GB" w:eastAsia="hu-HU"/>
        </w:rPr>
        <w:t>. Oxford University Press.</w:t>
      </w:r>
    </w:p>
    <w:p w14:paraId="1F71FB10"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lastRenderedPageBreak/>
        <w:t>Fedderke, J., &amp; Klitgaard, R. (1998). Economic growth and social indicators: an exploratory analysis. </w:t>
      </w:r>
      <w:r>
        <w:rPr>
          <w:rFonts w:ascii="Times New Roman" w:eastAsia="Times New Roman" w:hAnsi="Times New Roman" w:cs="Times New Roman"/>
          <w:i/>
          <w:iCs/>
          <w:color w:val="000000"/>
          <w:sz w:val="20"/>
          <w:szCs w:val="20"/>
          <w:lang w:val="en-GB" w:eastAsia="hu-HU"/>
        </w:rPr>
        <w:t>Economic development and cultural change</w:t>
      </w:r>
      <w:r>
        <w:rPr>
          <w:rFonts w:ascii="Times New Roman" w:eastAsia="Times New Roman" w:hAnsi="Times New Roman" w:cs="Times New Roman"/>
          <w:color w:val="000000"/>
          <w:sz w:val="20"/>
          <w:szCs w:val="20"/>
          <w:lang w:val="en-GB" w:eastAsia="hu-HU"/>
        </w:rPr>
        <w:t>, </w:t>
      </w:r>
      <w:r>
        <w:rPr>
          <w:rFonts w:ascii="Times New Roman" w:eastAsia="Times New Roman" w:hAnsi="Times New Roman" w:cs="Times New Roman"/>
          <w:i/>
          <w:iCs/>
          <w:color w:val="000000"/>
          <w:sz w:val="20"/>
          <w:szCs w:val="20"/>
          <w:lang w:val="en-GB" w:eastAsia="hu-HU"/>
        </w:rPr>
        <w:t>46</w:t>
      </w:r>
      <w:r>
        <w:rPr>
          <w:rFonts w:ascii="Times New Roman" w:eastAsia="Times New Roman" w:hAnsi="Times New Roman" w:cs="Times New Roman"/>
          <w:color w:val="000000"/>
          <w:sz w:val="20"/>
          <w:szCs w:val="20"/>
          <w:lang w:val="en-GB" w:eastAsia="hu-HU"/>
        </w:rPr>
        <w:t xml:space="preserve">(3), 455-489. </w:t>
      </w:r>
    </w:p>
    <w:p w14:paraId="72B957F2"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Frederiksen, P. (2012), Final Report Summary. POINT (Policy Influence of indicators). FP7-SSH.</w:t>
      </w:r>
    </w:p>
    <w:p w14:paraId="4B6FD586" w14:textId="77777777" w:rsidR="00577A45" w:rsidRDefault="004C2A6E">
      <w:pPr>
        <w:spacing w:after="0" w:line="240" w:lineRule="auto"/>
        <w:ind w:hanging="340"/>
        <w:rPr>
          <w:rFonts w:ascii="Times New Roman" w:eastAsia="Times New Roman" w:hAnsi="Times New Roman" w:cs="Times New Roman"/>
          <w:color w:val="000000"/>
          <w:sz w:val="20"/>
          <w:szCs w:val="20"/>
          <w:lang w:val="fr-BE" w:eastAsia="hu-HU"/>
        </w:rPr>
      </w:pPr>
      <w:r>
        <w:rPr>
          <w:rFonts w:ascii="Times New Roman" w:eastAsia="Times New Roman" w:hAnsi="Times New Roman" w:cs="Times New Roman"/>
          <w:color w:val="000000"/>
          <w:sz w:val="20"/>
          <w:szCs w:val="20"/>
          <w:lang w:val="en-GB" w:eastAsia="hu-HU"/>
        </w:rPr>
        <w:t>Fleurbaey, M., &amp; Blanchet, D. (2013). </w:t>
      </w:r>
      <w:r>
        <w:rPr>
          <w:rFonts w:ascii="Times New Roman" w:eastAsia="Times New Roman" w:hAnsi="Times New Roman" w:cs="Times New Roman"/>
          <w:i/>
          <w:iCs/>
          <w:color w:val="000000"/>
          <w:sz w:val="20"/>
          <w:szCs w:val="20"/>
          <w:lang w:val="en-GB" w:eastAsia="hu-HU"/>
        </w:rPr>
        <w:t>Beyond GDP: Measuring welfare and assessing sustainability</w:t>
      </w:r>
      <w:r>
        <w:rPr>
          <w:rFonts w:ascii="Times New Roman" w:eastAsia="Times New Roman" w:hAnsi="Times New Roman" w:cs="Times New Roman"/>
          <w:color w:val="000000"/>
          <w:sz w:val="20"/>
          <w:szCs w:val="20"/>
          <w:lang w:val="en-GB" w:eastAsia="hu-HU"/>
        </w:rPr>
        <w:t xml:space="preserve">. </w:t>
      </w:r>
      <w:r>
        <w:rPr>
          <w:rFonts w:ascii="Times New Roman" w:eastAsia="Times New Roman" w:hAnsi="Times New Roman" w:cs="Times New Roman"/>
          <w:color w:val="000000"/>
          <w:sz w:val="20"/>
          <w:szCs w:val="20"/>
          <w:lang w:val="fr-BE" w:eastAsia="hu-HU"/>
        </w:rPr>
        <w:t>Oxford University Press.</w:t>
      </w:r>
    </w:p>
    <w:p w14:paraId="1C5F6434"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fr-BE" w:eastAsia="hu-HU"/>
        </w:rPr>
        <w:t>Gadrey, J., &amp; Florence, J. C. (2010). </w:t>
      </w:r>
      <w:r>
        <w:rPr>
          <w:rFonts w:ascii="Times New Roman" w:eastAsia="Times New Roman" w:hAnsi="Times New Roman" w:cs="Times New Roman"/>
          <w:i/>
          <w:iCs/>
          <w:color w:val="000000"/>
          <w:sz w:val="20"/>
          <w:szCs w:val="20"/>
          <w:lang w:val="fr-BE" w:eastAsia="hu-HU"/>
        </w:rPr>
        <w:t>Les nouveaux indicateurs de richesse</w:t>
      </w:r>
      <w:r>
        <w:rPr>
          <w:rFonts w:ascii="Times New Roman" w:eastAsia="Times New Roman" w:hAnsi="Times New Roman" w:cs="Times New Roman"/>
          <w:color w:val="000000"/>
          <w:sz w:val="20"/>
          <w:szCs w:val="20"/>
          <w:lang w:val="fr-BE" w:eastAsia="hu-HU"/>
        </w:rPr>
        <w:t xml:space="preserve">. </w:t>
      </w:r>
      <w:r>
        <w:rPr>
          <w:rFonts w:ascii="Times New Roman" w:eastAsia="Times New Roman" w:hAnsi="Times New Roman" w:cs="Times New Roman"/>
          <w:color w:val="000000"/>
          <w:sz w:val="20"/>
          <w:szCs w:val="20"/>
          <w:lang w:val="en-GB" w:eastAsia="hu-HU"/>
        </w:rPr>
        <w:t xml:space="preserve">La Découverte. </w:t>
      </w:r>
    </w:p>
    <w:p w14:paraId="1293CF4C"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 xml:space="preserve">Georgescu-Roegen N. (1971), </w:t>
      </w:r>
      <w:r>
        <w:rPr>
          <w:rFonts w:ascii="Times New Roman" w:eastAsia="Times New Roman" w:hAnsi="Times New Roman" w:cs="Times New Roman"/>
          <w:i/>
          <w:iCs/>
          <w:color w:val="000000"/>
          <w:sz w:val="20"/>
          <w:szCs w:val="20"/>
          <w:lang w:val="en-GB" w:eastAsia="hu-HU"/>
        </w:rPr>
        <w:t xml:space="preserve">The Entropy Law and the Economic Process, </w:t>
      </w:r>
      <w:r>
        <w:rPr>
          <w:rFonts w:ascii="Times New Roman" w:eastAsia="Times New Roman" w:hAnsi="Times New Roman" w:cs="Times New Roman"/>
          <w:color w:val="000000"/>
          <w:sz w:val="20"/>
          <w:szCs w:val="20"/>
          <w:lang w:val="en-GB" w:eastAsia="hu-HU"/>
        </w:rPr>
        <w:t>Harvard University Press.</w:t>
      </w:r>
    </w:p>
    <w:p w14:paraId="4B84571F"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 xml:space="preserve">Haas, P.M. (1992). Epistemic communities and international policy coordination: Introduction. </w:t>
      </w:r>
      <w:r>
        <w:rPr>
          <w:rFonts w:ascii="Times New Roman" w:eastAsia="Times New Roman" w:hAnsi="Times New Roman" w:cs="Times New Roman"/>
          <w:i/>
          <w:iCs/>
          <w:color w:val="000000"/>
          <w:sz w:val="20"/>
          <w:szCs w:val="20"/>
          <w:lang w:val="en-GB" w:eastAsia="hu-HU"/>
        </w:rPr>
        <w:t>International Organization</w:t>
      </w:r>
      <w:r>
        <w:rPr>
          <w:rFonts w:ascii="Times New Roman" w:eastAsia="Times New Roman" w:hAnsi="Times New Roman" w:cs="Times New Roman"/>
          <w:color w:val="000000"/>
          <w:sz w:val="20"/>
          <w:szCs w:val="20"/>
          <w:lang w:val="en-GB" w:eastAsia="hu-HU"/>
        </w:rPr>
        <w:t xml:space="preserve">, </w:t>
      </w:r>
      <w:r>
        <w:rPr>
          <w:rFonts w:ascii="Times New Roman" w:eastAsia="Times New Roman" w:hAnsi="Times New Roman" w:cs="Times New Roman"/>
          <w:bCs/>
          <w:color w:val="000000"/>
          <w:sz w:val="20"/>
          <w:szCs w:val="20"/>
          <w:lang w:val="en-GB" w:eastAsia="hu-HU"/>
        </w:rPr>
        <w:t>46</w:t>
      </w:r>
      <w:r>
        <w:rPr>
          <w:rFonts w:ascii="Times New Roman" w:eastAsia="Times New Roman" w:hAnsi="Times New Roman" w:cs="Times New Roman"/>
          <w:color w:val="000000"/>
          <w:sz w:val="20"/>
          <w:szCs w:val="20"/>
          <w:lang w:val="en-GB" w:eastAsia="hu-HU"/>
        </w:rPr>
        <w:t>, 1‒35.</w:t>
      </w:r>
    </w:p>
    <w:p w14:paraId="2F0F292A"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Hak T., Janoušková S., Abdallah S., Seaford C., Mahony S. (2012), « Review report on Beyond GDP indicators », BRAINPOoL deliverable 1.1.</w:t>
      </w:r>
    </w:p>
    <w:p w14:paraId="73AAEF1F" w14:textId="77777777" w:rsidR="00577A45" w:rsidRDefault="004C2A6E">
      <w:pPr>
        <w:spacing w:after="0" w:line="240" w:lineRule="auto"/>
        <w:ind w:hanging="340"/>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Haq, M. (1995). </w:t>
      </w:r>
      <w:r>
        <w:rPr>
          <w:rFonts w:ascii="Times New Roman" w:eastAsia="Times New Roman" w:hAnsi="Times New Roman" w:cs="Times New Roman"/>
          <w:i/>
          <w:iCs/>
          <w:color w:val="000000"/>
          <w:sz w:val="20"/>
          <w:szCs w:val="20"/>
          <w:lang w:eastAsia="hu-HU"/>
        </w:rPr>
        <w:t>Reflections on human development</w:t>
      </w:r>
      <w:r>
        <w:rPr>
          <w:rFonts w:ascii="Times New Roman" w:eastAsia="Times New Roman" w:hAnsi="Times New Roman" w:cs="Times New Roman"/>
          <w:color w:val="000000"/>
          <w:sz w:val="20"/>
          <w:szCs w:val="20"/>
          <w:lang w:eastAsia="hu-HU"/>
        </w:rPr>
        <w:t>. oxford university Press.</w:t>
      </w:r>
    </w:p>
    <w:p w14:paraId="7FA4614F"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Hopkins, R. (2008). </w:t>
      </w:r>
      <w:r>
        <w:rPr>
          <w:rFonts w:ascii="Times New Roman" w:eastAsia="Times New Roman" w:hAnsi="Times New Roman" w:cs="Times New Roman"/>
          <w:i/>
          <w:iCs/>
          <w:color w:val="000000"/>
          <w:sz w:val="20"/>
          <w:szCs w:val="20"/>
          <w:lang w:val="en-GB" w:eastAsia="hu-HU"/>
        </w:rPr>
        <w:t>The transition handbook: from oil dependency to local resilience</w:t>
      </w:r>
      <w:r>
        <w:rPr>
          <w:rFonts w:ascii="Times New Roman" w:eastAsia="Times New Roman" w:hAnsi="Times New Roman" w:cs="Times New Roman"/>
          <w:color w:val="000000"/>
          <w:sz w:val="20"/>
          <w:szCs w:val="20"/>
          <w:lang w:val="en-GB" w:eastAsia="hu-HU"/>
        </w:rPr>
        <w:t>. Totnes: Green books.</w:t>
      </w:r>
    </w:p>
    <w:p w14:paraId="60360703"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Hsu, A. et al. (2016). 2016 Environmental Performance Index. Raw data. New Haven, CT: Yale University</w:t>
      </w:r>
    </w:p>
    <w:p w14:paraId="13B7ECE9"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Inglehart, R., &amp; Klingemann, H. D. (2000). Genes, culture, democracy, and happiness. </w:t>
      </w:r>
      <w:r>
        <w:rPr>
          <w:rFonts w:ascii="Times New Roman" w:eastAsia="Times New Roman" w:hAnsi="Times New Roman" w:cs="Times New Roman"/>
          <w:i/>
          <w:iCs/>
          <w:color w:val="000000"/>
          <w:sz w:val="20"/>
          <w:szCs w:val="20"/>
          <w:lang w:val="en-GB" w:eastAsia="hu-HU"/>
        </w:rPr>
        <w:t>Culture and subjective well-being</w:t>
      </w:r>
      <w:r>
        <w:rPr>
          <w:rFonts w:ascii="Times New Roman" w:eastAsia="Times New Roman" w:hAnsi="Times New Roman" w:cs="Times New Roman"/>
          <w:color w:val="000000"/>
          <w:sz w:val="20"/>
          <w:szCs w:val="20"/>
          <w:lang w:val="en-GB" w:eastAsia="hu-HU"/>
        </w:rPr>
        <w:t>, 165-183.</w:t>
      </w:r>
    </w:p>
    <w:p w14:paraId="120872ED"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Innes, J. E. (1989). Disappointments and legacies of social indicators. </w:t>
      </w:r>
      <w:r>
        <w:rPr>
          <w:rFonts w:ascii="Times New Roman" w:eastAsia="Times New Roman" w:hAnsi="Times New Roman" w:cs="Times New Roman"/>
          <w:i/>
          <w:iCs/>
          <w:color w:val="000000"/>
          <w:sz w:val="20"/>
          <w:szCs w:val="20"/>
          <w:lang w:val="en-GB" w:eastAsia="hu-HU"/>
        </w:rPr>
        <w:t>Journal of Public Policy</w:t>
      </w:r>
      <w:r>
        <w:rPr>
          <w:rFonts w:ascii="Times New Roman" w:eastAsia="Times New Roman" w:hAnsi="Times New Roman" w:cs="Times New Roman"/>
          <w:color w:val="000000"/>
          <w:sz w:val="20"/>
          <w:szCs w:val="20"/>
          <w:lang w:val="en-GB" w:eastAsia="hu-HU"/>
        </w:rPr>
        <w:t>, </w:t>
      </w:r>
      <w:r>
        <w:rPr>
          <w:rFonts w:ascii="Times New Roman" w:eastAsia="Times New Roman" w:hAnsi="Times New Roman" w:cs="Times New Roman"/>
          <w:i/>
          <w:iCs/>
          <w:color w:val="000000"/>
          <w:sz w:val="20"/>
          <w:szCs w:val="20"/>
          <w:lang w:val="en-GB" w:eastAsia="hu-HU"/>
        </w:rPr>
        <w:t>9</w:t>
      </w:r>
      <w:r>
        <w:rPr>
          <w:rFonts w:ascii="Times New Roman" w:eastAsia="Times New Roman" w:hAnsi="Times New Roman" w:cs="Times New Roman"/>
          <w:color w:val="000000"/>
          <w:sz w:val="20"/>
          <w:szCs w:val="20"/>
          <w:lang w:val="en-GB" w:eastAsia="hu-HU"/>
        </w:rPr>
        <w:t>(04), 429-432.</w:t>
      </w:r>
    </w:p>
    <w:p w14:paraId="692D9E20"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Jackson, T. (2016). </w:t>
      </w:r>
      <w:r>
        <w:rPr>
          <w:rFonts w:ascii="Times New Roman" w:eastAsia="Times New Roman" w:hAnsi="Times New Roman" w:cs="Times New Roman"/>
          <w:i/>
          <w:color w:val="000000"/>
          <w:sz w:val="20"/>
          <w:szCs w:val="20"/>
          <w:lang w:val="en-GB" w:eastAsia="hu-HU"/>
        </w:rPr>
        <w:t>Prosperity without Growth: Foundations for the Economy of Tomorrow.</w:t>
      </w:r>
      <w:r>
        <w:rPr>
          <w:rFonts w:ascii="Times New Roman" w:eastAsia="Times New Roman" w:hAnsi="Times New Roman" w:cs="Times New Roman"/>
          <w:color w:val="000000"/>
          <w:sz w:val="20"/>
          <w:szCs w:val="20"/>
          <w:lang w:val="en-GB" w:eastAsia="hu-HU"/>
        </w:rPr>
        <w:t xml:space="preserve"> Routledge.</w:t>
      </w:r>
    </w:p>
    <w:p w14:paraId="16181C07"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 xml:space="preserve">Jeffrey, K., Wheatley, H., Abdallah, S. (2016). </w:t>
      </w:r>
      <w:r>
        <w:rPr>
          <w:rFonts w:ascii="Times New Roman" w:eastAsia="Times New Roman" w:hAnsi="Times New Roman" w:cs="Times New Roman"/>
          <w:i/>
          <w:color w:val="000000"/>
          <w:sz w:val="20"/>
          <w:szCs w:val="20"/>
          <w:lang w:val="en-GB" w:eastAsia="hu-HU"/>
        </w:rPr>
        <w:t>The Happy Planet Index: 2016.  A global index of sustainable well-being.</w:t>
      </w:r>
      <w:r>
        <w:rPr>
          <w:rFonts w:ascii="Times New Roman" w:eastAsia="Times New Roman" w:hAnsi="Times New Roman" w:cs="Times New Roman"/>
          <w:color w:val="000000"/>
          <w:sz w:val="20"/>
          <w:szCs w:val="20"/>
          <w:lang w:val="en-GB" w:eastAsia="hu-HU"/>
        </w:rPr>
        <w:t xml:space="preserve"> London: New Economics Foundation. </w:t>
      </w:r>
    </w:p>
    <w:p w14:paraId="35F7E952"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 xml:space="preserve">Layard R. (2005), </w:t>
      </w:r>
      <w:r>
        <w:rPr>
          <w:rFonts w:ascii="Times New Roman" w:eastAsia="Times New Roman" w:hAnsi="Times New Roman" w:cs="Times New Roman"/>
          <w:i/>
          <w:iCs/>
          <w:color w:val="000000"/>
          <w:sz w:val="20"/>
          <w:szCs w:val="20"/>
          <w:lang w:val="en-GB" w:eastAsia="hu-HU"/>
        </w:rPr>
        <w:t>Happiness: lessons from a new science</w:t>
      </w:r>
      <w:r>
        <w:rPr>
          <w:rFonts w:ascii="Times New Roman" w:eastAsia="Times New Roman" w:hAnsi="Times New Roman" w:cs="Times New Roman"/>
          <w:color w:val="000000"/>
          <w:sz w:val="20"/>
          <w:szCs w:val="20"/>
          <w:lang w:val="en-GB" w:eastAsia="hu-HU"/>
        </w:rPr>
        <w:t>, London: Penguin Group.</w:t>
      </w:r>
    </w:p>
    <w:p w14:paraId="02BED226"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Lehtonen, M. (2015). Indicators: tools for informing, monitoring or controlling. </w:t>
      </w:r>
      <w:r>
        <w:rPr>
          <w:rFonts w:ascii="Times New Roman" w:eastAsia="Times New Roman" w:hAnsi="Times New Roman" w:cs="Times New Roman"/>
          <w:i/>
          <w:iCs/>
          <w:color w:val="000000"/>
          <w:sz w:val="20"/>
          <w:szCs w:val="20"/>
          <w:lang w:val="en-GB" w:eastAsia="hu-HU"/>
        </w:rPr>
        <w:t>The Tools of Policy Formulation: Actors, Capacities, Venues and Effects. Edward Elgar</w:t>
      </w:r>
      <w:r>
        <w:rPr>
          <w:rFonts w:ascii="Times New Roman" w:eastAsia="Times New Roman" w:hAnsi="Times New Roman" w:cs="Times New Roman"/>
          <w:color w:val="000000"/>
          <w:sz w:val="20"/>
          <w:szCs w:val="20"/>
          <w:lang w:val="en-GB" w:eastAsia="hu-HU"/>
        </w:rPr>
        <w:t>, 76-99.</w:t>
      </w:r>
    </w:p>
    <w:p w14:paraId="6D90A9BC"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Lehtonen, M., Sébastien, L., &amp; Bauler, T. (2016). The multiple roles of sustainability indicators in informational governance: between intended use and unanticipated influence. </w:t>
      </w:r>
      <w:r>
        <w:rPr>
          <w:rFonts w:ascii="Times New Roman" w:eastAsia="Times New Roman" w:hAnsi="Times New Roman" w:cs="Times New Roman"/>
          <w:i/>
          <w:iCs/>
          <w:color w:val="000000"/>
          <w:sz w:val="20"/>
          <w:szCs w:val="20"/>
          <w:lang w:val="en-GB" w:eastAsia="hu-HU"/>
        </w:rPr>
        <w:t>Current Opinion in Environmental Sustainability</w:t>
      </w:r>
      <w:r>
        <w:rPr>
          <w:rFonts w:ascii="Times New Roman" w:eastAsia="Times New Roman" w:hAnsi="Times New Roman" w:cs="Times New Roman"/>
          <w:color w:val="000000"/>
          <w:sz w:val="20"/>
          <w:szCs w:val="20"/>
          <w:lang w:val="en-GB" w:eastAsia="hu-HU"/>
        </w:rPr>
        <w:t>, </w:t>
      </w:r>
      <w:r>
        <w:rPr>
          <w:rFonts w:ascii="Times New Roman" w:eastAsia="Times New Roman" w:hAnsi="Times New Roman" w:cs="Times New Roman"/>
          <w:i/>
          <w:iCs/>
          <w:color w:val="000000"/>
          <w:sz w:val="20"/>
          <w:szCs w:val="20"/>
          <w:lang w:val="en-GB" w:eastAsia="hu-HU"/>
        </w:rPr>
        <w:t>18</w:t>
      </w:r>
      <w:r>
        <w:rPr>
          <w:rFonts w:ascii="Times New Roman" w:eastAsia="Times New Roman" w:hAnsi="Times New Roman" w:cs="Times New Roman"/>
          <w:color w:val="000000"/>
          <w:sz w:val="20"/>
          <w:szCs w:val="20"/>
          <w:lang w:val="en-GB" w:eastAsia="hu-HU"/>
        </w:rPr>
        <w:t xml:space="preserve">, 1-9. </w:t>
      </w:r>
    </w:p>
    <w:p w14:paraId="61CC7866"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Maridal, J. (2016). A Worldwide Measure of Societal Quality of Life. </w:t>
      </w:r>
      <w:r>
        <w:rPr>
          <w:rFonts w:ascii="Times New Roman" w:eastAsia="Times New Roman" w:hAnsi="Times New Roman" w:cs="Times New Roman"/>
          <w:i/>
          <w:iCs/>
          <w:color w:val="000000"/>
          <w:sz w:val="20"/>
          <w:szCs w:val="20"/>
          <w:lang w:val="en-GB" w:eastAsia="hu-HU"/>
        </w:rPr>
        <w:t>Social Indicators Research</w:t>
      </w:r>
      <w:r>
        <w:rPr>
          <w:rFonts w:ascii="Times New Roman" w:eastAsia="Times New Roman" w:hAnsi="Times New Roman" w:cs="Times New Roman"/>
          <w:color w:val="000000"/>
          <w:sz w:val="20"/>
          <w:szCs w:val="20"/>
          <w:lang w:val="en-GB" w:eastAsia="hu-HU"/>
        </w:rPr>
        <w:t>, 1-38.</w:t>
      </w:r>
    </w:p>
    <w:p w14:paraId="7C33CF92"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Martinez Alier, J. M. (2009). Socially sustainable economic de</w:t>
      </w:r>
      <w:r>
        <w:rPr>
          <w:rFonts w:ascii="Cambria Math" w:eastAsia="Times New Roman" w:hAnsi="Cambria Math" w:cs="Cambria Math"/>
          <w:color w:val="000000"/>
          <w:sz w:val="20"/>
          <w:szCs w:val="20"/>
          <w:lang w:val="en-GB" w:eastAsia="hu-HU"/>
        </w:rPr>
        <w:t>‐</w:t>
      </w:r>
      <w:r>
        <w:rPr>
          <w:rFonts w:ascii="Times New Roman" w:eastAsia="Times New Roman" w:hAnsi="Times New Roman" w:cs="Times New Roman"/>
          <w:color w:val="000000"/>
          <w:sz w:val="20"/>
          <w:szCs w:val="20"/>
          <w:lang w:val="en-GB" w:eastAsia="hu-HU"/>
        </w:rPr>
        <w:t>growth. </w:t>
      </w:r>
      <w:r>
        <w:rPr>
          <w:rFonts w:ascii="Times New Roman" w:eastAsia="Times New Roman" w:hAnsi="Times New Roman" w:cs="Times New Roman"/>
          <w:i/>
          <w:iCs/>
          <w:color w:val="000000"/>
          <w:sz w:val="20"/>
          <w:szCs w:val="20"/>
          <w:lang w:val="en-GB" w:eastAsia="hu-HU"/>
        </w:rPr>
        <w:t>Development and change</w:t>
      </w:r>
      <w:r>
        <w:rPr>
          <w:rFonts w:ascii="Times New Roman" w:eastAsia="Times New Roman" w:hAnsi="Times New Roman" w:cs="Times New Roman"/>
          <w:color w:val="000000"/>
          <w:sz w:val="20"/>
          <w:szCs w:val="20"/>
          <w:lang w:val="en-GB" w:eastAsia="hu-HU"/>
        </w:rPr>
        <w:t>, </w:t>
      </w:r>
      <w:r>
        <w:rPr>
          <w:rFonts w:ascii="Times New Roman" w:eastAsia="Times New Roman" w:hAnsi="Times New Roman" w:cs="Times New Roman"/>
          <w:i/>
          <w:iCs/>
          <w:color w:val="000000"/>
          <w:sz w:val="20"/>
          <w:szCs w:val="20"/>
          <w:lang w:val="en-GB" w:eastAsia="hu-HU"/>
        </w:rPr>
        <w:t>40</w:t>
      </w:r>
      <w:r>
        <w:rPr>
          <w:rFonts w:ascii="Times New Roman" w:eastAsia="Times New Roman" w:hAnsi="Times New Roman" w:cs="Times New Roman"/>
          <w:color w:val="000000"/>
          <w:sz w:val="20"/>
          <w:szCs w:val="20"/>
          <w:lang w:val="en-GB" w:eastAsia="hu-HU"/>
        </w:rPr>
        <w:t xml:space="preserve">(6), 1099-1119. </w:t>
      </w:r>
    </w:p>
    <w:p w14:paraId="6AAF112B"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eastAsia="hu-HU"/>
        </w:rPr>
        <w:t>Masood, E. (2016). </w:t>
      </w:r>
      <w:r>
        <w:rPr>
          <w:rFonts w:ascii="Times New Roman" w:eastAsia="Times New Roman" w:hAnsi="Times New Roman" w:cs="Times New Roman"/>
          <w:i/>
          <w:iCs/>
          <w:color w:val="000000"/>
          <w:sz w:val="20"/>
          <w:szCs w:val="20"/>
          <w:lang w:eastAsia="hu-HU"/>
        </w:rPr>
        <w:t>The Great Invention: The Story of GDP and the Making and Unmaking of the Modern World</w:t>
      </w:r>
      <w:r>
        <w:rPr>
          <w:rFonts w:ascii="Times New Roman" w:eastAsia="Times New Roman" w:hAnsi="Times New Roman" w:cs="Times New Roman"/>
          <w:color w:val="000000"/>
          <w:sz w:val="20"/>
          <w:szCs w:val="20"/>
          <w:lang w:eastAsia="hu-HU"/>
        </w:rPr>
        <w:t>. Pegasus Books.</w:t>
      </w:r>
      <w:r>
        <w:rPr>
          <w:rFonts w:ascii="Times New Roman" w:eastAsia="Times New Roman" w:hAnsi="Times New Roman" w:cs="Times New Roman"/>
          <w:color w:val="000000"/>
          <w:sz w:val="20"/>
          <w:szCs w:val="20"/>
          <w:lang w:val="en-GB" w:eastAsia="hu-HU"/>
        </w:rPr>
        <w:t xml:space="preserve"> </w:t>
      </w:r>
    </w:p>
    <w:p w14:paraId="593285A5"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McGillivray, M. (1991). The human development index: yet another redundant composite development indicator?. </w:t>
      </w:r>
      <w:r>
        <w:rPr>
          <w:rFonts w:ascii="Times New Roman" w:eastAsia="Times New Roman" w:hAnsi="Times New Roman" w:cs="Times New Roman"/>
          <w:i/>
          <w:iCs/>
          <w:color w:val="000000"/>
          <w:sz w:val="20"/>
          <w:szCs w:val="20"/>
          <w:lang w:val="en-GB" w:eastAsia="hu-HU"/>
        </w:rPr>
        <w:t>World Development</w:t>
      </w:r>
      <w:r>
        <w:rPr>
          <w:rFonts w:ascii="Times New Roman" w:eastAsia="Times New Roman" w:hAnsi="Times New Roman" w:cs="Times New Roman"/>
          <w:color w:val="000000"/>
          <w:sz w:val="20"/>
          <w:szCs w:val="20"/>
          <w:lang w:val="en-GB" w:eastAsia="hu-HU"/>
        </w:rPr>
        <w:t>, </w:t>
      </w:r>
      <w:r>
        <w:rPr>
          <w:rFonts w:ascii="Times New Roman" w:eastAsia="Times New Roman" w:hAnsi="Times New Roman" w:cs="Times New Roman"/>
          <w:i/>
          <w:iCs/>
          <w:color w:val="000000"/>
          <w:sz w:val="20"/>
          <w:szCs w:val="20"/>
          <w:lang w:val="en-GB" w:eastAsia="hu-HU"/>
        </w:rPr>
        <w:t>19</w:t>
      </w:r>
      <w:r>
        <w:rPr>
          <w:rFonts w:ascii="Times New Roman" w:eastAsia="Times New Roman" w:hAnsi="Times New Roman" w:cs="Times New Roman"/>
          <w:color w:val="000000"/>
          <w:sz w:val="20"/>
          <w:szCs w:val="20"/>
          <w:lang w:val="en-GB" w:eastAsia="hu-HU"/>
        </w:rPr>
        <w:t>(10), 1461-1468.</w:t>
      </w:r>
    </w:p>
    <w:p w14:paraId="023E01C8"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Morse, S. (2016). Measuring the success of sustainable development indices in terms of reporting by the global press. </w:t>
      </w:r>
      <w:r>
        <w:rPr>
          <w:rFonts w:ascii="Times New Roman" w:eastAsia="Times New Roman" w:hAnsi="Times New Roman" w:cs="Times New Roman"/>
          <w:i/>
          <w:iCs/>
          <w:color w:val="000000"/>
          <w:sz w:val="20"/>
          <w:szCs w:val="20"/>
          <w:lang w:val="en-GB" w:eastAsia="hu-HU"/>
        </w:rPr>
        <w:t>Social Indicators Research</w:t>
      </w:r>
      <w:r>
        <w:rPr>
          <w:rFonts w:ascii="Times New Roman" w:eastAsia="Times New Roman" w:hAnsi="Times New Roman" w:cs="Times New Roman"/>
          <w:color w:val="000000"/>
          <w:sz w:val="20"/>
          <w:szCs w:val="20"/>
          <w:lang w:val="en-GB" w:eastAsia="hu-HU"/>
        </w:rPr>
        <w:t>, </w:t>
      </w:r>
      <w:r>
        <w:rPr>
          <w:rFonts w:ascii="Times New Roman" w:eastAsia="Times New Roman" w:hAnsi="Times New Roman" w:cs="Times New Roman"/>
          <w:i/>
          <w:iCs/>
          <w:color w:val="000000"/>
          <w:sz w:val="20"/>
          <w:szCs w:val="20"/>
          <w:lang w:val="en-GB" w:eastAsia="hu-HU"/>
        </w:rPr>
        <w:t>125</w:t>
      </w:r>
      <w:r>
        <w:rPr>
          <w:rFonts w:ascii="Times New Roman" w:eastAsia="Times New Roman" w:hAnsi="Times New Roman" w:cs="Times New Roman"/>
          <w:color w:val="000000"/>
          <w:sz w:val="20"/>
          <w:szCs w:val="20"/>
          <w:lang w:val="en-GB" w:eastAsia="hu-HU"/>
        </w:rPr>
        <w:t>(2), 359-375.North, D. С. (1991). Institutions STÖR. </w:t>
      </w:r>
      <w:r>
        <w:rPr>
          <w:rFonts w:ascii="Times New Roman" w:eastAsia="Times New Roman" w:hAnsi="Times New Roman" w:cs="Times New Roman"/>
          <w:i/>
          <w:iCs/>
          <w:color w:val="000000"/>
          <w:sz w:val="20"/>
          <w:szCs w:val="20"/>
          <w:lang w:val="en-GB" w:eastAsia="hu-HU"/>
        </w:rPr>
        <w:t>The Journal of Economic Perspectives</w:t>
      </w:r>
      <w:r>
        <w:rPr>
          <w:rFonts w:ascii="Times New Roman" w:eastAsia="Times New Roman" w:hAnsi="Times New Roman" w:cs="Times New Roman"/>
          <w:color w:val="000000"/>
          <w:sz w:val="20"/>
          <w:szCs w:val="20"/>
          <w:lang w:val="en-GB" w:eastAsia="hu-HU"/>
        </w:rPr>
        <w:t>, </w:t>
      </w:r>
      <w:r>
        <w:rPr>
          <w:rFonts w:ascii="Times New Roman" w:eastAsia="Times New Roman" w:hAnsi="Times New Roman" w:cs="Times New Roman"/>
          <w:i/>
          <w:iCs/>
          <w:color w:val="000000"/>
          <w:sz w:val="20"/>
          <w:szCs w:val="20"/>
          <w:lang w:val="en-GB" w:eastAsia="hu-HU"/>
        </w:rPr>
        <w:t>5</w:t>
      </w:r>
      <w:r>
        <w:rPr>
          <w:rFonts w:ascii="Times New Roman" w:eastAsia="Times New Roman" w:hAnsi="Times New Roman" w:cs="Times New Roman"/>
          <w:color w:val="000000"/>
          <w:sz w:val="20"/>
          <w:szCs w:val="20"/>
          <w:lang w:val="en-GB" w:eastAsia="hu-HU"/>
        </w:rPr>
        <w:t>(1), 97-112.</w:t>
      </w:r>
    </w:p>
    <w:p w14:paraId="1FD70C48"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eastAsia="hu-HU"/>
        </w:rPr>
        <w:t xml:space="preserve">O’Neill, D., Dietz, R., &amp; Jones, N. (2010). Enough is Enough. Ideas for a Sustainable Economy in a World of Finite Resources. The Report of the Steady State Economy </w:t>
      </w:r>
      <w:r>
        <w:rPr>
          <w:rFonts w:ascii="Times New Roman" w:eastAsia="Times New Roman" w:hAnsi="Times New Roman" w:cs="Times New Roman"/>
          <w:color w:val="000000"/>
          <w:sz w:val="20"/>
          <w:szCs w:val="20"/>
          <w:lang w:eastAsia="hu-HU"/>
        </w:rPr>
        <w:lastRenderedPageBreak/>
        <w:t>Conference. </w:t>
      </w:r>
      <w:r>
        <w:rPr>
          <w:rFonts w:ascii="Times New Roman" w:eastAsia="Times New Roman" w:hAnsi="Times New Roman" w:cs="Times New Roman"/>
          <w:i/>
          <w:iCs/>
          <w:color w:val="000000"/>
          <w:sz w:val="20"/>
          <w:szCs w:val="20"/>
          <w:lang w:eastAsia="hu-HU"/>
        </w:rPr>
        <w:t>Center for the Advancement of the Steady State Economy (Arlington, Virginia, USA) and Economic Justice for All (Leeds, UK)</w:t>
      </w:r>
      <w:r>
        <w:rPr>
          <w:rFonts w:ascii="Times New Roman" w:eastAsia="Times New Roman" w:hAnsi="Times New Roman" w:cs="Times New Roman"/>
          <w:color w:val="000000"/>
          <w:sz w:val="20"/>
          <w:szCs w:val="20"/>
          <w:lang w:eastAsia="hu-HU"/>
        </w:rPr>
        <w:t>.</w:t>
      </w:r>
      <w:r>
        <w:rPr>
          <w:rFonts w:ascii="Times New Roman" w:eastAsia="Times New Roman" w:hAnsi="Times New Roman" w:cs="Times New Roman"/>
          <w:color w:val="000000"/>
          <w:sz w:val="20"/>
          <w:szCs w:val="20"/>
          <w:lang w:val="en-GB" w:eastAsia="hu-HU"/>
        </w:rPr>
        <w:t xml:space="preserve"> </w:t>
      </w:r>
    </w:p>
    <w:p w14:paraId="17FEE999"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Parsons, T. (1967). Some ingredients of a general theory of formal organization. </w:t>
      </w:r>
      <w:r>
        <w:rPr>
          <w:rFonts w:ascii="Times New Roman" w:eastAsia="Times New Roman" w:hAnsi="Times New Roman" w:cs="Times New Roman"/>
          <w:i/>
          <w:iCs/>
          <w:color w:val="000000"/>
          <w:sz w:val="20"/>
          <w:szCs w:val="20"/>
          <w:lang w:val="en-GB" w:eastAsia="hu-HU"/>
        </w:rPr>
        <w:t>Administrative theory in education</w:t>
      </w:r>
      <w:r>
        <w:rPr>
          <w:rFonts w:ascii="Times New Roman" w:eastAsia="Times New Roman" w:hAnsi="Times New Roman" w:cs="Times New Roman"/>
          <w:color w:val="000000"/>
          <w:sz w:val="20"/>
          <w:szCs w:val="20"/>
          <w:lang w:val="en-GB" w:eastAsia="hu-HU"/>
        </w:rPr>
        <w:t>, 40-72.</w:t>
      </w:r>
    </w:p>
    <w:p w14:paraId="295448FB"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Piketty, T. (2014). </w:t>
      </w:r>
      <w:r>
        <w:rPr>
          <w:rFonts w:ascii="Times New Roman" w:eastAsia="Times New Roman" w:hAnsi="Times New Roman" w:cs="Times New Roman"/>
          <w:i/>
          <w:iCs/>
          <w:color w:val="000000"/>
          <w:sz w:val="20"/>
          <w:szCs w:val="20"/>
          <w:lang w:val="en-GB" w:eastAsia="hu-HU"/>
        </w:rPr>
        <w:t>Capital in the Twenty-First Century</w:t>
      </w:r>
      <w:r>
        <w:rPr>
          <w:rFonts w:ascii="Times New Roman" w:eastAsia="Times New Roman" w:hAnsi="Times New Roman" w:cs="Times New Roman"/>
          <w:color w:val="000000"/>
          <w:sz w:val="20"/>
          <w:szCs w:val="20"/>
          <w:lang w:val="en-GB" w:eastAsia="hu-HU"/>
        </w:rPr>
        <w:t>, Belknap: Cambridge, MA.</w:t>
      </w:r>
    </w:p>
    <w:p w14:paraId="21809A14" w14:textId="77777777" w:rsidR="00577A45" w:rsidRDefault="004C2A6E">
      <w:pPr>
        <w:spacing w:after="0" w:line="240" w:lineRule="auto"/>
        <w:ind w:hanging="340"/>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 xml:space="preserve">Porter, M. E., &amp; Kramer, M. R. (2011). Creating shared value: How to reinvent capitalism—and unleash a wave of innovation and growth. </w:t>
      </w:r>
      <w:r>
        <w:rPr>
          <w:rFonts w:ascii="Times New Roman" w:eastAsia="Times New Roman" w:hAnsi="Times New Roman" w:cs="Times New Roman"/>
          <w:i/>
          <w:color w:val="000000"/>
          <w:sz w:val="20"/>
          <w:szCs w:val="20"/>
          <w:lang w:eastAsia="hu-HU"/>
        </w:rPr>
        <w:t>Harvard Business Review</w:t>
      </w:r>
      <w:r>
        <w:rPr>
          <w:rFonts w:ascii="Times New Roman" w:eastAsia="Times New Roman" w:hAnsi="Times New Roman" w:cs="Times New Roman"/>
          <w:color w:val="000000"/>
          <w:sz w:val="20"/>
          <w:szCs w:val="20"/>
          <w:lang w:eastAsia="hu-HU"/>
        </w:rPr>
        <w:t xml:space="preserve"> January–February.</w:t>
      </w:r>
    </w:p>
    <w:p w14:paraId="5DA3C363"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Porter, M. E., Stern, S., &amp; Loria, R. A. (2016). Social progress index 2016. </w:t>
      </w:r>
      <w:r>
        <w:rPr>
          <w:rFonts w:ascii="Times New Roman" w:eastAsia="Times New Roman" w:hAnsi="Times New Roman" w:cs="Times New Roman"/>
          <w:i/>
          <w:iCs/>
          <w:color w:val="000000"/>
          <w:sz w:val="20"/>
          <w:szCs w:val="20"/>
          <w:lang w:val="en-GB" w:eastAsia="hu-HU"/>
        </w:rPr>
        <w:t>Washington, DC: Social Progress Imperative</w:t>
      </w:r>
      <w:r>
        <w:rPr>
          <w:rFonts w:ascii="Times New Roman" w:eastAsia="Times New Roman" w:hAnsi="Times New Roman" w:cs="Times New Roman"/>
          <w:color w:val="000000"/>
          <w:sz w:val="20"/>
          <w:szCs w:val="20"/>
          <w:lang w:val="en-GB" w:eastAsia="hu-HU"/>
        </w:rPr>
        <w:t>.</w:t>
      </w:r>
    </w:p>
    <w:p w14:paraId="6E8B89CC"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Rinne, J., Lyytimäki, J., &amp; Kautto, P. (2013). From sustainability to well-being: Lessons learned from the use of sustainable development indicators at national and EU level. </w:t>
      </w:r>
      <w:r>
        <w:rPr>
          <w:rFonts w:ascii="Times New Roman" w:eastAsia="Times New Roman" w:hAnsi="Times New Roman" w:cs="Times New Roman"/>
          <w:i/>
          <w:iCs/>
          <w:color w:val="000000"/>
          <w:sz w:val="20"/>
          <w:szCs w:val="20"/>
          <w:lang w:val="en-GB" w:eastAsia="hu-HU"/>
        </w:rPr>
        <w:t>Ecological indicators</w:t>
      </w:r>
      <w:r>
        <w:rPr>
          <w:rFonts w:ascii="Times New Roman" w:eastAsia="Times New Roman" w:hAnsi="Times New Roman" w:cs="Times New Roman"/>
          <w:color w:val="000000"/>
          <w:sz w:val="20"/>
          <w:szCs w:val="20"/>
          <w:lang w:val="en-GB" w:eastAsia="hu-HU"/>
        </w:rPr>
        <w:t>, </w:t>
      </w:r>
      <w:r>
        <w:rPr>
          <w:rFonts w:ascii="Times New Roman" w:eastAsia="Times New Roman" w:hAnsi="Times New Roman" w:cs="Times New Roman"/>
          <w:i/>
          <w:iCs/>
          <w:color w:val="000000"/>
          <w:sz w:val="20"/>
          <w:szCs w:val="20"/>
          <w:lang w:val="en-GB" w:eastAsia="hu-HU"/>
        </w:rPr>
        <w:t>35</w:t>
      </w:r>
      <w:r>
        <w:rPr>
          <w:rFonts w:ascii="Times New Roman" w:eastAsia="Times New Roman" w:hAnsi="Times New Roman" w:cs="Times New Roman"/>
          <w:color w:val="000000"/>
          <w:sz w:val="20"/>
          <w:szCs w:val="20"/>
          <w:lang w:val="en-GB" w:eastAsia="hu-HU"/>
        </w:rPr>
        <w:t>, 35-42.</w:t>
      </w:r>
    </w:p>
    <w:p w14:paraId="7A325955"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US" w:eastAsia="hu-HU"/>
        </w:rPr>
        <w:t xml:space="preserve">Risse, T. (2002). Transnational Actors and World Politics. </w:t>
      </w:r>
      <w:r>
        <w:rPr>
          <w:rFonts w:ascii="Times New Roman" w:eastAsia="Times New Roman" w:hAnsi="Times New Roman" w:cs="Times New Roman"/>
          <w:i/>
          <w:iCs/>
          <w:color w:val="000000"/>
          <w:sz w:val="20"/>
          <w:szCs w:val="20"/>
          <w:lang w:val="en-US" w:eastAsia="hu-HU"/>
        </w:rPr>
        <w:t>Handbook of International Relations</w:t>
      </w:r>
      <w:r>
        <w:rPr>
          <w:rFonts w:ascii="Times New Roman" w:eastAsia="Times New Roman" w:hAnsi="Times New Roman" w:cs="Times New Roman"/>
          <w:color w:val="000000"/>
          <w:sz w:val="20"/>
          <w:szCs w:val="20"/>
          <w:lang w:val="en-US" w:eastAsia="hu-HU"/>
        </w:rPr>
        <w:t>, 335-360.</w:t>
      </w:r>
      <w:r>
        <w:rPr>
          <w:rFonts w:ascii="Times New Roman" w:eastAsia="Times New Roman" w:hAnsi="Times New Roman" w:cs="Times New Roman"/>
          <w:color w:val="000000"/>
          <w:sz w:val="20"/>
          <w:szCs w:val="20"/>
          <w:lang w:val="en-GB" w:eastAsia="hu-HU"/>
        </w:rPr>
        <w:t xml:space="preserve"> </w:t>
      </w:r>
    </w:p>
    <w:p w14:paraId="789A0664"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 xml:space="preserve">Rockström J., Sachs J., Öhman M., Schmidt-Traub G. (2013). Sustainable development and planetary boundaries, </w:t>
      </w:r>
      <w:r>
        <w:rPr>
          <w:rFonts w:ascii="Times New Roman" w:eastAsia="Times New Roman" w:hAnsi="Times New Roman" w:cs="Times New Roman"/>
          <w:i/>
          <w:color w:val="000000"/>
          <w:sz w:val="20"/>
          <w:szCs w:val="20"/>
          <w:lang w:val="en-GB" w:eastAsia="hu-HU"/>
        </w:rPr>
        <w:t>Background research paper</w:t>
      </w:r>
      <w:r>
        <w:rPr>
          <w:rFonts w:ascii="Times New Roman" w:eastAsia="Times New Roman" w:hAnsi="Times New Roman" w:cs="Times New Roman"/>
          <w:color w:val="000000"/>
          <w:sz w:val="20"/>
          <w:szCs w:val="20"/>
          <w:lang w:val="en-GB" w:eastAsia="hu-HU"/>
        </w:rPr>
        <w:t>, High Level Panel on the Post-2015 Development Agenda.</w:t>
      </w:r>
    </w:p>
    <w:p w14:paraId="47F4158D"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Sabatier, P. A. (1998). The advocacy coalition framework: revisions and relevance for Europe. </w:t>
      </w:r>
      <w:r>
        <w:rPr>
          <w:rFonts w:ascii="Times New Roman" w:eastAsia="Times New Roman" w:hAnsi="Times New Roman" w:cs="Times New Roman"/>
          <w:i/>
          <w:iCs/>
          <w:color w:val="000000"/>
          <w:sz w:val="20"/>
          <w:szCs w:val="20"/>
          <w:lang w:val="en-GB" w:eastAsia="hu-HU"/>
        </w:rPr>
        <w:t>Journal of European public policy</w:t>
      </w:r>
      <w:r>
        <w:rPr>
          <w:rFonts w:ascii="Times New Roman" w:eastAsia="Times New Roman" w:hAnsi="Times New Roman" w:cs="Times New Roman"/>
          <w:color w:val="000000"/>
          <w:sz w:val="20"/>
          <w:szCs w:val="20"/>
          <w:lang w:val="en-GB" w:eastAsia="hu-HU"/>
        </w:rPr>
        <w:t>, </w:t>
      </w:r>
      <w:r>
        <w:rPr>
          <w:rFonts w:ascii="Times New Roman" w:eastAsia="Times New Roman" w:hAnsi="Times New Roman" w:cs="Times New Roman"/>
          <w:i/>
          <w:iCs/>
          <w:color w:val="000000"/>
          <w:sz w:val="20"/>
          <w:szCs w:val="20"/>
          <w:lang w:val="en-GB" w:eastAsia="hu-HU"/>
        </w:rPr>
        <w:t>5</w:t>
      </w:r>
      <w:r>
        <w:rPr>
          <w:rFonts w:ascii="Times New Roman" w:eastAsia="Times New Roman" w:hAnsi="Times New Roman" w:cs="Times New Roman"/>
          <w:color w:val="000000"/>
          <w:sz w:val="20"/>
          <w:szCs w:val="20"/>
          <w:lang w:val="en-GB" w:eastAsia="hu-HU"/>
        </w:rPr>
        <w:t>(1), 98-130.</w:t>
      </w:r>
    </w:p>
    <w:p w14:paraId="79EB995C" w14:textId="77777777" w:rsidR="00577A45" w:rsidRDefault="004C2A6E">
      <w:pPr>
        <w:spacing w:after="0" w:line="240" w:lineRule="auto"/>
        <w:ind w:hanging="340"/>
        <w:rPr>
          <w:rFonts w:ascii="Times New Roman" w:eastAsia="Times New Roman" w:hAnsi="Times New Roman" w:cs="Times New Roman"/>
          <w:color w:val="000000"/>
          <w:sz w:val="20"/>
          <w:szCs w:val="20"/>
          <w:lang w:val="en-US" w:eastAsia="hu-HU"/>
        </w:rPr>
      </w:pPr>
      <w:r>
        <w:rPr>
          <w:rFonts w:ascii="Times New Roman" w:eastAsia="Times New Roman" w:hAnsi="Times New Roman" w:cs="Times New Roman"/>
          <w:color w:val="000000"/>
          <w:sz w:val="20"/>
          <w:szCs w:val="20"/>
          <w:lang w:val="en-GB" w:eastAsia="hu-HU"/>
        </w:rPr>
        <w:t>Saisana, M., &amp; Philippas, D. (2012). Sustainable society index: Taking societies’ pulse along social, environmental and economic issues (Publication No. JRC 76108). </w:t>
      </w:r>
      <w:r>
        <w:rPr>
          <w:rFonts w:ascii="Times New Roman" w:eastAsia="Times New Roman" w:hAnsi="Times New Roman" w:cs="Times New Roman"/>
          <w:i/>
          <w:iCs/>
          <w:color w:val="000000"/>
          <w:sz w:val="20"/>
          <w:szCs w:val="20"/>
          <w:lang w:val="en-US" w:eastAsia="hu-HU"/>
        </w:rPr>
        <w:t>Luxembourg: Publication Office of the European Union</w:t>
      </w:r>
      <w:r>
        <w:rPr>
          <w:rFonts w:ascii="Times New Roman" w:eastAsia="Times New Roman" w:hAnsi="Times New Roman" w:cs="Times New Roman"/>
          <w:color w:val="000000"/>
          <w:sz w:val="20"/>
          <w:szCs w:val="20"/>
          <w:lang w:val="en-US" w:eastAsia="hu-HU"/>
        </w:rPr>
        <w:t>.</w:t>
      </w:r>
    </w:p>
    <w:p w14:paraId="5E676823"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US" w:eastAsia="hu-HU"/>
        </w:rPr>
        <w:t xml:space="preserve">Salais, R. (2014). </w:t>
      </w:r>
      <w:r>
        <w:rPr>
          <w:rFonts w:ascii="Times New Roman" w:eastAsia="Times New Roman" w:hAnsi="Times New Roman" w:cs="Times New Roman"/>
          <w:color w:val="000000"/>
          <w:sz w:val="20"/>
          <w:szCs w:val="20"/>
          <w:lang w:val="fr-BE" w:eastAsia="hu-HU"/>
        </w:rPr>
        <w:t>La donnée n’est pas un donné-Pour une analyse critique de l’évaluation chiffrée de la performance. </w:t>
      </w:r>
      <w:r>
        <w:rPr>
          <w:rFonts w:ascii="Times New Roman" w:eastAsia="Times New Roman" w:hAnsi="Times New Roman" w:cs="Times New Roman"/>
          <w:i/>
          <w:iCs/>
          <w:color w:val="000000"/>
          <w:sz w:val="20"/>
          <w:szCs w:val="20"/>
          <w:lang w:val="en-GB" w:eastAsia="hu-HU"/>
        </w:rPr>
        <w:t>Cahiers Droit, Sciences &amp; Technologies</w:t>
      </w:r>
      <w:r>
        <w:rPr>
          <w:rFonts w:ascii="Times New Roman" w:eastAsia="Times New Roman" w:hAnsi="Times New Roman" w:cs="Times New Roman"/>
          <w:color w:val="000000"/>
          <w:sz w:val="20"/>
          <w:szCs w:val="20"/>
          <w:lang w:val="en-GB" w:eastAsia="hu-HU"/>
        </w:rPr>
        <w:t>, (4), 15-36.</w:t>
      </w:r>
    </w:p>
    <w:p w14:paraId="40130186"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Seaford, C. (2013a). The multiple uses of subjective well-being indicators. </w:t>
      </w:r>
      <w:r>
        <w:rPr>
          <w:rFonts w:ascii="Times New Roman" w:eastAsia="Times New Roman" w:hAnsi="Times New Roman" w:cs="Times New Roman"/>
          <w:i/>
          <w:iCs/>
          <w:color w:val="000000"/>
          <w:sz w:val="20"/>
          <w:szCs w:val="20"/>
          <w:lang w:val="en-GB" w:eastAsia="hu-HU"/>
        </w:rPr>
        <w:t>Social indicators research</w:t>
      </w:r>
      <w:r>
        <w:rPr>
          <w:rFonts w:ascii="Times New Roman" w:eastAsia="Times New Roman" w:hAnsi="Times New Roman" w:cs="Times New Roman"/>
          <w:color w:val="000000"/>
          <w:sz w:val="20"/>
          <w:szCs w:val="20"/>
          <w:lang w:val="en-GB" w:eastAsia="hu-HU"/>
        </w:rPr>
        <w:t>, </w:t>
      </w:r>
      <w:r>
        <w:rPr>
          <w:rFonts w:ascii="Times New Roman" w:eastAsia="Times New Roman" w:hAnsi="Times New Roman" w:cs="Times New Roman"/>
          <w:i/>
          <w:iCs/>
          <w:color w:val="000000"/>
          <w:sz w:val="20"/>
          <w:szCs w:val="20"/>
          <w:lang w:val="en-GB" w:eastAsia="hu-HU"/>
        </w:rPr>
        <w:t>114</w:t>
      </w:r>
      <w:r>
        <w:rPr>
          <w:rFonts w:ascii="Times New Roman" w:eastAsia="Times New Roman" w:hAnsi="Times New Roman" w:cs="Times New Roman"/>
          <w:color w:val="000000"/>
          <w:sz w:val="20"/>
          <w:szCs w:val="20"/>
          <w:lang w:val="en-GB" w:eastAsia="hu-HU"/>
        </w:rPr>
        <w:t>(1), 29-43.</w:t>
      </w:r>
    </w:p>
    <w:p w14:paraId="342E405B"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Seaford C. (2013b). « Report on results on action research: barriers to the use of alternative (‘beyond GDP’) indicators in policy making and how they are being overcome and can be overcome », BRAINPOoL deliverable 3.1.</w:t>
      </w:r>
    </w:p>
    <w:p w14:paraId="6D67B241"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Sébastien, L., &amp; Bauler, T. (2013). Use and influence of composite indicators for sustainable development at the EU-level. </w:t>
      </w:r>
      <w:r>
        <w:rPr>
          <w:rFonts w:ascii="Times New Roman" w:eastAsia="Times New Roman" w:hAnsi="Times New Roman" w:cs="Times New Roman"/>
          <w:i/>
          <w:iCs/>
          <w:color w:val="000000"/>
          <w:sz w:val="20"/>
          <w:szCs w:val="20"/>
          <w:lang w:val="en-GB" w:eastAsia="hu-HU"/>
        </w:rPr>
        <w:t>Ecological indicators</w:t>
      </w:r>
      <w:r>
        <w:rPr>
          <w:rFonts w:ascii="Times New Roman" w:eastAsia="Times New Roman" w:hAnsi="Times New Roman" w:cs="Times New Roman"/>
          <w:color w:val="000000"/>
          <w:sz w:val="20"/>
          <w:szCs w:val="20"/>
          <w:lang w:val="en-GB" w:eastAsia="hu-HU"/>
        </w:rPr>
        <w:t>, </w:t>
      </w:r>
      <w:r>
        <w:rPr>
          <w:rFonts w:ascii="Times New Roman" w:eastAsia="Times New Roman" w:hAnsi="Times New Roman" w:cs="Times New Roman"/>
          <w:i/>
          <w:iCs/>
          <w:color w:val="000000"/>
          <w:sz w:val="20"/>
          <w:szCs w:val="20"/>
          <w:lang w:val="en-GB" w:eastAsia="hu-HU"/>
        </w:rPr>
        <w:t>35</w:t>
      </w:r>
      <w:r>
        <w:rPr>
          <w:rFonts w:ascii="Times New Roman" w:eastAsia="Times New Roman" w:hAnsi="Times New Roman" w:cs="Times New Roman"/>
          <w:color w:val="000000"/>
          <w:sz w:val="20"/>
          <w:szCs w:val="20"/>
          <w:lang w:val="en-GB" w:eastAsia="hu-HU"/>
        </w:rPr>
        <w:t>, 3-12.</w:t>
      </w:r>
    </w:p>
    <w:p w14:paraId="3E2E6797" w14:textId="77777777" w:rsidR="00577A45" w:rsidRDefault="004C2A6E">
      <w:pPr>
        <w:spacing w:after="0" w:line="240" w:lineRule="auto"/>
        <w:ind w:hanging="340"/>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Seyfang, G., &amp; Smith, A. (2007). Grassroots innovations for sustainable development: Towards a new research and policy agenda. </w:t>
      </w:r>
      <w:r>
        <w:rPr>
          <w:rFonts w:ascii="Times New Roman" w:eastAsia="Times New Roman" w:hAnsi="Times New Roman" w:cs="Times New Roman"/>
          <w:i/>
          <w:iCs/>
          <w:color w:val="000000"/>
          <w:sz w:val="20"/>
          <w:szCs w:val="20"/>
          <w:lang w:eastAsia="hu-HU"/>
        </w:rPr>
        <w:t>Environmental politics</w:t>
      </w:r>
      <w:r>
        <w:rPr>
          <w:rFonts w:ascii="Times New Roman" w:eastAsia="Times New Roman" w:hAnsi="Times New Roman" w:cs="Times New Roman"/>
          <w:color w:val="000000"/>
          <w:sz w:val="20"/>
          <w:szCs w:val="20"/>
          <w:lang w:eastAsia="hu-HU"/>
        </w:rPr>
        <w:t>, </w:t>
      </w:r>
      <w:r>
        <w:rPr>
          <w:rFonts w:ascii="Times New Roman" w:eastAsia="Times New Roman" w:hAnsi="Times New Roman" w:cs="Times New Roman"/>
          <w:i/>
          <w:iCs/>
          <w:color w:val="000000"/>
          <w:sz w:val="20"/>
          <w:szCs w:val="20"/>
          <w:lang w:eastAsia="hu-HU"/>
        </w:rPr>
        <w:t>16</w:t>
      </w:r>
      <w:r>
        <w:rPr>
          <w:rFonts w:ascii="Times New Roman" w:eastAsia="Times New Roman" w:hAnsi="Times New Roman" w:cs="Times New Roman"/>
          <w:color w:val="000000"/>
          <w:sz w:val="20"/>
          <w:szCs w:val="20"/>
          <w:lang w:eastAsia="hu-HU"/>
        </w:rPr>
        <w:t>(4), 584-603.</w:t>
      </w:r>
    </w:p>
    <w:p w14:paraId="1548EEFD"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Singh, R. K., Murty, H. R., Gupta, S. K., &amp; Dikshit, A. K. (2009). An overview of sustainability assessment methodologies. </w:t>
      </w:r>
      <w:r>
        <w:rPr>
          <w:rFonts w:ascii="Times New Roman" w:eastAsia="Times New Roman" w:hAnsi="Times New Roman" w:cs="Times New Roman"/>
          <w:i/>
          <w:iCs/>
          <w:color w:val="000000"/>
          <w:sz w:val="20"/>
          <w:szCs w:val="20"/>
          <w:lang w:val="en-GB" w:eastAsia="hu-HU"/>
        </w:rPr>
        <w:t>Ecological indicators</w:t>
      </w:r>
      <w:r>
        <w:rPr>
          <w:rFonts w:ascii="Times New Roman" w:eastAsia="Times New Roman" w:hAnsi="Times New Roman" w:cs="Times New Roman"/>
          <w:color w:val="000000"/>
          <w:sz w:val="20"/>
          <w:szCs w:val="20"/>
          <w:lang w:val="en-GB" w:eastAsia="hu-HU"/>
        </w:rPr>
        <w:t>, </w:t>
      </w:r>
      <w:r>
        <w:rPr>
          <w:rFonts w:ascii="Times New Roman" w:eastAsia="Times New Roman" w:hAnsi="Times New Roman" w:cs="Times New Roman"/>
          <w:i/>
          <w:iCs/>
          <w:color w:val="000000"/>
          <w:sz w:val="20"/>
          <w:szCs w:val="20"/>
          <w:lang w:val="en-GB" w:eastAsia="hu-HU"/>
        </w:rPr>
        <w:t>9</w:t>
      </w:r>
      <w:r>
        <w:rPr>
          <w:rFonts w:ascii="Times New Roman" w:eastAsia="Times New Roman" w:hAnsi="Times New Roman" w:cs="Times New Roman"/>
          <w:color w:val="000000"/>
          <w:sz w:val="20"/>
          <w:szCs w:val="20"/>
          <w:lang w:val="en-GB" w:eastAsia="hu-HU"/>
        </w:rPr>
        <w:t>(2), 189-212.</w:t>
      </w:r>
    </w:p>
    <w:p w14:paraId="2A051F4D"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Steffen, W., Richardson, K., Rockström, J., Cornell, S. E., Fetzer, I., Bennett, E. M., ... &amp; Folke, C. (2015). Planetary boundaries: Guiding human development on a changing planet. </w:t>
      </w:r>
      <w:r>
        <w:rPr>
          <w:rFonts w:ascii="Times New Roman" w:eastAsia="Times New Roman" w:hAnsi="Times New Roman" w:cs="Times New Roman"/>
          <w:i/>
          <w:iCs/>
          <w:color w:val="000000"/>
          <w:sz w:val="20"/>
          <w:szCs w:val="20"/>
          <w:lang w:val="en-GB" w:eastAsia="hu-HU"/>
        </w:rPr>
        <w:t>Science</w:t>
      </w:r>
      <w:r>
        <w:rPr>
          <w:rFonts w:ascii="Times New Roman" w:eastAsia="Times New Roman" w:hAnsi="Times New Roman" w:cs="Times New Roman"/>
          <w:color w:val="000000"/>
          <w:sz w:val="20"/>
          <w:szCs w:val="20"/>
          <w:lang w:val="en-GB" w:eastAsia="hu-HU"/>
        </w:rPr>
        <w:t>, </w:t>
      </w:r>
      <w:r>
        <w:rPr>
          <w:rFonts w:ascii="Times New Roman" w:eastAsia="Times New Roman" w:hAnsi="Times New Roman" w:cs="Times New Roman"/>
          <w:i/>
          <w:iCs/>
          <w:color w:val="000000"/>
          <w:sz w:val="20"/>
          <w:szCs w:val="20"/>
          <w:lang w:val="en-GB" w:eastAsia="hu-HU"/>
        </w:rPr>
        <w:t>347</w:t>
      </w:r>
      <w:r>
        <w:rPr>
          <w:rFonts w:ascii="Times New Roman" w:eastAsia="Times New Roman" w:hAnsi="Times New Roman" w:cs="Times New Roman"/>
          <w:color w:val="000000"/>
          <w:sz w:val="20"/>
          <w:szCs w:val="20"/>
          <w:lang w:val="en-GB" w:eastAsia="hu-HU"/>
        </w:rPr>
        <w:t>.</w:t>
      </w:r>
    </w:p>
    <w:p w14:paraId="218E9A13"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Stern, S., Wares, A., Orzell, S., &amp; Sullivan, p. (2014). Social progress index 2014. Methodological Report. </w:t>
      </w:r>
      <w:r>
        <w:rPr>
          <w:rFonts w:ascii="Times New Roman" w:eastAsia="Times New Roman" w:hAnsi="Times New Roman" w:cs="Times New Roman"/>
          <w:i/>
          <w:iCs/>
          <w:color w:val="000000"/>
          <w:sz w:val="20"/>
          <w:szCs w:val="20"/>
          <w:lang w:val="en-GB" w:eastAsia="hu-HU"/>
        </w:rPr>
        <w:t>Washington, DC: Social Progress Imperative</w:t>
      </w:r>
      <w:r>
        <w:rPr>
          <w:rFonts w:ascii="Times New Roman" w:eastAsia="Times New Roman" w:hAnsi="Times New Roman" w:cs="Times New Roman"/>
          <w:color w:val="000000"/>
          <w:sz w:val="20"/>
          <w:szCs w:val="20"/>
          <w:lang w:val="en-GB" w:eastAsia="hu-HU"/>
        </w:rPr>
        <w:t>.</w:t>
      </w:r>
    </w:p>
    <w:p w14:paraId="76B9A137"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Stiglitz, J., Sen, A. K., &amp; Fitoussi, J. P. (2009). The measurement of economic performance and social progress revisited: reflections and overview.</w:t>
      </w:r>
    </w:p>
    <w:p w14:paraId="4A6AC4C6"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fr-BE" w:eastAsia="hu-HU"/>
        </w:rPr>
        <w:t xml:space="preserve">Thiry, G., Bauler, T., Sébastien, L., Lacroix, V., &amp; Paris, S. (2013). </w:t>
      </w:r>
      <w:r>
        <w:rPr>
          <w:rFonts w:ascii="Times New Roman" w:eastAsia="Times New Roman" w:hAnsi="Times New Roman" w:cs="Times New Roman"/>
          <w:color w:val="000000"/>
          <w:sz w:val="20"/>
          <w:szCs w:val="20"/>
          <w:lang w:val="en-GB" w:eastAsia="hu-HU"/>
        </w:rPr>
        <w:t>Indicators Beyond GDP. Characterising Demand: Institutional Analyses and Actors’ Consultation by “Road Show”.</w:t>
      </w:r>
    </w:p>
    <w:p w14:paraId="7D0BBB44"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fr-BE" w:eastAsia="hu-HU"/>
        </w:rPr>
        <w:lastRenderedPageBreak/>
        <w:t xml:space="preserve">Thiry, G., Sébastien, L., &amp; Bauler, T. (2014). Ce que révèle le discours des acteurs officiels sur un «au-delà du PIB». </w:t>
      </w:r>
      <w:r>
        <w:rPr>
          <w:rFonts w:ascii="Times New Roman" w:eastAsia="Times New Roman" w:hAnsi="Times New Roman" w:cs="Times New Roman"/>
          <w:i/>
          <w:color w:val="000000"/>
          <w:sz w:val="20"/>
          <w:szCs w:val="20"/>
          <w:lang w:val="en-GB" w:eastAsia="hu-HU"/>
        </w:rPr>
        <w:t>FMSH-WP-2014-84</w:t>
      </w:r>
      <w:r>
        <w:rPr>
          <w:rFonts w:ascii="Times New Roman" w:eastAsia="Times New Roman" w:hAnsi="Times New Roman" w:cs="Times New Roman"/>
          <w:color w:val="000000"/>
          <w:sz w:val="20"/>
          <w:szCs w:val="20"/>
          <w:lang w:val="en-GB" w:eastAsia="hu-HU"/>
        </w:rPr>
        <w:t>.</w:t>
      </w:r>
    </w:p>
    <w:p w14:paraId="461C09A7"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Wilkinson, R. G., &amp; Pickett, K. (2009). </w:t>
      </w:r>
      <w:r>
        <w:rPr>
          <w:rFonts w:ascii="Times New Roman" w:eastAsia="Times New Roman" w:hAnsi="Times New Roman" w:cs="Times New Roman"/>
          <w:i/>
          <w:iCs/>
          <w:color w:val="000000"/>
          <w:sz w:val="20"/>
          <w:szCs w:val="20"/>
          <w:lang w:val="en-GB" w:eastAsia="hu-HU"/>
        </w:rPr>
        <w:t>The spirit level: Why more equal societies almost always do better</w:t>
      </w:r>
      <w:r>
        <w:rPr>
          <w:rFonts w:ascii="Times New Roman" w:eastAsia="Times New Roman" w:hAnsi="Times New Roman" w:cs="Times New Roman"/>
          <w:color w:val="000000"/>
          <w:sz w:val="20"/>
          <w:szCs w:val="20"/>
          <w:lang w:val="en-GB" w:eastAsia="hu-HU"/>
        </w:rPr>
        <w:t> (Vol. 6). London: Allen Lane.</w:t>
      </w:r>
    </w:p>
    <w:p w14:paraId="3CAB1F83" w14:textId="77777777" w:rsidR="00577A45" w:rsidRDefault="004C2A6E">
      <w:pPr>
        <w:spacing w:after="0" w:line="240" w:lineRule="auto"/>
        <w:ind w:hanging="340"/>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World Bank (2015), International Comparison Program database.</w:t>
      </w:r>
      <w:r>
        <w:rPr>
          <w:rFonts w:ascii="Times New Roman" w:eastAsia="Times New Roman" w:hAnsi="Times New Roman" w:cs="Times New Roman"/>
          <w:color w:val="000000"/>
          <w:sz w:val="20"/>
          <w:szCs w:val="20"/>
          <w:lang w:val="en-GB" w:eastAsia="hu-HU"/>
        </w:rPr>
        <w:tab/>
      </w:r>
    </w:p>
    <w:p w14:paraId="0BE4C83F" w14:textId="77777777" w:rsidR="00577A45" w:rsidRDefault="00577A45">
      <w:pPr>
        <w:spacing w:after="0" w:line="240" w:lineRule="auto"/>
        <w:ind w:hanging="340"/>
      </w:pPr>
    </w:p>
    <w:sectPr w:rsidR="00577A45">
      <w:footerReference w:type="default" r:id="rId7"/>
      <w:pgSz w:w="11906" w:h="16838"/>
      <w:pgMar w:top="2892" w:right="2495" w:bottom="2948" w:left="2495" w:header="0" w:footer="709" w:gutter="0"/>
      <w:cols w:space="720"/>
      <w:formProt w:val="0"/>
      <w:docGrid w:linePitch="360" w:charSpace="409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21EE50" w16cid:durableId="20559EC1"/>
  <w16cid:commentId w16cid:paraId="42A75539" w16cid:durableId="20559EC2"/>
  <w16cid:commentId w16cid:paraId="20CE5BC3" w16cid:durableId="20559EC3"/>
  <w16cid:commentId w16cid:paraId="37467DEA" w16cid:durableId="20559EC4"/>
  <w16cid:commentId w16cid:paraId="4386063C" w16cid:durableId="20559EC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1E84F" w14:textId="77777777" w:rsidR="00AC2E7B" w:rsidRDefault="00AC2E7B">
      <w:pPr>
        <w:spacing w:after="0" w:line="240" w:lineRule="auto"/>
      </w:pPr>
      <w:r>
        <w:separator/>
      </w:r>
    </w:p>
  </w:endnote>
  <w:endnote w:type="continuationSeparator" w:id="0">
    <w:p w14:paraId="609D2CE7" w14:textId="77777777" w:rsidR="00AC2E7B" w:rsidRDefault="00AC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4921692"/>
      <w:docPartObj>
        <w:docPartGallery w:val="Page Numbers (Bottom of Page)"/>
        <w:docPartUnique/>
      </w:docPartObj>
    </w:sdtPr>
    <w:sdtContent>
      <w:p w14:paraId="540BF46D" w14:textId="77777777" w:rsidR="00AF65B6" w:rsidRDefault="00AF65B6">
        <w:pPr>
          <w:pStyle w:val="Pieddepage"/>
          <w:jc w:val="right"/>
        </w:pPr>
        <w:r>
          <w:fldChar w:fldCharType="begin"/>
        </w:r>
        <w:r>
          <w:instrText>PAGE</w:instrText>
        </w:r>
        <w:r>
          <w:fldChar w:fldCharType="separate"/>
        </w:r>
        <w:r w:rsidR="00094D48">
          <w:rPr>
            <w:noProof/>
          </w:rPr>
          <w:t>1</w:t>
        </w:r>
        <w:r>
          <w:fldChar w:fldCharType="end"/>
        </w:r>
      </w:p>
    </w:sdtContent>
  </w:sdt>
  <w:p w14:paraId="69ACE38B" w14:textId="77777777" w:rsidR="00AF65B6" w:rsidRDefault="00AF65B6">
    <w:pPr>
      <w:pStyle w:val="Pieddepage"/>
    </w:pPr>
  </w:p>
  <w:p w14:paraId="28A2458E" w14:textId="77777777" w:rsidR="00AF65B6" w:rsidRDefault="00AF65B6"/>
  <w:p w14:paraId="74532E4D" w14:textId="77777777" w:rsidR="00AF65B6" w:rsidRDefault="00AF65B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9325A" w14:textId="77777777" w:rsidR="00AC2E7B" w:rsidRDefault="00AC2E7B">
      <w:r>
        <w:separator/>
      </w:r>
    </w:p>
  </w:footnote>
  <w:footnote w:type="continuationSeparator" w:id="0">
    <w:p w14:paraId="5F659826" w14:textId="77777777" w:rsidR="00AC2E7B" w:rsidRDefault="00AC2E7B">
      <w:r>
        <w:continuationSeparator/>
      </w:r>
    </w:p>
  </w:footnote>
  <w:footnote w:id="1">
    <w:p w14:paraId="0FD3A044" w14:textId="4B52042C" w:rsidR="00AF65B6" w:rsidRDefault="00AF65B6" w:rsidP="00A16AAC">
      <w:r w:rsidRPr="00273C11">
        <w:rPr>
          <w:rStyle w:val="Caracteresdenotaalpie"/>
          <w:rFonts w:ascii="Times New Roman" w:hAnsi="Times New Roman" w:cs="Times New Roman"/>
          <w:vertAlign w:val="superscript"/>
        </w:rPr>
        <w:footnoteRef/>
      </w:r>
      <w:r w:rsidR="00273C11">
        <w:rPr>
          <w:rStyle w:val="Caracteresdenotaalpie"/>
        </w:rPr>
        <w:t xml:space="preserve"> </w:t>
      </w:r>
      <w:r>
        <w:rPr>
          <w:rFonts w:ascii="Times New Roman" w:hAnsi="Times New Roman" w:cs="Times New Roman"/>
          <w:sz w:val="20"/>
          <w:szCs w:val="20"/>
        </w:rPr>
        <w:t>Aggregated using the geometric average of the eight categories, as suggested by Saisana &amp; Philippas (2012).</w:t>
      </w:r>
    </w:p>
  </w:footnote>
  <w:footnote w:id="2">
    <w:p w14:paraId="42EDD440" w14:textId="1DA9106C" w:rsidR="00AF65B6" w:rsidRDefault="00AF65B6" w:rsidP="00A16AAC">
      <w:r w:rsidRPr="00273C11">
        <w:rPr>
          <w:rStyle w:val="Caracteresdenotaalpie"/>
          <w:rFonts w:ascii="Times New Roman" w:hAnsi="Times New Roman" w:cs="Times New Roman"/>
          <w:vertAlign w:val="superscript"/>
        </w:rPr>
        <w:footnoteRef/>
      </w:r>
      <w:r>
        <w:rPr>
          <w:rFonts w:ascii="Times New Roman" w:hAnsi="Times New Roman" w:cs="Times New Roman"/>
          <w:sz w:val="20"/>
          <w:szCs w:val="20"/>
        </w:rPr>
        <w:t xml:space="preserve"> The year the data was collected is heterogeneous for most of the indicators. </w:t>
      </w:r>
    </w:p>
  </w:footnote>
  <w:footnote w:id="3">
    <w:p w14:paraId="3FCE7512" w14:textId="77777777" w:rsidR="00A16AAC" w:rsidRPr="004E2E7E" w:rsidRDefault="00A16AAC" w:rsidP="00A16AAC">
      <w:pPr>
        <w:pStyle w:val="Notedebasdepage"/>
        <w:rPr>
          <w:rFonts w:ascii="Times New Roman" w:hAnsi="Times New Roman" w:cs="Times New Roman"/>
          <w:sz w:val="20"/>
          <w:szCs w:val="20"/>
        </w:rPr>
      </w:pPr>
      <w:r w:rsidRPr="00273C11">
        <w:rPr>
          <w:rStyle w:val="Appelnotedebasdep"/>
          <w:rFonts w:ascii="Times New Roman" w:hAnsi="Times New Roman" w:cs="Times New Roman"/>
        </w:rPr>
        <w:footnoteRef/>
      </w:r>
      <w:r>
        <w:t xml:space="preserve"> </w:t>
      </w:r>
      <w:r w:rsidRPr="005F38AA">
        <w:rPr>
          <w:rFonts w:ascii="Times New Roman" w:hAnsi="Times New Roman" w:cs="Times New Roman"/>
          <w:sz w:val="20"/>
          <w:szCs w:val="20"/>
        </w:rPr>
        <w:t>D</w:t>
      </w:r>
      <w:r w:rsidRPr="004E2E7E">
        <w:rPr>
          <w:rFonts w:ascii="Times New Roman" w:hAnsi="Times New Roman" w:cs="Times New Roman"/>
          <w:sz w:val="20"/>
          <w:szCs w:val="20"/>
        </w:rPr>
        <w:t xml:space="preserve">etails </w:t>
      </w:r>
      <w:r>
        <w:rPr>
          <w:rFonts w:ascii="Times New Roman" w:hAnsi="Times New Roman" w:cs="Times New Roman"/>
          <w:sz w:val="20"/>
          <w:szCs w:val="20"/>
        </w:rPr>
        <w:t>can be found</w:t>
      </w:r>
      <w:r w:rsidRPr="004E2E7E">
        <w:rPr>
          <w:rFonts w:ascii="Times New Roman" w:hAnsi="Times New Roman" w:cs="Times New Roman"/>
          <w:sz w:val="20"/>
          <w:szCs w:val="20"/>
        </w:rPr>
        <w:t xml:space="preserve"> in the section 5.3</w:t>
      </w:r>
    </w:p>
  </w:footnote>
  <w:footnote w:id="4">
    <w:p w14:paraId="3AC7CB2C" w14:textId="01E44BF6" w:rsidR="00AF65B6" w:rsidRDefault="00AF65B6" w:rsidP="00A16AAC">
      <w:r w:rsidRPr="00A16AAC">
        <w:rPr>
          <w:rStyle w:val="Caracteresdenotaalpie"/>
          <w:rFonts w:ascii="Times New Roman" w:hAnsi="Times New Roman" w:cs="Times New Roman"/>
          <w:vertAlign w:val="superscript"/>
        </w:rPr>
        <w:footnoteRef/>
      </w:r>
      <w:r>
        <w:t xml:space="preserve"> </w:t>
      </w:r>
      <w:r>
        <w:rPr>
          <w:rFonts w:ascii="Times New Roman" w:hAnsi="Times New Roman" w:cs="Times New Roman"/>
          <w:sz w:val="20"/>
          <w:szCs w:val="20"/>
        </w:rPr>
        <w:t>Haq was former Pakistan’s chief economist while Sen and Desai were respectively professors at Harvard and LSE.</w:t>
      </w:r>
    </w:p>
  </w:footnote>
  <w:footnote w:id="5">
    <w:p w14:paraId="4CC2E15C" w14:textId="28BC9F02" w:rsidR="00AF65B6" w:rsidRDefault="00AF65B6" w:rsidP="00A16AAC">
      <w:r w:rsidRPr="00273C11">
        <w:rPr>
          <w:rStyle w:val="Caracteresdenotaalpie"/>
          <w:rFonts w:ascii="Times New Roman" w:hAnsi="Times New Roman" w:cs="Times New Roman"/>
          <w:vertAlign w:val="superscript"/>
        </w:rPr>
        <w:footnoteRef/>
      </w:r>
      <w:r>
        <w:rPr>
          <w:rFonts w:ascii="Times New Roman" w:hAnsi="Times New Roman" w:cs="Times New Roman"/>
          <w:sz w:val="20"/>
          <w:szCs w:val="20"/>
        </w:rPr>
        <w:t xml:space="preserve"> No fewer than ten members of Harvard Business School, including Michael Porter, contributed to the SPI, but so did a large number of academics from other institutions, including Scott Stern from MIT, and Ngaire Woods from Oxford University.</w:t>
      </w:r>
    </w:p>
  </w:footnote>
  <w:footnote w:id="6">
    <w:p w14:paraId="79353463" w14:textId="7BD5418D" w:rsidR="00AF65B6" w:rsidRPr="00A16AAC" w:rsidRDefault="00AF65B6" w:rsidP="00A16AAC">
      <w:pPr>
        <w:rPr>
          <w:rFonts w:ascii="Times New Roman" w:hAnsi="Times New Roman" w:cs="Times New Roman"/>
        </w:rPr>
      </w:pPr>
      <w:r w:rsidRPr="00A16AAC">
        <w:rPr>
          <w:rStyle w:val="Caracteresdenotaalpie"/>
          <w:rFonts w:ascii="Times New Roman" w:hAnsi="Times New Roman" w:cs="Times New Roman"/>
          <w:vertAlign w:val="superscript"/>
        </w:rPr>
        <w:footnoteRef/>
      </w:r>
      <w:r w:rsidRPr="00A16AAC">
        <w:rPr>
          <w:rFonts w:ascii="Times New Roman" w:hAnsi="Times New Roman" w:cs="Times New Roman"/>
        </w:rPr>
        <w:t xml:space="preserve"> </w:t>
      </w:r>
      <w:r w:rsidRPr="00A16AAC">
        <w:rPr>
          <w:rFonts w:ascii="Times New Roman" w:hAnsi="Times New Roman" w:cs="Times New Roman"/>
          <w:sz w:val="20"/>
          <w:szCs w:val="20"/>
        </w:rPr>
        <w:t>GDP’s ranking comes from World Bank (2015). Due to holes in data, several countries in GDP’s top10 (Luxembourg, Qatar…) are absent from the table, because they have not been calculated for all beyond GDP indicators under consideration.</w:t>
      </w:r>
    </w:p>
  </w:footnote>
  <w:footnote w:id="7">
    <w:p w14:paraId="1624E7DF" w14:textId="365EBD31" w:rsidR="00AF65B6" w:rsidRPr="00A16AAC" w:rsidRDefault="00AF65B6" w:rsidP="00A16AAC">
      <w:pPr>
        <w:rPr>
          <w:rFonts w:ascii="Times New Roman" w:hAnsi="Times New Roman" w:cs="Times New Roman"/>
        </w:rPr>
      </w:pPr>
      <w:r w:rsidRPr="00A16AAC">
        <w:rPr>
          <w:rStyle w:val="Caracteresdenotaalpie"/>
          <w:rFonts w:ascii="Times New Roman" w:hAnsi="Times New Roman" w:cs="Times New Roman"/>
          <w:vertAlign w:val="superscript"/>
        </w:rPr>
        <w:footnoteRef/>
      </w:r>
      <w:r w:rsidRPr="00A16AAC">
        <w:rPr>
          <w:rFonts w:ascii="Times New Roman" w:hAnsi="Times New Roman" w:cs="Times New Roman"/>
          <w:sz w:val="20"/>
          <w:szCs w:val="20"/>
        </w:rPr>
        <w:t xml:space="preserve"> The</w:t>
      </w:r>
      <w:r>
        <w:rPr>
          <w:rFonts w:ascii="Times New Roman" w:hAnsi="Times New Roman" w:cs="Times New Roman"/>
          <w:sz w:val="20"/>
          <w:szCs w:val="20"/>
        </w:rPr>
        <w:t xml:space="preserve"> divergence in average rank in respect to GDP shows if the position of a country is sensitive to the use of Beyond GDP indicator instead of GDP. If it is close to 0, it means that the country’s relative economic performance (GDP rank) and social and environmental performances (Beyond GDP rank) are similar. Mean divergence by country is the mean of the divergences of each Beyond GDP indicator. </w:t>
      </w:r>
    </w:p>
  </w:footnote>
  <w:footnote w:id="8">
    <w:p w14:paraId="48785DE0" w14:textId="58F5EAC3" w:rsidR="00AF65B6" w:rsidRDefault="00AF65B6" w:rsidP="00A16AAC">
      <w:r w:rsidRPr="00A16AAC">
        <w:rPr>
          <w:rFonts w:ascii="Times New Roman" w:hAnsi="Times New Roman" w:cs="Times New Roman"/>
          <w:szCs w:val="20"/>
          <w:vertAlign w:val="superscript"/>
        </w:rPr>
        <w:footnoteRef/>
      </w:r>
      <w:r w:rsidR="00A16AAC">
        <w:rPr>
          <w:rFonts w:ascii="Times New Roman" w:hAnsi="Times New Roman" w:cs="Times New Roman"/>
          <w:sz w:val="20"/>
          <w:szCs w:val="20"/>
        </w:rPr>
        <w:t xml:space="preserve"> </w:t>
      </w:r>
      <w:r>
        <w:rPr>
          <w:rFonts w:ascii="Times New Roman" w:hAnsi="Times New Roman" w:cs="Times New Roman"/>
          <w:sz w:val="20"/>
          <w:szCs w:val="20"/>
        </w:rPr>
        <w:t>Social democratic: Denmark, Finland, Norway, Sweden; Conservative corporatist: Austria, Belgium, France, Germany, Italy, Spain, Netherlands, Portugal; Liberal: Australia, Canada, Ireland, UK, USA.</w:t>
      </w:r>
    </w:p>
  </w:footnote>
  <w:footnote w:id="9">
    <w:p w14:paraId="42B41A3C" w14:textId="59DD203D" w:rsidR="00AF65B6" w:rsidRDefault="00AF65B6" w:rsidP="00A16AAC">
      <w:r w:rsidRPr="00A16AAC">
        <w:rPr>
          <w:rFonts w:ascii="Times New Roman" w:hAnsi="Times New Roman" w:cs="Times New Roman"/>
          <w:szCs w:val="20"/>
          <w:vertAlign w:val="superscript"/>
        </w:rPr>
        <w:footnoteRef/>
      </w:r>
      <w:r w:rsidR="00A16AAC" w:rsidRPr="00A16AAC">
        <w:rPr>
          <w:rFonts w:ascii="Times New Roman" w:hAnsi="Times New Roman" w:cs="Times New Roman"/>
          <w:sz w:val="20"/>
          <w:szCs w:val="20"/>
          <w:vertAlign w:val="superscript"/>
        </w:rPr>
        <w:t xml:space="preserve"> </w:t>
      </w:r>
      <w:r>
        <w:rPr>
          <w:rFonts w:ascii="Times New Roman" w:hAnsi="Times New Roman" w:cs="Times New Roman"/>
          <w:sz w:val="20"/>
          <w:szCs w:val="20"/>
        </w:rPr>
        <w:t>Using Mann Whitney tests, it appears that there is a significant difference between the mean rank of GDP and that of the HPI (for OECD, non-OECD, liberal and conservative corporatist countries, p-value &lt; 0,05) and the SSI (OECD, liberal and conservative corporatist countries, p-value &lt; 0,05), but no significant difference with the HDI, SPI, GWBI and QoL indicators.</w:t>
      </w:r>
    </w:p>
  </w:footnote>
  <w:footnote w:id="10">
    <w:p w14:paraId="24508FAA" w14:textId="7B921E7E" w:rsidR="00AF65B6" w:rsidRDefault="00AF65B6" w:rsidP="00A16AAC">
      <w:r w:rsidRPr="00A16AAC">
        <w:rPr>
          <w:rStyle w:val="Caracteresdenotaalpie"/>
          <w:rFonts w:ascii="Times New Roman" w:hAnsi="Times New Roman" w:cs="Times New Roman"/>
          <w:vertAlign w:val="superscript"/>
        </w:rPr>
        <w:footnoteRef/>
      </w:r>
      <w:r w:rsidR="00A16AAC">
        <w:rPr>
          <w:rStyle w:val="Caracteresdenotaalpie"/>
          <w:rFonts w:ascii="Times New Roman" w:hAnsi="Times New Roman" w:cs="Times New Roman"/>
          <w:vertAlign w:val="superscript"/>
        </w:rPr>
        <w:t xml:space="preserve"> </w:t>
      </w:r>
      <w:r>
        <w:rPr>
          <w:rFonts w:ascii="Times New Roman" w:hAnsi="Times New Roman" w:cs="Times New Roman"/>
          <w:sz w:val="20"/>
          <w:szCs w:val="20"/>
        </w:rPr>
        <w:t>Probably because it lays heavy emphasis on formal economic freedoms.</w:t>
      </w:r>
    </w:p>
  </w:footnote>
  <w:footnote w:id="11">
    <w:p w14:paraId="24BBE100" w14:textId="41B8EA39" w:rsidR="00AF65B6" w:rsidRDefault="00AF65B6" w:rsidP="00A16AAC">
      <w:r w:rsidRPr="00A16AAC">
        <w:rPr>
          <w:rStyle w:val="Caracteresdenotaalpie"/>
          <w:rFonts w:ascii="Times New Roman" w:hAnsi="Times New Roman" w:cs="Times New Roman"/>
          <w:vertAlign w:val="superscript"/>
        </w:rPr>
        <w:footnoteRef/>
      </w:r>
      <w:r w:rsidR="00A16AAC">
        <w:rPr>
          <w:rStyle w:val="Caracteresdenotaalpie"/>
        </w:rPr>
        <w:t xml:space="preserve"> </w:t>
      </w:r>
      <w:r>
        <w:rPr>
          <w:rFonts w:ascii="Times New Roman" w:hAnsi="Times New Roman" w:cs="Times New Roman"/>
          <w:sz w:val="20"/>
          <w:szCs w:val="20"/>
        </w:rPr>
        <w:t>Two things should be noted here: on the one hand, the positive correlation between GDP and numerous variables approaches zero beyond a certain level of revenue (Wilkinson and Pickett, 2009). On the other hand, these indicators do not provide information about the conjoined evolution of the variables and GDP, nor a possible relationship of causality between the two, or at least not to such an extent (Easterly, 1999).</w:t>
      </w:r>
    </w:p>
  </w:footnote>
  <w:footnote w:id="12">
    <w:p w14:paraId="5A5A36B5" w14:textId="6778D5D5" w:rsidR="00AF65B6" w:rsidRPr="00A16AAC" w:rsidRDefault="00AF65B6" w:rsidP="00A16AAC">
      <w:pPr>
        <w:rPr>
          <w:rFonts w:ascii="Times New Roman" w:hAnsi="Times New Roman" w:cs="Times New Roman"/>
        </w:rPr>
      </w:pPr>
      <w:r w:rsidRPr="00A16AAC">
        <w:rPr>
          <w:rStyle w:val="Caracteresdenotaalpie"/>
          <w:rFonts w:ascii="Times New Roman" w:hAnsi="Times New Roman" w:cs="Times New Roman"/>
          <w:vertAlign w:val="superscript"/>
        </w:rPr>
        <w:footnoteRef/>
      </w:r>
      <w:r w:rsidRPr="00A16AAC">
        <w:rPr>
          <w:rFonts w:ascii="Times New Roman" w:hAnsi="Times New Roman" w:cs="Times New Roman"/>
          <w:sz w:val="20"/>
          <w:szCs w:val="20"/>
        </w:rPr>
        <w:t xml:space="preserve"> Income inequality or inequalities in other variables (</w:t>
      </w:r>
      <w:r w:rsidRPr="00A16AAC">
        <w:rPr>
          <w:rFonts w:ascii="Times New Roman" w:hAnsi="Times New Roman" w:cs="Times New Roman"/>
          <w:i/>
          <w:sz w:val="20"/>
          <w:szCs w:val="20"/>
        </w:rPr>
        <w:t>e.g.</w:t>
      </w:r>
      <w:r w:rsidRPr="00A16AAC">
        <w:rPr>
          <w:rFonts w:ascii="Times New Roman" w:hAnsi="Times New Roman" w:cs="Times New Roman"/>
          <w:sz w:val="20"/>
          <w:szCs w:val="20"/>
        </w:rPr>
        <w:t xml:space="preserve"> life expectancy), in the case of the HPI and the SPI. </w:t>
      </w:r>
    </w:p>
  </w:footnote>
  <w:footnote w:id="13">
    <w:p w14:paraId="0595BE58" w14:textId="277ADE98" w:rsidR="00AF65B6" w:rsidRDefault="00AF65B6" w:rsidP="00A16AAC">
      <w:r w:rsidRPr="00A16AAC">
        <w:rPr>
          <w:rStyle w:val="Caracteresdenotaalpie"/>
          <w:rFonts w:ascii="Times New Roman" w:hAnsi="Times New Roman" w:cs="Times New Roman"/>
          <w:vertAlign w:val="superscript"/>
        </w:rPr>
        <w:footnoteRef/>
      </w:r>
      <w:r w:rsidRPr="00A16AAC">
        <w:rPr>
          <w:rFonts w:ascii="Times New Roman" w:hAnsi="Times New Roman" w:cs="Times New Roman"/>
        </w:rPr>
        <w:t xml:space="preserve"> </w:t>
      </w:r>
      <w:r w:rsidRPr="00A16AAC">
        <w:rPr>
          <w:rFonts w:ascii="Times New Roman" w:hAnsi="Times New Roman" w:cs="Times New Roman"/>
          <w:sz w:val="20"/>
          <w:szCs w:val="20"/>
        </w:rPr>
        <w:t>The aggregation</w:t>
      </w:r>
      <w:r>
        <w:rPr>
          <w:rFonts w:ascii="Times New Roman" w:hAnsi="Times New Roman" w:cs="Times New Roman"/>
          <w:sz w:val="20"/>
          <w:szCs w:val="20"/>
        </w:rPr>
        <w:t xml:space="preserve"> process of variables in a single numeral sometimes modifies their weight. For instance, using geometric mean attributes a different weight to variables which show performances far from the mean.</w:t>
      </w:r>
    </w:p>
  </w:footnote>
  <w:footnote w:id="14">
    <w:p w14:paraId="7E164BE0" w14:textId="110B5766" w:rsidR="00AF65B6" w:rsidRDefault="00AF65B6" w:rsidP="00A16AAC">
      <w:r w:rsidRPr="00A16AAC">
        <w:rPr>
          <w:rStyle w:val="Caracteresdenotaalpie"/>
          <w:rFonts w:ascii="Times New Roman" w:hAnsi="Times New Roman" w:cs="Times New Roman"/>
          <w:vertAlign w:val="superscript"/>
        </w:rPr>
        <w:footnoteRef/>
      </w:r>
      <w:r>
        <w:t xml:space="preserve"> </w:t>
      </w:r>
      <w:r>
        <w:rPr>
          <w:rFonts w:ascii="Times New Roman" w:hAnsi="Times New Roman" w:cs="Times New Roman"/>
          <w:sz w:val="20"/>
          <w:szCs w:val="20"/>
        </w:rPr>
        <w:t>Using geometric mean consists in taking the product of each variable’s score (not the sum) and then taking a square root (for two variables), cube root (for three variables) etc. It is the n</w:t>
      </w:r>
      <w:r>
        <w:rPr>
          <w:rFonts w:ascii="Times New Roman" w:hAnsi="Times New Roman" w:cs="Times New Roman"/>
          <w:sz w:val="20"/>
          <w:szCs w:val="20"/>
          <w:vertAlign w:val="superscript"/>
        </w:rPr>
        <w:t>th</w:t>
      </w:r>
      <w:r>
        <w:rPr>
          <w:rFonts w:ascii="Times New Roman" w:hAnsi="Times New Roman" w:cs="Times New Roman"/>
          <w:sz w:val="20"/>
          <w:szCs w:val="20"/>
        </w:rPr>
        <w:t xml:space="preserve"> root of the product of n numbers.</w:t>
      </w:r>
    </w:p>
  </w:footnote>
  <w:footnote w:id="15">
    <w:p w14:paraId="34C6FE4A" w14:textId="327B166B" w:rsidR="00AF65B6" w:rsidRDefault="00AF65B6" w:rsidP="00A16AAC">
      <w:r w:rsidRPr="00A16AAC">
        <w:rPr>
          <w:rStyle w:val="Caracteresdenotaalpie"/>
          <w:rFonts w:ascii="Times New Roman" w:hAnsi="Times New Roman" w:cs="Times New Roman"/>
          <w:vertAlign w:val="superscript"/>
        </w:rPr>
        <w:footnoteRef/>
      </w:r>
      <w:r>
        <w:rPr>
          <w:rFonts w:ascii="Times New Roman" w:hAnsi="Times New Roman" w:cs="Times New Roman"/>
          <w:sz w:val="20"/>
          <w:szCs w:val="20"/>
        </w:rPr>
        <w:t xml:space="preserve"> This analysis was limited to six Beyond GDP indicators. Others could be added in order to test the external validity of the above claim. Among the other indicators calculated for many countries but not satisfying all the criteria of selection, the ranking produced by the Multi Poverty Index 2016 (published by the UNDP) is 81% correlated with GDP. </w:t>
      </w:r>
      <w:r w:rsidR="00F2727B">
        <w:rPr>
          <w:rFonts w:ascii="Times New Roman" w:hAnsi="Times New Roman" w:cs="Times New Roman"/>
          <w:sz w:val="20"/>
          <w:szCs w:val="20"/>
        </w:rPr>
        <w:t>T</w:t>
      </w:r>
      <w:r>
        <w:rPr>
          <w:rFonts w:ascii="Times New Roman" w:hAnsi="Times New Roman" w:cs="Times New Roman"/>
          <w:sz w:val="20"/>
          <w:szCs w:val="20"/>
        </w:rPr>
        <w:t xml:space="preserve">he Index of Economic Well Being 2014 ranking (published by the academic Osberg) is 38% correlated with GDP. Considering that the MPI may be considered as being initiated by powerful stakeholders, the analysis is thereby reinforced. However, it is worth recalling that the indicators’ divergence from GDP has only been observed in cross section. An analysis of time series could show that a close correlation between rankings by GDP and by an alternative indicator in a specific year might be just temporary. Hence, it would be necessary to compare trends (the two indicators over time), in order to ascertain whether they are converging or diverging compared to GDP. The surroundings of the publication of the index could be studied too. For instance, Human Development Reports that included HDI had a large impact on some countries’ policies (Haq, 1995).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A45"/>
    <w:rsid w:val="00037C8F"/>
    <w:rsid w:val="00094D48"/>
    <w:rsid w:val="001F60A7"/>
    <w:rsid w:val="00273C11"/>
    <w:rsid w:val="003A5AE3"/>
    <w:rsid w:val="003D2198"/>
    <w:rsid w:val="003F4126"/>
    <w:rsid w:val="004C2A6E"/>
    <w:rsid w:val="00532C00"/>
    <w:rsid w:val="00577A45"/>
    <w:rsid w:val="005A23EE"/>
    <w:rsid w:val="005E3629"/>
    <w:rsid w:val="006C04AE"/>
    <w:rsid w:val="00781E9E"/>
    <w:rsid w:val="0080795C"/>
    <w:rsid w:val="009D3174"/>
    <w:rsid w:val="00A16AAC"/>
    <w:rsid w:val="00AC2E7B"/>
    <w:rsid w:val="00AF65B6"/>
    <w:rsid w:val="00B15B74"/>
    <w:rsid w:val="00CC39F5"/>
    <w:rsid w:val="00D635FE"/>
    <w:rsid w:val="00F04FFA"/>
    <w:rsid w:val="00F2727B"/>
    <w:rsid w:val="00F30D11"/>
  </w:rsids>
  <m:mathPr>
    <m:mathFont m:val="Cambria Math"/>
    <m:brkBin m:val="before"/>
    <m:brkBinSub m:val="--"/>
    <m:smallFrac m:val="0"/>
    <m:dispDef/>
    <m:lMargin m:val="0"/>
    <m:rMargin m:val="0"/>
    <m:defJc m:val="centerGroup"/>
    <m:wrapIndent m:val="1440"/>
    <m:intLim m:val="subSup"/>
    <m:naryLim m:val="undOvr"/>
  </m:mathPr>
  <w:themeFontLang w:val="hu-HU"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BB2CE"/>
  <w15:docId w15:val="{617F5F73-A712-4908-996D-0B6D3FC54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hu-H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uiPriority="44"/>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rPr>
  </w:style>
  <w:style w:type="paragraph" w:styleId="Titre1">
    <w:name w:val="heading 1"/>
    <w:basedOn w:val="Normal"/>
    <w:link w:val="Titre1Car"/>
    <w:uiPriority w:val="9"/>
    <w:qFormat/>
    <w:rsid w:val="008F7709"/>
    <w:pPr>
      <w:spacing w:beforeAutospacing="1" w:afterAutospacing="1" w:line="240" w:lineRule="auto"/>
      <w:outlineLvl w:val="0"/>
    </w:pPr>
    <w:rPr>
      <w:rFonts w:ascii="Times New Roman" w:eastAsia="Times New Roman" w:hAnsi="Times New Roman" w:cs="Times New Roman"/>
      <w:b/>
      <w:bCs/>
      <w:kern w:val="2"/>
      <w:sz w:val="48"/>
      <w:szCs w:val="48"/>
      <w:lang w:eastAsia="hu-HU"/>
    </w:rPr>
  </w:style>
  <w:style w:type="paragraph" w:styleId="Titre2">
    <w:name w:val="heading 2"/>
    <w:basedOn w:val="Normal"/>
    <w:link w:val="Titre2Car"/>
    <w:qFormat/>
    <w:rsid w:val="008F7709"/>
    <w:pPr>
      <w:spacing w:beforeAutospacing="1" w:afterAutospacing="1" w:line="240" w:lineRule="auto"/>
      <w:outlineLvl w:val="1"/>
    </w:pPr>
    <w:rPr>
      <w:rFonts w:ascii="Times New Roman" w:eastAsia="Times New Roman" w:hAnsi="Times New Roman" w:cs="Times New Roman"/>
      <w:b/>
      <w:bCs/>
      <w:sz w:val="36"/>
      <w:szCs w:val="36"/>
      <w:lang w:eastAsia="hu-HU"/>
    </w:rPr>
  </w:style>
  <w:style w:type="paragraph" w:styleId="Titre3">
    <w:name w:val="heading 3"/>
    <w:basedOn w:val="Normal"/>
    <w:link w:val="Titre3Car"/>
    <w:uiPriority w:val="9"/>
    <w:qFormat/>
    <w:rsid w:val="008F7709"/>
    <w:pPr>
      <w:spacing w:beforeAutospacing="1" w:afterAutospacing="1" w:line="240" w:lineRule="auto"/>
      <w:outlineLvl w:val="2"/>
    </w:pPr>
    <w:rPr>
      <w:rFonts w:ascii="Times New Roman" w:eastAsia="Times New Roman" w:hAnsi="Times New Roman" w:cs="Times New Roman"/>
      <w:b/>
      <w:bCs/>
      <w:sz w:val="27"/>
      <w:szCs w:val="27"/>
      <w:lang w:eastAsia="hu-HU"/>
    </w:rPr>
  </w:style>
  <w:style w:type="paragraph" w:styleId="Titre4">
    <w:name w:val="heading 4"/>
    <w:basedOn w:val="Normal"/>
    <w:next w:val="Normal"/>
    <w:link w:val="Titre4Car"/>
    <w:uiPriority w:val="9"/>
    <w:unhideWhenUsed/>
    <w:qFormat/>
    <w:rsid w:val="00263E6C"/>
    <w:pPr>
      <w:spacing w:before="260" w:after="260" w:line="240" w:lineRule="auto"/>
      <w:outlineLvl w:val="3"/>
    </w:pPr>
    <w:rPr>
      <w:rFonts w:ascii="Times New Roman" w:eastAsia="Times New Roman" w:hAnsi="Times New Roman" w:cs="Times New Roman"/>
      <w:b/>
      <w:bCs/>
      <w:color w:val="000000"/>
      <w:lang w:eastAsia="hu-HU"/>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8F7709"/>
    <w:rPr>
      <w:rFonts w:ascii="Times New Roman" w:eastAsia="Times New Roman" w:hAnsi="Times New Roman" w:cs="Times New Roman"/>
      <w:b/>
      <w:bCs/>
      <w:kern w:val="2"/>
      <w:sz w:val="48"/>
      <w:szCs w:val="48"/>
      <w:lang w:eastAsia="hu-HU"/>
    </w:rPr>
  </w:style>
  <w:style w:type="character" w:customStyle="1" w:styleId="Titre2Car">
    <w:name w:val="Titre 2 Car"/>
    <w:basedOn w:val="Policepardfaut"/>
    <w:link w:val="Titre2"/>
    <w:uiPriority w:val="9"/>
    <w:qFormat/>
    <w:rsid w:val="008F7709"/>
    <w:rPr>
      <w:rFonts w:ascii="Times New Roman" w:eastAsia="Times New Roman" w:hAnsi="Times New Roman" w:cs="Times New Roman"/>
      <w:b/>
      <w:bCs/>
      <w:sz w:val="36"/>
      <w:szCs w:val="36"/>
      <w:lang w:eastAsia="hu-HU"/>
    </w:rPr>
  </w:style>
  <w:style w:type="character" w:customStyle="1" w:styleId="Titre3Car">
    <w:name w:val="Titre 3 Car"/>
    <w:basedOn w:val="Policepardfaut"/>
    <w:link w:val="Titre3"/>
    <w:uiPriority w:val="9"/>
    <w:qFormat/>
    <w:rsid w:val="008F7709"/>
    <w:rPr>
      <w:rFonts w:ascii="Times New Roman" w:eastAsia="Times New Roman" w:hAnsi="Times New Roman" w:cs="Times New Roman"/>
      <w:b/>
      <w:bCs/>
      <w:sz w:val="27"/>
      <w:szCs w:val="27"/>
      <w:lang w:eastAsia="hu-HU"/>
    </w:rPr>
  </w:style>
  <w:style w:type="character" w:customStyle="1" w:styleId="NotedebasdepageCar">
    <w:name w:val="Note de bas de page Car"/>
    <w:basedOn w:val="Policepardfaut"/>
    <w:link w:val="Notedebasdepage"/>
    <w:uiPriority w:val="99"/>
    <w:qFormat/>
    <w:rsid w:val="00DB4969"/>
    <w:rPr>
      <w:rFonts w:eastAsiaTheme="minorEastAsia"/>
      <w:sz w:val="24"/>
      <w:szCs w:val="24"/>
      <w:lang w:val="en-US"/>
    </w:rPr>
  </w:style>
  <w:style w:type="character" w:customStyle="1" w:styleId="Ancladenotaalpie">
    <w:name w:val="Ancla de nota al pie"/>
    <w:rPr>
      <w:vertAlign w:val="superscript"/>
    </w:rPr>
  </w:style>
  <w:style w:type="character" w:customStyle="1" w:styleId="FootnoteCharacters">
    <w:name w:val="Footnote Characters"/>
    <w:basedOn w:val="Policepardfaut"/>
    <w:uiPriority w:val="99"/>
    <w:unhideWhenUsed/>
    <w:qFormat/>
    <w:rsid w:val="00DB4969"/>
    <w:rPr>
      <w:vertAlign w:val="superscript"/>
    </w:rPr>
  </w:style>
  <w:style w:type="character" w:customStyle="1" w:styleId="En-tteCar">
    <w:name w:val="En-tête Car"/>
    <w:basedOn w:val="Policepardfaut"/>
    <w:uiPriority w:val="99"/>
    <w:qFormat/>
    <w:rsid w:val="00DB4969"/>
  </w:style>
  <w:style w:type="character" w:customStyle="1" w:styleId="PieddepageCar">
    <w:name w:val="Pied de page Car"/>
    <w:basedOn w:val="Policepardfaut"/>
    <w:link w:val="Pieddepage"/>
    <w:uiPriority w:val="99"/>
    <w:qFormat/>
    <w:rsid w:val="00DB4969"/>
  </w:style>
  <w:style w:type="character" w:customStyle="1" w:styleId="PremierparaCar">
    <w:name w:val="Premier para Car"/>
    <w:basedOn w:val="Policepardfaut"/>
    <w:link w:val="Premierpara"/>
    <w:qFormat/>
    <w:rsid w:val="00263E6C"/>
    <w:rPr>
      <w:rFonts w:ascii="Times New Roman" w:eastAsia="Times New Roman" w:hAnsi="Times New Roman" w:cs="Times New Roman"/>
      <w:color w:val="000000"/>
      <w:lang w:eastAsia="hu-HU"/>
    </w:rPr>
  </w:style>
  <w:style w:type="character" w:customStyle="1" w:styleId="Titre4Car">
    <w:name w:val="Titre 4 Car"/>
    <w:basedOn w:val="Policepardfaut"/>
    <w:link w:val="Titre4"/>
    <w:uiPriority w:val="9"/>
    <w:qFormat/>
    <w:rsid w:val="00263E6C"/>
    <w:rPr>
      <w:rFonts w:ascii="Times New Roman" w:eastAsia="Times New Roman" w:hAnsi="Times New Roman" w:cs="Times New Roman"/>
      <w:b/>
      <w:bCs/>
      <w:color w:val="000000"/>
      <w:lang w:eastAsia="hu-HU"/>
    </w:rPr>
  </w:style>
  <w:style w:type="character" w:customStyle="1" w:styleId="2meparaCar">
    <w:name w:val="2ème para Car"/>
    <w:basedOn w:val="Policepardfaut"/>
    <w:link w:val="2mepara"/>
    <w:qFormat/>
    <w:rsid w:val="00263E6C"/>
    <w:rPr>
      <w:rFonts w:ascii="Times New Roman" w:eastAsia="Times New Roman" w:hAnsi="Times New Roman" w:cs="Times New Roman"/>
      <w:color w:val="000000"/>
      <w:lang w:eastAsia="hu-HU"/>
    </w:rPr>
  </w:style>
  <w:style w:type="character" w:styleId="Marquedecommentaire">
    <w:name w:val="annotation reference"/>
    <w:basedOn w:val="Policepardfaut"/>
    <w:uiPriority w:val="99"/>
    <w:semiHidden/>
    <w:unhideWhenUsed/>
    <w:qFormat/>
    <w:rsid w:val="00F818B6"/>
    <w:rPr>
      <w:sz w:val="16"/>
      <w:szCs w:val="16"/>
    </w:rPr>
  </w:style>
  <w:style w:type="character" w:customStyle="1" w:styleId="CommentaireCar">
    <w:name w:val="Commentaire Car"/>
    <w:basedOn w:val="Policepardfaut"/>
    <w:link w:val="Commentaire"/>
    <w:uiPriority w:val="99"/>
    <w:semiHidden/>
    <w:qFormat/>
    <w:rsid w:val="00F818B6"/>
    <w:rPr>
      <w:sz w:val="20"/>
      <w:szCs w:val="20"/>
    </w:rPr>
  </w:style>
  <w:style w:type="character" w:customStyle="1" w:styleId="ObjetducommentaireCar">
    <w:name w:val="Objet du commentaire Car"/>
    <w:basedOn w:val="CommentaireCar"/>
    <w:link w:val="Objetducommentaire"/>
    <w:uiPriority w:val="99"/>
    <w:semiHidden/>
    <w:qFormat/>
    <w:rsid w:val="00F818B6"/>
    <w:rPr>
      <w:b/>
      <w:bCs/>
      <w:sz w:val="20"/>
      <w:szCs w:val="20"/>
    </w:rPr>
  </w:style>
  <w:style w:type="character" w:customStyle="1" w:styleId="TextedebullesCar">
    <w:name w:val="Texte de bulles Car"/>
    <w:basedOn w:val="Policepardfaut"/>
    <w:link w:val="Textedebulles"/>
    <w:uiPriority w:val="99"/>
    <w:semiHidden/>
    <w:qFormat/>
    <w:rsid w:val="00F818B6"/>
    <w:rPr>
      <w:rFonts w:ascii="Segoe UI" w:hAnsi="Segoe UI" w:cs="Segoe UI"/>
      <w:sz w:val="18"/>
      <w:szCs w:val="18"/>
    </w:rPr>
  </w:style>
  <w:style w:type="character" w:customStyle="1" w:styleId="NotedefinCar">
    <w:name w:val="Note de fin Car"/>
    <w:basedOn w:val="Policepardfaut"/>
    <w:link w:val="Notedefin"/>
    <w:uiPriority w:val="99"/>
    <w:semiHidden/>
    <w:qFormat/>
    <w:rsid w:val="001F0608"/>
    <w:rPr>
      <w:sz w:val="20"/>
      <w:szCs w:val="20"/>
    </w:rPr>
  </w:style>
  <w:style w:type="character" w:customStyle="1" w:styleId="Ancladenotafinal">
    <w:name w:val="Ancla de nota final"/>
    <w:rPr>
      <w:vertAlign w:val="superscript"/>
    </w:rPr>
  </w:style>
  <w:style w:type="character" w:customStyle="1" w:styleId="EndnoteCharacters">
    <w:name w:val="Endnote Characters"/>
    <w:basedOn w:val="Policepardfaut"/>
    <w:uiPriority w:val="99"/>
    <w:semiHidden/>
    <w:unhideWhenUsed/>
    <w:qFormat/>
    <w:rsid w:val="001F0608"/>
    <w:rPr>
      <w:vertAlign w:val="superscript"/>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eastAsia="Calibri"/>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eastAsia="Times New Roman" w:cs="Times New Roman"/>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eastAsia="Times New Roman" w:cs="Times New Roman"/>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Caracteresdenotaalpie">
    <w:name w:val="Caracteres de nota al pie"/>
    <w:qFormat/>
  </w:style>
  <w:style w:type="character" w:customStyle="1" w:styleId="Caracteresdenotafinal">
    <w:name w:val="Caracteres de nota final"/>
    <w:qFormat/>
  </w:style>
  <w:style w:type="paragraph" w:customStyle="1" w:styleId="Ttulo">
    <w:name w:val="Título"/>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NormalWeb">
    <w:name w:val="Normal (Web)"/>
    <w:basedOn w:val="Normal"/>
    <w:uiPriority w:val="99"/>
    <w:semiHidden/>
    <w:unhideWhenUsed/>
    <w:qFormat/>
    <w:rsid w:val="008F7709"/>
    <w:pPr>
      <w:spacing w:beforeAutospacing="1" w:afterAutospacing="1" w:line="240" w:lineRule="auto"/>
    </w:pPr>
    <w:rPr>
      <w:rFonts w:ascii="Times New Roman" w:eastAsia="Times New Roman" w:hAnsi="Times New Roman" w:cs="Times New Roman"/>
      <w:sz w:val="24"/>
      <w:szCs w:val="24"/>
      <w:lang w:eastAsia="hu-HU"/>
    </w:rPr>
  </w:style>
  <w:style w:type="paragraph" w:styleId="Notedebasdepage">
    <w:name w:val="footnote text"/>
    <w:basedOn w:val="Normal"/>
    <w:link w:val="NotedebasdepageCar"/>
    <w:uiPriority w:val="99"/>
    <w:unhideWhenUsed/>
    <w:rsid w:val="00DB4969"/>
    <w:pPr>
      <w:spacing w:after="0" w:line="240" w:lineRule="auto"/>
    </w:pPr>
    <w:rPr>
      <w:rFonts w:eastAsiaTheme="minorEastAsia"/>
      <w:sz w:val="24"/>
      <w:szCs w:val="24"/>
      <w:lang w:val="en-US"/>
    </w:rPr>
  </w:style>
  <w:style w:type="paragraph" w:styleId="En-tte">
    <w:name w:val="header"/>
    <w:basedOn w:val="Normal"/>
    <w:uiPriority w:val="99"/>
    <w:unhideWhenUsed/>
    <w:rsid w:val="00DB4969"/>
    <w:pPr>
      <w:tabs>
        <w:tab w:val="center" w:pos="4536"/>
        <w:tab w:val="right" w:pos="9072"/>
      </w:tabs>
      <w:spacing w:after="0" w:line="240" w:lineRule="auto"/>
    </w:pPr>
  </w:style>
  <w:style w:type="paragraph" w:styleId="Pieddepage">
    <w:name w:val="footer"/>
    <w:basedOn w:val="Normal"/>
    <w:link w:val="PieddepageCar"/>
    <w:uiPriority w:val="99"/>
    <w:unhideWhenUsed/>
    <w:rsid w:val="00DB4969"/>
    <w:pPr>
      <w:tabs>
        <w:tab w:val="center" w:pos="4536"/>
        <w:tab w:val="right" w:pos="9072"/>
      </w:tabs>
      <w:spacing w:after="0" w:line="240" w:lineRule="auto"/>
    </w:pPr>
  </w:style>
  <w:style w:type="paragraph" w:customStyle="1" w:styleId="Premierpara">
    <w:name w:val="Premier para"/>
    <w:basedOn w:val="Normal"/>
    <w:link w:val="PremierparaCar"/>
    <w:qFormat/>
    <w:rsid w:val="00263E6C"/>
    <w:pPr>
      <w:spacing w:after="0" w:line="240" w:lineRule="auto"/>
      <w:jc w:val="both"/>
    </w:pPr>
    <w:rPr>
      <w:rFonts w:ascii="Times New Roman" w:eastAsia="Times New Roman" w:hAnsi="Times New Roman" w:cs="Times New Roman"/>
      <w:color w:val="000000"/>
      <w:lang w:eastAsia="hu-HU"/>
    </w:rPr>
  </w:style>
  <w:style w:type="paragraph" w:customStyle="1" w:styleId="2mepara">
    <w:name w:val="2ème para"/>
    <w:basedOn w:val="Normal"/>
    <w:link w:val="2meparaCar"/>
    <w:qFormat/>
    <w:rsid w:val="00263E6C"/>
    <w:pPr>
      <w:spacing w:after="0" w:line="240" w:lineRule="auto"/>
      <w:ind w:firstLine="227"/>
      <w:jc w:val="both"/>
    </w:pPr>
    <w:rPr>
      <w:rFonts w:ascii="Times New Roman" w:eastAsia="Times New Roman" w:hAnsi="Times New Roman" w:cs="Times New Roman"/>
      <w:color w:val="000000"/>
      <w:lang w:eastAsia="hu-HU"/>
    </w:rPr>
  </w:style>
  <w:style w:type="paragraph" w:styleId="Commentaire">
    <w:name w:val="annotation text"/>
    <w:basedOn w:val="Normal"/>
    <w:link w:val="CommentaireCar"/>
    <w:uiPriority w:val="99"/>
    <w:semiHidden/>
    <w:unhideWhenUsed/>
    <w:qFormat/>
    <w:rsid w:val="00F818B6"/>
    <w:pPr>
      <w:spacing w:line="240" w:lineRule="auto"/>
    </w:pPr>
    <w:rPr>
      <w:sz w:val="20"/>
      <w:szCs w:val="20"/>
    </w:rPr>
  </w:style>
  <w:style w:type="paragraph" w:styleId="Objetducommentaire">
    <w:name w:val="annotation subject"/>
    <w:basedOn w:val="Commentaire"/>
    <w:link w:val="ObjetducommentaireCar"/>
    <w:uiPriority w:val="99"/>
    <w:semiHidden/>
    <w:unhideWhenUsed/>
    <w:qFormat/>
    <w:rsid w:val="00F818B6"/>
    <w:rPr>
      <w:b/>
      <w:bCs/>
    </w:rPr>
  </w:style>
  <w:style w:type="paragraph" w:styleId="Textedebulles">
    <w:name w:val="Balloon Text"/>
    <w:basedOn w:val="Normal"/>
    <w:link w:val="TextedebullesCar"/>
    <w:uiPriority w:val="99"/>
    <w:semiHidden/>
    <w:unhideWhenUsed/>
    <w:qFormat/>
    <w:rsid w:val="00F818B6"/>
    <w:pPr>
      <w:spacing w:after="0" w:line="240" w:lineRule="auto"/>
    </w:pPr>
    <w:rPr>
      <w:rFonts w:ascii="Segoe UI" w:hAnsi="Segoe UI" w:cs="Segoe UI"/>
      <w:sz w:val="18"/>
      <w:szCs w:val="18"/>
    </w:rPr>
  </w:style>
  <w:style w:type="paragraph" w:styleId="Notedefin">
    <w:name w:val="endnote text"/>
    <w:basedOn w:val="Normal"/>
    <w:link w:val="NotedefinCar"/>
    <w:uiPriority w:val="99"/>
    <w:semiHidden/>
    <w:unhideWhenUsed/>
    <w:rsid w:val="001F0608"/>
    <w:pPr>
      <w:spacing w:after="0" w:line="240" w:lineRule="auto"/>
    </w:pPr>
    <w:rPr>
      <w:sz w:val="20"/>
      <w:szCs w:val="20"/>
    </w:rPr>
  </w:style>
  <w:style w:type="table" w:customStyle="1" w:styleId="Tableausimple51">
    <w:name w:val="Tableau simple 51"/>
    <w:basedOn w:val="TableauNormal"/>
    <w:uiPriority w:val="99"/>
    <w:rsid w:val="00DB4969"/>
    <w:rPr>
      <w:lang w:val="fr-BE"/>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simple41">
    <w:name w:val="Tableau simple 41"/>
    <w:basedOn w:val="TableauNormal"/>
    <w:uiPriority w:val="44"/>
    <w:rsid w:val="00A723C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21">
    <w:name w:val="Tableau simple 21"/>
    <w:basedOn w:val="TableauNormal"/>
    <w:uiPriority w:val="42"/>
    <w:rsid w:val="00A723C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leausimple52">
    <w:name w:val="Tableau simple 52"/>
    <w:basedOn w:val="TableauNormal"/>
    <w:uiPriority w:val="45"/>
    <w:rsid w:val="0088059D"/>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lledutableau">
    <w:name w:val="Table Grid"/>
    <w:basedOn w:val="TableauNormal"/>
    <w:uiPriority w:val="39"/>
    <w:rsid w:val="00F14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4">
    <w:name w:val="Plain Table 4"/>
    <w:basedOn w:val="TableauNormal"/>
    <w:uiPriority w:val="44"/>
    <w:rsid w:val="00AC403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ppelnotedebasdep">
    <w:name w:val="footnote reference"/>
    <w:basedOn w:val="Policepardfaut"/>
    <w:uiPriority w:val="99"/>
    <w:unhideWhenUsed/>
    <w:rsid w:val="00A16A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FCFEF-3A3B-41E5-9A05-3A627880D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23</Pages>
  <Words>8158</Words>
  <Characters>44875</Characters>
  <Application>Microsoft Office Word</Application>
  <DocSecurity>0</DocSecurity>
  <Lines>373</Lines>
  <Paragraphs>105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Malay</dc:creator>
  <dc:description/>
  <cp:lastModifiedBy>Olivier Malay</cp:lastModifiedBy>
  <cp:revision>9</cp:revision>
  <cp:lastPrinted>2017-10-30T10:15:00Z</cp:lastPrinted>
  <dcterms:created xsi:type="dcterms:W3CDTF">2019-04-08T09:20:00Z</dcterms:created>
  <dcterms:modified xsi:type="dcterms:W3CDTF">2019-04-09T21:50:00Z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