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CF679" w14:textId="4CD8E4BF" w:rsidR="00A71F66" w:rsidRPr="00BE66AB" w:rsidRDefault="00237F7B" w:rsidP="00B87BB0">
      <w:pPr>
        <w:spacing w:line="360" w:lineRule="auto"/>
        <w:jc w:val="center"/>
        <w:rPr>
          <w:rFonts w:ascii="Arial" w:hAnsi="Arial" w:cs="Arial"/>
          <w:b/>
        </w:rPr>
      </w:pPr>
      <w:r w:rsidRPr="00BE66AB">
        <w:rPr>
          <w:rFonts w:ascii="Arial" w:hAnsi="Arial" w:cs="Arial"/>
          <w:b/>
        </w:rPr>
        <w:t xml:space="preserve">La responsabilité du locataire en cas d’incendie intentionnel </w:t>
      </w:r>
      <w:r w:rsidR="003B71E1" w:rsidRPr="00BE66AB">
        <w:rPr>
          <w:rFonts w:ascii="Arial" w:hAnsi="Arial" w:cs="Arial"/>
          <w:b/>
        </w:rPr>
        <w:t xml:space="preserve">(par un tiers inconnu) </w:t>
      </w:r>
      <w:r w:rsidRPr="00BE66AB">
        <w:rPr>
          <w:rFonts w:ascii="Arial" w:hAnsi="Arial" w:cs="Arial"/>
          <w:b/>
        </w:rPr>
        <w:t>dans le bien loué</w:t>
      </w:r>
    </w:p>
    <w:p w14:paraId="0A2880D6" w14:textId="77777777" w:rsidR="00A71F66" w:rsidRPr="00BE66AB" w:rsidRDefault="00A71F66" w:rsidP="00B87BB0">
      <w:pPr>
        <w:spacing w:line="360" w:lineRule="auto"/>
        <w:jc w:val="center"/>
        <w:rPr>
          <w:rFonts w:ascii="Arial" w:hAnsi="Arial" w:cs="Arial"/>
          <w:i/>
        </w:rPr>
      </w:pPr>
    </w:p>
    <w:p w14:paraId="4EE35567" w14:textId="75E0E274" w:rsidR="00A71F66" w:rsidRPr="00BE66AB" w:rsidRDefault="001C3B95" w:rsidP="00B87BB0">
      <w:pPr>
        <w:spacing w:line="360" w:lineRule="auto"/>
        <w:jc w:val="center"/>
        <w:rPr>
          <w:rFonts w:ascii="Arial" w:hAnsi="Arial" w:cs="Arial"/>
          <w:i/>
        </w:rPr>
      </w:pPr>
      <w:r w:rsidRPr="00BE66AB">
        <w:rPr>
          <w:rFonts w:ascii="Arial" w:hAnsi="Arial" w:cs="Arial"/>
          <w:i/>
        </w:rPr>
        <w:t xml:space="preserve">Nicolas BERNARD, </w:t>
      </w:r>
      <w:r w:rsidR="00A71F66" w:rsidRPr="00BE66AB">
        <w:rPr>
          <w:rFonts w:ascii="Arial" w:hAnsi="Arial" w:cs="Arial"/>
          <w:i/>
        </w:rPr>
        <w:t>professeur à l’Université Saint-Louis — Bruxelles</w:t>
      </w:r>
    </w:p>
    <w:p w14:paraId="2A6315F0" w14:textId="334F68AD" w:rsidR="00A71F66" w:rsidRPr="00BE66AB" w:rsidRDefault="00A71F66" w:rsidP="00B87BB0">
      <w:pPr>
        <w:spacing w:line="360" w:lineRule="auto"/>
        <w:jc w:val="both"/>
        <w:rPr>
          <w:rFonts w:ascii="Arial" w:hAnsi="Arial" w:cs="Arial"/>
        </w:rPr>
      </w:pPr>
    </w:p>
    <w:p w14:paraId="201A0D33" w14:textId="77777777" w:rsidR="00780B89" w:rsidRPr="00BE66AB" w:rsidRDefault="00780B89" w:rsidP="00B87BB0">
      <w:pPr>
        <w:spacing w:line="360" w:lineRule="auto"/>
        <w:jc w:val="both"/>
        <w:rPr>
          <w:rFonts w:ascii="Arial" w:hAnsi="Arial" w:cs="Arial"/>
          <w:b/>
        </w:rPr>
      </w:pPr>
    </w:p>
    <w:p w14:paraId="2350E808" w14:textId="5F3C751D" w:rsidR="00F7011F" w:rsidRPr="00BE66AB" w:rsidRDefault="003B71E1" w:rsidP="00B87BB0">
      <w:pPr>
        <w:spacing w:line="360" w:lineRule="auto"/>
        <w:jc w:val="both"/>
        <w:rPr>
          <w:rFonts w:ascii="Arial" w:hAnsi="Arial" w:cs="Arial"/>
          <w:i/>
        </w:rPr>
      </w:pPr>
      <w:r w:rsidRPr="00BE66AB">
        <w:rPr>
          <w:rFonts w:ascii="Arial" w:hAnsi="Arial" w:cs="Arial"/>
          <w:i/>
        </w:rPr>
        <w:t>1. Mise en c</w:t>
      </w:r>
      <w:r w:rsidR="00F7011F" w:rsidRPr="00BE66AB">
        <w:rPr>
          <w:rFonts w:ascii="Arial" w:hAnsi="Arial" w:cs="Arial"/>
          <w:i/>
        </w:rPr>
        <w:t xml:space="preserve">ontexte </w:t>
      </w:r>
    </w:p>
    <w:p w14:paraId="48350F4C" w14:textId="77777777" w:rsidR="00F7011F" w:rsidRPr="00BE66AB" w:rsidRDefault="00F7011F" w:rsidP="00B87BB0">
      <w:pPr>
        <w:spacing w:line="360" w:lineRule="auto"/>
        <w:jc w:val="both"/>
        <w:rPr>
          <w:rFonts w:ascii="Arial" w:hAnsi="Arial" w:cs="Arial"/>
          <w:b/>
        </w:rPr>
      </w:pPr>
    </w:p>
    <w:p w14:paraId="14B7B50F" w14:textId="6CED4FBD" w:rsidR="00386E5B" w:rsidRPr="00BE66AB" w:rsidRDefault="008924BC" w:rsidP="00B87BB0">
      <w:pPr>
        <w:spacing w:line="360" w:lineRule="auto"/>
        <w:ind w:firstLine="567"/>
        <w:jc w:val="both"/>
        <w:rPr>
          <w:rFonts w:ascii="Arial" w:hAnsi="Arial" w:cs="Arial"/>
        </w:rPr>
      </w:pPr>
      <w:r w:rsidRPr="00BE66AB">
        <w:rPr>
          <w:rFonts w:ascii="Arial" w:hAnsi="Arial" w:cs="Arial"/>
          <w:b/>
        </w:rPr>
        <w:t>1</w:t>
      </w:r>
      <w:r w:rsidR="005619D9" w:rsidRPr="00BE66AB">
        <w:rPr>
          <w:rFonts w:ascii="Arial" w:hAnsi="Arial" w:cs="Arial"/>
          <w:b/>
        </w:rPr>
        <w:t xml:space="preserve">. </w:t>
      </w:r>
      <w:r w:rsidR="00237F7B" w:rsidRPr="00BE66AB">
        <w:rPr>
          <w:rFonts w:ascii="Arial" w:hAnsi="Arial" w:cs="Arial"/>
        </w:rPr>
        <w:t xml:space="preserve">De manière générale, le locataire répond de l’incendie se déclarant dans le bien loué, on le sait. S’exonère-t-il cependant de sa responsabilité lorsque le sinistre a été causé par un tiers ? Et </w:t>
      </w:r>
      <w:r w:rsidR="00237F7B" w:rsidRPr="00BE66AB">
        <w:rPr>
          <w:rFonts w:ascii="Arial" w:hAnsi="Arial" w:cs="Arial"/>
          <w:i/>
        </w:rPr>
        <w:t>quid</w:t>
      </w:r>
      <w:r w:rsidR="00237F7B" w:rsidRPr="00BE66AB">
        <w:rPr>
          <w:rFonts w:ascii="Arial" w:hAnsi="Arial" w:cs="Arial"/>
        </w:rPr>
        <w:t xml:space="preserve"> si l’incendie revêt un caractère intentionnel ? </w:t>
      </w:r>
      <w:r w:rsidR="003B71E1" w:rsidRPr="00BE66AB">
        <w:rPr>
          <w:rFonts w:ascii="Arial" w:hAnsi="Arial" w:cs="Arial"/>
        </w:rPr>
        <w:t xml:space="preserve">Et si l’auteur demeure inconnu ? </w:t>
      </w:r>
      <w:r w:rsidR="00237F7B" w:rsidRPr="00BE66AB">
        <w:rPr>
          <w:rFonts w:ascii="Arial" w:hAnsi="Arial" w:cs="Arial"/>
        </w:rPr>
        <w:t>Qui doit prouver quoi ? À ces différentes (et pertinentes) questions, le jugement rendu le 19 janvier 2017 par le tribunal civil de Namur, division Dinant, livre des réponse</w:t>
      </w:r>
      <w:r w:rsidR="003D42AB" w:rsidRPr="00BE66AB">
        <w:rPr>
          <w:rFonts w:ascii="Arial" w:hAnsi="Arial" w:cs="Arial"/>
        </w:rPr>
        <w:t>s instructives</w:t>
      </w:r>
      <w:r w:rsidR="00237F7B" w:rsidRPr="00BE66AB">
        <w:rPr>
          <w:rFonts w:ascii="Arial" w:hAnsi="Arial" w:cs="Arial"/>
        </w:rPr>
        <w:t>. Sans apporter de bouleversement majeur, la présente décision fait intelligemment le point sur la thématique et nous offre ainsi l’occasion de revenir sur les lignes de force du régime légal applicable à ce cas de figure</w:t>
      </w:r>
      <w:r w:rsidR="00386E5B" w:rsidRPr="00BE66AB">
        <w:rPr>
          <w:rFonts w:ascii="Arial" w:hAnsi="Arial" w:cs="Arial"/>
        </w:rPr>
        <w:t xml:space="preserve"> (pas si </w:t>
      </w:r>
      <w:r w:rsidR="003D42AB" w:rsidRPr="00BE66AB">
        <w:rPr>
          <w:rFonts w:ascii="Arial" w:hAnsi="Arial" w:cs="Arial"/>
        </w:rPr>
        <w:t>marginal</w:t>
      </w:r>
      <w:r w:rsidR="00386E5B" w:rsidRPr="00BE66AB">
        <w:rPr>
          <w:rFonts w:ascii="Arial" w:hAnsi="Arial" w:cs="Arial"/>
        </w:rPr>
        <w:t xml:space="preserve"> que ça</w:t>
      </w:r>
      <w:r w:rsidR="003D42AB" w:rsidRPr="00BE66AB">
        <w:rPr>
          <w:rFonts w:ascii="Arial" w:hAnsi="Arial" w:cs="Arial"/>
        </w:rPr>
        <w:t>, tant s’en faut</w:t>
      </w:r>
      <w:r w:rsidR="00386E5B" w:rsidRPr="00BE66AB">
        <w:rPr>
          <w:rFonts w:ascii="Arial" w:hAnsi="Arial" w:cs="Arial"/>
        </w:rPr>
        <w:t>)</w:t>
      </w:r>
      <w:r w:rsidR="00237F7B" w:rsidRPr="00BE66AB">
        <w:rPr>
          <w:rFonts w:ascii="Arial" w:hAnsi="Arial" w:cs="Arial"/>
        </w:rPr>
        <w:t xml:space="preserve">. Au préalable, les faits de la cause requièrent d’être </w:t>
      </w:r>
      <w:r w:rsidR="00022AA1" w:rsidRPr="00BE66AB">
        <w:rPr>
          <w:rFonts w:ascii="Arial" w:hAnsi="Arial" w:cs="Arial"/>
        </w:rPr>
        <w:t xml:space="preserve">(brièvement) </w:t>
      </w:r>
      <w:r w:rsidR="00237F7B" w:rsidRPr="00BE66AB">
        <w:rPr>
          <w:rFonts w:ascii="Arial" w:hAnsi="Arial" w:cs="Arial"/>
        </w:rPr>
        <w:t>retracés</w:t>
      </w:r>
      <w:r w:rsidR="00386E5B" w:rsidRPr="00BE66AB">
        <w:rPr>
          <w:rFonts w:ascii="Arial" w:hAnsi="Arial" w:cs="Arial"/>
        </w:rPr>
        <w:t>, aux fins de contextualiser le propos.</w:t>
      </w:r>
    </w:p>
    <w:p w14:paraId="4F7C9978" w14:textId="77777777" w:rsidR="00386E5B" w:rsidRPr="00BE66AB" w:rsidRDefault="00386E5B" w:rsidP="005A40DA">
      <w:pPr>
        <w:spacing w:line="360" w:lineRule="auto"/>
        <w:jc w:val="both"/>
        <w:rPr>
          <w:rFonts w:ascii="Arial" w:hAnsi="Arial" w:cs="Arial"/>
        </w:rPr>
      </w:pPr>
    </w:p>
    <w:p w14:paraId="1690D36D" w14:textId="0FAA46D9" w:rsidR="00F0354D" w:rsidRPr="00BE66AB" w:rsidRDefault="00386E5B" w:rsidP="00B87BB0">
      <w:pPr>
        <w:spacing w:line="360" w:lineRule="auto"/>
        <w:ind w:firstLine="567"/>
        <w:jc w:val="both"/>
        <w:rPr>
          <w:rFonts w:ascii="Arial" w:hAnsi="Arial" w:cs="Arial"/>
        </w:rPr>
      </w:pPr>
      <w:r w:rsidRPr="00BE66AB">
        <w:rPr>
          <w:rFonts w:ascii="Arial" w:hAnsi="Arial" w:cs="Arial"/>
          <w:b/>
        </w:rPr>
        <w:t xml:space="preserve">2. </w:t>
      </w:r>
      <w:r w:rsidRPr="00BE66AB">
        <w:rPr>
          <w:rFonts w:ascii="Arial" w:hAnsi="Arial" w:cs="Arial"/>
        </w:rPr>
        <w:t xml:space="preserve">Un incendie ravage un logement donné à bail, pendant que son occupant vaquait à l’extérieur ; indubitablement, il a été bouté volontairement. </w:t>
      </w:r>
      <w:r w:rsidR="00843E7C" w:rsidRPr="00BE66AB">
        <w:rPr>
          <w:rFonts w:ascii="Arial" w:hAnsi="Arial" w:cs="Arial"/>
        </w:rPr>
        <w:t xml:space="preserve">Le propriétaire avait </w:t>
      </w:r>
      <w:r w:rsidR="00792761" w:rsidRPr="00BE66AB">
        <w:rPr>
          <w:rFonts w:ascii="Arial" w:hAnsi="Arial" w:cs="Arial"/>
        </w:rPr>
        <w:t>souscrit</w:t>
      </w:r>
      <w:r w:rsidR="00843E7C" w:rsidRPr="00BE66AB">
        <w:rPr>
          <w:rFonts w:ascii="Arial" w:hAnsi="Arial" w:cs="Arial"/>
        </w:rPr>
        <w:t xml:space="preserve"> une assurance contre </w:t>
      </w:r>
      <w:r w:rsidR="00792761" w:rsidRPr="00BE66AB">
        <w:rPr>
          <w:rFonts w:ascii="Arial" w:hAnsi="Arial" w:cs="Arial"/>
        </w:rPr>
        <w:t>l’</w:t>
      </w:r>
      <w:r w:rsidR="00843E7C" w:rsidRPr="00BE66AB">
        <w:rPr>
          <w:rFonts w:ascii="Arial" w:hAnsi="Arial" w:cs="Arial"/>
        </w:rPr>
        <w:t xml:space="preserve">incendie et le preneur une assurance </w:t>
      </w:r>
      <w:r w:rsidR="00022AA1" w:rsidRPr="00BE66AB">
        <w:rPr>
          <w:rFonts w:ascii="Arial" w:hAnsi="Arial" w:cs="Arial"/>
        </w:rPr>
        <w:t>R.C.</w:t>
      </w:r>
      <w:r w:rsidR="00843E7C" w:rsidRPr="00BE66AB">
        <w:rPr>
          <w:rFonts w:ascii="Arial" w:hAnsi="Arial" w:cs="Arial"/>
        </w:rPr>
        <w:t xml:space="preserve"> </w:t>
      </w:r>
      <w:r w:rsidR="00022AA1" w:rsidRPr="00BE66AB">
        <w:rPr>
          <w:rFonts w:ascii="Arial" w:hAnsi="Arial" w:cs="Arial"/>
        </w:rPr>
        <w:t>locative</w:t>
      </w:r>
      <w:r w:rsidR="00843E7C" w:rsidRPr="00BE66AB">
        <w:rPr>
          <w:rFonts w:ascii="Arial" w:hAnsi="Arial" w:cs="Arial"/>
        </w:rPr>
        <w:t>. Estimant la responsabilité de ce dernier engagée, la com</w:t>
      </w:r>
      <w:r w:rsidR="00246A36" w:rsidRPr="00BE66AB">
        <w:rPr>
          <w:rFonts w:ascii="Arial" w:hAnsi="Arial" w:cs="Arial"/>
        </w:rPr>
        <w:t xml:space="preserve">pagnie d’assurance du bailleur, </w:t>
      </w:r>
      <w:r w:rsidR="00843E7C" w:rsidRPr="00BE66AB">
        <w:rPr>
          <w:rFonts w:ascii="Arial" w:hAnsi="Arial" w:cs="Arial"/>
        </w:rPr>
        <w:t>qu’on imagine subrogée aux droits</w:t>
      </w:r>
      <w:r w:rsidR="00F0354D" w:rsidRPr="00BE66AB">
        <w:rPr>
          <w:rFonts w:ascii="Arial" w:hAnsi="Arial" w:cs="Arial"/>
        </w:rPr>
        <w:t xml:space="preserve"> de l’intéressé</w:t>
      </w:r>
      <w:r w:rsidR="00341F3F" w:rsidRPr="00BE66AB">
        <w:rPr>
          <w:rFonts w:ascii="Arial" w:hAnsi="Arial" w:cs="Arial"/>
        </w:rPr>
        <w:t xml:space="preserve"> </w:t>
      </w:r>
      <w:r w:rsidR="00022AA1" w:rsidRPr="00BE66AB">
        <w:rPr>
          <w:rFonts w:ascii="Arial" w:hAnsi="Arial" w:cs="Arial"/>
        </w:rPr>
        <w:t>(</w:t>
      </w:r>
      <w:r w:rsidR="00341F3F" w:rsidRPr="00BE66AB">
        <w:rPr>
          <w:rFonts w:ascii="Arial" w:hAnsi="Arial" w:cs="Arial"/>
        </w:rPr>
        <w:t>après l’avoir indemnisé</w:t>
      </w:r>
      <w:r w:rsidR="00022AA1" w:rsidRPr="00BE66AB">
        <w:rPr>
          <w:rFonts w:ascii="Arial" w:hAnsi="Arial" w:cs="Arial"/>
        </w:rPr>
        <w:t>)</w:t>
      </w:r>
      <w:r w:rsidR="002F2D6D" w:rsidRPr="00BE66AB">
        <w:rPr>
          <w:rStyle w:val="Marquenotebasdepage"/>
          <w:rFonts w:ascii="Arial" w:hAnsi="Arial" w:cs="Arial"/>
        </w:rPr>
        <w:footnoteReference w:id="1"/>
      </w:r>
      <w:r w:rsidR="00246A36" w:rsidRPr="00BE66AB">
        <w:rPr>
          <w:rFonts w:ascii="Arial" w:hAnsi="Arial" w:cs="Arial"/>
        </w:rPr>
        <w:t>,</w:t>
      </w:r>
      <w:r w:rsidR="00843E7C" w:rsidRPr="00BE66AB">
        <w:rPr>
          <w:rFonts w:ascii="Arial" w:hAnsi="Arial" w:cs="Arial"/>
        </w:rPr>
        <w:t xml:space="preserve"> </w:t>
      </w:r>
      <w:r w:rsidRPr="00BE66AB">
        <w:rPr>
          <w:rFonts w:ascii="Arial" w:hAnsi="Arial" w:cs="Arial"/>
        </w:rPr>
        <w:t xml:space="preserve">assigne alors en justice </w:t>
      </w:r>
      <w:r w:rsidR="00246A36" w:rsidRPr="00BE66AB">
        <w:rPr>
          <w:rFonts w:ascii="Arial" w:hAnsi="Arial" w:cs="Arial"/>
        </w:rPr>
        <w:t>(sur la base d’une action dite directe</w:t>
      </w:r>
      <w:r w:rsidR="00246A36" w:rsidRPr="00BE66AB">
        <w:rPr>
          <w:rStyle w:val="Marquenotebasdepage"/>
          <w:rFonts w:ascii="Arial" w:hAnsi="Arial" w:cs="Arial"/>
        </w:rPr>
        <w:footnoteReference w:id="2"/>
      </w:r>
      <w:r w:rsidR="00246A36" w:rsidRPr="00BE66AB">
        <w:rPr>
          <w:rFonts w:ascii="Arial" w:hAnsi="Arial" w:cs="Arial"/>
        </w:rPr>
        <w:t xml:space="preserve">) </w:t>
      </w:r>
      <w:r w:rsidR="00843E7C" w:rsidRPr="00BE66AB">
        <w:rPr>
          <w:rFonts w:ascii="Arial" w:hAnsi="Arial" w:cs="Arial"/>
        </w:rPr>
        <w:t>l’assureur</w:t>
      </w:r>
      <w:r w:rsidR="00246A36" w:rsidRPr="00BE66AB">
        <w:rPr>
          <w:rFonts w:ascii="Arial" w:hAnsi="Arial" w:cs="Arial"/>
        </w:rPr>
        <w:t xml:space="preserve"> du locataire, </w:t>
      </w:r>
      <w:r w:rsidR="00F0354D" w:rsidRPr="00BE66AB">
        <w:rPr>
          <w:rFonts w:ascii="Arial" w:hAnsi="Arial" w:cs="Arial"/>
        </w:rPr>
        <w:t xml:space="preserve">probablement rebelle à l’idée de prendre en charge un sinistre causé </w:t>
      </w:r>
      <w:r w:rsidR="00246A36" w:rsidRPr="00BE66AB">
        <w:rPr>
          <w:rFonts w:ascii="Arial" w:hAnsi="Arial" w:cs="Arial"/>
        </w:rPr>
        <w:t>— à son estime — sans la faute de son assuré</w:t>
      </w:r>
      <w:r w:rsidRPr="00BE66AB">
        <w:rPr>
          <w:rFonts w:ascii="Arial" w:hAnsi="Arial" w:cs="Arial"/>
        </w:rPr>
        <w:t xml:space="preserve">. </w:t>
      </w:r>
    </w:p>
    <w:p w14:paraId="551C5911" w14:textId="77777777" w:rsidR="005A40DA" w:rsidRPr="00BE66AB" w:rsidRDefault="005A40DA" w:rsidP="005A40DA">
      <w:pPr>
        <w:spacing w:line="360" w:lineRule="auto"/>
        <w:jc w:val="both"/>
        <w:rPr>
          <w:rFonts w:ascii="Arial" w:hAnsi="Arial" w:cs="Arial"/>
        </w:rPr>
      </w:pPr>
    </w:p>
    <w:p w14:paraId="36E8D65F" w14:textId="77777777" w:rsidR="00440A80" w:rsidRPr="00BE66AB" w:rsidRDefault="00440A80" w:rsidP="005A40DA">
      <w:pPr>
        <w:spacing w:line="360" w:lineRule="auto"/>
        <w:jc w:val="both"/>
        <w:rPr>
          <w:rFonts w:ascii="Arial" w:hAnsi="Arial" w:cs="Arial"/>
        </w:rPr>
      </w:pPr>
    </w:p>
    <w:p w14:paraId="3B91C102" w14:textId="10BD4F02" w:rsidR="005A40DA" w:rsidRPr="00BE66AB" w:rsidRDefault="005A40DA" w:rsidP="005A40DA">
      <w:pPr>
        <w:spacing w:line="360" w:lineRule="auto"/>
        <w:jc w:val="both"/>
        <w:rPr>
          <w:rFonts w:ascii="Arial" w:hAnsi="Arial" w:cs="Arial"/>
          <w:i/>
        </w:rPr>
      </w:pPr>
      <w:r w:rsidRPr="00BE66AB">
        <w:rPr>
          <w:rFonts w:ascii="Arial" w:hAnsi="Arial" w:cs="Arial"/>
          <w:i/>
        </w:rPr>
        <w:lastRenderedPageBreak/>
        <w:t xml:space="preserve">2. Une présomption générale de responsabilité </w:t>
      </w:r>
      <w:r w:rsidR="00440A80" w:rsidRPr="00BE66AB">
        <w:rPr>
          <w:rFonts w:ascii="Arial" w:hAnsi="Arial" w:cs="Arial"/>
          <w:i/>
        </w:rPr>
        <w:t xml:space="preserve">pesant </w:t>
      </w:r>
      <w:r w:rsidRPr="00BE66AB">
        <w:rPr>
          <w:rFonts w:ascii="Arial" w:hAnsi="Arial" w:cs="Arial"/>
          <w:i/>
        </w:rPr>
        <w:t>sur le locataire</w:t>
      </w:r>
    </w:p>
    <w:p w14:paraId="61A64FC7" w14:textId="77777777" w:rsidR="005A40DA" w:rsidRPr="00BE66AB" w:rsidRDefault="005A40DA" w:rsidP="005A40DA">
      <w:pPr>
        <w:spacing w:line="360" w:lineRule="auto"/>
        <w:jc w:val="both"/>
        <w:rPr>
          <w:rFonts w:ascii="Arial" w:hAnsi="Arial" w:cs="Arial"/>
        </w:rPr>
      </w:pPr>
    </w:p>
    <w:p w14:paraId="364612E7" w14:textId="77E891C3" w:rsidR="005A40DA" w:rsidRPr="00BE66AB" w:rsidRDefault="005A40DA" w:rsidP="005A40DA">
      <w:pPr>
        <w:spacing w:line="360" w:lineRule="auto"/>
        <w:jc w:val="both"/>
        <w:rPr>
          <w:rFonts w:ascii="Arial" w:hAnsi="Arial" w:cs="Arial"/>
        </w:rPr>
      </w:pPr>
      <w:r w:rsidRPr="00BE66AB">
        <w:rPr>
          <w:rFonts w:ascii="Arial" w:hAnsi="Arial" w:cs="Arial"/>
        </w:rPr>
        <w:tab/>
        <w:t>a) le texte de loi</w:t>
      </w:r>
    </w:p>
    <w:p w14:paraId="394FE67C" w14:textId="77777777" w:rsidR="005A40DA" w:rsidRPr="00BE66AB" w:rsidRDefault="005A40DA" w:rsidP="005A40DA">
      <w:pPr>
        <w:spacing w:line="360" w:lineRule="auto"/>
        <w:jc w:val="both"/>
        <w:rPr>
          <w:rFonts w:ascii="Arial" w:hAnsi="Arial" w:cs="Arial"/>
        </w:rPr>
      </w:pPr>
    </w:p>
    <w:p w14:paraId="15E937DC" w14:textId="45B7375D" w:rsidR="00DA2152" w:rsidRPr="00BE66AB" w:rsidRDefault="003D2586" w:rsidP="00DD4677">
      <w:pPr>
        <w:spacing w:line="360" w:lineRule="auto"/>
        <w:ind w:firstLine="567"/>
        <w:jc w:val="both"/>
        <w:rPr>
          <w:rFonts w:ascii="Arial" w:hAnsi="Arial" w:cs="Arial"/>
        </w:rPr>
      </w:pPr>
      <w:r w:rsidRPr="00BE66AB">
        <w:rPr>
          <w:rFonts w:ascii="Arial" w:hAnsi="Arial" w:cs="Arial"/>
          <w:b/>
        </w:rPr>
        <w:t>3</w:t>
      </w:r>
      <w:r w:rsidR="00B44ECC" w:rsidRPr="00BE66AB">
        <w:rPr>
          <w:rFonts w:ascii="Arial" w:hAnsi="Arial" w:cs="Arial"/>
          <w:b/>
        </w:rPr>
        <w:t xml:space="preserve">. </w:t>
      </w:r>
      <w:r w:rsidR="00F0354D" w:rsidRPr="00BE66AB">
        <w:rPr>
          <w:rFonts w:ascii="Arial" w:hAnsi="Arial" w:cs="Arial"/>
        </w:rPr>
        <w:t>La pierre angulaire normative de la matière réside dans</w:t>
      </w:r>
      <w:r w:rsidR="00386E5B" w:rsidRPr="00BE66AB">
        <w:rPr>
          <w:rFonts w:ascii="Arial" w:hAnsi="Arial" w:cs="Arial"/>
        </w:rPr>
        <w:t xml:space="preserve"> l’article 1733 du Code</w:t>
      </w:r>
      <w:r w:rsidR="004C40E4" w:rsidRPr="00BE66AB">
        <w:rPr>
          <w:rFonts w:ascii="Arial" w:hAnsi="Arial" w:cs="Arial"/>
        </w:rPr>
        <w:t xml:space="preserve"> civil, suivant lequel</w:t>
      </w:r>
      <w:r w:rsidR="00386E5B" w:rsidRPr="00BE66AB">
        <w:rPr>
          <w:rFonts w:ascii="Arial" w:hAnsi="Arial" w:cs="Arial"/>
        </w:rPr>
        <w:t xml:space="preserve"> le preneur « répond de l'incendie, à moins qu'il ne prouve que celui-ci s'est déclaré sans sa faute ». </w:t>
      </w:r>
      <w:r w:rsidR="004C40E4" w:rsidRPr="00BE66AB">
        <w:rPr>
          <w:rFonts w:ascii="Arial" w:hAnsi="Arial" w:cs="Arial"/>
        </w:rPr>
        <w:t xml:space="preserve">Le bailleur, autrement dit, n’a rien à </w:t>
      </w:r>
      <w:r w:rsidR="00E15D71" w:rsidRPr="00BE66AB">
        <w:rPr>
          <w:rFonts w:ascii="Arial" w:hAnsi="Arial" w:cs="Arial"/>
        </w:rPr>
        <w:t>faire</w:t>
      </w:r>
      <w:r w:rsidR="004C40E4" w:rsidRPr="00BE66AB">
        <w:rPr>
          <w:rFonts w:ascii="Arial" w:hAnsi="Arial" w:cs="Arial"/>
        </w:rPr>
        <w:t xml:space="preserve"> pour </w:t>
      </w:r>
      <w:r w:rsidR="001F26A5" w:rsidRPr="00BE66AB">
        <w:rPr>
          <w:rFonts w:ascii="Arial" w:hAnsi="Arial" w:cs="Arial"/>
        </w:rPr>
        <w:t xml:space="preserve">établir la responsabilité </w:t>
      </w:r>
      <w:r w:rsidR="00E15D71" w:rsidRPr="00BE66AB">
        <w:rPr>
          <w:rFonts w:ascii="Arial" w:hAnsi="Arial" w:cs="Arial"/>
        </w:rPr>
        <w:t>de son cocontractant</w:t>
      </w:r>
      <w:r w:rsidR="004C40E4" w:rsidRPr="00BE66AB">
        <w:rPr>
          <w:rFonts w:ascii="Arial" w:hAnsi="Arial" w:cs="Arial"/>
        </w:rPr>
        <w:t xml:space="preserve"> </w:t>
      </w:r>
      <w:r w:rsidR="001F26A5" w:rsidRPr="00BE66AB">
        <w:rPr>
          <w:rFonts w:ascii="Arial" w:hAnsi="Arial" w:cs="Arial"/>
        </w:rPr>
        <w:t>(</w:t>
      </w:r>
      <w:r w:rsidR="004C40E4" w:rsidRPr="00BE66AB">
        <w:rPr>
          <w:rFonts w:ascii="Arial" w:hAnsi="Arial" w:cs="Arial"/>
        </w:rPr>
        <w:t xml:space="preserve">si ce n’est </w:t>
      </w:r>
      <w:r w:rsidR="00E15D71" w:rsidRPr="00BE66AB">
        <w:rPr>
          <w:rFonts w:ascii="Arial" w:hAnsi="Arial" w:cs="Arial"/>
        </w:rPr>
        <w:t xml:space="preserve">montrer </w:t>
      </w:r>
      <w:r w:rsidR="004C40E4" w:rsidRPr="00BE66AB">
        <w:rPr>
          <w:rFonts w:ascii="Arial" w:hAnsi="Arial" w:cs="Arial"/>
        </w:rPr>
        <w:t xml:space="preserve">que l’incendie </w:t>
      </w:r>
      <w:r w:rsidR="00E15D71" w:rsidRPr="00BE66AB">
        <w:rPr>
          <w:rFonts w:ascii="Arial" w:hAnsi="Arial" w:cs="Arial"/>
        </w:rPr>
        <w:t xml:space="preserve">a bien </w:t>
      </w:r>
      <w:r w:rsidR="009B1C92" w:rsidRPr="00BE66AB">
        <w:rPr>
          <w:rFonts w:ascii="Arial" w:hAnsi="Arial" w:cs="Arial"/>
        </w:rPr>
        <w:t>éclaté</w:t>
      </w:r>
      <w:r w:rsidR="00BC4C6A" w:rsidRPr="00BE66AB">
        <w:rPr>
          <w:rFonts w:ascii="Arial" w:hAnsi="Arial" w:cs="Arial"/>
        </w:rPr>
        <w:t xml:space="preserve"> dans le bien loué</w:t>
      </w:r>
      <w:r w:rsidR="0019166C" w:rsidRPr="00BE66AB">
        <w:rPr>
          <w:rFonts w:ascii="Arial" w:hAnsi="Arial" w:cs="Arial"/>
        </w:rPr>
        <w:t xml:space="preserve"> — le « fait matériel de la perte »</w:t>
      </w:r>
      <w:r w:rsidR="0019166C" w:rsidRPr="00BE66AB">
        <w:rPr>
          <w:rStyle w:val="Marquenotebasdepage"/>
          <w:rFonts w:ascii="Arial" w:hAnsi="Arial" w:cs="Arial"/>
        </w:rPr>
        <w:footnoteReference w:id="3"/>
      </w:r>
      <w:r w:rsidR="001F26A5" w:rsidRPr="00BE66AB">
        <w:rPr>
          <w:rFonts w:ascii="Arial" w:hAnsi="Arial" w:cs="Arial"/>
        </w:rPr>
        <w:t>)</w:t>
      </w:r>
      <w:r w:rsidR="00BC4C6A" w:rsidRPr="00BE66AB">
        <w:rPr>
          <w:rFonts w:ascii="Arial" w:hAnsi="Arial" w:cs="Arial"/>
        </w:rPr>
        <w:t xml:space="preserve"> ; </w:t>
      </w:r>
      <w:r w:rsidR="001F26A5" w:rsidRPr="00BE66AB">
        <w:rPr>
          <w:rFonts w:ascii="Arial" w:hAnsi="Arial" w:cs="Arial"/>
        </w:rPr>
        <w:t xml:space="preserve">c’est au locataire à </w:t>
      </w:r>
      <w:r w:rsidR="00DD4677" w:rsidRPr="00BE66AB">
        <w:rPr>
          <w:rFonts w:ascii="Arial" w:hAnsi="Arial" w:cs="Arial"/>
        </w:rPr>
        <w:t>fournir</w:t>
      </w:r>
      <w:r w:rsidR="00E15D71" w:rsidRPr="00BE66AB">
        <w:rPr>
          <w:rFonts w:ascii="Arial" w:hAnsi="Arial" w:cs="Arial"/>
        </w:rPr>
        <w:t xml:space="preserve"> la démonstration inverse</w:t>
      </w:r>
      <w:r w:rsidR="00022AA1" w:rsidRPr="00BE66AB">
        <w:rPr>
          <w:rFonts w:ascii="Arial" w:hAnsi="Arial" w:cs="Arial"/>
        </w:rPr>
        <w:t xml:space="preserve"> qu’il n’y est pour rien</w:t>
      </w:r>
      <w:r w:rsidR="00E15D71" w:rsidRPr="00BE66AB">
        <w:rPr>
          <w:rFonts w:ascii="Arial" w:hAnsi="Arial" w:cs="Arial"/>
        </w:rPr>
        <w:t>. I</w:t>
      </w:r>
      <w:r w:rsidR="00BC4C6A" w:rsidRPr="00BE66AB">
        <w:rPr>
          <w:rFonts w:ascii="Arial" w:hAnsi="Arial" w:cs="Arial"/>
        </w:rPr>
        <w:t>l y va d’un principe général du droit commun de la preuve</w:t>
      </w:r>
      <w:r w:rsidR="00BC4C6A" w:rsidRPr="00BE66AB">
        <w:rPr>
          <w:rStyle w:val="Marquenotebasdepage"/>
          <w:rFonts w:ascii="Arial" w:hAnsi="Arial" w:cs="Arial"/>
        </w:rPr>
        <w:footnoteReference w:id="4"/>
      </w:r>
      <w:r w:rsidR="00BC4C6A" w:rsidRPr="00BE66AB">
        <w:rPr>
          <w:rFonts w:ascii="Arial" w:hAnsi="Arial" w:cs="Arial"/>
        </w:rPr>
        <w:t>.</w:t>
      </w:r>
      <w:r w:rsidR="00DA2152" w:rsidRPr="00BE66AB">
        <w:rPr>
          <w:rFonts w:ascii="Arial" w:hAnsi="Arial" w:cs="Arial"/>
        </w:rPr>
        <w:t xml:space="preserve"> Inscrit</w:t>
      </w:r>
      <w:r w:rsidR="0019166C" w:rsidRPr="00BE66AB">
        <w:rPr>
          <w:rFonts w:ascii="Arial" w:hAnsi="Arial" w:cs="Arial"/>
        </w:rPr>
        <w:t xml:space="preserve"> dans</w:t>
      </w:r>
      <w:r w:rsidR="00DA2152" w:rsidRPr="00BE66AB">
        <w:rPr>
          <w:rFonts w:ascii="Arial" w:hAnsi="Arial" w:cs="Arial"/>
        </w:rPr>
        <w:t xml:space="preserve"> les « dispositions générales relatives aux baux des biens immeubles »</w:t>
      </w:r>
      <w:r w:rsidR="00D1526E" w:rsidRPr="00BE66AB">
        <w:rPr>
          <w:rStyle w:val="Marquenotebasdepage"/>
          <w:rFonts w:ascii="Arial" w:hAnsi="Arial" w:cs="Arial"/>
        </w:rPr>
        <w:footnoteReference w:id="5"/>
      </w:r>
      <w:r w:rsidR="0019166C" w:rsidRPr="00BE66AB">
        <w:rPr>
          <w:rFonts w:ascii="Arial" w:hAnsi="Arial" w:cs="Arial"/>
        </w:rPr>
        <w:t xml:space="preserve">, </w:t>
      </w:r>
      <w:r w:rsidR="00DA2152" w:rsidRPr="00BE66AB">
        <w:rPr>
          <w:rFonts w:ascii="Arial" w:hAnsi="Arial" w:cs="Arial"/>
        </w:rPr>
        <w:t>l’article 1733</w:t>
      </w:r>
      <w:r w:rsidR="0019166C" w:rsidRPr="00BE66AB">
        <w:rPr>
          <w:rFonts w:ascii="Arial" w:hAnsi="Arial" w:cs="Arial"/>
        </w:rPr>
        <w:t xml:space="preserve"> s’applique aux autres types de baux</w:t>
      </w:r>
      <w:r w:rsidR="00DD4677" w:rsidRPr="00BE66AB">
        <w:rPr>
          <w:rFonts w:ascii="Arial" w:hAnsi="Arial" w:cs="Arial"/>
        </w:rPr>
        <w:t xml:space="preserve"> (que le bail d’habitation)</w:t>
      </w:r>
      <w:r w:rsidR="0019166C" w:rsidRPr="00BE66AB">
        <w:rPr>
          <w:rFonts w:ascii="Arial" w:hAnsi="Arial" w:cs="Arial"/>
        </w:rPr>
        <w:t>, comme le bail commercial</w:t>
      </w:r>
      <w:r w:rsidR="0019166C" w:rsidRPr="00BE66AB">
        <w:rPr>
          <w:rStyle w:val="Marquenotebasdepage"/>
          <w:rFonts w:ascii="Arial" w:hAnsi="Arial" w:cs="Arial"/>
        </w:rPr>
        <w:footnoteReference w:id="6"/>
      </w:r>
      <w:r w:rsidR="0019166C" w:rsidRPr="00BE66AB">
        <w:rPr>
          <w:rFonts w:ascii="Arial" w:hAnsi="Arial" w:cs="Arial"/>
        </w:rPr>
        <w:t>.</w:t>
      </w:r>
      <w:r w:rsidR="00DA2152" w:rsidRPr="00BE66AB">
        <w:rPr>
          <w:rFonts w:ascii="Arial" w:hAnsi="Arial" w:cs="Arial"/>
        </w:rPr>
        <w:t xml:space="preserve"> </w:t>
      </w:r>
    </w:p>
    <w:p w14:paraId="0810048A" w14:textId="20D3D6C2" w:rsidR="00B44ECC" w:rsidRPr="00BE66AB" w:rsidRDefault="00B44ECC" w:rsidP="00B87BB0">
      <w:pPr>
        <w:spacing w:line="360" w:lineRule="auto"/>
        <w:ind w:firstLine="567"/>
        <w:jc w:val="both"/>
        <w:rPr>
          <w:rFonts w:ascii="Arial" w:hAnsi="Arial" w:cs="Arial"/>
        </w:rPr>
      </w:pPr>
      <w:r w:rsidRPr="00BE66AB">
        <w:rPr>
          <w:rFonts w:ascii="Arial" w:hAnsi="Arial" w:cs="Arial"/>
        </w:rPr>
        <w:t>Cette disposition, toutefois, est supplétive de la volonté des parties</w:t>
      </w:r>
      <w:r w:rsidR="00AF2183" w:rsidRPr="00BE66AB">
        <w:rPr>
          <w:rStyle w:val="Marquenotebasdepage"/>
          <w:rFonts w:ascii="Arial" w:hAnsi="Arial" w:cs="Arial"/>
        </w:rPr>
        <w:footnoteReference w:id="7"/>
      </w:r>
      <w:r w:rsidRPr="00BE66AB">
        <w:rPr>
          <w:rFonts w:ascii="Arial" w:hAnsi="Arial" w:cs="Arial"/>
        </w:rPr>
        <w:t xml:space="preserve">. </w:t>
      </w:r>
      <w:r w:rsidR="00542DB6" w:rsidRPr="00BE66AB">
        <w:rPr>
          <w:rFonts w:ascii="Arial" w:hAnsi="Arial" w:cs="Arial"/>
        </w:rPr>
        <w:t>Ces dernières</w:t>
      </w:r>
      <w:r w:rsidRPr="00BE66AB">
        <w:rPr>
          <w:rFonts w:ascii="Arial" w:hAnsi="Arial" w:cs="Arial"/>
        </w:rPr>
        <w:t xml:space="preserve"> sont libres dès lors, dans le contrat de bail, de réduire cette responsabilité ou, à l’inverse (et nettement plus fréquemment</w:t>
      </w:r>
      <w:r w:rsidR="00542DB6" w:rsidRPr="00BE66AB">
        <w:rPr>
          <w:rFonts w:ascii="Arial" w:hAnsi="Arial" w:cs="Arial"/>
        </w:rPr>
        <w:t>…</w:t>
      </w:r>
      <w:r w:rsidRPr="00BE66AB">
        <w:rPr>
          <w:rFonts w:ascii="Arial" w:hAnsi="Arial" w:cs="Arial"/>
        </w:rPr>
        <w:t>), d’en élargir le périmètre.</w:t>
      </w:r>
      <w:r w:rsidR="00542DB6" w:rsidRPr="00BE66AB">
        <w:rPr>
          <w:rFonts w:ascii="Arial" w:hAnsi="Arial" w:cs="Arial"/>
        </w:rPr>
        <w:t xml:space="preserve"> Qu’elles fassent cependant usage de clarté, ne serait-ce que pour éviter de laisser des « trous » dans la couverture (ni l’assurance incendie du propriétaire ni l’assurance en responsabilité locative du preneur n’étant en effet obligatoires). Par exemple</w:t>
      </w:r>
      <w:r w:rsidR="00AB0B32" w:rsidRPr="00BE66AB">
        <w:rPr>
          <w:rStyle w:val="Marquenotebasdepage"/>
          <w:rFonts w:ascii="Arial" w:hAnsi="Arial" w:cs="Arial"/>
        </w:rPr>
        <w:footnoteReference w:id="8"/>
      </w:r>
      <w:r w:rsidR="00542DB6" w:rsidRPr="00BE66AB">
        <w:rPr>
          <w:rFonts w:ascii="Arial" w:hAnsi="Arial" w:cs="Arial"/>
        </w:rPr>
        <w:t xml:space="preserve">, le simple fait pour le propriétaire de </w:t>
      </w:r>
      <w:r w:rsidR="00AB0B32" w:rsidRPr="00BE66AB">
        <w:rPr>
          <w:rFonts w:ascii="Arial" w:hAnsi="Arial" w:cs="Arial"/>
        </w:rPr>
        <w:t xml:space="preserve">décider de </w:t>
      </w:r>
      <w:r w:rsidR="00542DB6" w:rsidRPr="00BE66AB">
        <w:rPr>
          <w:rFonts w:ascii="Arial" w:hAnsi="Arial" w:cs="Arial"/>
        </w:rPr>
        <w:t>souscrire une assurance incendie ne saurait être vu comme déliant le preneur de sa responsabilité tirée de l’article 1733 du Code civil (ce qui le dispense</w:t>
      </w:r>
      <w:r w:rsidR="00AB0B32" w:rsidRPr="00BE66AB">
        <w:rPr>
          <w:rFonts w:ascii="Arial" w:hAnsi="Arial" w:cs="Arial"/>
        </w:rPr>
        <w:t>rait alors</w:t>
      </w:r>
      <w:r w:rsidR="00542DB6" w:rsidRPr="00BE66AB">
        <w:rPr>
          <w:rFonts w:ascii="Arial" w:hAnsi="Arial" w:cs="Arial"/>
        </w:rPr>
        <w:t xml:space="preserve"> de contracter de son côté une assurance R.C. locative) car, comme on va le voir, ces deux assurances n’ont </w:t>
      </w:r>
      <w:r w:rsidR="00542DB6" w:rsidRPr="00BE66AB">
        <w:rPr>
          <w:rFonts w:ascii="Arial" w:hAnsi="Arial" w:cs="Arial"/>
          <w:i/>
        </w:rPr>
        <w:t>pas</w:t>
      </w:r>
      <w:r w:rsidR="00542DB6" w:rsidRPr="00BE66AB">
        <w:rPr>
          <w:rFonts w:ascii="Arial" w:hAnsi="Arial" w:cs="Arial"/>
        </w:rPr>
        <w:t xml:space="preserve"> le même objet</w:t>
      </w:r>
      <w:r w:rsidR="00AB0B32" w:rsidRPr="00BE66AB">
        <w:rPr>
          <w:rStyle w:val="Marquenotebasdepage"/>
          <w:rFonts w:ascii="Arial" w:hAnsi="Arial" w:cs="Arial"/>
        </w:rPr>
        <w:footnoteReference w:id="9"/>
      </w:r>
      <w:r w:rsidR="00542DB6" w:rsidRPr="00BE66AB">
        <w:rPr>
          <w:rFonts w:ascii="Arial" w:hAnsi="Arial" w:cs="Arial"/>
        </w:rPr>
        <w:t>.</w:t>
      </w:r>
      <w:r w:rsidR="00AB0B32" w:rsidRPr="00BE66AB">
        <w:rPr>
          <w:rFonts w:ascii="Arial" w:hAnsi="Arial" w:cs="Arial"/>
        </w:rPr>
        <w:t xml:space="preserve"> En tout état de cause, les </w:t>
      </w:r>
      <w:r w:rsidR="00022AA1" w:rsidRPr="00BE66AB">
        <w:rPr>
          <w:rFonts w:ascii="Arial" w:hAnsi="Arial" w:cs="Arial"/>
        </w:rPr>
        <w:t xml:space="preserve">dérogations et autres </w:t>
      </w:r>
      <w:r w:rsidR="00AB0B32" w:rsidRPr="00BE66AB">
        <w:rPr>
          <w:rFonts w:ascii="Arial" w:hAnsi="Arial" w:cs="Arial"/>
        </w:rPr>
        <w:t>exceptions sont toujours à interpréter restrictivement.</w:t>
      </w:r>
    </w:p>
    <w:p w14:paraId="379E5725" w14:textId="77777777" w:rsidR="00B44ECC" w:rsidRPr="00BE66AB" w:rsidRDefault="00B44ECC" w:rsidP="00B87BB0">
      <w:pPr>
        <w:spacing w:line="360" w:lineRule="auto"/>
        <w:ind w:firstLine="567"/>
        <w:jc w:val="both"/>
        <w:rPr>
          <w:rFonts w:ascii="Arial" w:hAnsi="Arial" w:cs="Arial"/>
        </w:rPr>
      </w:pPr>
    </w:p>
    <w:p w14:paraId="4DBFA4CE" w14:textId="20A2093C" w:rsidR="005A40DA" w:rsidRPr="00BE66AB" w:rsidRDefault="005A40DA" w:rsidP="005A40DA">
      <w:pPr>
        <w:spacing w:line="360" w:lineRule="auto"/>
        <w:ind w:firstLine="567"/>
        <w:jc w:val="both"/>
        <w:rPr>
          <w:rFonts w:ascii="Arial" w:hAnsi="Arial" w:cs="Arial"/>
        </w:rPr>
      </w:pPr>
      <w:r w:rsidRPr="00BE66AB">
        <w:rPr>
          <w:rFonts w:ascii="Arial" w:hAnsi="Arial" w:cs="Arial"/>
        </w:rPr>
        <w:t>b) la justification</w:t>
      </w:r>
    </w:p>
    <w:p w14:paraId="76C7100C" w14:textId="77777777" w:rsidR="005A40DA" w:rsidRPr="00BE66AB" w:rsidRDefault="005A40DA" w:rsidP="00B87BB0">
      <w:pPr>
        <w:spacing w:line="360" w:lineRule="auto"/>
        <w:ind w:firstLine="567"/>
        <w:jc w:val="both"/>
        <w:rPr>
          <w:rFonts w:ascii="Arial" w:hAnsi="Arial" w:cs="Arial"/>
        </w:rPr>
      </w:pPr>
    </w:p>
    <w:p w14:paraId="7B8AE614" w14:textId="77777777" w:rsidR="00022AA1" w:rsidRPr="00BE66AB" w:rsidRDefault="003D2586" w:rsidP="00B87BB0">
      <w:pPr>
        <w:spacing w:line="360" w:lineRule="auto"/>
        <w:ind w:firstLine="567"/>
        <w:jc w:val="both"/>
        <w:rPr>
          <w:rFonts w:ascii="Arial" w:hAnsi="Arial" w:cs="Arial"/>
        </w:rPr>
      </w:pPr>
      <w:r w:rsidRPr="00BE66AB">
        <w:rPr>
          <w:rFonts w:ascii="Arial" w:hAnsi="Arial" w:cs="Arial"/>
          <w:b/>
        </w:rPr>
        <w:t>4</w:t>
      </w:r>
      <w:r w:rsidR="00B44ECC" w:rsidRPr="00BE66AB">
        <w:rPr>
          <w:rFonts w:ascii="Arial" w:hAnsi="Arial" w:cs="Arial"/>
          <w:b/>
        </w:rPr>
        <w:t xml:space="preserve">. </w:t>
      </w:r>
      <w:r w:rsidR="00386E5B" w:rsidRPr="00BE66AB">
        <w:rPr>
          <w:rFonts w:ascii="Arial" w:hAnsi="Arial" w:cs="Arial"/>
        </w:rPr>
        <w:t xml:space="preserve">Comment justifier </w:t>
      </w:r>
      <w:r w:rsidR="00022AA1" w:rsidRPr="00BE66AB">
        <w:rPr>
          <w:rFonts w:ascii="Arial" w:hAnsi="Arial" w:cs="Arial"/>
        </w:rPr>
        <w:t>la</w:t>
      </w:r>
      <w:r w:rsidR="00386E5B" w:rsidRPr="00BE66AB">
        <w:rPr>
          <w:rFonts w:ascii="Arial" w:hAnsi="Arial" w:cs="Arial"/>
        </w:rPr>
        <w:t xml:space="preserve"> présomption </w:t>
      </w:r>
      <w:r w:rsidR="004C40E4" w:rsidRPr="00BE66AB">
        <w:rPr>
          <w:rFonts w:ascii="Arial" w:hAnsi="Arial" w:cs="Arial"/>
        </w:rPr>
        <w:t xml:space="preserve">générale </w:t>
      </w:r>
      <w:r w:rsidR="00386E5B" w:rsidRPr="00BE66AB">
        <w:rPr>
          <w:rFonts w:ascii="Arial" w:hAnsi="Arial" w:cs="Arial"/>
        </w:rPr>
        <w:t>de responsabilité</w:t>
      </w:r>
      <w:r w:rsidR="00022AA1" w:rsidRPr="00BE66AB">
        <w:rPr>
          <w:rFonts w:ascii="Arial" w:hAnsi="Arial" w:cs="Arial"/>
        </w:rPr>
        <w:t xml:space="preserve"> pesant sur le preneur ? On n’</w:t>
      </w:r>
      <w:r w:rsidR="00386E5B" w:rsidRPr="00BE66AB">
        <w:rPr>
          <w:rFonts w:ascii="Arial" w:hAnsi="Arial" w:cs="Arial"/>
        </w:rPr>
        <w:t>a là en fait que la déclinaison d’u</w:t>
      </w:r>
      <w:r w:rsidR="00022AA1" w:rsidRPr="00BE66AB">
        <w:rPr>
          <w:rFonts w:ascii="Arial" w:hAnsi="Arial" w:cs="Arial"/>
        </w:rPr>
        <w:t xml:space="preserve">ne autre obligation, plus large : la </w:t>
      </w:r>
      <w:r w:rsidR="00386E5B" w:rsidRPr="00BE66AB">
        <w:rPr>
          <w:rFonts w:ascii="Arial" w:hAnsi="Arial" w:cs="Arial"/>
          <w:i/>
        </w:rPr>
        <w:t>restitution</w:t>
      </w:r>
      <w:r w:rsidR="00386E5B" w:rsidRPr="00BE66AB">
        <w:rPr>
          <w:rFonts w:ascii="Arial" w:hAnsi="Arial" w:cs="Arial"/>
        </w:rPr>
        <w:t xml:space="preserve"> </w:t>
      </w:r>
      <w:r w:rsidR="00386E5B" w:rsidRPr="00BE66AB">
        <w:rPr>
          <w:rFonts w:ascii="Arial" w:hAnsi="Arial" w:cs="Arial"/>
          <w:i/>
        </w:rPr>
        <w:t>du bien</w:t>
      </w:r>
      <w:r w:rsidR="00626707" w:rsidRPr="00BE66AB">
        <w:rPr>
          <w:rFonts w:ascii="Arial" w:hAnsi="Arial" w:cs="Arial"/>
          <w:i/>
        </w:rPr>
        <w:t xml:space="preserve"> loué</w:t>
      </w:r>
      <w:r w:rsidR="00386E5B" w:rsidRPr="00BE66AB">
        <w:rPr>
          <w:rFonts w:ascii="Arial" w:hAnsi="Arial" w:cs="Arial"/>
        </w:rPr>
        <w:t xml:space="preserve"> </w:t>
      </w:r>
      <w:r w:rsidR="007737B8" w:rsidRPr="00BE66AB">
        <w:rPr>
          <w:rFonts w:ascii="Arial" w:hAnsi="Arial" w:cs="Arial"/>
        </w:rPr>
        <w:t xml:space="preserve">— </w:t>
      </w:r>
      <w:r w:rsidR="00386E5B" w:rsidRPr="00BE66AB">
        <w:rPr>
          <w:rFonts w:ascii="Arial" w:hAnsi="Arial" w:cs="Arial"/>
        </w:rPr>
        <w:t xml:space="preserve">en bon état </w:t>
      </w:r>
      <w:r w:rsidR="007737B8" w:rsidRPr="00BE66AB">
        <w:rPr>
          <w:rFonts w:ascii="Arial" w:hAnsi="Arial" w:cs="Arial"/>
        </w:rPr>
        <w:t xml:space="preserve">— </w:t>
      </w:r>
      <w:r w:rsidR="00386E5B" w:rsidRPr="00BE66AB">
        <w:rPr>
          <w:rFonts w:ascii="Arial" w:hAnsi="Arial" w:cs="Arial"/>
        </w:rPr>
        <w:t xml:space="preserve">par le </w:t>
      </w:r>
      <w:r w:rsidR="00626707" w:rsidRPr="00BE66AB">
        <w:rPr>
          <w:rFonts w:ascii="Arial" w:hAnsi="Arial" w:cs="Arial"/>
        </w:rPr>
        <w:t>preneur</w:t>
      </w:r>
      <w:r w:rsidR="00874F28" w:rsidRPr="00BE66AB">
        <w:rPr>
          <w:rStyle w:val="Marquenotebasdepage"/>
          <w:rFonts w:ascii="Arial" w:hAnsi="Arial" w:cs="Arial"/>
        </w:rPr>
        <w:footnoteReference w:id="10"/>
      </w:r>
      <w:r w:rsidR="00022AA1" w:rsidRPr="00BE66AB">
        <w:rPr>
          <w:rFonts w:ascii="Arial" w:hAnsi="Arial" w:cs="Arial"/>
        </w:rPr>
        <w:t>. À preuve ou à témoin</w:t>
      </w:r>
      <w:r w:rsidR="007737B8" w:rsidRPr="00BE66AB">
        <w:rPr>
          <w:rFonts w:ascii="Arial" w:hAnsi="Arial" w:cs="Arial"/>
        </w:rPr>
        <w:t xml:space="preserve">, </w:t>
      </w:r>
      <w:r w:rsidR="00022AA1" w:rsidRPr="00BE66AB">
        <w:rPr>
          <w:rFonts w:ascii="Arial" w:hAnsi="Arial" w:cs="Arial"/>
        </w:rPr>
        <w:t xml:space="preserve">ce dernier </w:t>
      </w:r>
      <w:r w:rsidR="00386E5B" w:rsidRPr="00BE66AB">
        <w:rPr>
          <w:rFonts w:ascii="Arial" w:hAnsi="Arial" w:cs="Arial"/>
        </w:rPr>
        <w:t>« répond des dégradations ou des pertes qui arrivent pendant sa jouissance, à moins qu'il ne prouve qu'elles ont eu lieu sans sa faute »</w:t>
      </w:r>
      <w:r w:rsidR="00386E5B" w:rsidRPr="00BE66AB">
        <w:rPr>
          <w:rStyle w:val="Marquenotebasdepage"/>
          <w:rFonts w:ascii="Arial" w:hAnsi="Arial" w:cs="Arial"/>
        </w:rPr>
        <w:footnoteReference w:id="11"/>
      </w:r>
      <w:r w:rsidR="00386E5B" w:rsidRPr="00BE66AB">
        <w:rPr>
          <w:rFonts w:ascii="Arial" w:hAnsi="Arial" w:cs="Arial"/>
        </w:rPr>
        <w:t>.</w:t>
      </w:r>
      <w:r w:rsidR="00C0076E" w:rsidRPr="00BE66AB">
        <w:rPr>
          <w:rFonts w:ascii="Arial" w:hAnsi="Arial" w:cs="Arial"/>
        </w:rPr>
        <w:t xml:space="preserve"> </w:t>
      </w:r>
    </w:p>
    <w:p w14:paraId="27B28585" w14:textId="774B9367" w:rsidR="00FA0866" w:rsidRPr="00BE66AB" w:rsidRDefault="00FA0866" w:rsidP="00B87BB0">
      <w:pPr>
        <w:spacing w:line="360" w:lineRule="auto"/>
        <w:ind w:firstLine="567"/>
        <w:jc w:val="both"/>
        <w:rPr>
          <w:rFonts w:ascii="Arial" w:hAnsi="Arial" w:cs="Arial"/>
        </w:rPr>
      </w:pPr>
      <w:r w:rsidRPr="00BE66AB">
        <w:rPr>
          <w:rFonts w:ascii="Arial" w:hAnsi="Arial" w:cs="Arial"/>
        </w:rPr>
        <w:t xml:space="preserve">Cette filiation est essentielle car elle permet de désamorcer l’argument de la discrimination (le bailleur n’étant </w:t>
      </w:r>
      <w:r w:rsidRPr="00BE66AB">
        <w:rPr>
          <w:rFonts w:ascii="Arial" w:hAnsi="Arial" w:cs="Arial"/>
          <w:i/>
        </w:rPr>
        <w:t>pas</w:t>
      </w:r>
      <w:r w:rsidRPr="00BE66AB">
        <w:rPr>
          <w:rFonts w:ascii="Arial" w:hAnsi="Arial" w:cs="Arial"/>
        </w:rPr>
        <w:t xml:space="preserve">, lui, tenu responsable de l’incendie). </w:t>
      </w:r>
      <w:r w:rsidR="007737B8" w:rsidRPr="00BE66AB">
        <w:rPr>
          <w:rFonts w:ascii="Arial" w:hAnsi="Arial" w:cs="Arial"/>
        </w:rPr>
        <w:t>La</w:t>
      </w:r>
      <w:r w:rsidRPr="00BE66AB">
        <w:rPr>
          <w:rFonts w:ascii="Arial" w:hAnsi="Arial" w:cs="Arial"/>
        </w:rPr>
        <w:t xml:space="preserve"> « différence de traitement</w:t>
      </w:r>
      <w:r w:rsidR="00756A9A" w:rsidRPr="00BE66AB">
        <w:rPr>
          <w:rFonts w:ascii="Arial" w:hAnsi="Arial" w:cs="Arial"/>
        </w:rPr>
        <w:t xml:space="preserve"> », explique </w:t>
      </w:r>
      <w:r w:rsidR="007737B8" w:rsidRPr="00BE66AB">
        <w:rPr>
          <w:rFonts w:ascii="Arial" w:hAnsi="Arial" w:cs="Arial"/>
        </w:rPr>
        <w:t>ainsi</w:t>
      </w:r>
      <w:r w:rsidR="00756A9A" w:rsidRPr="00BE66AB">
        <w:rPr>
          <w:rFonts w:ascii="Arial" w:hAnsi="Arial" w:cs="Arial"/>
        </w:rPr>
        <w:t xml:space="preserve"> la Cour constitutionnelle,</w:t>
      </w:r>
      <w:r w:rsidRPr="00BE66AB">
        <w:rPr>
          <w:rFonts w:ascii="Arial" w:hAnsi="Arial" w:cs="Arial"/>
        </w:rPr>
        <w:t> </w:t>
      </w:r>
      <w:r w:rsidR="00756A9A" w:rsidRPr="00BE66AB">
        <w:rPr>
          <w:rFonts w:ascii="Arial" w:hAnsi="Arial" w:cs="Arial"/>
        </w:rPr>
        <w:t>« </w:t>
      </w:r>
      <w:r w:rsidRPr="00BE66AB">
        <w:rPr>
          <w:rFonts w:ascii="Arial" w:hAnsi="Arial" w:cs="Arial"/>
        </w:rPr>
        <w:t>est objective et présente un rapport raisonnable avec l'intention du législateur […] de garantir au bailleur que le preneur use du bien loué en bon père de famille et qu'il le restitue au terme du bail à loyer</w:t>
      </w:r>
      <w:r w:rsidR="0044522C" w:rsidRPr="00BE66AB">
        <w:rPr>
          <w:rFonts w:ascii="Arial" w:hAnsi="Arial" w:cs="Arial"/>
        </w:rPr>
        <w:t> » ; e</w:t>
      </w:r>
      <w:r w:rsidR="00A9573F" w:rsidRPr="00BE66AB">
        <w:rPr>
          <w:rFonts w:ascii="Arial" w:hAnsi="Arial" w:cs="Arial"/>
        </w:rPr>
        <w:t>nsuite de quoi, ladite présomption « n'est pas disproportionnée, ni, partant, discriminatoire »</w:t>
      </w:r>
      <w:r w:rsidR="00A9573F" w:rsidRPr="00BE66AB">
        <w:rPr>
          <w:rStyle w:val="Marquenotebasdepage"/>
          <w:rFonts w:ascii="Arial" w:hAnsi="Arial" w:cs="Arial"/>
        </w:rPr>
        <w:footnoteReference w:id="12"/>
      </w:r>
      <w:r w:rsidR="00A9573F" w:rsidRPr="00BE66AB">
        <w:rPr>
          <w:rFonts w:ascii="Arial" w:hAnsi="Arial" w:cs="Arial"/>
        </w:rPr>
        <w:t>.</w:t>
      </w:r>
    </w:p>
    <w:p w14:paraId="64320B9E" w14:textId="77777777" w:rsidR="006233BC" w:rsidRPr="00BE66AB" w:rsidRDefault="006233BC" w:rsidP="00B87BB0">
      <w:pPr>
        <w:spacing w:line="360" w:lineRule="auto"/>
        <w:ind w:firstLine="567"/>
        <w:jc w:val="both"/>
        <w:rPr>
          <w:rFonts w:ascii="Arial" w:hAnsi="Arial" w:cs="Arial"/>
        </w:rPr>
      </w:pPr>
    </w:p>
    <w:p w14:paraId="5BEF2336" w14:textId="65E624FF" w:rsidR="002261CB" w:rsidRPr="00BE66AB" w:rsidRDefault="003D2586" w:rsidP="00B87BB0">
      <w:pPr>
        <w:spacing w:line="360" w:lineRule="auto"/>
        <w:ind w:firstLine="567"/>
        <w:jc w:val="both"/>
        <w:rPr>
          <w:rFonts w:ascii="Arial" w:hAnsi="Arial" w:cs="Arial"/>
        </w:rPr>
      </w:pPr>
      <w:r w:rsidRPr="00BE66AB">
        <w:rPr>
          <w:rFonts w:ascii="Arial" w:hAnsi="Arial" w:cs="Arial"/>
          <w:b/>
        </w:rPr>
        <w:t>5</w:t>
      </w:r>
      <w:r w:rsidR="006233BC" w:rsidRPr="00BE66AB">
        <w:rPr>
          <w:rFonts w:ascii="Arial" w:hAnsi="Arial" w:cs="Arial"/>
          <w:b/>
        </w:rPr>
        <w:t xml:space="preserve">. </w:t>
      </w:r>
      <w:r w:rsidR="002261CB" w:rsidRPr="00BE66AB">
        <w:rPr>
          <w:rFonts w:ascii="Arial" w:hAnsi="Arial" w:cs="Arial"/>
        </w:rPr>
        <w:t xml:space="preserve">Lui-même, l’article 1733 du Code civil n’est que l’application — à la convention de bail — d’un principe général </w:t>
      </w:r>
      <w:r w:rsidR="005E2D92" w:rsidRPr="00BE66AB">
        <w:rPr>
          <w:rFonts w:ascii="Arial" w:hAnsi="Arial" w:cs="Arial"/>
        </w:rPr>
        <w:t xml:space="preserve">de la responsabilité contractuelle </w:t>
      </w:r>
      <w:r w:rsidR="00022AA1" w:rsidRPr="00BE66AB">
        <w:rPr>
          <w:rFonts w:ascii="Arial" w:hAnsi="Arial" w:cs="Arial"/>
        </w:rPr>
        <w:t>en vertu duquel</w:t>
      </w:r>
      <w:r w:rsidR="005E2D92" w:rsidRPr="00BE66AB">
        <w:rPr>
          <w:rFonts w:ascii="Arial" w:hAnsi="Arial" w:cs="Arial"/>
        </w:rPr>
        <w:t xml:space="preserve"> l’individu qui s’est vu remettre un « corps certain » à titre de détenteur est tenu de le rendre </w:t>
      </w:r>
      <w:r w:rsidR="00696278" w:rsidRPr="00BE66AB">
        <w:rPr>
          <w:rFonts w:ascii="Arial" w:hAnsi="Arial" w:cs="Arial"/>
        </w:rPr>
        <w:t>dans l’état de départ</w:t>
      </w:r>
      <w:r w:rsidR="00022AA1" w:rsidRPr="00BE66AB">
        <w:rPr>
          <w:rFonts w:ascii="Arial" w:hAnsi="Arial" w:cs="Arial"/>
        </w:rPr>
        <w:t>,</w:t>
      </w:r>
      <w:r w:rsidR="00696278" w:rsidRPr="00BE66AB">
        <w:rPr>
          <w:rFonts w:ascii="Arial" w:hAnsi="Arial" w:cs="Arial"/>
        </w:rPr>
        <w:t xml:space="preserve"> </w:t>
      </w:r>
      <w:r w:rsidR="005E2D92" w:rsidRPr="00BE66AB">
        <w:rPr>
          <w:rFonts w:ascii="Arial" w:hAnsi="Arial" w:cs="Arial"/>
        </w:rPr>
        <w:t>à l’échéance du contrat (sauf « si la chose a péri ou a été perdue sans la faute du débiteur »</w:t>
      </w:r>
      <w:r w:rsidR="002261CB" w:rsidRPr="00BE66AB">
        <w:rPr>
          <w:rStyle w:val="Marquenotebasdepage"/>
          <w:rFonts w:ascii="Arial" w:hAnsi="Arial" w:cs="Arial"/>
        </w:rPr>
        <w:footnoteReference w:id="13"/>
      </w:r>
      <w:r w:rsidR="00EC5DDD" w:rsidRPr="00BE66AB">
        <w:rPr>
          <w:rFonts w:ascii="Arial" w:hAnsi="Arial" w:cs="Arial"/>
        </w:rPr>
        <w:t>, on y reviendra</w:t>
      </w:r>
      <w:r w:rsidR="00EC5DDD" w:rsidRPr="00BE66AB">
        <w:rPr>
          <w:rStyle w:val="Marquenotebasdepage"/>
          <w:rFonts w:ascii="Arial" w:hAnsi="Arial" w:cs="Arial"/>
        </w:rPr>
        <w:footnoteReference w:id="14"/>
      </w:r>
      <w:r w:rsidR="005E2D92" w:rsidRPr="00BE66AB">
        <w:rPr>
          <w:rFonts w:ascii="Arial" w:hAnsi="Arial" w:cs="Arial"/>
        </w:rPr>
        <w:t>)</w:t>
      </w:r>
      <w:r w:rsidR="002261CB" w:rsidRPr="00BE66AB">
        <w:rPr>
          <w:rFonts w:ascii="Arial" w:hAnsi="Arial" w:cs="Arial"/>
        </w:rPr>
        <w:t xml:space="preserve">. </w:t>
      </w:r>
      <w:r w:rsidR="00B44ECC" w:rsidRPr="00BE66AB">
        <w:rPr>
          <w:rFonts w:ascii="Arial" w:hAnsi="Arial" w:cs="Arial"/>
        </w:rPr>
        <w:t xml:space="preserve">Ici aussi, ce lignage </w:t>
      </w:r>
      <w:r w:rsidR="00022AA1" w:rsidRPr="00BE66AB">
        <w:rPr>
          <w:rFonts w:ascii="Arial" w:hAnsi="Arial" w:cs="Arial"/>
        </w:rPr>
        <w:t xml:space="preserve">juridique </w:t>
      </w:r>
      <w:r w:rsidR="00B44ECC" w:rsidRPr="00BE66AB">
        <w:rPr>
          <w:rFonts w:ascii="Arial" w:hAnsi="Arial" w:cs="Arial"/>
        </w:rPr>
        <w:t xml:space="preserve">en quelque sorte </w:t>
      </w:r>
      <w:r w:rsidR="00022AA1" w:rsidRPr="00BE66AB">
        <w:rPr>
          <w:rFonts w:ascii="Arial" w:hAnsi="Arial" w:cs="Arial"/>
        </w:rPr>
        <w:t xml:space="preserve">s’est révélé </w:t>
      </w:r>
      <w:r w:rsidR="004C46F9" w:rsidRPr="00BE66AB">
        <w:rPr>
          <w:rFonts w:ascii="Arial" w:hAnsi="Arial" w:cs="Arial"/>
        </w:rPr>
        <w:t>utile</w:t>
      </w:r>
      <w:r w:rsidR="006233BC" w:rsidRPr="00BE66AB">
        <w:rPr>
          <w:rFonts w:ascii="Arial" w:hAnsi="Arial" w:cs="Arial"/>
        </w:rPr>
        <w:t xml:space="preserve"> car il a permis à la Cour de cassation d’étendre la présomption de responsabilité à des </w:t>
      </w:r>
      <w:r w:rsidR="006233BC" w:rsidRPr="00BE66AB">
        <w:rPr>
          <w:rFonts w:ascii="Arial" w:hAnsi="Arial" w:cs="Arial"/>
          <w:i/>
        </w:rPr>
        <w:t>non</w:t>
      </w:r>
      <w:r w:rsidR="006233BC" w:rsidRPr="00BE66AB">
        <w:rPr>
          <w:rFonts w:ascii="Arial" w:hAnsi="Arial" w:cs="Arial"/>
        </w:rPr>
        <w:t xml:space="preserve"> locataires</w:t>
      </w:r>
      <w:r w:rsidR="006E739D" w:rsidRPr="00BE66AB">
        <w:rPr>
          <w:rStyle w:val="Marquenotebasdepage"/>
          <w:rFonts w:ascii="Arial" w:hAnsi="Arial" w:cs="Arial"/>
        </w:rPr>
        <w:footnoteReference w:id="15"/>
      </w:r>
      <w:r w:rsidR="006233BC" w:rsidRPr="00BE66AB">
        <w:rPr>
          <w:rFonts w:ascii="Arial" w:hAnsi="Arial" w:cs="Arial"/>
        </w:rPr>
        <w:t xml:space="preserve">. Dans cette affaire, les acquéreurs d’un logement avaient pris possession des lieux </w:t>
      </w:r>
      <w:r w:rsidR="00440A80" w:rsidRPr="00BE66AB">
        <w:rPr>
          <w:rFonts w:ascii="Arial" w:hAnsi="Arial" w:cs="Arial"/>
        </w:rPr>
        <w:t xml:space="preserve">dès la passation du compromis de vente, </w:t>
      </w:r>
      <w:r w:rsidR="006233BC" w:rsidRPr="00BE66AB">
        <w:rPr>
          <w:rFonts w:ascii="Arial" w:hAnsi="Arial" w:cs="Arial"/>
        </w:rPr>
        <w:t>sans attendre la signature de l’acte authentique</w:t>
      </w:r>
      <w:r w:rsidR="006E739D" w:rsidRPr="00BE66AB">
        <w:rPr>
          <w:rFonts w:ascii="Arial" w:hAnsi="Arial" w:cs="Arial"/>
        </w:rPr>
        <w:t xml:space="preserve"> ; ils </w:t>
      </w:r>
      <w:r w:rsidR="005E2D92" w:rsidRPr="00BE66AB">
        <w:rPr>
          <w:rFonts w:ascii="Arial" w:hAnsi="Arial" w:cs="Arial"/>
        </w:rPr>
        <w:t>concluent</w:t>
      </w:r>
      <w:r w:rsidR="006E739D" w:rsidRPr="00BE66AB">
        <w:rPr>
          <w:rFonts w:ascii="Arial" w:hAnsi="Arial" w:cs="Arial"/>
        </w:rPr>
        <w:t xml:space="preserve"> avec le vendeur </w:t>
      </w:r>
      <w:r w:rsidR="005E2D92" w:rsidRPr="00BE66AB">
        <w:rPr>
          <w:rFonts w:ascii="Arial" w:hAnsi="Arial" w:cs="Arial"/>
        </w:rPr>
        <w:t xml:space="preserve">non pas </w:t>
      </w:r>
      <w:r w:rsidR="006E739D" w:rsidRPr="00BE66AB">
        <w:rPr>
          <w:rFonts w:ascii="Arial" w:hAnsi="Arial" w:cs="Arial"/>
        </w:rPr>
        <w:t>un contrat de bail mais</w:t>
      </w:r>
      <w:r w:rsidR="00022AA1" w:rsidRPr="00BE66AB">
        <w:rPr>
          <w:rFonts w:ascii="Arial" w:hAnsi="Arial" w:cs="Arial"/>
        </w:rPr>
        <w:t xml:space="preserve"> une convention</w:t>
      </w:r>
      <w:r w:rsidR="006E739D" w:rsidRPr="00BE66AB">
        <w:rPr>
          <w:rFonts w:ascii="Arial" w:hAnsi="Arial" w:cs="Arial"/>
        </w:rPr>
        <w:t xml:space="preserve"> d’occupation précaire</w:t>
      </w:r>
      <w:r w:rsidR="006E739D" w:rsidRPr="00BE66AB">
        <w:rPr>
          <w:rStyle w:val="Marquenotebasdepage"/>
          <w:rFonts w:ascii="Arial" w:hAnsi="Arial" w:cs="Arial"/>
        </w:rPr>
        <w:footnoteReference w:id="16"/>
      </w:r>
      <w:r w:rsidR="006E739D" w:rsidRPr="00BE66AB">
        <w:rPr>
          <w:rFonts w:ascii="Arial" w:hAnsi="Arial" w:cs="Arial"/>
        </w:rPr>
        <w:t>. Un incendie criminel</w:t>
      </w:r>
      <w:r w:rsidR="006233BC" w:rsidRPr="00BE66AB">
        <w:rPr>
          <w:rFonts w:ascii="Arial" w:hAnsi="Arial" w:cs="Arial"/>
        </w:rPr>
        <w:t xml:space="preserve"> </w:t>
      </w:r>
      <w:r w:rsidR="006E739D" w:rsidRPr="00BE66AB">
        <w:rPr>
          <w:rFonts w:ascii="Arial" w:hAnsi="Arial" w:cs="Arial"/>
        </w:rPr>
        <w:t>se</w:t>
      </w:r>
      <w:r w:rsidR="006233BC" w:rsidRPr="00BE66AB">
        <w:rPr>
          <w:rFonts w:ascii="Arial" w:hAnsi="Arial" w:cs="Arial"/>
        </w:rPr>
        <w:t xml:space="preserve"> déclare</w:t>
      </w:r>
      <w:r w:rsidR="006E739D" w:rsidRPr="00BE66AB">
        <w:rPr>
          <w:rFonts w:ascii="Arial" w:hAnsi="Arial" w:cs="Arial"/>
        </w:rPr>
        <w:t xml:space="preserve"> à ce moment-là dans le bien. </w:t>
      </w:r>
      <w:r w:rsidR="004C46F9" w:rsidRPr="00BE66AB">
        <w:rPr>
          <w:rFonts w:ascii="Arial" w:hAnsi="Arial" w:cs="Arial"/>
        </w:rPr>
        <w:t>Estimant</w:t>
      </w:r>
      <w:r w:rsidR="006E739D" w:rsidRPr="00BE66AB">
        <w:rPr>
          <w:rFonts w:ascii="Arial" w:hAnsi="Arial" w:cs="Arial"/>
        </w:rPr>
        <w:t xml:space="preserve"> l’article 1733 </w:t>
      </w:r>
      <w:r w:rsidR="004C46F9" w:rsidRPr="00BE66AB">
        <w:rPr>
          <w:rFonts w:ascii="Arial" w:hAnsi="Arial" w:cs="Arial"/>
        </w:rPr>
        <w:t>inopérant</w:t>
      </w:r>
      <w:r w:rsidR="006E739D" w:rsidRPr="00BE66AB">
        <w:rPr>
          <w:rFonts w:ascii="Arial" w:hAnsi="Arial" w:cs="Arial"/>
        </w:rPr>
        <w:t xml:space="preserve"> dans ce </w:t>
      </w:r>
      <w:r w:rsidR="004C46F9" w:rsidRPr="00BE66AB">
        <w:rPr>
          <w:rFonts w:ascii="Arial" w:hAnsi="Arial" w:cs="Arial"/>
        </w:rPr>
        <w:t>contexte</w:t>
      </w:r>
      <w:r w:rsidR="006E739D" w:rsidRPr="00BE66AB">
        <w:rPr>
          <w:rFonts w:ascii="Arial" w:hAnsi="Arial" w:cs="Arial"/>
        </w:rPr>
        <w:t xml:space="preserve"> non strictement locatif</w:t>
      </w:r>
      <w:r w:rsidR="004C46F9" w:rsidRPr="00BE66AB">
        <w:rPr>
          <w:rFonts w:ascii="Arial" w:hAnsi="Arial" w:cs="Arial"/>
        </w:rPr>
        <w:t>, la Cour d’appel déboute l’assureur du propriétaire. Si elle</w:t>
      </w:r>
      <w:r w:rsidR="006E739D" w:rsidRPr="00BE66AB">
        <w:rPr>
          <w:rFonts w:ascii="Arial" w:hAnsi="Arial" w:cs="Arial"/>
        </w:rPr>
        <w:t xml:space="preserve"> ne s’origine certes pas dans un bail, l’occupation précaire en question </w:t>
      </w:r>
      <w:r w:rsidR="004C46F9" w:rsidRPr="00BE66AB">
        <w:rPr>
          <w:rFonts w:ascii="Arial" w:hAnsi="Arial" w:cs="Arial"/>
        </w:rPr>
        <w:t>n’en reste pas moins</w:t>
      </w:r>
      <w:r w:rsidR="005E2D92" w:rsidRPr="00BE66AB">
        <w:rPr>
          <w:rFonts w:ascii="Arial" w:hAnsi="Arial" w:cs="Arial"/>
        </w:rPr>
        <w:t xml:space="preserve"> de nature contractuelle</w:t>
      </w:r>
      <w:r w:rsidR="006B700A" w:rsidRPr="00BE66AB">
        <w:rPr>
          <w:rFonts w:ascii="Arial" w:hAnsi="Arial" w:cs="Arial"/>
        </w:rPr>
        <w:t xml:space="preserve"> (intimement liée qui plus est au contrat de vente de départ)</w:t>
      </w:r>
      <w:r w:rsidR="006E739D" w:rsidRPr="00BE66AB">
        <w:rPr>
          <w:rFonts w:ascii="Arial" w:hAnsi="Arial" w:cs="Arial"/>
        </w:rPr>
        <w:t xml:space="preserve">, </w:t>
      </w:r>
      <w:r w:rsidR="005E2D92" w:rsidRPr="00BE66AB">
        <w:rPr>
          <w:rFonts w:ascii="Arial" w:hAnsi="Arial" w:cs="Arial"/>
        </w:rPr>
        <w:t>rétorque</w:t>
      </w:r>
      <w:r w:rsidR="006E739D" w:rsidRPr="00BE66AB">
        <w:rPr>
          <w:rFonts w:ascii="Arial" w:hAnsi="Arial" w:cs="Arial"/>
        </w:rPr>
        <w:t xml:space="preserve"> la haute juridiction. </w:t>
      </w:r>
      <w:r w:rsidR="004C46F9" w:rsidRPr="00BE66AB">
        <w:rPr>
          <w:rFonts w:ascii="Arial" w:hAnsi="Arial" w:cs="Arial"/>
        </w:rPr>
        <w:t>Et p</w:t>
      </w:r>
      <w:r w:rsidR="005E2D92" w:rsidRPr="00BE66AB">
        <w:rPr>
          <w:rFonts w:ascii="Arial" w:hAnsi="Arial" w:cs="Arial"/>
        </w:rPr>
        <w:t xml:space="preserve">uisque l’article 1733 n’est qu’une déclinaison </w:t>
      </w:r>
      <w:r w:rsidR="004C46F9" w:rsidRPr="00BE66AB">
        <w:rPr>
          <w:rFonts w:ascii="Arial" w:hAnsi="Arial" w:cs="Arial"/>
        </w:rPr>
        <w:t xml:space="preserve">(dans le domaine du bail) </w:t>
      </w:r>
      <w:r w:rsidR="005E2D92" w:rsidRPr="00BE66AB">
        <w:rPr>
          <w:rFonts w:ascii="Arial" w:hAnsi="Arial" w:cs="Arial"/>
        </w:rPr>
        <w:t xml:space="preserve">de principes généraux du droit des obligations contractuelles, ces derniers </w:t>
      </w:r>
      <w:r w:rsidRPr="00BE66AB">
        <w:rPr>
          <w:rFonts w:ascii="Arial" w:hAnsi="Arial" w:cs="Arial"/>
        </w:rPr>
        <w:t>trouvent pleinement</w:t>
      </w:r>
      <w:r w:rsidR="005E2D92" w:rsidRPr="00BE66AB">
        <w:rPr>
          <w:rFonts w:ascii="Arial" w:hAnsi="Arial" w:cs="Arial"/>
        </w:rPr>
        <w:t xml:space="preserve"> à s’appliquer</w:t>
      </w:r>
      <w:r w:rsidRPr="00BE66AB">
        <w:rPr>
          <w:rFonts w:ascii="Arial" w:hAnsi="Arial" w:cs="Arial"/>
        </w:rPr>
        <w:t xml:space="preserve"> un autre cadre (contractuel), fût-il non locatif</w:t>
      </w:r>
      <w:r w:rsidR="004C46F9" w:rsidRPr="00BE66AB">
        <w:rPr>
          <w:rStyle w:val="Marquenotebasdepage"/>
          <w:rFonts w:ascii="Arial" w:hAnsi="Arial" w:cs="Arial"/>
        </w:rPr>
        <w:footnoteReference w:id="17"/>
      </w:r>
      <w:r w:rsidR="006B700A" w:rsidRPr="00BE66AB">
        <w:rPr>
          <w:rFonts w:ascii="Arial" w:hAnsi="Arial" w:cs="Arial"/>
        </w:rPr>
        <w:t>.</w:t>
      </w:r>
    </w:p>
    <w:p w14:paraId="73967C4C" w14:textId="77777777" w:rsidR="00FA0866" w:rsidRPr="00BE66AB" w:rsidRDefault="00FA0866" w:rsidP="00B87BB0">
      <w:pPr>
        <w:spacing w:line="360" w:lineRule="auto"/>
        <w:jc w:val="both"/>
        <w:rPr>
          <w:rFonts w:ascii="Arial" w:hAnsi="Arial" w:cs="Arial"/>
        </w:rPr>
      </w:pPr>
    </w:p>
    <w:p w14:paraId="0348FCCC" w14:textId="5E179453" w:rsidR="005A40DA" w:rsidRPr="00BE66AB" w:rsidRDefault="005A40DA" w:rsidP="00B87BB0">
      <w:pPr>
        <w:spacing w:line="360" w:lineRule="auto"/>
        <w:jc w:val="both"/>
        <w:rPr>
          <w:rFonts w:ascii="Arial" w:hAnsi="Arial" w:cs="Arial"/>
          <w:i/>
        </w:rPr>
      </w:pPr>
      <w:r w:rsidRPr="00BE66AB">
        <w:rPr>
          <w:rFonts w:ascii="Arial" w:hAnsi="Arial" w:cs="Arial"/>
          <w:i/>
        </w:rPr>
        <w:tab/>
        <w:t>c) une présomption réfragable</w:t>
      </w:r>
    </w:p>
    <w:p w14:paraId="2216C1DA" w14:textId="77777777" w:rsidR="005A40DA" w:rsidRPr="00BE66AB" w:rsidRDefault="005A40DA" w:rsidP="00B87BB0">
      <w:pPr>
        <w:spacing w:line="360" w:lineRule="auto"/>
        <w:jc w:val="both"/>
        <w:rPr>
          <w:rFonts w:ascii="Arial" w:hAnsi="Arial" w:cs="Arial"/>
        </w:rPr>
      </w:pPr>
    </w:p>
    <w:p w14:paraId="044B39E6" w14:textId="5A51AB76" w:rsidR="00F91B45" w:rsidRPr="00BE66AB" w:rsidRDefault="003D2586" w:rsidP="00E15D71">
      <w:pPr>
        <w:spacing w:line="360" w:lineRule="auto"/>
        <w:ind w:firstLine="567"/>
        <w:jc w:val="both"/>
        <w:rPr>
          <w:rFonts w:ascii="Arial" w:hAnsi="Arial" w:cs="Arial"/>
        </w:rPr>
      </w:pPr>
      <w:r w:rsidRPr="00BE66AB">
        <w:rPr>
          <w:rFonts w:ascii="Arial" w:hAnsi="Arial" w:cs="Arial"/>
          <w:b/>
        </w:rPr>
        <w:t>6</w:t>
      </w:r>
      <w:r w:rsidR="00A9573F" w:rsidRPr="00BE66AB">
        <w:rPr>
          <w:rFonts w:ascii="Arial" w:hAnsi="Arial" w:cs="Arial"/>
          <w:b/>
        </w:rPr>
        <w:t xml:space="preserve">. </w:t>
      </w:r>
      <w:r w:rsidR="00046AFE" w:rsidRPr="00BE66AB">
        <w:rPr>
          <w:rFonts w:ascii="Arial" w:hAnsi="Arial" w:cs="Arial"/>
        </w:rPr>
        <w:t>De moyens ou de résultat, cette obligation de restitution du bien loué ? D</w:t>
      </w:r>
      <w:r w:rsidR="00E15D71" w:rsidRPr="00BE66AB">
        <w:rPr>
          <w:rFonts w:ascii="Arial" w:hAnsi="Arial" w:cs="Arial"/>
        </w:rPr>
        <w:t>e résultat</w:t>
      </w:r>
      <w:r w:rsidR="00046AFE" w:rsidRPr="00BE66AB">
        <w:rPr>
          <w:rFonts w:ascii="Arial" w:hAnsi="Arial" w:cs="Arial"/>
        </w:rPr>
        <w:t>, répondent massivement jurisprudence</w:t>
      </w:r>
      <w:r w:rsidR="00E15D71" w:rsidRPr="00BE66AB">
        <w:rPr>
          <w:rStyle w:val="Marquenotebasdepage"/>
          <w:rFonts w:ascii="Arial" w:hAnsi="Arial" w:cs="Arial"/>
        </w:rPr>
        <w:footnoteReference w:id="18"/>
      </w:r>
      <w:r w:rsidR="00046AFE" w:rsidRPr="00BE66AB">
        <w:rPr>
          <w:rFonts w:ascii="Arial" w:hAnsi="Arial" w:cs="Arial"/>
        </w:rPr>
        <w:t xml:space="preserve"> et doctrine</w:t>
      </w:r>
      <w:r w:rsidR="00046AFE" w:rsidRPr="00BE66AB">
        <w:rPr>
          <w:rStyle w:val="Marquenotebasdepage"/>
          <w:rFonts w:ascii="Arial" w:hAnsi="Arial" w:cs="Arial"/>
        </w:rPr>
        <w:footnoteReference w:id="19"/>
      </w:r>
      <w:r w:rsidR="00E15D71" w:rsidRPr="00BE66AB">
        <w:rPr>
          <w:rFonts w:ascii="Arial" w:hAnsi="Arial" w:cs="Arial"/>
        </w:rPr>
        <w:t>.</w:t>
      </w:r>
      <w:r w:rsidR="00C0076E" w:rsidRPr="00BE66AB">
        <w:rPr>
          <w:rFonts w:ascii="Arial" w:hAnsi="Arial" w:cs="Arial"/>
        </w:rPr>
        <w:t xml:space="preserve"> </w:t>
      </w:r>
      <w:r w:rsidR="00E15D71" w:rsidRPr="00BE66AB">
        <w:rPr>
          <w:rFonts w:ascii="Arial" w:hAnsi="Arial" w:cs="Arial"/>
        </w:rPr>
        <w:t>Ce devoir est-il absolu</w:t>
      </w:r>
      <w:r w:rsidR="00F2339E" w:rsidRPr="00BE66AB">
        <w:rPr>
          <w:rFonts w:ascii="Arial" w:hAnsi="Arial" w:cs="Arial"/>
        </w:rPr>
        <w:t xml:space="preserve"> pour autant ? Non pas, dicte le droit commun des obligations contractuelles. E</w:t>
      </w:r>
      <w:r w:rsidR="0069159F" w:rsidRPr="00BE66AB">
        <w:rPr>
          <w:rFonts w:ascii="Arial" w:hAnsi="Arial" w:cs="Arial"/>
        </w:rPr>
        <w:t>n cas de manquement à son obligation</w:t>
      </w:r>
      <w:r w:rsidR="00F2339E" w:rsidRPr="00BE66AB">
        <w:rPr>
          <w:rFonts w:ascii="Arial" w:hAnsi="Arial" w:cs="Arial"/>
        </w:rPr>
        <w:t xml:space="preserve"> de restitution du bien en bon état (du fait d’un incendie notamment)</w:t>
      </w:r>
      <w:r w:rsidR="0069159F" w:rsidRPr="00BE66AB">
        <w:rPr>
          <w:rFonts w:ascii="Arial" w:hAnsi="Arial" w:cs="Arial"/>
        </w:rPr>
        <w:t>,</w:t>
      </w:r>
      <w:r w:rsidR="00C0076E" w:rsidRPr="00BE66AB">
        <w:rPr>
          <w:rFonts w:ascii="Arial" w:hAnsi="Arial" w:cs="Arial"/>
        </w:rPr>
        <w:t xml:space="preserve"> </w:t>
      </w:r>
      <w:r w:rsidR="00F2339E" w:rsidRPr="00BE66AB">
        <w:rPr>
          <w:rFonts w:ascii="Arial" w:hAnsi="Arial" w:cs="Arial"/>
        </w:rPr>
        <w:t>le locataire est toujours admis à établir que</w:t>
      </w:r>
      <w:r w:rsidR="00C0076E" w:rsidRPr="00BE66AB">
        <w:rPr>
          <w:rFonts w:ascii="Arial" w:hAnsi="Arial" w:cs="Arial"/>
        </w:rPr>
        <w:t xml:space="preserve"> « l'inexécution provient d'une cause étrangère qui ne peut lui être imputée »</w:t>
      </w:r>
      <w:r w:rsidR="00C0076E" w:rsidRPr="00BE66AB">
        <w:rPr>
          <w:rStyle w:val="Marquenotebasdepage"/>
          <w:rFonts w:ascii="Arial" w:hAnsi="Arial" w:cs="Arial"/>
        </w:rPr>
        <w:footnoteReference w:id="20"/>
      </w:r>
      <w:r w:rsidR="000F7052" w:rsidRPr="00BE66AB">
        <w:rPr>
          <w:rFonts w:ascii="Arial" w:hAnsi="Arial" w:cs="Arial"/>
        </w:rPr>
        <w:t xml:space="preserve">. </w:t>
      </w:r>
      <w:r w:rsidR="00852A97" w:rsidRPr="00BE66AB">
        <w:rPr>
          <w:rFonts w:ascii="Arial" w:hAnsi="Arial" w:cs="Arial"/>
        </w:rPr>
        <w:t xml:space="preserve">En ce sens, la présomption de responsabilité </w:t>
      </w:r>
      <w:r w:rsidR="004C46F9" w:rsidRPr="00BE66AB">
        <w:rPr>
          <w:rFonts w:ascii="Arial" w:hAnsi="Arial" w:cs="Arial"/>
        </w:rPr>
        <w:t>reposant</w:t>
      </w:r>
      <w:r w:rsidR="00852A97" w:rsidRPr="00BE66AB">
        <w:rPr>
          <w:rFonts w:ascii="Arial" w:hAnsi="Arial" w:cs="Arial"/>
        </w:rPr>
        <w:t xml:space="preserve"> sur le preneur est </w:t>
      </w:r>
      <w:r w:rsidR="00852A97" w:rsidRPr="00BE66AB">
        <w:rPr>
          <w:rFonts w:ascii="Arial" w:hAnsi="Arial" w:cs="Arial"/>
          <w:i/>
        </w:rPr>
        <w:t>réfragable</w:t>
      </w:r>
      <w:r w:rsidR="00FA0866" w:rsidRPr="00BE66AB">
        <w:rPr>
          <w:rStyle w:val="Marquenotebasdepage"/>
          <w:rFonts w:ascii="Arial" w:hAnsi="Arial" w:cs="Arial"/>
        </w:rPr>
        <w:footnoteReference w:id="21"/>
      </w:r>
      <w:r w:rsidR="00852A97" w:rsidRPr="00BE66AB">
        <w:rPr>
          <w:rFonts w:ascii="Arial" w:hAnsi="Arial" w:cs="Arial"/>
        </w:rPr>
        <w:t>.</w:t>
      </w:r>
      <w:r w:rsidR="00A9573F" w:rsidRPr="00BE66AB">
        <w:rPr>
          <w:rFonts w:ascii="Arial" w:hAnsi="Arial" w:cs="Arial"/>
        </w:rPr>
        <w:t xml:space="preserve"> </w:t>
      </w:r>
    </w:p>
    <w:p w14:paraId="2EB2B1D2" w14:textId="77777777" w:rsidR="003B2F9E" w:rsidRPr="00BE66AB" w:rsidRDefault="003B2F9E" w:rsidP="00B87BB0">
      <w:pPr>
        <w:spacing w:line="360" w:lineRule="auto"/>
        <w:ind w:firstLine="567"/>
        <w:jc w:val="both"/>
        <w:rPr>
          <w:rFonts w:ascii="Arial" w:hAnsi="Arial" w:cs="Arial"/>
        </w:rPr>
      </w:pPr>
    </w:p>
    <w:p w14:paraId="00C8B75F" w14:textId="58362166" w:rsidR="000E2FEB" w:rsidRPr="00BE66AB" w:rsidRDefault="003D2586" w:rsidP="00B87BB0">
      <w:pPr>
        <w:spacing w:line="360" w:lineRule="auto"/>
        <w:ind w:firstLine="567"/>
        <w:jc w:val="both"/>
        <w:rPr>
          <w:rFonts w:ascii="Arial" w:hAnsi="Arial" w:cs="Arial"/>
        </w:rPr>
      </w:pPr>
      <w:r w:rsidRPr="00BE66AB">
        <w:rPr>
          <w:rFonts w:ascii="Arial" w:hAnsi="Arial" w:cs="Arial"/>
          <w:b/>
        </w:rPr>
        <w:t>7</w:t>
      </w:r>
      <w:r w:rsidR="003B2F9E" w:rsidRPr="00BE66AB">
        <w:rPr>
          <w:rFonts w:ascii="Arial" w:hAnsi="Arial" w:cs="Arial"/>
          <w:b/>
        </w:rPr>
        <w:t xml:space="preserve">. </w:t>
      </w:r>
      <w:r w:rsidR="000E2FEB" w:rsidRPr="00BE66AB">
        <w:rPr>
          <w:rFonts w:ascii="Arial" w:hAnsi="Arial" w:cs="Arial"/>
        </w:rPr>
        <w:t xml:space="preserve">Reflétant cette tendance, l’article 1733 du Code civil renseigne lui-même — dans sa finale — que le locataire ne répond </w:t>
      </w:r>
      <w:r w:rsidR="000E2FEB" w:rsidRPr="00BE66AB">
        <w:rPr>
          <w:rFonts w:ascii="Arial" w:hAnsi="Arial" w:cs="Arial"/>
          <w:i/>
        </w:rPr>
        <w:t>pas</w:t>
      </w:r>
      <w:r w:rsidR="000E2FEB" w:rsidRPr="00BE66AB">
        <w:rPr>
          <w:rFonts w:ascii="Arial" w:hAnsi="Arial" w:cs="Arial"/>
        </w:rPr>
        <w:t xml:space="preserve"> de l'incendie s’il « prouve que celui-ci s'est déclaré sans sa faute »</w:t>
      </w:r>
      <w:r w:rsidR="00070D19" w:rsidRPr="00BE66AB">
        <w:rPr>
          <w:rFonts w:ascii="Arial" w:hAnsi="Arial" w:cs="Arial"/>
        </w:rPr>
        <w:t>. Et, signe d’une volonté du législateur de ne point accabler le preneur avec une exigence probatoire peu réaliste, cette disposition a perdu en sévérité puisque, avant son remplacement en 1991</w:t>
      </w:r>
      <w:r w:rsidR="00070D19" w:rsidRPr="00BE66AB">
        <w:rPr>
          <w:rStyle w:val="Marquenotebasdepage"/>
          <w:rFonts w:ascii="Arial" w:hAnsi="Arial" w:cs="Arial"/>
        </w:rPr>
        <w:footnoteReference w:id="22"/>
      </w:r>
      <w:r w:rsidR="00070D19" w:rsidRPr="00BE66AB">
        <w:rPr>
          <w:rFonts w:ascii="Arial" w:hAnsi="Arial" w:cs="Arial"/>
        </w:rPr>
        <w:t>,</w:t>
      </w:r>
      <w:r w:rsidR="00697AD2" w:rsidRPr="00BE66AB">
        <w:rPr>
          <w:rFonts w:ascii="Arial" w:hAnsi="Arial" w:cs="Arial"/>
        </w:rPr>
        <w:t xml:space="preserve"> </w:t>
      </w:r>
      <w:r w:rsidR="00070D19" w:rsidRPr="00BE66AB">
        <w:rPr>
          <w:rFonts w:ascii="Arial" w:hAnsi="Arial" w:cs="Arial"/>
        </w:rPr>
        <w:t xml:space="preserve">elle livrait une liste de motifs susceptibles — et eux seuls — d’affranchir le preneur : cas fortuit, force majeure, vice de construction et départ du feu dans la maison </w:t>
      </w:r>
      <w:r w:rsidR="004C46F9" w:rsidRPr="00BE66AB">
        <w:rPr>
          <w:rFonts w:ascii="Arial" w:hAnsi="Arial" w:cs="Arial"/>
        </w:rPr>
        <w:t>contiguë</w:t>
      </w:r>
      <w:r w:rsidR="00070D19" w:rsidRPr="00BE66AB">
        <w:rPr>
          <w:rFonts w:ascii="Arial" w:hAnsi="Arial" w:cs="Arial"/>
        </w:rPr>
        <w:t>. Cette liste (</w:t>
      </w:r>
      <w:r w:rsidR="003B2F9E" w:rsidRPr="00BE66AB">
        <w:rPr>
          <w:rFonts w:ascii="Arial" w:hAnsi="Arial" w:cs="Arial"/>
        </w:rPr>
        <w:t>exhaustive</w:t>
      </w:r>
      <w:r w:rsidR="00070D19" w:rsidRPr="00BE66AB">
        <w:rPr>
          <w:rFonts w:ascii="Arial" w:hAnsi="Arial" w:cs="Arial"/>
        </w:rPr>
        <w:t xml:space="preserve">) supprimée, </w:t>
      </w:r>
      <w:r w:rsidR="003B2F9E" w:rsidRPr="00BE66AB">
        <w:rPr>
          <w:rFonts w:ascii="Arial" w:hAnsi="Arial" w:cs="Arial"/>
        </w:rPr>
        <w:t>l</w:t>
      </w:r>
      <w:r w:rsidR="00070D19" w:rsidRPr="00BE66AB">
        <w:rPr>
          <w:rFonts w:ascii="Arial" w:hAnsi="Arial" w:cs="Arial"/>
        </w:rPr>
        <w:t xml:space="preserve">e locataire </w:t>
      </w:r>
      <w:r w:rsidR="003B2F9E" w:rsidRPr="00BE66AB">
        <w:rPr>
          <w:rFonts w:ascii="Arial" w:hAnsi="Arial" w:cs="Arial"/>
        </w:rPr>
        <w:t xml:space="preserve">est libre d’invoquer n’importe quelle circonstance </w:t>
      </w:r>
      <w:r w:rsidR="004C46F9" w:rsidRPr="00BE66AB">
        <w:rPr>
          <w:rFonts w:ascii="Arial" w:hAnsi="Arial" w:cs="Arial"/>
        </w:rPr>
        <w:t>capable de le</w:t>
      </w:r>
      <w:r w:rsidR="003B2F9E" w:rsidRPr="00BE66AB">
        <w:rPr>
          <w:rFonts w:ascii="Arial" w:hAnsi="Arial" w:cs="Arial"/>
        </w:rPr>
        <w:t xml:space="preserve"> soustraire à la présomption de responsabilité</w:t>
      </w:r>
      <w:r w:rsidR="00AB21A8" w:rsidRPr="00BE66AB">
        <w:rPr>
          <w:rStyle w:val="Marquenotebasdepage"/>
          <w:rFonts w:ascii="Arial" w:hAnsi="Arial" w:cs="Arial"/>
        </w:rPr>
        <w:footnoteReference w:id="23"/>
      </w:r>
      <w:r w:rsidR="00070D19" w:rsidRPr="00BE66AB">
        <w:rPr>
          <w:rFonts w:ascii="Arial" w:hAnsi="Arial" w:cs="Arial"/>
        </w:rPr>
        <w:t>.</w:t>
      </w:r>
    </w:p>
    <w:p w14:paraId="6D792F4E" w14:textId="304B6ACC" w:rsidR="003B2F9E" w:rsidRPr="00BE66AB" w:rsidRDefault="003B2F9E" w:rsidP="00B87BB0">
      <w:pPr>
        <w:spacing w:line="360" w:lineRule="auto"/>
        <w:ind w:firstLine="567"/>
        <w:jc w:val="both"/>
        <w:rPr>
          <w:rFonts w:ascii="Arial" w:hAnsi="Arial" w:cs="Arial"/>
        </w:rPr>
      </w:pPr>
      <w:r w:rsidRPr="00BE66AB">
        <w:rPr>
          <w:rFonts w:ascii="Arial" w:hAnsi="Arial" w:cs="Arial"/>
        </w:rPr>
        <w:t>La jurisprudence elle-même</w:t>
      </w:r>
      <w:r w:rsidR="004C46F9" w:rsidRPr="00BE66AB">
        <w:rPr>
          <w:rFonts w:ascii="Arial" w:hAnsi="Arial" w:cs="Arial"/>
        </w:rPr>
        <w:t xml:space="preserve"> </w:t>
      </w:r>
      <w:r w:rsidRPr="00BE66AB">
        <w:rPr>
          <w:rFonts w:ascii="Arial" w:hAnsi="Arial" w:cs="Arial"/>
        </w:rPr>
        <w:t xml:space="preserve">avait anticipé ce changement, en </w:t>
      </w:r>
      <w:r w:rsidR="000C5EE6" w:rsidRPr="00BE66AB">
        <w:rPr>
          <w:rFonts w:ascii="Arial" w:hAnsi="Arial" w:cs="Arial"/>
        </w:rPr>
        <w:t xml:space="preserve">refusant </w:t>
      </w:r>
      <w:r w:rsidR="004C46F9" w:rsidRPr="00BE66AB">
        <w:rPr>
          <w:rFonts w:ascii="Arial" w:hAnsi="Arial" w:cs="Arial"/>
        </w:rPr>
        <w:t xml:space="preserve">notamment </w:t>
      </w:r>
      <w:r w:rsidR="000C5EE6" w:rsidRPr="00BE66AB">
        <w:rPr>
          <w:rFonts w:ascii="Arial" w:hAnsi="Arial" w:cs="Arial"/>
        </w:rPr>
        <w:t>de conférer</w:t>
      </w:r>
      <w:r w:rsidRPr="00BE66AB">
        <w:rPr>
          <w:rFonts w:ascii="Arial" w:hAnsi="Arial" w:cs="Arial"/>
        </w:rPr>
        <w:t xml:space="preserve"> à l’énumération </w:t>
      </w:r>
      <w:r w:rsidR="000C5EE6" w:rsidRPr="00BE66AB">
        <w:rPr>
          <w:rFonts w:ascii="Arial" w:hAnsi="Arial" w:cs="Arial"/>
        </w:rPr>
        <w:t>précitée</w:t>
      </w:r>
      <w:r w:rsidRPr="00BE66AB">
        <w:rPr>
          <w:rFonts w:ascii="Arial" w:hAnsi="Arial" w:cs="Arial"/>
        </w:rPr>
        <w:t xml:space="preserve"> </w:t>
      </w:r>
      <w:r w:rsidR="000C5EE6" w:rsidRPr="00BE66AB">
        <w:rPr>
          <w:rFonts w:ascii="Arial" w:hAnsi="Arial" w:cs="Arial"/>
        </w:rPr>
        <w:t>un</w:t>
      </w:r>
      <w:r w:rsidRPr="00BE66AB">
        <w:rPr>
          <w:rFonts w:ascii="Arial" w:hAnsi="Arial" w:cs="Arial"/>
        </w:rPr>
        <w:t xml:space="preserve"> caractère limitatif</w:t>
      </w:r>
      <w:r w:rsidR="000C5EE6" w:rsidRPr="00BE66AB">
        <w:rPr>
          <w:rStyle w:val="Marquenotebasdepage"/>
          <w:rFonts w:ascii="Arial" w:hAnsi="Arial" w:cs="Arial"/>
        </w:rPr>
        <w:footnoteReference w:id="24"/>
      </w:r>
      <w:r w:rsidRPr="00BE66AB">
        <w:rPr>
          <w:rFonts w:ascii="Arial" w:hAnsi="Arial" w:cs="Arial"/>
        </w:rPr>
        <w:t xml:space="preserve">. </w:t>
      </w:r>
      <w:r w:rsidR="00707326" w:rsidRPr="00BE66AB">
        <w:rPr>
          <w:rFonts w:ascii="Arial" w:hAnsi="Arial" w:cs="Arial"/>
        </w:rPr>
        <w:t>Jugé ainsi, dans un contexte qui rappelle l’espèce annotée (</w:t>
      </w:r>
      <w:r w:rsidR="004C46F9" w:rsidRPr="00BE66AB">
        <w:rPr>
          <w:rFonts w:ascii="Arial" w:hAnsi="Arial" w:cs="Arial"/>
        </w:rPr>
        <w:t>intrusion</w:t>
      </w:r>
      <w:r w:rsidR="00707326" w:rsidRPr="00BE66AB">
        <w:rPr>
          <w:rFonts w:ascii="Arial" w:hAnsi="Arial" w:cs="Arial"/>
        </w:rPr>
        <w:t xml:space="preserve"> dans le bien </w:t>
      </w:r>
      <w:r w:rsidR="004C46F9" w:rsidRPr="00BE66AB">
        <w:rPr>
          <w:rFonts w:ascii="Arial" w:hAnsi="Arial" w:cs="Arial"/>
        </w:rPr>
        <w:t>en l’absence de</w:t>
      </w:r>
      <w:r w:rsidR="00707326" w:rsidRPr="00BE66AB">
        <w:rPr>
          <w:rFonts w:ascii="Arial" w:hAnsi="Arial" w:cs="Arial"/>
        </w:rPr>
        <w:t xml:space="preserve"> l’occupant), que « le locataire échappe à la responsabilité que fait peser sur lui l’article 1733 du Code civil en établissant que l’incendie a eu lieu sans sa faute »</w:t>
      </w:r>
      <w:r w:rsidR="00707326" w:rsidRPr="00BE66AB">
        <w:rPr>
          <w:rStyle w:val="Marquenotebasdepage"/>
          <w:rFonts w:ascii="Arial" w:hAnsi="Arial" w:cs="Arial"/>
        </w:rPr>
        <w:footnoteReference w:id="25"/>
      </w:r>
      <w:r w:rsidR="00707326" w:rsidRPr="00BE66AB">
        <w:rPr>
          <w:rFonts w:ascii="Arial" w:hAnsi="Arial" w:cs="Arial"/>
        </w:rPr>
        <w:t>. A</w:t>
      </w:r>
      <w:r w:rsidRPr="00BE66AB">
        <w:rPr>
          <w:rFonts w:ascii="Arial" w:hAnsi="Arial" w:cs="Arial"/>
        </w:rPr>
        <w:t xml:space="preserve">u final, </w:t>
      </w:r>
      <w:r w:rsidR="000C5EE6" w:rsidRPr="00BE66AB">
        <w:rPr>
          <w:rFonts w:ascii="Arial" w:hAnsi="Arial" w:cs="Arial"/>
        </w:rPr>
        <w:t>« la modification apportée à l’article 1733 du Code civil n’est qu’une simple adaptation à l’interprétation de la jurisprudence »</w:t>
      </w:r>
      <w:r w:rsidR="000C5EE6" w:rsidRPr="00BE66AB">
        <w:rPr>
          <w:rStyle w:val="Marquenotebasdepage"/>
          <w:rFonts w:ascii="Arial" w:hAnsi="Arial" w:cs="Arial"/>
        </w:rPr>
        <w:footnoteReference w:id="26"/>
      </w:r>
      <w:r w:rsidR="000C5EE6" w:rsidRPr="00BE66AB">
        <w:rPr>
          <w:rFonts w:ascii="Arial" w:hAnsi="Arial" w:cs="Arial"/>
        </w:rPr>
        <w:t>.</w:t>
      </w:r>
    </w:p>
    <w:p w14:paraId="62A93635" w14:textId="77777777" w:rsidR="00A9573F" w:rsidRPr="00BE66AB" w:rsidRDefault="00A9573F" w:rsidP="00B87BB0">
      <w:pPr>
        <w:spacing w:line="360" w:lineRule="auto"/>
        <w:ind w:firstLine="567"/>
        <w:jc w:val="both"/>
        <w:rPr>
          <w:rFonts w:ascii="Arial" w:hAnsi="Arial" w:cs="Arial"/>
        </w:rPr>
      </w:pPr>
    </w:p>
    <w:p w14:paraId="5BDC38D8" w14:textId="2C4F64A3" w:rsidR="009B1C92" w:rsidRPr="00BE66AB" w:rsidRDefault="003D2586" w:rsidP="00B87BB0">
      <w:pPr>
        <w:spacing w:line="360" w:lineRule="auto"/>
        <w:ind w:firstLine="567"/>
        <w:jc w:val="both"/>
        <w:rPr>
          <w:rFonts w:ascii="Arial" w:hAnsi="Arial" w:cs="Arial"/>
        </w:rPr>
      </w:pPr>
      <w:r w:rsidRPr="00BE66AB">
        <w:rPr>
          <w:rFonts w:ascii="Arial" w:hAnsi="Arial" w:cs="Arial"/>
          <w:b/>
        </w:rPr>
        <w:t>8</w:t>
      </w:r>
      <w:r w:rsidR="00CB04B6" w:rsidRPr="00BE66AB">
        <w:rPr>
          <w:rFonts w:ascii="Arial" w:hAnsi="Arial" w:cs="Arial"/>
          <w:b/>
        </w:rPr>
        <w:t xml:space="preserve">. </w:t>
      </w:r>
      <w:r w:rsidR="00852A97" w:rsidRPr="00BE66AB">
        <w:rPr>
          <w:rFonts w:ascii="Arial" w:hAnsi="Arial" w:cs="Arial"/>
        </w:rPr>
        <w:t xml:space="preserve">Il reste à voir quels types de </w:t>
      </w:r>
      <w:r w:rsidR="003B2F9E" w:rsidRPr="00BE66AB">
        <w:rPr>
          <w:rFonts w:ascii="Arial" w:hAnsi="Arial" w:cs="Arial"/>
        </w:rPr>
        <w:t>faits</w:t>
      </w:r>
      <w:r w:rsidR="00852A97" w:rsidRPr="00BE66AB">
        <w:rPr>
          <w:rFonts w:ascii="Arial" w:hAnsi="Arial" w:cs="Arial"/>
        </w:rPr>
        <w:t xml:space="preserve"> </w:t>
      </w:r>
      <w:r w:rsidR="003B2F9E" w:rsidRPr="00BE66AB">
        <w:rPr>
          <w:rFonts w:ascii="Arial" w:hAnsi="Arial" w:cs="Arial"/>
        </w:rPr>
        <w:t>exactement doivent être rapportés</w:t>
      </w:r>
      <w:r w:rsidR="004C46F9" w:rsidRPr="00BE66AB">
        <w:rPr>
          <w:rFonts w:ascii="Arial" w:hAnsi="Arial" w:cs="Arial"/>
        </w:rPr>
        <w:t xml:space="preserve"> par le locataire pour être quitte</w:t>
      </w:r>
      <w:r w:rsidR="00852A97" w:rsidRPr="00BE66AB">
        <w:rPr>
          <w:rFonts w:ascii="Arial" w:hAnsi="Arial" w:cs="Arial"/>
        </w:rPr>
        <w:t xml:space="preserve">. Concrètement, </w:t>
      </w:r>
      <w:r w:rsidR="004C46F9" w:rsidRPr="00BE66AB">
        <w:rPr>
          <w:rFonts w:ascii="Arial" w:hAnsi="Arial" w:cs="Arial"/>
        </w:rPr>
        <w:t>celui-ci</w:t>
      </w:r>
      <w:r w:rsidR="00852A97" w:rsidRPr="00BE66AB">
        <w:rPr>
          <w:rFonts w:ascii="Arial" w:hAnsi="Arial" w:cs="Arial"/>
        </w:rPr>
        <w:t xml:space="preserve"> doit-il identifier lui-même cette cause étrangère à l’origine du sinistre (court-circuit</w:t>
      </w:r>
      <w:r w:rsidR="002C5DB9" w:rsidRPr="00BE66AB">
        <w:rPr>
          <w:rStyle w:val="Marquenotebasdepage"/>
          <w:rFonts w:ascii="Arial" w:hAnsi="Arial" w:cs="Arial"/>
        </w:rPr>
        <w:footnoteReference w:id="27"/>
      </w:r>
      <w:r w:rsidR="00D92094" w:rsidRPr="00BE66AB">
        <w:rPr>
          <w:rFonts w:ascii="Arial" w:hAnsi="Arial" w:cs="Arial"/>
        </w:rPr>
        <w:t xml:space="preserve"> sur un bien appartenant au bailleur</w:t>
      </w:r>
      <w:r w:rsidR="00D92094" w:rsidRPr="00BE66AB">
        <w:rPr>
          <w:rStyle w:val="Marquenotebasdepage"/>
          <w:rFonts w:ascii="Arial" w:hAnsi="Arial" w:cs="Arial"/>
        </w:rPr>
        <w:footnoteReference w:id="28"/>
      </w:r>
      <w:r w:rsidR="00852A97" w:rsidRPr="00BE66AB">
        <w:rPr>
          <w:rFonts w:ascii="Arial" w:hAnsi="Arial" w:cs="Arial"/>
        </w:rPr>
        <w:t xml:space="preserve">, </w:t>
      </w:r>
      <w:r w:rsidR="008B6721" w:rsidRPr="00BE66AB">
        <w:rPr>
          <w:rFonts w:ascii="Arial" w:hAnsi="Arial" w:cs="Arial"/>
        </w:rPr>
        <w:t>déficience des installations électriques</w:t>
      </w:r>
      <w:r w:rsidR="008B6721" w:rsidRPr="00BE66AB">
        <w:rPr>
          <w:rStyle w:val="Marquenotebasdepage"/>
          <w:rFonts w:ascii="Arial" w:hAnsi="Arial" w:cs="Arial"/>
        </w:rPr>
        <w:footnoteReference w:id="29"/>
      </w:r>
      <w:r w:rsidR="008B6721" w:rsidRPr="00BE66AB">
        <w:rPr>
          <w:rFonts w:ascii="Arial" w:hAnsi="Arial" w:cs="Arial"/>
        </w:rPr>
        <w:t xml:space="preserve">, </w:t>
      </w:r>
      <w:r w:rsidR="00D92094" w:rsidRPr="00BE66AB">
        <w:rPr>
          <w:rFonts w:ascii="Arial" w:hAnsi="Arial" w:cs="Arial"/>
        </w:rPr>
        <w:t xml:space="preserve">vétusté, </w:t>
      </w:r>
      <w:r w:rsidR="00A9573F" w:rsidRPr="00BE66AB">
        <w:rPr>
          <w:rFonts w:ascii="Arial" w:hAnsi="Arial" w:cs="Arial"/>
        </w:rPr>
        <w:t xml:space="preserve">vice de construction, </w:t>
      </w:r>
      <w:r w:rsidR="004C46F9" w:rsidRPr="00BE66AB">
        <w:rPr>
          <w:rFonts w:ascii="Arial" w:hAnsi="Arial" w:cs="Arial"/>
        </w:rPr>
        <w:t>communication</w:t>
      </w:r>
      <w:r w:rsidR="00852A97" w:rsidRPr="00BE66AB">
        <w:rPr>
          <w:rFonts w:ascii="Arial" w:hAnsi="Arial" w:cs="Arial"/>
        </w:rPr>
        <w:t xml:space="preserve"> d</w:t>
      </w:r>
      <w:r w:rsidR="004C46F9" w:rsidRPr="00BE66AB">
        <w:rPr>
          <w:rFonts w:ascii="Arial" w:hAnsi="Arial" w:cs="Arial"/>
        </w:rPr>
        <w:t>e l</w:t>
      </w:r>
      <w:r w:rsidR="00852A97" w:rsidRPr="00BE66AB">
        <w:rPr>
          <w:rFonts w:ascii="Arial" w:hAnsi="Arial" w:cs="Arial"/>
        </w:rPr>
        <w:t xml:space="preserve">’incendie </w:t>
      </w:r>
      <w:r w:rsidR="004C46F9" w:rsidRPr="00BE66AB">
        <w:rPr>
          <w:rFonts w:ascii="Arial" w:hAnsi="Arial" w:cs="Arial"/>
        </w:rPr>
        <w:t>à partir</w:t>
      </w:r>
      <w:r w:rsidR="00852A97" w:rsidRPr="00BE66AB">
        <w:rPr>
          <w:rFonts w:ascii="Arial" w:hAnsi="Arial" w:cs="Arial"/>
        </w:rPr>
        <w:t xml:space="preserve"> </w:t>
      </w:r>
      <w:r w:rsidR="004C46F9" w:rsidRPr="00BE66AB">
        <w:rPr>
          <w:rFonts w:ascii="Arial" w:hAnsi="Arial" w:cs="Arial"/>
        </w:rPr>
        <w:t>du bâtiment attenant</w:t>
      </w:r>
      <w:r w:rsidR="00852A97" w:rsidRPr="00BE66AB">
        <w:rPr>
          <w:rFonts w:ascii="Arial" w:hAnsi="Arial" w:cs="Arial"/>
        </w:rPr>
        <w:t xml:space="preserve">, etc.) ? </w:t>
      </w:r>
      <w:r w:rsidR="00277469" w:rsidRPr="00BE66AB">
        <w:rPr>
          <w:rFonts w:ascii="Arial" w:hAnsi="Arial" w:cs="Arial"/>
        </w:rPr>
        <w:t>L’entreprise</w:t>
      </w:r>
      <w:r w:rsidR="007D1084" w:rsidRPr="00BE66AB">
        <w:rPr>
          <w:rFonts w:ascii="Arial" w:hAnsi="Arial" w:cs="Arial"/>
        </w:rPr>
        <w:t xml:space="preserve"> n’est pas </w:t>
      </w:r>
      <w:r w:rsidR="00277469" w:rsidRPr="00BE66AB">
        <w:rPr>
          <w:rFonts w:ascii="Arial" w:hAnsi="Arial" w:cs="Arial"/>
        </w:rPr>
        <w:t>une sinécure</w:t>
      </w:r>
      <w:r w:rsidR="007D1084" w:rsidRPr="00BE66AB">
        <w:rPr>
          <w:rFonts w:ascii="Arial" w:hAnsi="Arial" w:cs="Arial"/>
        </w:rPr>
        <w:t xml:space="preserve">, qui plus est de la part d’un individu qui n’est </w:t>
      </w:r>
      <w:r w:rsidR="007D1084" w:rsidRPr="00BE66AB">
        <w:rPr>
          <w:rFonts w:ascii="Arial" w:hAnsi="Arial" w:cs="Arial"/>
          <w:i/>
        </w:rPr>
        <w:t>pas</w:t>
      </w:r>
      <w:r w:rsidR="007D1084" w:rsidRPr="00BE66AB">
        <w:rPr>
          <w:rFonts w:ascii="Arial" w:hAnsi="Arial" w:cs="Arial"/>
        </w:rPr>
        <w:t xml:space="preserve"> </w:t>
      </w:r>
      <w:r w:rsidR="00831757" w:rsidRPr="00BE66AB">
        <w:rPr>
          <w:rFonts w:ascii="Arial" w:hAnsi="Arial" w:cs="Arial"/>
        </w:rPr>
        <w:t xml:space="preserve">un </w:t>
      </w:r>
      <w:r w:rsidR="007D1084" w:rsidRPr="00BE66AB">
        <w:rPr>
          <w:rFonts w:ascii="Arial" w:hAnsi="Arial" w:cs="Arial"/>
        </w:rPr>
        <w:t>technicien</w:t>
      </w:r>
      <w:r w:rsidR="00277469" w:rsidRPr="00BE66AB">
        <w:rPr>
          <w:rFonts w:ascii="Arial" w:hAnsi="Arial" w:cs="Arial"/>
        </w:rPr>
        <w:t>…</w:t>
      </w:r>
      <w:r w:rsidR="001F356D" w:rsidRPr="00BE66AB">
        <w:rPr>
          <w:rFonts w:ascii="Arial" w:hAnsi="Arial" w:cs="Arial"/>
        </w:rPr>
        <w:t xml:space="preserve"> et à plus forte raison encore qu’il </w:t>
      </w:r>
      <w:r w:rsidR="00277469" w:rsidRPr="00BE66AB">
        <w:rPr>
          <w:rFonts w:ascii="Arial" w:hAnsi="Arial" w:cs="Arial"/>
        </w:rPr>
        <w:t>n’était</w:t>
      </w:r>
      <w:r w:rsidR="001F356D" w:rsidRPr="00BE66AB">
        <w:rPr>
          <w:rFonts w:ascii="Arial" w:hAnsi="Arial" w:cs="Arial"/>
        </w:rPr>
        <w:t xml:space="preserve"> aucunement impliqué dans le </w:t>
      </w:r>
      <w:r w:rsidR="00A80AE0" w:rsidRPr="00BE66AB">
        <w:rPr>
          <w:rFonts w:ascii="Arial" w:hAnsi="Arial" w:cs="Arial"/>
        </w:rPr>
        <w:t>déclenchement du sin</w:t>
      </w:r>
      <w:r w:rsidR="00277469" w:rsidRPr="00BE66AB">
        <w:rPr>
          <w:rFonts w:ascii="Arial" w:hAnsi="Arial" w:cs="Arial"/>
        </w:rPr>
        <w:t>i</w:t>
      </w:r>
      <w:r w:rsidR="00A80AE0" w:rsidRPr="00BE66AB">
        <w:rPr>
          <w:rFonts w:ascii="Arial" w:hAnsi="Arial" w:cs="Arial"/>
        </w:rPr>
        <w:t>s</w:t>
      </w:r>
      <w:r w:rsidR="00277469" w:rsidRPr="00BE66AB">
        <w:rPr>
          <w:rFonts w:ascii="Arial" w:hAnsi="Arial" w:cs="Arial"/>
        </w:rPr>
        <w:t>tre</w:t>
      </w:r>
      <w:r w:rsidR="007D1084" w:rsidRPr="00BE66AB">
        <w:rPr>
          <w:rFonts w:ascii="Arial" w:hAnsi="Arial" w:cs="Arial"/>
        </w:rPr>
        <w:t xml:space="preserve">. </w:t>
      </w:r>
      <w:r w:rsidR="009B1C92" w:rsidRPr="00BE66AB">
        <w:rPr>
          <w:rFonts w:ascii="Arial" w:hAnsi="Arial" w:cs="Arial"/>
        </w:rPr>
        <w:t xml:space="preserve">Une certaine </w:t>
      </w:r>
      <w:r w:rsidR="00A80AE0" w:rsidRPr="00BE66AB">
        <w:rPr>
          <w:rFonts w:ascii="Arial" w:hAnsi="Arial" w:cs="Arial"/>
        </w:rPr>
        <w:t>largesse</w:t>
      </w:r>
      <w:r w:rsidR="009B1C92" w:rsidRPr="00BE66AB">
        <w:rPr>
          <w:rFonts w:ascii="Arial" w:hAnsi="Arial" w:cs="Arial"/>
        </w:rPr>
        <w:t xml:space="preserve"> s’indique</w:t>
      </w:r>
      <w:r w:rsidR="00A80AE0" w:rsidRPr="00BE66AB">
        <w:rPr>
          <w:rFonts w:ascii="Arial" w:hAnsi="Arial" w:cs="Arial"/>
        </w:rPr>
        <w:t xml:space="preserve"> dès lors</w:t>
      </w:r>
      <w:r w:rsidR="009B1C92" w:rsidRPr="00BE66AB">
        <w:rPr>
          <w:rFonts w:ascii="Arial" w:hAnsi="Arial" w:cs="Arial"/>
        </w:rPr>
        <w:t xml:space="preserve">, à peine de rendre la présomption </w:t>
      </w:r>
      <w:r w:rsidR="009B1C92" w:rsidRPr="00BE66AB">
        <w:rPr>
          <w:rFonts w:ascii="Arial" w:hAnsi="Arial" w:cs="Arial"/>
          <w:i/>
        </w:rPr>
        <w:t>irréfragable</w:t>
      </w:r>
      <w:r w:rsidR="002B518B" w:rsidRPr="00BE66AB">
        <w:rPr>
          <w:rStyle w:val="Marquenotebasdepage"/>
          <w:rFonts w:ascii="Arial" w:hAnsi="Arial" w:cs="Arial"/>
        </w:rPr>
        <w:footnoteReference w:id="30"/>
      </w:r>
      <w:r w:rsidR="009B1C92" w:rsidRPr="00BE66AB">
        <w:rPr>
          <w:rFonts w:ascii="Arial" w:hAnsi="Arial" w:cs="Arial"/>
        </w:rPr>
        <w:t xml:space="preserve">. </w:t>
      </w:r>
    </w:p>
    <w:p w14:paraId="7EC337E4" w14:textId="536AD95B" w:rsidR="00AC6B4F" w:rsidRPr="00BE66AB" w:rsidRDefault="007D1084" w:rsidP="007039B9">
      <w:pPr>
        <w:spacing w:line="360" w:lineRule="auto"/>
        <w:ind w:firstLine="567"/>
        <w:jc w:val="both"/>
        <w:rPr>
          <w:rFonts w:ascii="Arial" w:hAnsi="Arial" w:cs="Arial"/>
        </w:rPr>
      </w:pPr>
      <w:r w:rsidRPr="00BE66AB">
        <w:rPr>
          <w:rFonts w:ascii="Arial" w:hAnsi="Arial" w:cs="Arial"/>
        </w:rPr>
        <w:t xml:space="preserve">Raison pour laquelle </w:t>
      </w:r>
      <w:r w:rsidR="00831757" w:rsidRPr="00BE66AB">
        <w:rPr>
          <w:rFonts w:ascii="Arial" w:hAnsi="Arial" w:cs="Arial"/>
        </w:rPr>
        <w:t>la jurisprudence</w:t>
      </w:r>
      <w:r w:rsidRPr="00BE66AB">
        <w:rPr>
          <w:rFonts w:ascii="Arial" w:hAnsi="Arial" w:cs="Arial"/>
        </w:rPr>
        <w:t xml:space="preserve"> tend</w:t>
      </w:r>
      <w:r w:rsidR="00831757" w:rsidRPr="00BE66AB">
        <w:rPr>
          <w:rFonts w:ascii="Arial" w:hAnsi="Arial" w:cs="Arial"/>
        </w:rPr>
        <w:t xml:space="preserve"> à </w:t>
      </w:r>
      <w:r w:rsidRPr="00BE66AB">
        <w:rPr>
          <w:rFonts w:ascii="Arial" w:hAnsi="Arial" w:cs="Arial"/>
        </w:rPr>
        <w:t xml:space="preserve">autoriser </w:t>
      </w:r>
      <w:r w:rsidR="00831757" w:rsidRPr="00BE66AB">
        <w:rPr>
          <w:rFonts w:ascii="Arial" w:hAnsi="Arial" w:cs="Arial"/>
        </w:rPr>
        <w:t xml:space="preserve">le locataire </w:t>
      </w:r>
      <w:r w:rsidRPr="00BE66AB">
        <w:rPr>
          <w:rFonts w:ascii="Arial" w:hAnsi="Arial" w:cs="Arial"/>
        </w:rPr>
        <w:t xml:space="preserve">à </w:t>
      </w:r>
      <w:r w:rsidR="00852A97" w:rsidRPr="00BE66AB">
        <w:rPr>
          <w:rFonts w:ascii="Arial" w:hAnsi="Arial" w:cs="Arial"/>
        </w:rPr>
        <w:t>se contenter de démontrer qu’il n’a lui-même commis aucune faute (ce qui</w:t>
      </w:r>
      <w:r w:rsidR="007552AF" w:rsidRPr="00BE66AB">
        <w:rPr>
          <w:rFonts w:ascii="Arial" w:hAnsi="Arial" w:cs="Arial"/>
        </w:rPr>
        <w:t>, fatalement,</w:t>
      </w:r>
      <w:r w:rsidR="00852A97" w:rsidRPr="00BE66AB">
        <w:rPr>
          <w:rFonts w:ascii="Arial" w:hAnsi="Arial" w:cs="Arial"/>
        </w:rPr>
        <w:t xml:space="preserve"> renvoie l’origine du sinistre à une </w:t>
      </w:r>
      <w:r w:rsidR="00A9573F" w:rsidRPr="00BE66AB">
        <w:rPr>
          <w:rFonts w:ascii="Arial" w:hAnsi="Arial" w:cs="Arial"/>
        </w:rPr>
        <w:t>circonstance</w:t>
      </w:r>
      <w:r w:rsidRPr="00BE66AB">
        <w:rPr>
          <w:rFonts w:ascii="Arial" w:hAnsi="Arial" w:cs="Arial"/>
        </w:rPr>
        <w:t xml:space="preserve"> tierce)</w:t>
      </w:r>
      <w:r w:rsidR="00D163D9" w:rsidRPr="00BE66AB">
        <w:rPr>
          <w:rStyle w:val="Marquenotebasdepage"/>
          <w:rFonts w:ascii="Arial" w:hAnsi="Arial" w:cs="Arial"/>
        </w:rPr>
        <w:footnoteReference w:id="31"/>
      </w:r>
      <w:r w:rsidRPr="00BE66AB">
        <w:rPr>
          <w:rFonts w:ascii="Arial" w:hAnsi="Arial" w:cs="Arial"/>
        </w:rPr>
        <w:t>.</w:t>
      </w:r>
      <w:r w:rsidR="00697AD2" w:rsidRPr="00BE66AB">
        <w:rPr>
          <w:rFonts w:ascii="Arial" w:hAnsi="Arial" w:cs="Arial"/>
        </w:rPr>
        <w:t xml:space="preserve"> </w:t>
      </w:r>
      <w:r w:rsidR="00831757" w:rsidRPr="00BE66AB">
        <w:rPr>
          <w:rFonts w:ascii="Arial" w:hAnsi="Arial" w:cs="Arial"/>
        </w:rPr>
        <w:t>La présente espèce ne fait pas exception puisque, pour</w:t>
      </w:r>
      <w:r w:rsidR="00852A97" w:rsidRPr="00BE66AB">
        <w:rPr>
          <w:rFonts w:ascii="Arial" w:hAnsi="Arial" w:cs="Arial"/>
        </w:rPr>
        <w:t xml:space="preserve"> le tribunal civil </w:t>
      </w:r>
      <w:r w:rsidR="00831757" w:rsidRPr="00BE66AB">
        <w:rPr>
          <w:rFonts w:ascii="Arial" w:hAnsi="Arial" w:cs="Arial"/>
        </w:rPr>
        <w:t xml:space="preserve">de Namur, </w:t>
      </w:r>
      <w:r w:rsidR="00852A97" w:rsidRPr="00BE66AB">
        <w:rPr>
          <w:rFonts w:ascii="Arial" w:hAnsi="Arial" w:cs="Arial"/>
        </w:rPr>
        <w:t>« cette preuve peut être administrée soit de façon positive, soit de manière indirecte</w:t>
      </w:r>
      <w:r w:rsidR="00FA0866" w:rsidRPr="00BE66AB">
        <w:rPr>
          <w:rFonts w:ascii="Arial" w:hAnsi="Arial" w:cs="Arial"/>
        </w:rPr>
        <w:t>, en démontrant que le locataire n’a pas commis la moindre faute qui ait pu faire naître l’incendie</w:t>
      </w:r>
      <w:r w:rsidR="00852A97" w:rsidRPr="00BE66AB">
        <w:rPr>
          <w:rFonts w:ascii="Arial" w:hAnsi="Arial" w:cs="Arial"/>
        </w:rPr>
        <w:t> »</w:t>
      </w:r>
      <w:r w:rsidR="00FA0866" w:rsidRPr="00BE66AB">
        <w:rPr>
          <w:rFonts w:ascii="Arial" w:hAnsi="Arial" w:cs="Arial"/>
        </w:rPr>
        <w:t>.</w:t>
      </w:r>
      <w:r w:rsidR="001F356D" w:rsidRPr="00BE66AB">
        <w:rPr>
          <w:rFonts w:ascii="Arial" w:hAnsi="Arial" w:cs="Arial"/>
        </w:rPr>
        <w:t xml:space="preserve"> Ce dernier type de preuve, dite </w:t>
      </w:r>
      <w:r w:rsidR="00C44224" w:rsidRPr="00BE66AB">
        <w:rPr>
          <w:rFonts w:ascii="Arial" w:hAnsi="Arial" w:cs="Arial"/>
        </w:rPr>
        <w:t xml:space="preserve">aussi </w:t>
      </w:r>
      <w:r w:rsidR="00696278" w:rsidRPr="00BE66AB">
        <w:rPr>
          <w:rFonts w:ascii="Arial" w:hAnsi="Arial" w:cs="Arial"/>
        </w:rPr>
        <w:t>« </w:t>
      </w:r>
      <w:r w:rsidR="001F356D" w:rsidRPr="00BE66AB">
        <w:rPr>
          <w:rFonts w:ascii="Arial" w:hAnsi="Arial" w:cs="Arial"/>
        </w:rPr>
        <w:t>négative</w:t>
      </w:r>
      <w:r w:rsidR="00696278" w:rsidRPr="00BE66AB">
        <w:rPr>
          <w:rFonts w:ascii="Arial" w:hAnsi="Arial" w:cs="Arial"/>
        </w:rPr>
        <w:t> »</w:t>
      </w:r>
      <w:r w:rsidR="00696278" w:rsidRPr="00BE66AB">
        <w:rPr>
          <w:rStyle w:val="Marquenotebasdepage"/>
          <w:rFonts w:ascii="Arial" w:hAnsi="Arial" w:cs="Arial"/>
        </w:rPr>
        <w:footnoteReference w:id="32"/>
      </w:r>
      <w:r w:rsidR="001F356D" w:rsidRPr="00BE66AB">
        <w:rPr>
          <w:rFonts w:ascii="Arial" w:hAnsi="Arial" w:cs="Arial"/>
        </w:rPr>
        <w:t xml:space="preserve"> ou </w:t>
      </w:r>
      <w:r w:rsidR="009B1C92" w:rsidRPr="00BE66AB">
        <w:rPr>
          <w:rFonts w:ascii="Arial" w:hAnsi="Arial" w:cs="Arial"/>
        </w:rPr>
        <w:t>« </w:t>
      </w:r>
      <w:r w:rsidR="001F356D" w:rsidRPr="00BE66AB">
        <w:rPr>
          <w:rFonts w:ascii="Arial" w:hAnsi="Arial" w:cs="Arial"/>
        </w:rPr>
        <w:t>inductive</w:t>
      </w:r>
      <w:r w:rsidR="009B1C92" w:rsidRPr="00BE66AB">
        <w:rPr>
          <w:rFonts w:ascii="Arial" w:hAnsi="Arial" w:cs="Arial"/>
        </w:rPr>
        <w:t> »</w:t>
      </w:r>
      <w:r w:rsidR="00CB04B6" w:rsidRPr="00BE66AB">
        <w:rPr>
          <w:rStyle w:val="Marquenotebasdepage"/>
          <w:rFonts w:ascii="Arial" w:hAnsi="Arial" w:cs="Arial"/>
        </w:rPr>
        <w:footnoteReference w:id="33"/>
      </w:r>
      <w:r w:rsidR="001F356D" w:rsidRPr="00BE66AB">
        <w:rPr>
          <w:rFonts w:ascii="Arial" w:hAnsi="Arial" w:cs="Arial"/>
        </w:rPr>
        <w:t xml:space="preserve">, se </w:t>
      </w:r>
      <w:r w:rsidR="00A80AE0" w:rsidRPr="00BE66AB">
        <w:rPr>
          <w:rFonts w:ascii="Arial" w:hAnsi="Arial" w:cs="Arial"/>
        </w:rPr>
        <w:t>forge</w:t>
      </w:r>
      <w:r w:rsidR="001F356D" w:rsidRPr="00BE66AB">
        <w:rPr>
          <w:rFonts w:ascii="Arial" w:hAnsi="Arial" w:cs="Arial"/>
        </w:rPr>
        <w:t xml:space="preserve"> en montrant par exemple qu’aucune des causes potentielles d’incendie épinglées (limitativement) par les experts ne met en cause un éventuel manquement du preneur</w:t>
      </w:r>
      <w:r w:rsidR="009B1C92" w:rsidRPr="00BE66AB">
        <w:rPr>
          <w:rStyle w:val="Marquenotebasdepage"/>
          <w:rFonts w:ascii="Arial" w:hAnsi="Arial" w:cs="Arial"/>
        </w:rPr>
        <w:footnoteReference w:id="34"/>
      </w:r>
      <w:r w:rsidR="001F356D" w:rsidRPr="00BE66AB">
        <w:rPr>
          <w:rFonts w:ascii="Arial" w:hAnsi="Arial" w:cs="Arial"/>
        </w:rPr>
        <w:t>.</w:t>
      </w:r>
      <w:r w:rsidR="009B1C92" w:rsidRPr="00BE66AB">
        <w:rPr>
          <w:rFonts w:ascii="Arial" w:hAnsi="Arial" w:cs="Arial"/>
        </w:rPr>
        <w:t xml:space="preserve"> </w:t>
      </w:r>
    </w:p>
    <w:p w14:paraId="7ED0756C" w14:textId="77777777" w:rsidR="00F6298B" w:rsidRPr="00BE66AB" w:rsidRDefault="00F6298B" w:rsidP="00B87BB0">
      <w:pPr>
        <w:spacing w:line="360" w:lineRule="auto"/>
        <w:ind w:firstLine="567"/>
        <w:jc w:val="both"/>
        <w:rPr>
          <w:rFonts w:ascii="Arial" w:hAnsi="Arial" w:cs="Arial"/>
        </w:rPr>
      </w:pPr>
    </w:p>
    <w:p w14:paraId="49A2139C" w14:textId="3ED435B9" w:rsidR="005A40DA" w:rsidRPr="00BE66AB" w:rsidRDefault="005A40DA" w:rsidP="005A40DA">
      <w:pPr>
        <w:spacing w:line="360" w:lineRule="auto"/>
        <w:ind w:left="851" w:hanging="283"/>
        <w:jc w:val="both"/>
        <w:rPr>
          <w:rFonts w:ascii="Arial" w:hAnsi="Arial" w:cs="Arial"/>
          <w:i/>
        </w:rPr>
      </w:pPr>
      <w:r w:rsidRPr="00BE66AB">
        <w:rPr>
          <w:rFonts w:ascii="Arial" w:hAnsi="Arial" w:cs="Arial"/>
          <w:i/>
        </w:rPr>
        <w:t>d) l’utilité de l’assurance incendie du bailleur (en sus de l’assurance R.C. locative du preneur)</w:t>
      </w:r>
    </w:p>
    <w:p w14:paraId="0C54CF05" w14:textId="77777777" w:rsidR="005A40DA" w:rsidRPr="00BE66AB" w:rsidRDefault="005A40DA" w:rsidP="00B87BB0">
      <w:pPr>
        <w:spacing w:line="360" w:lineRule="auto"/>
        <w:ind w:firstLine="567"/>
        <w:jc w:val="both"/>
        <w:rPr>
          <w:rFonts w:ascii="Arial" w:hAnsi="Arial" w:cs="Arial"/>
        </w:rPr>
      </w:pPr>
    </w:p>
    <w:p w14:paraId="73CB175E" w14:textId="03AC35DD" w:rsidR="007039B9" w:rsidRPr="00BE66AB" w:rsidRDefault="007039B9" w:rsidP="007552AF">
      <w:pPr>
        <w:spacing w:line="360" w:lineRule="auto"/>
        <w:ind w:firstLine="567"/>
        <w:jc w:val="both"/>
        <w:rPr>
          <w:rFonts w:ascii="Arial" w:hAnsi="Arial" w:cs="Arial"/>
        </w:rPr>
      </w:pPr>
      <w:r w:rsidRPr="00BE66AB">
        <w:rPr>
          <w:rFonts w:ascii="Arial" w:hAnsi="Arial" w:cs="Arial"/>
          <w:b/>
        </w:rPr>
        <w:t>9</w:t>
      </w:r>
      <w:r w:rsidR="00F6298B" w:rsidRPr="00BE66AB">
        <w:rPr>
          <w:rFonts w:ascii="Arial" w:hAnsi="Arial" w:cs="Arial"/>
          <w:b/>
        </w:rPr>
        <w:t xml:space="preserve">. </w:t>
      </w:r>
      <w:r w:rsidR="00A80AE0" w:rsidRPr="00BE66AB">
        <w:rPr>
          <w:rFonts w:ascii="Arial" w:hAnsi="Arial" w:cs="Arial"/>
        </w:rPr>
        <w:t xml:space="preserve">Si </w:t>
      </w:r>
      <w:r w:rsidR="00F91B45" w:rsidRPr="00BE66AB">
        <w:rPr>
          <w:rFonts w:ascii="Arial" w:hAnsi="Arial" w:cs="Arial"/>
        </w:rPr>
        <w:t xml:space="preserve">renverser </w:t>
      </w:r>
      <w:r w:rsidR="00246326" w:rsidRPr="00BE66AB">
        <w:rPr>
          <w:rFonts w:ascii="Arial" w:hAnsi="Arial" w:cs="Arial"/>
        </w:rPr>
        <w:t>la présomption de</w:t>
      </w:r>
      <w:r w:rsidR="00F91B45" w:rsidRPr="00BE66AB">
        <w:rPr>
          <w:rFonts w:ascii="Arial" w:hAnsi="Arial" w:cs="Arial"/>
        </w:rPr>
        <w:t xml:space="preserve"> responsabilité </w:t>
      </w:r>
      <w:r w:rsidR="00246326" w:rsidRPr="00BE66AB">
        <w:rPr>
          <w:rFonts w:ascii="Arial" w:hAnsi="Arial" w:cs="Arial"/>
        </w:rPr>
        <w:t xml:space="preserve">est toujours possible pour le locataire, </w:t>
      </w:r>
      <w:r w:rsidR="00B44ECC" w:rsidRPr="00BE66AB">
        <w:rPr>
          <w:rFonts w:ascii="Arial" w:hAnsi="Arial" w:cs="Arial"/>
        </w:rPr>
        <w:t xml:space="preserve">l’honnêteté commande d’avouer que </w:t>
      </w:r>
      <w:r w:rsidR="00246326" w:rsidRPr="00BE66AB">
        <w:rPr>
          <w:rFonts w:ascii="Arial" w:hAnsi="Arial" w:cs="Arial"/>
        </w:rPr>
        <w:t xml:space="preserve">la chose </w:t>
      </w:r>
      <w:r w:rsidR="00F91B45" w:rsidRPr="00BE66AB">
        <w:rPr>
          <w:rFonts w:ascii="Arial" w:hAnsi="Arial" w:cs="Arial"/>
        </w:rPr>
        <w:t>ne va pas de soi</w:t>
      </w:r>
      <w:r w:rsidR="00A80AE0" w:rsidRPr="00BE66AB">
        <w:rPr>
          <w:rFonts w:ascii="Arial" w:hAnsi="Arial" w:cs="Arial"/>
        </w:rPr>
        <w:t>. Puisque prouver un fait négatif est improbable (sinon impossible)</w:t>
      </w:r>
      <w:r w:rsidR="00A80AE0" w:rsidRPr="00BE66AB">
        <w:rPr>
          <w:rStyle w:val="Marquenotebasdepage"/>
          <w:rFonts w:ascii="Arial" w:hAnsi="Arial" w:cs="Arial"/>
        </w:rPr>
        <w:footnoteReference w:id="35"/>
      </w:r>
      <w:r w:rsidR="00A80AE0" w:rsidRPr="00BE66AB">
        <w:rPr>
          <w:rFonts w:ascii="Arial" w:hAnsi="Arial" w:cs="Arial"/>
        </w:rPr>
        <w:t>, il</w:t>
      </w:r>
      <w:r w:rsidRPr="00BE66AB">
        <w:rPr>
          <w:rFonts w:ascii="Arial" w:hAnsi="Arial" w:cs="Arial"/>
        </w:rPr>
        <w:t xml:space="preserve"> est requis en effet du preneur</w:t>
      </w:r>
      <w:r w:rsidR="00A80AE0" w:rsidRPr="00BE66AB">
        <w:rPr>
          <w:rFonts w:ascii="Arial" w:hAnsi="Arial" w:cs="Arial"/>
        </w:rPr>
        <w:t xml:space="preserve"> </w:t>
      </w:r>
      <w:r w:rsidRPr="00BE66AB">
        <w:rPr>
          <w:rFonts w:ascii="Arial" w:hAnsi="Arial" w:cs="Arial"/>
        </w:rPr>
        <w:t>qu’il adosse son argumentation sur un faisceau de « présomptions graves, précises et concordantes »</w:t>
      </w:r>
      <w:r w:rsidRPr="00BE66AB">
        <w:rPr>
          <w:rStyle w:val="Marquenotebasdepage"/>
          <w:rFonts w:ascii="Arial" w:hAnsi="Arial" w:cs="Arial"/>
        </w:rPr>
        <w:footnoteReference w:id="36"/>
      </w:r>
      <w:r w:rsidRPr="00BE66AB">
        <w:rPr>
          <w:rFonts w:ascii="Arial" w:hAnsi="Arial" w:cs="Arial"/>
        </w:rPr>
        <w:t>, éléments de fait soumis à l’évaluation discrétionnaire du magistrat</w:t>
      </w:r>
      <w:r w:rsidR="007552AF" w:rsidRPr="00BE66AB">
        <w:rPr>
          <w:rStyle w:val="Marquenotebasdepage"/>
          <w:rFonts w:ascii="Arial" w:hAnsi="Arial" w:cs="Arial"/>
        </w:rPr>
        <w:footnoteReference w:id="37"/>
      </w:r>
      <w:r w:rsidR="007552AF" w:rsidRPr="00BE66AB">
        <w:rPr>
          <w:rFonts w:ascii="Arial" w:hAnsi="Arial" w:cs="Arial"/>
        </w:rPr>
        <w:t xml:space="preserve">. </w:t>
      </w:r>
      <w:r w:rsidRPr="00BE66AB">
        <w:rPr>
          <w:rFonts w:ascii="Arial" w:hAnsi="Arial" w:cs="Arial"/>
        </w:rPr>
        <w:t xml:space="preserve">Voire, </w:t>
      </w:r>
      <w:r w:rsidR="007552AF" w:rsidRPr="00BE66AB">
        <w:rPr>
          <w:rFonts w:ascii="Arial" w:hAnsi="Arial" w:cs="Arial"/>
        </w:rPr>
        <w:t>le preneur</w:t>
      </w:r>
      <w:r w:rsidRPr="00BE66AB">
        <w:rPr>
          <w:rFonts w:ascii="Arial" w:hAnsi="Arial" w:cs="Arial"/>
        </w:rPr>
        <w:t xml:space="preserve"> doit « exclure avec certitude » que l’incendie puisse s’imputer à son propre fait</w:t>
      </w:r>
      <w:r w:rsidRPr="00BE66AB">
        <w:rPr>
          <w:rStyle w:val="Marquenotebasdepage"/>
          <w:rFonts w:ascii="Arial" w:hAnsi="Arial" w:cs="Arial"/>
        </w:rPr>
        <w:footnoteReference w:id="38"/>
      </w:r>
      <w:r w:rsidRPr="00BE66AB">
        <w:rPr>
          <w:rFonts w:ascii="Arial" w:hAnsi="Arial" w:cs="Arial"/>
        </w:rPr>
        <w:t>. Et, en sus, « le doute ne profite pas au locataire »</w:t>
      </w:r>
      <w:r w:rsidRPr="00BE66AB">
        <w:rPr>
          <w:rStyle w:val="Marquenotebasdepage"/>
          <w:rFonts w:ascii="Arial" w:hAnsi="Arial" w:cs="Arial"/>
        </w:rPr>
        <w:footnoteReference w:id="39"/>
      </w:r>
      <w:r w:rsidRPr="00BE66AB">
        <w:rPr>
          <w:rFonts w:ascii="Arial" w:hAnsi="Arial" w:cs="Arial"/>
        </w:rPr>
        <w:t>.</w:t>
      </w:r>
    </w:p>
    <w:p w14:paraId="4D7A13A0" w14:textId="03615EAC" w:rsidR="00B44ECC" w:rsidRPr="00BE66AB" w:rsidRDefault="007039B9" w:rsidP="00B87BB0">
      <w:pPr>
        <w:spacing w:line="360" w:lineRule="auto"/>
        <w:ind w:firstLine="567"/>
        <w:jc w:val="both"/>
        <w:rPr>
          <w:rFonts w:ascii="Arial" w:hAnsi="Arial" w:cs="Arial"/>
        </w:rPr>
      </w:pPr>
      <w:r w:rsidRPr="00BE66AB">
        <w:rPr>
          <w:rFonts w:ascii="Arial" w:hAnsi="Arial" w:cs="Arial"/>
        </w:rPr>
        <w:t>I</w:t>
      </w:r>
      <w:r w:rsidR="00246326" w:rsidRPr="00BE66AB">
        <w:rPr>
          <w:rFonts w:ascii="Arial" w:hAnsi="Arial" w:cs="Arial"/>
        </w:rPr>
        <w:t xml:space="preserve">l n’est pas exclu, dès lors, </w:t>
      </w:r>
      <w:r w:rsidR="00B44ECC" w:rsidRPr="00BE66AB">
        <w:rPr>
          <w:rFonts w:ascii="Arial" w:hAnsi="Arial" w:cs="Arial"/>
        </w:rPr>
        <w:t>que l’intéressé</w:t>
      </w:r>
      <w:r w:rsidR="00246326" w:rsidRPr="00BE66AB">
        <w:rPr>
          <w:rFonts w:ascii="Arial" w:hAnsi="Arial" w:cs="Arial"/>
        </w:rPr>
        <w:t xml:space="preserve"> n’y parvienne </w:t>
      </w:r>
      <w:r w:rsidR="00246326" w:rsidRPr="00BE66AB">
        <w:rPr>
          <w:rFonts w:ascii="Arial" w:hAnsi="Arial" w:cs="Arial"/>
          <w:i/>
        </w:rPr>
        <w:t>pas</w:t>
      </w:r>
      <w:r w:rsidR="00246326" w:rsidRPr="00BE66AB">
        <w:rPr>
          <w:rFonts w:ascii="Arial" w:hAnsi="Arial" w:cs="Arial"/>
        </w:rPr>
        <w:t xml:space="preserve">. </w:t>
      </w:r>
      <w:r w:rsidR="00F91B45" w:rsidRPr="00BE66AB">
        <w:rPr>
          <w:rFonts w:ascii="Arial" w:hAnsi="Arial" w:cs="Arial"/>
        </w:rPr>
        <w:t>Heureusement,</w:t>
      </w:r>
      <w:r w:rsidR="00246326" w:rsidRPr="00BE66AB">
        <w:rPr>
          <w:rFonts w:ascii="Arial" w:hAnsi="Arial" w:cs="Arial"/>
        </w:rPr>
        <w:t xml:space="preserve"> pour prévenir tout risque (de banqueroute personnelle notamment</w:t>
      </w:r>
      <w:r w:rsidR="004546A3" w:rsidRPr="00BE66AB">
        <w:rPr>
          <w:rStyle w:val="Marquenotebasdepage"/>
          <w:rFonts w:ascii="Arial" w:hAnsi="Arial" w:cs="Arial"/>
        </w:rPr>
        <w:footnoteReference w:id="40"/>
      </w:r>
      <w:r w:rsidR="00246326" w:rsidRPr="00BE66AB">
        <w:rPr>
          <w:rFonts w:ascii="Arial" w:hAnsi="Arial" w:cs="Arial"/>
        </w:rPr>
        <w:t>),</w:t>
      </w:r>
      <w:r w:rsidR="00F91B45" w:rsidRPr="00BE66AB">
        <w:rPr>
          <w:rFonts w:ascii="Arial" w:hAnsi="Arial" w:cs="Arial"/>
        </w:rPr>
        <w:t xml:space="preserve"> il est loisible </w:t>
      </w:r>
      <w:r w:rsidR="00246326" w:rsidRPr="00BE66AB">
        <w:rPr>
          <w:rFonts w:ascii="Arial" w:hAnsi="Arial" w:cs="Arial"/>
        </w:rPr>
        <w:t xml:space="preserve">au preneur </w:t>
      </w:r>
      <w:r w:rsidR="00F91B45" w:rsidRPr="00BE66AB">
        <w:rPr>
          <w:rFonts w:ascii="Arial" w:hAnsi="Arial" w:cs="Arial"/>
        </w:rPr>
        <w:t>de s</w:t>
      </w:r>
      <w:r w:rsidR="000A0D62" w:rsidRPr="00BE66AB">
        <w:rPr>
          <w:rFonts w:ascii="Arial" w:hAnsi="Arial" w:cs="Arial"/>
        </w:rPr>
        <w:t>e couvrir par une assurance en responsabilité</w:t>
      </w:r>
      <w:r w:rsidR="00F91B45" w:rsidRPr="00BE66AB">
        <w:rPr>
          <w:rFonts w:ascii="Arial" w:hAnsi="Arial" w:cs="Arial"/>
        </w:rPr>
        <w:t xml:space="preserve"> locative</w:t>
      </w:r>
      <w:r w:rsidR="00F91B45" w:rsidRPr="00BE66AB">
        <w:rPr>
          <w:rStyle w:val="Marquenotebasdepage"/>
          <w:rFonts w:ascii="Arial" w:hAnsi="Arial" w:cs="Arial"/>
        </w:rPr>
        <w:footnoteReference w:id="41"/>
      </w:r>
      <w:r w:rsidR="00CD3ADA" w:rsidRPr="00BE66AB">
        <w:rPr>
          <w:rFonts w:ascii="Arial" w:hAnsi="Arial" w:cs="Arial"/>
        </w:rPr>
        <w:t>, directement liée à son obligation contractuelle de restitution du bien</w:t>
      </w:r>
      <w:r w:rsidR="00CD3ADA" w:rsidRPr="00BE66AB">
        <w:rPr>
          <w:rStyle w:val="Marquenotebasdepage"/>
          <w:rFonts w:ascii="Arial" w:hAnsi="Arial" w:cs="Arial"/>
        </w:rPr>
        <w:footnoteReference w:id="42"/>
      </w:r>
      <w:r w:rsidR="00F91B45" w:rsidRPr="00BE66AB">
        <w:rPr>
          <w:rFonts w:ascii="Arial" w:hAnsi="Arial" w:cs="Arial"/>
        </w:rPr>
        <w:t xml:space="preserve"> ; il y est </w:t>
      </w:r>
      <w:r w:rsidR="00CD3ADA" w:rsidRPr="00BE66AB">
        <w:rPr>
          <w:rFonts w:ascii="Arial" w:hAnsi="Arial" w:cs="Arial"/>
        </w:rPr>
        <w:t>même fortement invité…</w:t>
      </w:r>
      <w:r w:rsidR="00F91B45" w:rsidRPr="00BE66AB">
        <w:rPr>
          <w:rFonts w:ascii="Arial" w:hAnsi="Arial" w:cs="Arial"/>
        </w:rPr>
        <w:t>quand le contrat de bail ne le stipule pas lui-même</w:t>
      </w:r>
      <w:r w:rsidR="00246326" w:rsidRPr="00BE66AB">
        <w:rPr>
          <w:rStyle w:val="Marquenotebasdepage"/>
          <w:rFonts w:ascii="Arial" w:hAnsi="Arial" w:cs="Arial"/>
        </w:rPr>
        <w:footnoteReference w:id="43"/>
      </w:r>
      <w:r w:rsidR="00CD3ADA" w:rsidRPr="00BE66AB">
        <w:rPr>
          <w:rFonts w:ascii="Arial" w:hAnsi="Arial" w:cs="Arial"/>
        </w:rPr>
        <w:t xml:space="preserve"> (</w:t>
      </w:r>
      <w:r w:rsidR="00F91B45" w:rsidRPr="00BE66AB">
        <w:rPr>
          <w:rFonts w:ascii="Arial" w:hAnsi="Arial" w:cs="Arial"/>
        </w:rPr>
        <w:t xml:space="preserve">la loi ne l’imposant </w:t>
      </w:r>
      <w:r w:rsidR="00F91B45" w:rsidRPr="00BE66AB">
        <w:rPr>
          <w:rFonts w:ascii="Arial" w:hAnsi="Arial" w:cs="Arial"/>
          <w:i/>
        </w:rPr>
        <w:t>pas</w:t>
      </w:r>
      <w:r w:rsidR="006E4C1E" w:rsidRPr="00BE66AB">
        <w:rPr>
          <w:rFonts w:ascii="Arial" w:hAnsi="Arial" w:cs="Arial"/>
        </w:rPr>
        <w:t>,</w:t>
      </w:r>
      <w:r w:rsidR="00F91B45" w:rsidRPr="00BE66AB">
        <w:rPr>
          <w:rFonts w:ascii="Arial" w:hAnsi="Arial" w:cs="Arial"/>
        </w:rPr>
        <w:t xml:space="preserve"> pour sa part). </w:t>
      </w:r>
      <w:r w:rsidR="00D52469" w:rsidRPr="00BE66AB">
        <w:rPr>
          <w:rFonts w:ascii="Arial" w:hAnsi="Arial" w:cs="Arial"/>
        </w:rPr>
        <w:t xml:space="preserve">Cette </w:t>
      </w:r>
      <w:r w:rsidR="002D4CAF" w:rsidRPr="00BE66AB">
        <w:rPr>
          <w:rFonts w:ascii="Arial" w:hAnsi="Arial" w:cs="Arial"/>
        </w:rPr>
        <w:t>précaution</w:t>
      </w:r>
      <w:r w:rsidR="00D52469" w:rsidRPr="00BE66AB">
        <w:rPr>
          <w:rFonts w:ascii="Arial" w:hAnsi="Arial" w:cs="Arial"/>
        </w:rPr>
        <w:t xml:space="preserve"> semble essentielle pour éviter tout « retour de flamme »</w:t>
      </w:r>
      <w:r w:rsidR="00D52469" w:rsidRPr="00BE66AB">
        <w:rPr>
          <w:rStyle w:val="Marquenotebasdepage"/>
          <w:rFonts w:ascii="Arial" w:hAnsi="Arial" w:cs="Arial"/>
        </w:rPr>
        <w:footnoteReference w:id="44"/>
      </w:r>
      <w:r w:rsidR="00D52469" w:rsidRPr="00BE66AB">
        <w:rPr>
          <w:rFonts w:ascii="Arial" w:hAnsi="Arial" w:cs="Arial"/>
        </w:rPr>
        <w:t>.</w:t>
      </w:r>
    </w:p>
    <w:p w14:paraId="12A17F0F" w14:textId="77777777" w:rsidR="007039B9" w:rsidRPr="00BE66AB" w:rsidRDefault="007039B9" w:rsidP="00B87BB0">
      <w:pPr>
        <w:spacing w:line="360" w:lineRule="auto"/>
        <w:ind w:firstLine="567"/>
        <w:jc w:val="both"/>
        <w:rPr>
          <w:rFonts w:ascii="Arial" w:hAnsi="Arial" w:cs="Arial"/>
        </w:rPr>
      </w:pPr>
    </w:p>
    <w:p w14:paraId="458EEA3D" w14:textId="7A843ECA" w:rsidR="008B3B68" w:rsidRPr="00BE66AB" w:rsidRDefault="007039B9" w:rsidP="00B87BB0">
      <w:pPr>
        <w:spacing w:line="360" w:lineRule="auto"/>
        <w:ind w:firstLine="567"/>
        <w:jc w:val="both"/>
        <w:rPr>
          <w:rFonts w:ascii="Arial" w:hAnsi="Arial" w:cs="Arial"/>
        </w:rPr>
      </w:pPr>
      <w:r w:rsidRPr="00BE66AB">
        <w:rPr>
          <w:rFonts w:ascii="Arial" w:hAnsi="Arial" w:cs="Arial"/>
          <w:b/>
        </w:rPr>
        <w:t xml:space="preserve">10. </w:t>
      </w:r>
      <w:r w:rsidR="00A80AE0" w:rsidRPr="00BE66AB">
        <w:rPr>
          <w:rFonts w:ascii="Arial" w:hAnsi="Arial" w:cs="Arial"/>
        </w:rPr>
        <w:t>Il se fait cependant que</w:t>
      </w:r>
      <w:r w:rsidR="008B3B68" w:rsidRPr="00BE66AB">
        <w:rPr>
          <w:rFonts w:ascii="Arial" w:hAnsi="Arial" w:cs="Arial"/>
        </w:rPr>
        <w:t xml:space="preserve"> le propriétaire du bâtiment</w:t>
      </w:r>
      <w:r w:rsidR="008B3B68" w:rsidRPr="00BE66AB">
        <w:rPr>
          <w:rStyle w:val="Marquenotebasdepage"/>
          <w:rFonts w:ascii="Arial" w:hAnsi="Arial" w:cs="Arial"/>
        </w:rPr>
        <w:footnoteReference w:id="45"/>
      </w:r>
      <w:r w:rsidR="00E357B6" w:rsidRPr="00BE66AB">
        <w:rPr>
          <w:rFonts w:ascii="Arial" w:hAnsi="Arial" w:cs="Arial"/>
        </w:rPr>
        <w:t xml:space="preserve"> est libre lui aussi de conclure une assurance incendie relativement à son bien</w:t>
      </w:r>
      <w:r w:rsidR="009D5FB1" w:rsidRPr="00BE66AB">
        <w:rPr>
          <w:rStyle w:val="Marquenotebasdepage"/>
          <w:rFonts w:ascii="Arial" w:hAnsi="Arial" w:cs="Arial"/>
        </w:rPr>
        <w:footnoteReference w:id="46"/>
      </w:r>
      <w:r w:rsidR="00E357B6" w:rsidRPr="00BE66AB">
        <w:rPr>
          <w:rFonts w:ascii="Arial" w:hAnsi="Arial" w:cs="Arial"/>
        </w:rPr>
        <w:t xml:space="preserve">. A-t-il un intérêt à le faire si, de toute façon, le preneur a contracté de son côté ? Assurément, dans la mesure où les deux assurances n’ont pas le même objet. </w:t>
      </w:r>
      <w:r w:rsidR="002A7422" w:rsidRPr="00BE66AB">
        <w:rPr>
          <w:rFonts w:ascii="Arial" w:hAnsi="Arial" w:cs="Arial"/>
        </w:rPr>
        <w:t>Le propriétaire protège son patrimoine</w:t>
      </w:r>
      <w:r w:rsidR="007D470A" w:rsidRPr="00BE66AB">
        <w:rPr>
          <w:rFonts w:ascii="Arial" w:hAnsi="Arial" w:cs="Arial"/>
        </w:rPr>
        <w:t xml:space="preserve"> bâti</w:t>
      </w:r>
      <w:r w:rsidR="002A7422" w:rsidRPr="00BE66AB">
        <w:rPr>
          <w:rFonts w:ascii="Arial" w:hAnsi="Arial" w:cs="Arial"/>
        </w:rPr>
        <w:t xml:space="preserve">, contre tout sinistre (quel qu’en soit le motif), tandis que le locataire se prémunit contre </w:t>
      </w:r>
      <w:r w:rsidR="000A0D62" w:rsidRPr="00BE66AB">
        <w:rPr>
          <w:rFonts w:ascii="Arial" w:hAnsi="Arial" w:cs="Arial"/>
        </w:rPr>
        <w:t>sa propre</w:t>
      </w:r>
      <w:r w:rsidR="002A7422" w:rsidRPr="00BE66AB">
        <w:rPr>
          <w:rFonts w:ascii="Arial" w:hAnsi="Arial" w:cs="Arial"/>
        </w:rPr>
        <w:t xml:space="preserve"> faute. Dit autrement, le propriétaire assure son bien, et le locataire sa responsabilité</w:t>
      </w:r>
      <w:r w:rsidR="000A0D62" w:rsidRPr="00BE66AB">
        <w:rPr>
          <w:rStyle w:val="Marquenotebasdepage"/>
          <w:rFonts w:ascii="Arial" w:hAnsi="Arial" w:cs="Arial"/>
        </w:rPr>
        <w:footnoteReference w:id="47"/>
      </w:r>
      <w:r w:rsidR="002A7422" w:rsidRPr="00BE66AB">
        <w:rPr>
          <w:rFonts w:ascii="Arial" w:hAnsi="Arial" w:cs="Arial"/>
        </w:rPr>
        <w:t xml:space="preserve">. Partant, la compagnie d’assurance du preneur </w:t>
      </w:r>
      <w:r w:rsidR="000A0D62" w:rsidRPr="00BE66AB">
        <w:rPr>
          <w:rFonts w:ascii="Arial" w:hAnsi="Arial" w:cs="Arial"/>
        </w:rPr>
        <w:t>ne devra aucune indemnité</w:t>
      </w:r>
      <w:r w:rsidR="002A7422" w:rsidRPr="00BE66AB">
        <w:rPr>
          <w:rFonts w:ascii="Arial" w:hAnsi="Arial" w:cs="Arial"/>
        </w:rPr>
        <w:t xml:space="preserve"> si l’incendie est causé en dehors </w:t>
      </w:r>
      <w:r w:rsidR="000A0D62" w:rsidRPr="00BE66AB">
        <w:rPr>
          <w:rFonts w:ascii="Arial" w:hAnsi="Arial" w:cs="Arial"/>
        </w:rPr>
        <w:t>de tout manquement</w:t>
      </w:r>
      <w:r w:rsidR="002A7422" w:rsidRPr="00BE66AB">
        <w:rPr>
          <w:rFonts w:ascii="Arial" w:hAnsi="Arial" w:cs="Arial"/>
        </w:rPr>
        <w:t xml:space="preserve"> du pre</w:t>
      </w:r>
      <w:r w:rsidR="00972D68" w:rsidRPr="00BE66AB">
        <w:rPr>
          <w:rFonts w:ascii="Arial" w:hAnsi="Arial" w:cs="Arial"/>
        </w:rPr>
        <w:t xml:space="preserve">neur. Pareille éventualité </w:t>
      </w:r>
      <w:r w:rsidR="000A0D62" w:rsidRPr="00BE66AB">
        <w:rPr>
          <w:rFonts w:ascii="Arial" w:hAnsi="Arial" w:cs="Arial"/>
        </w:rPr>
        <w:t xml:space="preserve">milite, on l’aura compris, en faveur de la souscription parallèle par le propriétaire d’une assurance incendie, dans tous les cas. </w:t>
      </w:r>
      <w:r w:rsidR="00522976" w:rsidRPr="00BE66AB">
        <w:rPr>
          <w:rFonts w:ascii="Arial" w:hAnsi="Arial" w:cs="Arial"/>
        </w:rPr>
        <w:t>Ce qui, dans la cause annotée, n’a pas manqué d’être fait.</w:t>
      </w:r>
    </w:p>
    <w:p w14:paraId="6363C27B" w14:textId="77777777" w:rsidR="00F91B45" w:rsidRPr="00BE66AB" w:rsidRDefault="00F91B45" w:rsidP="00B87BB0">
      <w:pPr>
        <w:spacing w:line="360" w:lineRule="auto"/>
        <w:ind w:firstLine="567"/>
        <w:jc w:val="both"/>
        <w:rPr>
          <w:rFonts w:ascii="Arial" w:hAnsi="Arial" w:cs="Arial"/>
        </w:rPr>
      </w:pPr>
    </w:p>
    <w:p w14:paraId="498CBAD8" w14:textId="77777777" w:rsidR="00440A80" w:rsidRPr="00BE66AB" w:rsidRDefault="00440A80" w:rsidP="00B87BB0">
      <w:pPr>
        <w:spacing w:line="360" w:lineRule="auto"/>
        <w:ind w:firstLine="567"/>
        <w:jc w:val="both"/>
        <w:rPr>
          <w:rFonts w:ascii="Arial" w:hAnsi="Arial" w:cs="Arial"/>
        </w:rPr>
      </w:pPr>
    </w:p>
    <w:p w14:paraId="28D610DD" w14:textId="6DBCB504" w:rsidR="00AC6B4F" w:rsidRPr="00BE66AB" w:rsidRDefault="005A40DA" w:rsidP="005A40DA">
      <w:pPr>
        <w:spacing w:line="360" w:lineRule="auto"/>
        <w:jc w:val="both"/>
        <w:rPr>
          <w:rFonts w:ascii="Arial" w:hAnsi="Arial" w:cs="Arial"/>
          <w:i/>
        </w:rPr>
      </w:pPr>
      <w:r w:rsidRPr="00BE66AB">
        <w:rPr>
          <w:rFonts w:ascii="Arial" w:hAnsi="Arial" w:cs="Arial"/>
          <w:i/>
        </w:rPr>
        <w:t>3. Le cas de figure de l’incendie intentionnel</w:t>
      </w:r>
      <w:r w:rsidR="004011EA" w:rsidRPr="00BE66AB">
        <w:rPr>
          <w:rFonts w:ascii="Arial" w:hAnsi="Arial" w:cs="Arial"/>
          <w:i/>
        </w:rPr>
        <w:t xml:space="preserve"> allumé par un tiers inconnu</w:t>
      </w:r>
    </w:p>
    <w:p w14:paraId="302D18F1" w14:textId="77777777" w:rsidR="005A40DA" w:rsidRPr="00BE66AB" w:rsidRDefault="005A40DA" w:rsidP="005A40DA">
      <w:pPr>
        <w:spacing w:line="360" w:lineRule="auto"/>
        <w:jc w:val="both"/>
        <w:rPr>
          <w:rFonts w:ascii="Arial" w:hAnsi="Arial" w:cs="Arial"/>
        </w:rPr>
      </w:pPr>
    </w:p>
    <w:p w14:paraId="2A7E19A7" w14:textId="3172A990" w:rsidR="004011EA" w:rsidRPr="00BE66AB" w:rsidRDefault="004011EA" w:rsidP="004011EA">
      <w:pPr>
        <w:spacing w:line="360" w:lineRule="auto"/>
        <w:ind w:left="993" w:hanging="426"/>
        <w:jc w:val="both"/>
        <w:rPr>
          <w:rFonts w:ascii="Arial" w:hAnsi="Arial" w:cs="Arial"/>
        </w:rPr>
      </w:pPr>
      <w:r w:rsidRPr="00BE66AB">
        <w:rPr>
          <w:rFonts w:ascii="Arial" w:hAnsi="Arial" w:cs="Arial"/>
        </w:rPr>
        <w:t xml:space="preserve">a) une présomption de responsabilité toujours réfragable… mais un exercice plus ardu </w:t>
      </w:r>
    </w:p>
    <w:p w14:paraId="42AAD729" w14:textId="77777777" w:rsidR="004011EA" w:rsidRPr="00BE66AB" w:rsidRDefault="004011EA" w:rsidP="005A40DA">
      <w:pPr>
        <w:spacing w:line="360" w:lineRule="auto"/>
        <w:jc w:val="both"/>
        <w:rPr>
          <w:rFonts w:ascii="Arial" w:hAnsi="Arial" w:cs="Arial"/>
        </w:rPr>
      </w:pPr>
    </w:p>
    <w:p w14:paraId="39E43379" w14:textId="7FCD6056" w:rsidR="00F60B88" w:rsidRPr="00BE66AB" w:rsidRDefault="007039B9" w:rsidP="00410BD0">
      <w:pPr>
        <w:spacing w:line="360" w:lineRule="auto"/>
        <w:ind w:firstLine="567"/>
        <w:jc w:val="both"/>
        <w:rPr>
          <w:rFonts w:ascii="Arial" w:hAnsi="Arial" w:cs="Arial"/>
        </w:rPr>
      </w:pPr>
      <w:r w:rsidRPr="00BE66AB">
        <w:rPr>
          <w:rFonts w:ascii="Arial" w:hAnsi="Arial" w:cs="Arial"/>
          <w:b/>
        </w:rPr>
        <w:t xml:space="preserve">11. </w:t>
      </w:r>
      <w:r w:rsidR="00FA0866" w:rsidRPr="00BE66AB">
        <w:rPr>
          <w:rFonts w:ascii="Arial" w:hAnsi="Arial" w:cs="Arial"/>
        </w:rPr>
        <w:t xml:space="preserve">Une particularité est à épingler ici : l’incendie a été </w:t>
      </w:r>
      <w:r w:rsidR="00B04745" w:rsidRPr="00BE66AB">
        <w:rPr>
          <w:rFonts w:ascii="Arial" w:hAnsi="Arial" w:cs="Arial"/>
        </w:rPr>
        <w:t>allumé</w:t>
      </w:r>
      <w:r w:rsidR="00C70B96" w:rsidRPr="00BE66AB">
        <w:rPr>
          <w:rFonts w:ascii="Arial" w:hAnsi="Arial" w:cs="Arial"/>
        </w:rPr>
        <w:t xml:space="preserve"> par un </w:t>
      </w:r>
      <w:r w:rsidR="00A03E16" w:rsidRPr="00BE66AB">
        <w:rPr>
          <w:rFonts w:ascii="Arial" w:hAnsi="Arial" w:cs="Arial"/>
        </w:rPr>
        <w:t xml:space="preserve">tiers </w:t>
      </w:r>
      <w:r w:rsidR="00C70B96" w:rsidRPr="00BE66AB">
        <w:rPr>
          <w:rFonts w:ascii="Arial" w:hAnsi="Arial" w:cs="Arial"/>
        </w:rPr>
        <w:t>resté inconnu</w:t>
      </w:r>
      <w:r w:rsidR="00A47DDE" w:rsidRPr="00BE66AB">
        <w:rPr>
          <w:rFonts w:ascii="Arial" w:hAnsi="Arial" w:cs="Arial"/>
        </w:rPr>
        <w:t xml:space="preserve"> </w:t>
      </w:r>
      <w:r w:rsidR="00A03E16" w:rsidRPr="00BE66AB">
        <w:rPr>
          <w:rFonts w:ascii="Arial" w:hAnsi="Arial" w:cs="Arial"/>
        </w:rPr>
        <w:t>(</w:t>
      </w:r>
      <w:r w:rsidR="00A47DDE" w:rsidRPr="00BE66AB">
        <w:rPr>
          <w:rFonts w:ascii="Arial" w:hAnsi="Arial" w:cs="Arial"/>
        </w:rPr>
        <w:t>qui n’est</w:t>
      </w:r>
      <w:r w:rsidR="00A03E16" w:rsidRPr="00BE66AB">
        <w:rPr>
          <w:rFonts w:ascii="Arial" w:hAnsi="Arial" w:cs="Arial"/>
        </w:rPr>
        <w:t xml:space="preserve"> donc</w:t>
      </w:r>
      <w:r w:rsidR="00A47DDE" w:rsidRPr="00BE66AB">
        <w:rPr>
          <w:rFonts w:ascii="Arial" w:hAnsi="Arial" w:cs="Arial"/>
        </w:rPr>
        <w:t xml:space="preserve"> pas le preneur</w:t>
      </w:r>
      <w:r w:rsidR="00A47DDE" w:rsidRPr="00BE66AB">
        <w:rPr>
          <w:rStyle w:val="Marquenotebasdepage"/>
          <w:rFonts w:ascii="Arial" w:hAnsi="Arial" w:cs="Arial"/>
        </w:rPr>
        <w:footnoteReference w:id="48"/>
      </w:r>
      <w:r w:rsidR="00C70B96" w:rsidRPr="00BE66AB">
        <w:rPr>
          <w:rFonts w:ascii="Arial" w:hAnsi="Arial" w:cs="Arial"/>
        </w:rPr>
        <w:t>)</w:t>
      </w:r>
      <w:r w:rsidR="002B2695" w:rsidRPr="00BE66AB">
        <w:rPr>
          <w:rFonts w:ascii="Arial" w:hAnsi="Arial" w:cs="Arial"/>
        </w:rPr>
        <w:t>, de manière délibérée</w:t>
      </w:r>
      <w:r w:rsidR="00C70B96" w:rsidRPr="00BE66AB">
        <w:rPr>
          <w:rFonts w:ascii="Arial" w:hAnsi="Arial" w:cs="Arial"/>
        </w:rPr>
        <w:t xml:space="preserve">. </w:t>
      </w:r>
      <w:r w:rsidR="00A03E16" w:rsidRPr="00BE66AB">
        <w:rPr>
          <w:rFonts w:ascii="Arial" w:hAnsi="Arial" w:cs="Arial"/>
        </w:rPr>
        <w:t>Le procès-verbal de la police ne laisse planer aucun doute à ce sujet.</w:t>
      </w:r>
      <w:r w:rsidR="00A47DDE" w:rsidRPr="00BE66AB">
        <w:rPr>
          <w:rFonts w:ascii="Arial" w:hAnsi="Arial" w:cs="Arial"/>
        </w:rPr>
        <w:t xml:space="preserve"> </w:t>
      </w:r>
      <w:r w:rsidR="00AC6B4F" w:rsidRPr="00BE66AB">
        <w:rPr>
          <w:rFonts w:ascii="Arial" w:hAnsi="Arial" w:cs="Arial"/>
        </w:rPr>
        <w:t>La cause étrangère est</w:t>
      </w:r>
      <w:r w:rsidR="00C70B96" w:rsidRPr="00BE66AB">
        <w:rPr>
          <w:rFonts w:ascii="Arial" w:hAnsi="Arial" w:cs="Arial"/>
        </w:rPr>
        <w:t xml:space="preserve"> humaine, </w:t>
      </w:r>
      <w:r w:rsidR="00AC6B4F" w:rsidRPr="00BE66AB">
        <w:rPr>
          <w:rFonts w:ascii="Arial" w:hAnsi="Arial" w:cs="Arial"/>
        </w:rPr>
        <w:t xml:space="preserve">pour </w:t>
      </w:r>
      <w:r w:rsidR="00C76F71" w:rsidRPr="00BE66AB">
        <w:rPr>
          <w:rFonts w:ascii="Arial" w:hAnsi="Arial" w:cs="Arial"/>
        </w:rPr>
        <w:t>ainsi</w:t>
      </w:r>
      <w:r w:rsidR="00AC6B4F" w:rsidRPr="00BE66AB">
        <w:rPr>
          <w:rFonts w:ascii="Arial" w:hAnsi="Arial" w:cs="Arial"/>
        </w:rPr>
        <w:t xml:space="preserve"> dire</w:t>
      </w:r>
      <w:r w:rsidR="00C70B96" w:rsidRPr="00BE66AB">
        <w:rPr>
          <w:rFonts w:ascii="Arial" w:hAnsi="Arial" w:cs="Arial"/>
        </w:rPr>
        <w:t xml:space="preserve">. </w:t>
      </w:r>
      <w:r w:rsidR="00DD4695" w:rsidRPr="00BE66AB">
        <w:rPr>
          <w:rFonts w:ascii="Arial" w:hAnsi="Arial" w:cs="Arial"/>
        </w:rPr>
        <w:t xml:space="preserve">On pourrait penser alors que </w:t>
      </w:r>
      <w:r w:rsidR="00C76F71" w:rsidRPr="00BE66AB">
        <w:rPr>
          <w:rFonts w:ascii="Arial" w:hAnsi="Arial" w:cs="Arial"/>
        </w:rPr>
        <w:t>cette circonstance</w:t>
      </w:r>
      <w:r w:rsidR="00A47DDE" w:rsidRPr="00BE66AB">
        <w:rPr>
          <w:rFonts w:ascii="Arial" w:hAnsi="Arial" w:cs="Arial"/>
        </w:rPr>
        <w:t xml:space="preserve"> </w:t>
      </w:r>
      <w:r w:rsidR="00DD4695" w:rsidRPr="00BE66AB">
        <w:rPr>
          <w:rFonts w:ascii="Arial" w:hAnsi="Arial" w:cs="Arial"/>
        </w:rPr>
        <w:t>a</w:t>
      </w:r>
      <w:r w:rsidR="00A47DDE" w:rsidRPr="00BE66AB">
        <w:rPr>
          <w:rFonts w:ascii="Arial" w:hAnsi="Arial" w:cs="Arial"/>
        </w:rPr>
        <w:t xml:space="preserve"> pour effet</w:t>
      </w:r>
      <w:r w:rsidR="00C76F71" w:rsidRPr="00BE66AB">
        <w:rPr>
          <w:rFonts w:ascii="Arial" w:hAnsi="Arial" w:cs="Arial"/>
        </w:rPr>
        <w:t xml:space="preserve"> automatique</w:t>
      </w:r>
      <w:r w:rsidR="00A47DDE" w:rsidRPr="00BE66AB">
        <w:rPr>
          <w:rFonts w:ascii="Arial" w:hAnsi="Arial" w:cs="Arial"/>
        </w:rPr>
        <w:t xml:space="preserve"> d’affranchir </w:t>
      </w:r>
      <w:r w:rsidR="002B2695" w:rsidRPr="00BE66AB">
        <w:rPr>
          <w:rFonts w:ascii="Arial" w:hAnsi="Arial" w:cs="Arial"/>
        </w:rPr>
        <w:t>le preneur. Il n’en est rien ; c</w:t>
      </w:r>
      <w:r w:rsidR="00AC6B4F" w:rsidRPr="00BE66AB">
        <w:rPr>
          <w:rFonts w:ascii="Arial" w:hAnsi="Arial" w:cs="Arial"/>
        </w:rPr>
        <w:t>elui-ci</w:t>
      </w:r>
      <w:r w:rsidR="00B04745" w:rsidRPr="00BE66AB">
        <w:rPr>
          <w:rFonts w:ascii="Arial" w:hAnsi="Arial" w:cs="Arial"/>
        </w:rPr>
        <w:t>, en effet,</w:t>
      </w:r>
      <w:r w:rsidR="00AC6B4F" w:rsidRPr="00BE66AB">
        <w:rPr>
          <w:rFonts w:ascii="Arial" w:hAnsi="Arial" w:cs="Arial"/>
        </w:rPr>
        <w:t xml:space="preserve"> </w:t>
      </w:r>
      <w:r w:rsidR="00C70B96" w:rsidRPr="00BE66AB">
        <w:rPr>
          <w:rFonts w:ascii="Arial" w:hAnsi="Arial" w:cs="Arial"/>
        </w:rPr>
        <w:t xml:space="preserve">« est tenu des dégradations et des pertes qui arrivent par le fait des personnes de sa maison ou de ses sous-locataires », édicte </w:t>
      </w:r>
      <w:r w:rsidR="00341F3F" w:rsidRPr="00BE66AB">
        <w:rPr>
          <w:rFonts w:ascii="Arial" w:hAnsi="Arial" w:cs="Arial"/>
        </w:rPr>
        <w:t>l’article 1735 du</w:t>
      </w:r>
      <w:r w:rsidR="00C70B96" w:rsidRPr="00BE66AB">
        <w:rPr>
          <w:rFonts w:ascii="Arial" w:hAnsi="Arial" w:cs="Arial"/>
        </w:rPr>
        <w:t xml:space="preserve"> Code civil</w:t>
      </w:r>
      <w:r w:rsidR="00341F3F" w:rsidRPr="00BE66AB">
        <w:rPr>
          <w:rStyle w:val="Marquenotebasdepage"/>
          <w:rFonts w:ascii="Arial" w:hAnsi="Arial" w:cs="Arial"/>
        </w:rPr>
        <w:footnoteReference w:id="49"/>
      </w:r>
      <w:r w:rsidR="00C70B96" w:rsidRPr="00BE66AB">
        <w:rPr>
          <w:rFonts w:ascii="Arial" w:hAnsi="Arial" w:cs="Arial"/>
        </w:rPr>
        <w:t>.</w:t>
      </w:r>
      <w:r w:rsidR="00DD4695" w:rsidRPr="00BE66AB">
        <w:rPr>
          <w:rFonts w:ascii="Arial" w:hAnsi="Arial" w:cs="Arial"/>
        </w:rPr>
        <w:t xml:space="preserve"> </w:t>
      </w:r>
      <w:r w:rsidR="00C44224" w:rsidRPr="00BE66AB">
        <w:rPr>
          <w:rFonts w:ascii="Arial" w:hAnsi="Arial" w:cs="Arial"/>
        </w:rPr>
        <w:t xml:space="preserve">Partant, l’absence du locataire au moment du sinistre ne constitue pas à elle seule un motif de décharge. Et l’imputation — même certaine — de l’incendie à un </w:t>
      </w:r>
      <w:r w:rsidR="00D86CDD" w:rsidRPr="00BE66AB">
        <w:rPr>
          <w:rFonts w:ascii="Arial" w:hAnsi="Arial" w:cs="Arial"/>
        </w:rPr>
        <w:t xml:space="preserve">individu ayant pris la fuite et qu’on n’a pas retrouvé </w:t>
      </w:r>
      <w:r w:rsidR="00C44224" w:rsidRPr="00BE66AB">
        <w:rPr>
          <w:rFonts w:ascii="Arial" w:hAnsi="Arial" w:cs="Arial"/>
        </w:rPr>
        <w:t>? Pas davantage (pas automatiquement en tous cas)</w:t>
      </w:r>
      <w:r w:rsidR="00410BD0" w:rsidRPr="00BE66AB">
        <w:rPr>
          <w:rFonts w:ascii="Arial" w:hAnsi="Arial" w:cs="Arial"/>
        </w:rPr>
        <w:t>, ce que confirme</w:t>
      </w:r>
      <w:r w:rsidR="00F60B88" w:rsidRPr="00BE66AB">
        <w:rPr>
          <w:rFonts w:ascii="Arial" w:hAnsi="Arial" w:cs="Arial"/>
        </w:rPr>
        <w:t xml:space="preserve"> </w:t>
      </w:r>
      <w:r w:rsidR="00F60B88" w:rsidRPr="00BE66AB">
        <w:rPr>
          <w:rFonts w:ascii="Arial" w:hAnsi="Arial" w:cs="Arial"/>
          <w:i/>
        </w:rPr>
        <w:t>in specie</w:t>
      </w:r>
      <w:r w:rsidR="00410BD0" w:rsidRPr="00BE66AB">
        <w:rPr>
          <w:rFonts w:ascii="Arial" w:hAnsi="Arial" w:cs="Arial"/>
        </w:rPr>
        <w:t xml:space="preserve"> le tribunal civil de Namur</w:t>
      </w:r>
      <w:r w:rsidR="00410BD0" w:rsidRPr="00BE66AB">
        <w:rPr>
          <w:rStyle w:val="Marquenotebasdepage"/>
          <w:rFonts w:ascii="Arial" w:hAnsi="Arial" w:cs="Arial"/>
        </w:rPr>
        <w:footnoteReference w:id="50"/>
      </w:r>
      <w:r w:rsidR="00C44224" w:rsidRPr="00BE66AB">
        <w:rPr>
          <w:rFonts w:ascii="Arial" w:hAnsi="Arial" w:cs="Arial"/>
        </w:rPr>
        <w:t xml:space="preserve">. </w:t>
      </w:r>
      <w:r w:rsidR="00D86CDD" w:rsidRPr="00BE66AB">
        <w:rPr>
          <w:rFonts w:ascii="Arial" w:hAnsi="Arial" w:cs="Arial"/>
        </w:rPr>
        <w:t>Pareillement</w:t>
      </w:r>
      <w:r w:rsidR="00F60B88" w:rsidRPr="00BE66AB">
        <w:rPr>
          <w:rFonts w:ascii="Arial" w:hAnsi="Arial" w:cs="Arial"/>
        </w:rPr>
        <w:t xml:space="preserve">, </w:t>
      </w:r>
      <w:r w:rsidR="00F07912" w:rsidRPr="00BE66AB">
        <w:rPr>
          <w:rFonts w:ascii="Arial" w:hAnsi="Arial" w:cs="Arial"/>
        </w:rPr>
        <w:t>le classement sans suite du dossier répressif est sans incidence sur la responsabilité du preneur</w:t>
      </w:r>
      <w:r w:rsidR="00F07912" w:rsidRPr="00BE66AB">
        <w:rPr>
          <w:rStyle w:val="Marquenotebasdepage"/>
          <w:rFonts w:ascii="Arial" w:hAnsi="Arial" w:cs="Arial"/>
        </w:rPr>
        <w:footnoteReference w:id="51"/>
      </w:r>
      <w:r w:rsidR="00F07912" w:rsidRPr="00BE66AB">
        <w:rPr>
          <w:rFonts w:ascii="Arial" w:hAnsi="Arial" w:cs="Arial"/>
        </w:rPr>
        <w:t>.</w:t>
      </w:r>
    </w:p>
    <w:p w14:paraId="3EA83602" w14:textId="32DB5660" w:rsidR="00C70B96" w:rsidRPr="00BE66AB" w:rsidRDefault="00C44224" w:rsidP="00410BD0">
      <w:pPr>
        <w:spacing w:line="360" w:lineRule="auto"/>
        <w:ind w:firstLine="567"/>
        <w:jc w:val="both"/>
        <w:rPr>
          <w:rFonts w:ascii="Arial" w:hAnsi="Arial" w:cs="Arial"/>
        </w:rPr>
      </w:pPr>
      <w:r w:rsidRPr="00BE66AB">
        <w:rPr>
          <w:rFonts w:ascii="Arial" w:hAnsi="Arial" w:cs="Arial"/>
        </w:rPr>
        <w:t>Dès lors, établir l’absence de faute dans son chef ne suffit pas pour le locataire</w:t>
      </w:r>
      <w:r w:rsidR="00AF2183" w:rsidRPr="00BE66AB">
        <w:rPr>
          <w:rStyle w:val="Marquenotebasdepage"/>
          <w:rFonts w:ascii="Arial" w:hAnsi="Arial" w:cs="Arial"/>
        </w:rPr>
        <w:footnoteReference w:id="52"/>
      </w:r>
      <w:r w:rsidRPr="00BE66AB">
        <w:rPr>
          <w:rFonts w:ascii="Arial" w:hAnsi="Arial" w:cs="Arial"/>
        </w:rPr>
        <w:t xml:space="preserve"> ; il lui faut tout à la fois prouver que l’incendie découle bien du fait d’une personne extérieure, qu’il ne répond point de </w:t>
      </w:r>
      <w:r w:rsidR="00D86CDD" w:rsidRPr="00BE66AB">
        <w:rPr>
          <w:rFonts w:ascii="Arial" w:hAnsi="Arial" w:cs="Arial"/>
        </w:rPr>
        <w:t>celle-ci</w:t>
      </w:r>
      <w:r w:rsidRPr="00BE66AB">
        <w:rPr>
          <w:rFonts w:ascii="Arial" w:hAnsi="Arial" w:cs="Arial"/>
        </w:rPr>
        <w:t xml:space="preserve"> et, </w:t>
      </w:r>
      <w:r w:rsidRPr="00BE66AB">
        <w:rPr>
          <w:rFonts w:ascii="Arial" w:hAnsi="Arial" w:cs="Arial"/>
          <w:i/>
        </w:rPr>
        <w:t>last but not least</w:t>
      </w:r>
      <w:r w:rsidRPr="00BE66AB">
        <w:rPr>
          <w:rFonts w:ascii="Arial" w:hAnsi="Arial" w:cs="Arial"/>
        </w:rPr>
        <w:t xml:space="preserve">, qu’il n’a </w:t>
      </w:r>
      <w:r w:rsidR="00410BD0" w:rsidRPr="00BE66AB">
        <w:rPr>
          <w:rFonts w:ascii="Arial" w:hAnsi="Arial" w:cs="Arial"/>
        </w:rPr>
        <w:t>« </w:t>
      </w:r>
      <w:r w:rsidRPr="00BE66AB">
        <w:rPr>
          <w:rFonts w:ascii="Arial" w:hAnsi="Arial" w:cs="Arial"/>
        </w:rPr>
        <w:t xml:space="preserve">commis </w:t>
      </w:r>
      <w:r w:rsidR="00410BD0" w:rsidRPr="00BE66AB">
        <w:rPr>
          <w:rFonts w:ascii="Arial" w:hAnsi="Arial" w:cs="Arial"/>
        </w:rPr>
        <w:t>aucune négligence ayant permis au</w:t>
      </w:r>
      <w:r w:rsidRPr="00BE66AB">
        <w:rPr>
          <w:rFonts w:ascii="Arial" w:hAnsi="Arial" w:cs="Arial"/>
        </w:rPr>
        <w:t xml:space="preserve"> tiers</w:t>
      </w:r>
      <w:r w:rsidR="00410BD0" w:rsidRPr="00BE66AB">
        <w:rPr>
          <w:rFonts w:ascii="Arial" w:hAnsi="Arial" w:cs="Arial"/>
        </w:rPr>
        <w:t xml:space="preserve"> de perpétrer l’infraction », précise </w:t>
      </w:r>
      <w:r w:rsidR="00D86CDD" w:rsidRPr="00BE66AB">
        <w:rPr>
          <w:rFonts w:ascii="Arial" w:hAnsi="Arial" w:cs="Arial"/>
        </w:rPr>
        <w:t xml:space="preserve">à bon droit </w:t>
      </w:r>
      <w:r w:rsidR="00410BD0" w:rsidRPr="00BE66AB">
        <w:rPr>
          <w:rFonts w:ascii="Arial" w:hAnsi="Arial" w:cs="Arial"/>
        </w:rPr>
        <w:t>le tribunal</w:t>
      </w:r>
      <w:r w:rsidR="00AF2183" w:rsidRPr="00BE66AB">
        <w:rPr>
          <w:rFonts w:ascii="Arial" w:hAnsi="Arial" w:cs="Arial"/>
        </w:rPr>
        <w:t xml:space="preserve"> civil de Namur</w:t>
      </w:r>
      <w:r w:rsidR="00AF2183" w:rsidRPr="00BE66AB">
        <w:rPr>
          <w:rStyle w:val="Marquenotebasdepage"/>
          <w:rFonts w:ascii="Arial" w:hAnsi="Arial" w:cs="Arial"/>
        </w:rPr>
        <w:footnoteReference w:id="53"/>
      </w:r>
      <w:r w:rsidRPr="00BE66AB">
        <w:rPr>
          <w:rFonts w:ascii="Arial" w:hAnsi="Arial" w:cs="Arial"/>
        </w:rPr>
        <w:t xml:space="preserve">. </w:t>
      </w:r>
    </w:p>
    <w:p w14:paraId="0162BF63" w14:textId="77777777" w:rsidR="00D92094" w:rsidRPr="00BE66AB" w:rsidRDefault="00D92094" w:rsidP="00B87BB0">
      <w:pPr>
        <w:spacing w:line="360" w:lineRule="auto"/>
        <w:ind w:firstLine="567"/>
        <w:jc w:val="both"/>
        <w:rPr>
          <w:rFonts w:ascii="Arial" w:hAnsi="Arial" w:cs="Arial"/>
        </w:rPr>
      </w:pPr>
    </w:p>
    <w:p w14:paraId="37EB092E" w14:textId="47963D0A" w:rsidR="00C63645" w:rsidRPr="00BE66AB" w:rsidRDefault="007039B9" w:rsidP="00B87BB0">
      <w:pPr>
        <w:spacing w:line="360" w:lineRule="auto"/>
        <w:ind w:firstLine="567"/>
        <w:jc w:val="both"/>
        <w:rPr>
          <w:rFonts w:ascii="Arial" w:hAnsi="Arial" w:cs="Arial"/>
        </w:rPr>
      </w:pPr>
      <w:r w:rsidRPr="00BE66AB">
        <w:rPr>
          <w:rFonts w:ascii="Arial" w:hAnsi="Arial" w:cs="Arial"/>
          <w:b/>
        </w:rPr>
        <w:t>12</w:t>
      </w:r>
      <w:r w:rsidR="00D92094" w:rsidRPr="00BE66AB">
        <w:rPr>
          <w:rFonts w:ascii="Arial" w:hAnsi="Arial" w:cs="Arial"/>
          <w:b/>
        </w:rPr>
        <w:t xml:space="preserve">. </w:t>
      </w:r>
      <w:r w:rsidR="00D92094" w:rsidRPr="00BE66AB">
        <w:rPr>
          <w:rFonts w:ascii="Arial" w:hAnsi="Arial" w:cs="Arial"/>
        </w:rPr>
        <w:t xml:space="preserve">Un mot, maintenant, sur les personnes désignées par l’article 1735. </w:t>
      </w:r>
      <w:r w:rsidR="00C44224" w:rsidRPr="00BE66AB">
        <w:rPr>
          <w:rFonts w:ascii="Arial" w:hAnsi="Arial" w:cs="Arial"/>
        </w:rPr>
        <w:t>Que recouvre</w:t>
      </w:r>
      <w:r w:rsidR="00D92094" w:rsidRPr="00BE66AB">
        <w:rPr>
          <w:rFonts w:ascii="Arial" w:hAnsi="Arial" w:cs="Arial"/>
        </w:rPr>
        <w:t xml:space="preserve"> tout d’abord</w:t>
      </w:r>
      <w:r w:rsidR="00697AD2" w:rsidRPr="00BE66AB">
        <w:rPr>
          <w:rFonts w:ascii="Arial" w:hAnsi="Arial" w:cs="Arial"/>
        </w:rPr>
        <w:t xml:space="preserve"> </w:t>
      </w:r>
      <w:r w:rsidR="00C44224" w:rsidRPr="00BE66AB">
        <w:rPr>
          <w:rFonts w:ascii="Arial" w:hAnsi="Arial" w:cs="Arial"/>
        </w:rPr>
        <w:t>l’expression « personnes de sa maison » ?</w:t>
      </w:r>
      <w:r w:rsidR="00D92094" w:rsidRPr="00BE66AB">
        <w:rPr>
          <w:rFonts w:ascii="Arial" w:hAnsi="Arial" w:cs="Arial"/>
        </w:rPr>
        <w:t xml:space="preserve"> O</w:t>
      </w:r>
      <w:r w:rsidR="00C63645" w:rsidRPr="00BE66AB">
        <w:rPr>
          <w:rFonts w:ascii="Arial" w:hAnsi="Arial" w:cs="Arial"/>
        </w:rPr>
        <w:t xml:space="preserve">n </w:t>
      </w:r>
      <w:r w:rsidR="00487BCB" w:rsidRPr="00BE66AB">
        <w:rPr>
          <w:rFonts w:ascii="Arial" w:hAnsi="Arial" w:cs="Arial"/>
        </w:rPr>
        <w:t>vise</w:t>
      </w:r>
      <w:r w:rsidR="00C63645" w:rsidRPr="00BE66AB">
        <w:rPr>
          <w:rFonts w:ascii="Arial" w:hAnsi="Arial" w:cs="Arial"/>
        </w:rPr>
        <w:t xml:space="preserve"> traditionnellement </w:t>
      </w:r>
      <w:r w:rsidR="00D92094" w:rsidRPr="00BE66AB">
        <w:rPr>
          <w:rFonts w:ascii="Arial" w:hAnsi="Arial" w:cs="Arial"/>
        </w:rPr>
        <w:t xml:space="preserve">par là </w:t>
      </w:r>
      <w:r w:rsidR="00C63645" w:rsidRPr="00BE66AB">
        <w:rPr>
          <w:rFonts w:ascii="Arial" w:hAnsi="Arial" w:cs="Arial"/>
        </w:rPr>
        <w:t xml:space="preserve">des individus dont le preneur </w:t>
      </w:r>
      <w:r w:rsidR="00C44224" w:rsidRPr="00BE66AB">
        <w:rPr>
          <w:rFonts w:ascii="Arial" w:hAnsi="Arial" w:cs="Arial"/>
        </w:rPr>
        <w:t>a</w:t>
      </w:r>
      <w:r w:rsidR="00C63645" w:rsidRPr="00BE66AB">
        <w:rPr>
          <w:rFonts w:ascii="Arial" w:hAnsi="Arial" w:cs="Arial"/>
        </w:rPr>
        <w:t xml:space="preserve"> la </w:t>
      </w:r>
      <w:r w:rsidR="003C339C" w:rsidRPr="00BE66AB">
        <w:rPr>
          <w:rFonts w:ascii="Arial" w:hAnsi="Arial" w:cs="Arial"/>
        </w:rPr>
        <w:t>charge</w:t>
      </w:r>
      <w:r w:rsidR="00C63645" w:rsidRPr="00BE66AB">
        <w:rPr>
          <w:rFonts w:ascii="Arial" w:hAnsi="Arial" w:cs="Arial"/>
        </w:rPr>
        <w:t xml:space="preserve"> (ses enfants par exemple)</w:t>
      </w:r>
      <w:r w:rsidR="002F2D6D" w:rsidRPr="00BE66AB">
        <w:rPr>
          <w:rFonts w:ascii="Arial" w:hAnsi="Arial" w:cs="Arial"/>
        </w:rPr>
        <w:t>, au moins en partie</w:t>
      </w:r>
      <w:r w:rsidR="00C63645" w:rsidRPr="00BE66AB">
        <w:rPr>
          <w:rFonts w:ascii="Arial" w:hAnsi="Arial" w:cs="Arial"/>
        </w:rPr>
        <w:t xml:space="preserve">. Mais les membres de la famille n’épuisent pas cette notion. Sont également </w:t>
      </w:r>
      <w:r w:rsidR="00487BCB" w:rsidRPr="00BE66AB">
        <w:rPr>
          <w:rFonts w:ascii="Arial" w:hAnsi="Arial" w:cs="Arial"/>
        </w:rPr>
        <w:t>concernés</w:t>
      </w:r>
      <w:r w:rsidR="00C63645" w:rsidRPr="00BE66AB">
        <w:rPr>
          <w:rFonts w:ascii="Arial" w:hAnsi="Arial" w:cs="Arial"/>
        </w:rPr>
        <w:t xml:space="preserve"> « les domestiques, les hôtes et invités, les concubins, les visiteurs, les préposés, les ouvriers et employés, les sous-locataires et les fournisseurs »</w:t>
      </w:r>
      <w:r w:rsidR="00C63645" w:rsidRPr="00BE66AB">
        <w:rPr>
          <w:rStyle w:val="Marquenotebasdepage"/>
          <w:rFonts w:ascii="Arial" w:hAnsi="Arial" w:cs="Arial"/>
        </w:rPr>
        <w:footnoteReference w:id="54"/>
      </w:r>
      <w:r w:rsidR="00C63645" w:rsidRPr="00BE66AB">
        <w:rPr>
          <w:rFonts w:ascii="Arial" w:hAnsi="Arial" w:cs="Arial"/>
        </w:rPr>
        <w:t>. En somme, toutes les perso</w:t>
      </w:r>
      <w:r w:rsidR="00945733" w:rsidRPr="00BE66AB">
        <w:rPr>
          <w:rFonts w:ascii="Arial" w:hAnsi="Arial" w:cs="Arial"/>
        </w:rPr>
        <w:t xml:space="preserve">nnes que le locataire accueille (fût-ce </w:t>
      </w:r>
      <w:r w:rsidR="001223D3" w:rsidRPr="00BE66AB">
        <w:rPr>
          <w:rFonts w:ascii="Arial" w:hAnsi="Arial" w:cs="Arial"/>
        </w:rPr>
        <w:t>occasionnellement</w:t>
      </w:r>
      <w:r w:rsidR="00D86CDD" w:rsidRPr="00BE66AB">
        <w:rPr>
          <w:rStyle w:val="Marquenotebasdepage"/>
          <w:rFonts w:ascii="Arial" w:hAnsi="Arial" w:cs="Arial"/>
        </w:rPr>
        <w:footnoteReference w:id="55"/>
      </w:r>
      <w:r w:rsidR="00945733" w:rsidRPr="00BE66AB">
        <w:rPr>
          <w:rFonts w:ascii="Arial" w:hAnsi="Arial" w:cs="Arial"/>
        </w:rPr>
        <w:t>)</w:t>
      </w:r>
      <w:r w:rsidR="00C63645" w:rsidRPr="00BE66AB">
        <w:rPr>
          <w:rFonts w:ascii="Arial" w:hAnsi="Arial" w:cs="Arial"/>
        </w:rPr>
        <w:t xml:space="preserve"> dans le logement, </w:t>
      </w:r>
      <w:r w:rsidR="007870CE" w:rsidRPr="00BE66AB">
        <w:rPr>
          <w:rFonts w:ascii="Arial" w:hAnsi="Arial" w:cs="Arial"/>
        </w:rPr>
        <w:t>que ce s</w:t>
      </w:r>
      <w:r w:rsidR="00945733" w:rsidRPr="00BE66AB">
        <w:rPr>
          <w:rFonts w:ascii="Arial" w:hAnsi="Arial" w:cs="Arial"/>
        </w:rPr>
        <w:t xml:space="preserve">oit dans un cadre professionnel </w:t>
      </w:r>
      <w:r w:rsidR="00BE10AE" w:rsidRPr="00BE66AB">
        <w:rPr>
          <w:rFonts w:ascii="Arial" w:hAnsi="Arial" w:cs="Arial"/>
        </w:rPr>
        <w:t>(un réparateur par exemple</w:t>
      </w:r>
      <w:r w:rsidR="00BE10AE" w:rsidRPr="00BE66AB">
        <w:rPr>
          <w:rStyle w:val="Marquenotebasdepage"/>
          <w:rFonts w:ascii="Arial" w:hAnsi="Arial" w:cs="Arial"/>
        </w:rPr>
        <w:footnoteReference w:id="56"/>
      </w:r>
      <w:r w:rsidR="00BE10AE" w:rsidRPr="00BE66AB">
        <w:rPr>
          <w:rFonts w:ascii="Arial" w:hAnsi="Arial" w:cs="Arial"/>
        </w:rPr>
        <w:t xml:space="preserve">) </w:t>
      </w:r>
      <w:r w:rsidR="00945733" w:rsidRPr="00BE66AB">
        <w:rPr>
          <w:rFonts w:ascii="Arial" w:hAnsi="Arial" w:cs="Arial"/>
        </w:rPr>
        <w:t>ou privé</w:t>
      </w:r>
      <w:r w:rsidR="007870CE" w:rsidRPr="00BE66AB">
        <w:rPr>
          <w:rFonts w:ascii="Arial" w:hAnsi="Arial" w:cs="Arial"/>
        </w:rPr>
        <w:t>.</w:t>
      </w:r>
      <w:r w:rsidR="00C44224" w:rsidRPr="00BE66AB">
        <w:rPr>
          <w:rFonts w:ascii="Arial" w:hAnsi="Arial" w:cs="Arial"/>
        </w:rPr>
        <w:t xml:space="preserve"> En définitive, « seules les personnes qui se sont introduites dans les lieux </w:t>
      </w:r>
      <w:r w:rsidR="00C44224" w:rsidRPr="00BE66AB">
        <w:rPr>
          <w:rFonts w:ascii="Arial" w:hAnsi="Arial" w:cs="Arial"/>
          <w:i/>
        </w:rPr>
        <w:t>contre le gré</w:t>
      </w:r>
      <w:r w:rsidR="00C44224" w:rsidRPr="00BE66AB">
        <w:rPr>
          <w:rFonts w:ascii="Arial" w:hAnsi="Arial" w:cs="Arial"/>
        </w:rPr>
        <w:t xml:space="preserve"> du locataire</w:t>
      </w:r>
      <w:r w:rsidR="008C1478" w:rsidRPr="00BE66AB">
        <w:rPr>
          <w:rFonts w:ascii="Arial" w:hAnsi="Arial" w:cs="Arial"/>
        </w:rPr>
        <w:t xml:space="preserve"> sont exclues du champ d’application de l’article 1735 du Code civil »</w:t>
      </w:r>
      <w:r w:rsidR="00C63645" w:rsidRPr="00BE66AB">
        <w:rPr>
          <w:rStyle w:val="Marquenotebasdepage"/>
          <w:rFonts w:ascii="Arial" w:hAnsi="Arial" w:cs="Arial"/>
        </w:rPr>
        <w:footnoteReference w:id="57"/>
      </w:r>
      <w:r w:rsidR="00487BCB" w:rsidRPr="00BE66AB">
        <w:rPr>
          <w:rFonts w:ascii="Arial" w:hAnsi="Arial" w:cs="Arial"/>
        </w:rPr>
        <w:t> ; à</w:t>
      </w:r>
      <w:r w:rsidR="00945733" w:rsidRPr="00BE66AB">
        <w:rPr>
          <w:rFonts w:ascii="Arial" w:hAnsi="Arial" w:cs="Arial"/>
        </w:rPr>
        <w:t xml:space="preserve"> cet égard, la présence de traces d’effraction atteste de manière indubitable du caractère non consenti de l’intrusion</w:t>
      </w:r>
      <w:r w:rsidR="00874F28" w:rsidRPr="00BE66AB">
        <w:rPr>
          <w:rStyle w:val="Marquenotebasdepage"/>
          <w:rFonts w:ascii="Arial" w:hAnsi="Arial" w:cs="Arial"/>
        </w:rPr>
        <w:footnoteReference w:id="58"/>
      </w:r>
      <w:r w:rsidR="00945733" w:rsidRPr="00BE66AB">
        <w:rPr>
          <w:rFonts w:ascii="Arial" w:hAnsi="Arial" w:cs="Arial"/>
        </w:rPr>
        <w:t>.</w:t>
      </w:r>
      <w:r w:rsidR="00D92094" w:rsidRPr="00BE66AB">
        <w:rPr>
          <w:rFonts w:ascii="Arial" w:hAnsi="Arial" w:cs="Arial"/>
        </w:rPr>
        <w:t xml:space="preserve"> </w:t>
      </w:r>
      <w:r w:rsidR="00487BCB" w:rsidRPr="00BE66AB">
        <w:rPr>
          <w:rFonts w:ascii="Arial" w:hAnsi="Arial" w:cs="Arial"/>
        </w:rPr>
        <w:t xml:space="preserve">En un mot, l’expression </w:t>
      </w:r>
      <w:r w:rsidR="00CE3D5B" w:rsidRPr="00BE66AB">
        <w:rPr>
          <w:rFonts w:ascii="Arial" w:hAnsi="Arial" w:cs="Arial"/>
        </w:rPr>
        <w:t>« s'entend dans un sens large et général »</w:t>
      </w:r>
      <w:r w:rsidR="00CE3D5B" w:rsidRPr="00BE66AB">
        <w:rPr>
          <w:rStyle w:val="Marquenotebasdepage"/>
          <w:rFonts w:ascii="Arial" w:hAnsi="Arial" w:cs="Arial"/>
        </w:rPr>
        <w:footnoteReference w:id="59"/>
      </w:r>
      <w:r w:rsidR="00CE3D5B" w:rsidRPr="00BE66AB">
        <w:rPr>
          <w:rFonts w:ascii="Arial" w:hAnsi="Arial" w:cs="Arial"/>
        </w:rPr>
        <w:t>.</w:t>
      </w:r>
    </w:p>
    <w:p w14:paraId="300BCE6F" w14:textId="571E5A47" w:rsidR="00D92094" w:rsidRPr="00BE66AB" w:rsidRDefault="00D92094" w:rsidP="00B87BB0">
      <w:pPr>
        <w:spacing w:line="360" w:lineRule="auto"/>
        <w:ind w:firstLine="567"/>
        <w:jc w:val="both"/>
        <w:rPr>
          <w:rFonts w:ascii="Arial" w:hAnsi="Arial" w:cs="Arial"/>
        </w:rPr>
      </w:pPr>
      <w:r w:rsidRPr="00BE66AB">
        <w:rPr>
          <w:rFonts w:ascii="Arial" w:hAnsi="Arial" w:cs="Arial"/>
          <w:i/>
        </w:rPr>
        <w:t>Quid</w:t>
      </w:r>
      <w:r w:rsidRPr="00BE66AB">
        <w:rPr>
          <w:rFonts w:ascii="Arial" w:hAnsi="Arial" w:cs="Arial"/>
        </w:rPr>
        <w:t xml:space="preserve"> des sous-locataires ? Quand bien même l’incendie aurait éclaté chez eux (plutôt par exemple </w:t>
      </w:r>
      <w:r w:rsidR="00BE10AE" w:rsidRPr="00BE66AB">
        <w:rPr>
          <w:rFonts w:ascii="Arial" w:hAnsi="Arial" w:cs="Arial"/>
        </w:rPr>
        <w:t xml:space="preserve">que </w:t>
      </w:r>
      <w:r w:rsidRPr="00BE66AB">
        <w:rPr>
          <w:rFonts w:ascii="Arial" w:hAnsi="Arial" w:cs="Arial"/>
        </w:rPr>
        <w:t>dans la partie du bien que le locataire principal doit continuer à occuper</w:t>
      </w:r>
      <w:r w:rsidRPr="00BE66AB">
        <w:rPr>
          <w:rStyle w:val="Marquenotebasdepage"/>
          <w:rFonts w:ascii="Arial" w:hAnsi="Arial" w:cs="Arial"/>
        </w:rPr>
        <w:footnoteReference w:id="60"/>
      </w:r>
      <w:r w:rsidRPr="00BE66AB">
        <w:rPr>
          <w:rFonts w:ascii="Arial" w:hAnsi="Arial" w:cs="Arial"/>
        </w:rPr>
        <w:t>)</w:t>
      </w:r>
      <w:r w:rsidR="00BE10AE" w:rsidRPr="00BE66AB">
        <w:rPr>
          <w:rFonts w:ascii="Arial" w:hAnsi="Arial" w:cs="Arial"/>
        </w:rPr>
        <w:t>,</w:t>
      </w:r>
      <w:r w:rsidRPr="00BE66AB">
        <w:rPr>
          <w:rFonts w:ascii="Arial" w:hAnsi="Arial" w:cs="Arial"/>
        </w:rPr>
        <w:t xml:space="preserve"> </w:t>
      </w:r>
      <w:r w:rsidR="00BE10AE" w:rsidRPr="00BE66AB">
        <w:rPr>
          <w:rFonts w:ascii="Arial" w:hAnsi="Arial" w:cs="Arial"/>
        </w:rPr>
        <w:t>seul</w:t>
      </w:r>
      <w:r w:rsidRPr="00BE66AB">
        <w:rPr>
          <w:rFonts w:ascii="Arial" w:hAnsi="Arial" w:cs="Arial"/>
        </w:rPr>
        <w:t xml:space="preserve"> </w:t>
      </w:r>
      <w:r w:rsidR="00BE10AE" w:rsidRPr="00BE66AB">
        <w:rPr>
          <w:rFonts w:ascii="Arial" w:hAnsi="Arial" w:cs="Arial"/>
        </w:rPr>
        <w:t>ce dernier peut être tenu pour responsable vis-à-vis du bailleur. À première vue étonnante, cette règle</w:t>
      </w:r>
      <w:r w:rsidRPr="00BE66AB">
        <w:rPr>
          <w:rFonts w:ascii="Arial" w:hAnsi="Arial" w:cs="Arial"/>
        </w:rPr>
        <w:t xml:space="preserve"> </w:t>
      </w:r>
      <w:r w:rsidR="00BE10AE" w:rsidRPr="00BE66AB">
        <w:rPr>
          <w:rFonts w:ascii="Arial" w:hAnsi="Arial" w:cs="Arial"/>
        </w:rPr>
        <w:t>se justifie par le fait que</w:t>
      </w:r>
      <w:r w:rsidRPr="00BE66AB">
        <w:rPr>
          <w:rFonts w:ascii="Arial" w:hAnsi="Arial" w:cs="Arial"/>
        </w:rPr>
        <w:t xml:space="preserve"> </w:t>
      </w:r>
      <w:r w:rsidR="00BE10AE" w:rsidRPr="00BE66AB">
        <w:rPr>
          <w:rFonts w:ascii="Arial" w:hAnsi="Arial" w:cs="Arial"/>
        </w:rPr>
        <w:t>ledit</w:t>
      </w:r>
      <w:r w:rsidRPr="00BE66AB">
        <w:rPr>
          <w:rFonts w:ascii="Arial" w:hAnsi="Arial" w:cs="Arial"/>
        </w:rPr>
        <w:t xml:space="preserve"> bailleur n’entretient </w:t>
      </w:r>
      <w:r w:rsidR="00BE10AE" w:rsidRPr="00BE66AB">
        <w:rPr>
          <w:rFonts w:ascii="Arial" w:hAnsi="Arial" w:cs="Arial"/>
        </w:rPr>
        <w:t>de rapport contractuel qu’avec le locataire principal, et nullement avec eux</w:t>
      </w:r>
      <w:r w:rsidR="00BE10AE" w:rsidRPr="00BE66AB">
        <w:rPr>
          <w:rStyle w:val="Marquenotebasdepage"/>
          <w:rFonts w:ascii="Arial" w:hAnsi="Arial" w:cs="Arial"/>
        </w:rPr>
        <w:footnoteReference w:id="61"/>
      </w:r>
      <w:r w:rsidR="00BE10AE" w:rsidRPr="00BE66AB">
        <w:rPr>
          <w:rFonts w:ascii="Arial" w:hAnsi="Arial" w:cs="Arial"/>
        </w:rPr>
        <w:t xml:space="preserve">. </w:t>
      </w:r>
    </w:p>
    <w:p w14:paraId="4478F2A4" w14:textId="1FD728D1" w:rsidR="00C70B96" w:rsidRPr="00BE66AB" w:rsidRDefault="00C70B96" w:rsidP="00B87BB0">
      <w:pPr>
        <w:spacing w:line="360" w:lineRule="auto"/>
        <w:ind w:firstLine="567"/>
        <w:jc w:val="both"/>
        <w:rPr>
          <w:rFonts w:ascii="Arial" w:hAnsi="Arial" w:cs="Arial"/>
        </w:rPr>
      </w:pPr>
    </w:p>
    <w:p w14:paraId="0E5C87D5" w14:textId="4DFC1399" w:rsidR="00945733" w:rsidRPr="00BE66AB" w:rsidRDefault="007039B9" w:rsidP="00B87BB0">
      <w:pPr>
        <w:spacing w:line="360" w:lineRule="auto"/>
        <w:ind w:firstLine="567"/>
        <w:jc w:val="both"/>
        <w:rPr>
          <w:rFonts w:ascii="Arial" w:hAnsi="Arial" w:cs="Arial"/>
        </w:rPr>
      </w:pPr>
      <w:r w:rsidRPr="00BE66AB">
        <w:rPr>
          <w:rFonts w:ascii="Arial" w:hAnsi="Arial" w:cs="Arial"/>
          <w:b/>
        </w:rPr>
        <w:t>1</w:t>
      </w:r>
      <w:r w:rsidR="00945733" w:rsidRPr="00BE66AB">
        <w:rPr>
          <w:rFonts w:ascii="Arial" w:hAnsi="Arial" w:cs="Arial"/>
          <w:b/>
        </w:rPr>
        <w:t xml:space="preserve">3. </w:t>
      </w:r>
      <w:r w:rsidR="005A2604" w:rsidRPr="00BE66AB">
        <w:rPr>
          <w:rFonts w:ascii="Arial" w:hAnsi="Arial" w:cs="Arial"/>
        </w:rPr>
        <w:t>L</w:t>
      </w:r>
      <w:r w:rsidR="00945733" w:rsidRPr="00BE66AB">
        <w:rPr>
          <w:rFonts w:ascii="Arial" w:hAnsi="Arial" w:cs="Arial"/>
        </w:rPr>
        <w:t xml:space="preserve">e preneur </w:t>
      </w:r>
      <w:r w:rsidR="005A2604" w:rsidRPr="00BE66AB">
        <w:rPr>
          <w:rFonts w:ascii="Arial" w:hAnsi="Arial" w:cs="Arial"/>
        </w:rPr>
        <w:t>ne répond pas que de personnes ;</w:t>
      </w:r>
      <w:r w:rsidR="00945733" w:rsidRPr="00BE66AB">
        <w:rPr>
          <w:rFonts w:ascii="Arial" w:hAnsi="Arial" w:cs="Arial"/>
        </w:rPr>
        <w:t xml:space="preserve"> les </w:t>
      </w:r>
      <w:r w:rsidR="00945733" w:rsidRPr="00BE66AB">
        <w:rPr>
          <w:rFonts w:ascii="Arial" w:hAnsi="Arial" w:cs="Arial"/>
          <w:i/>
        </w:rPr>
        <w:t>choses</w:t>
      </w:r>
      <w:r w:rsidR="00945733" w:rsidRPr="00BE66AB">
        <w:rPr>
          <w:rFonts w:ascii="Arial" w:hAnsi="Arial" w:cs="Arial"/>
        </w:rPr>
        <w:t xml:space="preserve"> (défectueuses) déclenchant un incendie engagent aussi sa responsabilité, pourvu qu’il s’agisse de biens dont il est le gardien (c’est-à-dire, qu’il a lui-même placés dans les lieux</w:t>
      </w:r>
      <w:r w:rsidR="00687F85" w:rsidRPr="00BE66AB">
        <w:rPr>
          <w:rFonts w:ascii="Arial" w:hAnsi="Arial" w:cs="Arial"/>
        </w:rPr>
        <w:t xml:space="preserve"> ou dont il est chargé de l’entretien</w:t>
      </w:r>
      <w:r w:rsidR="00945733" w:rsidRPr="00BE66AB">
        <w:rPr>
          <w:rFonts w:ascii="Arial" w:hAnsi="Arial" w:cs="Arial"/>
        </w:rPr>
        <w:t>)</w:t>
      </w:r>
      <w:r w:rsidR="00D92094" w:rsidRPr="00BE66AB">
        <w:rPr>
          <w:rStyle w:val="Marquenotebasdepage"/>
          <w:rFonts w:ascii="Arial" w:hAnsi="Arial" w:cs="Arial"/>
        </w:rPr>
        <w:footnoteReference w:id="62"/>
      </w:r>
      <w:r w:rsidR="00945733" w:rsidRPr="00BE66AB">
        <w:rPr>
          <w:rFonts w:ascii="Arial" w:hAnsi="Arial" w:cs="Arial"/>
        </w:rPr>
        <w:t>.</w:t>
      </w:r>
    </w:p>
    <w:p w14:paraId="3B574C1C" w14:textId="77777777" w:rsidR="00F75676" w:rsidRPr="00BE66AB" w:rsidRDefault="00F75676" w:rsidP="00B87BB0">
      <w:pPr>
        <w:spacing w:line="360" w:lineRule="auto"/>
        <w:ind w:firstLine="567"/>
        <w:jc w:val="both"/>
        <w:rPr>
          <w:rFonts w:ascii="Arial" w:hAnsi="Arial" w:cs="Arial"/>
        </w:rPr>
      </w:pPr>
    </w:p>
    <w:p w14:paraId="238E7452" w14:textId="4BAFF8AB" w:rsidR="005E3D3A" w:rsidRPr="00BE66AB" w:rsidRDefault="005E3D3A" w:rsidP="00B87BB0">
      <w:pPr>
        <w:spacing w:line="360" w:lineRule="auto"/>
        <w:ind w:firstLine="567"/>
        <w:jc w:val="both"/>
        <w:rPr>
          <w:rFonts w:ascii="Arial" w:hAnsi="Arial" w:cs="Arial"/>
        </w:rPr>
      </w:pPr>
      <w:r w:rsidRPr="00BE66AB">
        <w:rPr>
          <w:rFonts w:ascii="Arial" w:hAnsi="Arial" w:cs="Arial"/>
        </w:rPr>
        <w:t>b) une question éminemment casuistique et factuelle</w:t>
      </w:r>
    </w:p>
    <w:p w14:paraId="2B112C22" w14:textId="77777777" w:rsidR="005E3D3A" w:rsidRPr="00BE66AB" w:rsidRDefault="005E3D3A" w:rsidP="00B87BB0">
      <w:pPr>
        <w:spacing w:line="360" w:lineRule="auto"/>
        <w:ind w:firstLine="567"/>
        <w:jc w:val="both"/>
        <w:rPr>
          <w:rFonts w:ascii="Arial" w:hAnsi="Arial" w:cs="Arial"/>
        </w:rPr>
      </w:pPr>
    </w:p>
    <w:p w14:paraId="53D4A271" w14:textId="366CEC65" w:rsidR="00FA0891" w:rsidRPr="00BE66AB" w:rsidRDefault="007039B9" w:rsidP="00B87BB0">
      <w:pPr>
        <w:spacing w:line="360" w:lineRule="auto"/>
        <w:ind w:firstLine="567"/>
        <w:jc w:val="both"/>
        <w:rPr>
          <w:rFonts w:ascii="Arial" w:hAnsi="Arial" w:cs="Arial"/>
        </w:rPr>
      </w:pPr>
      <w:r w:rsidRPr="00BE66AB">
        <w:rPr>
          <w:rFonts w:ascii="Arial" w:hAnsi="Arial" w:cs="Arial"/>
          <w:b/>
        </w:rPr>
        <w:t>14</w:t>
      </w:r>
      <w:r w:rsidR="00C63645" w:rsidRPr="00BE66AB">
        <w:rPr>
          <w:rFonts w:ascii="Arial" w:hAnsi="Arial" w:cs="Arial"/>
          <w:b/>
        </w:rPr>
        <w:t xml:space="preserve">. </w:t>
      </w:r>
      <w:r w:rsidR="007A1D9E" w:rsidRPr="00BE66AB">
        <w:rPr>
          <w:rFonts w:ascii="Arial" w:hAnsi="Arial" w:cs="Arial"/>
        </w:rPr>
        <w:t>Comment ces principes ont-ils trouvé à s’appliquer à</w:t>
      </w:r>
      <w:r w:rsidR="00FA0891" w:rsidRPr="00BE66AB">
        <w:rPr>
          <w:rFonts w:ascii="Arial" w:hAnsi="Arial" w:cs="Arial"/>
        </w:rPr>
        <w:t xml:space="preserve"> l’espèce annotée ? Aux dires de l’assureur du propriétaire, le preneur aurait commis une double négligence (présentant un lien causal direct avec le sinistre) : ne pas avoir refermé </w:t>
      </w:r>
      <w:r w:rsidR="00C116D6" w:rsidRPr="00BE66AB">
        <w:rPr>
          <w:rFonts w:ascii="Arial" w:hAnsi="Arial" w:cs="Arial"/>
        </w:rPr>
        <w:t>la</w:t>
      </w:r>
      <w:r w:rsidR="00FA0891" w:rsidRPr="00BE66AB">
        <w:rPr>
          <w:rFonts w:ascii="Arial" w:hAnsi="Arial" w:cs="Arial"/>
        </w:rPr>
        <w:t xml:space="preserve"> fenêtre </w:t>
      </w:r>
      <w:r w:rsidR="00C116D6" w:rsidRPr="00BE66AB">
        <w:rPr>
          <w:rFonts w:ascii="Arial" w:hAnsi="Arial" w:cs="Arial"/>
        </w:rPr>
        <w:t xml:space="preserve">de sa chambre </w:t>
      </w:r>
      <w:r w:rsidR="00FA0891" w:rsidRPr="00BE66AB">
        <w:rPr>
          <w:rFonts w:ascii="Arial" w:hAnsi="Arial" w:cs="Arial"/>
        </w:rPr>
        <w:t xml:space="preserve">(facilitant de la sorte le passage de l’incendiaire) et avoir laissé dans la maison des bidons contenant un produit inflammable </w:t>
      </w:r>
      <w:r w:rsidR="00C116D6" w:rsidRPr="00BE66AB">
        <w:rPr>
          <w:rFonts w:ascii="Arial" w:hAnsi="Arial" w:cs="Arial"/>
        </w:rPr>
        <w:t>(</w:t>
      </w:r>
      <w:r w:rsidR="00FA0891" w:rsidRPr="00BE66AB">
        <w:rPr>
          <w:rFonts w:ascii="Arial" w:hAnsi="Arial" w:cs="Arial"/>
        </w:rPr>
        <w:t xml:space="preserve">qui a servi </w:t>
      </w:r>
      <w:r w:rsidR="007A1D9E" w:rsidRPr="00BE66AB">
        <w:rPr>
          <w:rFonts w:ascii="Arial" w:hAnsi="Arial" w:cs="Arial"/>
        </w:rPr>
        <w:t>à l’allumage du foyer</w:t>
      </w:r>
      <w:r w:rsidR="00C116D6" w:rsidRPr="00BE66AB">
        <w:rPr>
          <w:rFonts w:ascii="Arial" w:hAnsi="Arial" w:cs="Arial"/>
        </w:rPr>
        <w:t>). Le locataire s’en défend</w:t>
      </w:r>
      <w:r w:rsidR="007A1D9E" w:rsidRPr="00BE66AB">
        <w:rPr>
          <w:rFonts w:ascii="Arial" w:hAnsi="Arial" w:cs="Arial"/>
        </w:rPr>
        <w:t>,</w:t>
      </w:r>
      <w:r w:rsidR="00C116D6" w:rsidRPr="00BE66AB">
        <w:rPr>
          <w:rFonts w:ascii="Arial" w:hAnsi="Arial" w:cs="Arial"/>
        </w:rPr>
        <w:t xml:space="preserve"> avec vigueur. </w:t>
      </w:r>
      <w:r w:rsidR="007A1D9E" w:rsidRPr="00BE66AB">
        <w:rPr>
          <w:rFonts w:ascii="Arial" w:hAnsi="Arial" w:cs="Arial"/>
        </w:rPr>
        <w:t>E</w:t>
      </w:r>
      <w:r w:rsidR="00C116D6" w:rsidRPr="00BE66AB">
        <w:rPr>
          <w:rFonts w:ascii="Arial" w:hAnsi="Arial" w:cs="Arial"/>
        </w:rPr>
        <w:t xml:space="preserve">n réalité, </w:t>
      </w:r>
      <w:r w:rsidR="007A1D9E" w:rsidRPr="00BE66AB">
        <w:rPr>
          <w:rFonts w:ascii="Arial" w:hAnsi="Arial" w:cs="Arial"/>
        </w:rPr>
        <w:t xml:space="preserve">c’est </w:t>
      </w:r>
      <w:r w:rsidR="00C116D6" w:rsidRPr="00BE66AB">
        <w:rPr>
          <w:rFonts w:ascii="Arial" w:hAnsi="Arial" w:cs="Arial"/>
        </w:rPr>
        <w:t xml:space="preserve">par la fenêtre de la toilette (non de la chambre) que le </w:t>
      </w:r>
      <w:r w:rsidR="00AF69EC" w:rsidRPr="00BE66AB">
        <w:rPr>
          <w:rFonts w:ascii="Arial" w:hAnsi="Arial" w:cs="Arial"/>
        </w:rPr>
        <w:t>voleur/pyromane</w:t>
      </w:r>
      <w:r w:rsidR="00C116D6" w:rsidRPr="00BE66AB">
        <w:rPr>
          <w:rFonts w:ascii="Arial" w:hAnsi="Arial" w:cs="Arial"/>
        </w:rPr>
        <w:t xml:space="preserve"> s’est introduit, le rapport de police faisant foi. Quant aux bidons, ils étaient vides et se trouvaient de toute façon hors de portée des tiers ; </w:t>
      </w:r>
      <w:r w:rsidR="001223D3" w:rsidRPr="00BE66AB">
        <w:rPr>
          <w:rFonts w:ascii="Arial" w:hAnsi="Arial" w:cs="Arial"/>
        </w:rPr>
        <w:t>du</w:t>
      </w:r>
      <w:r w:rsidR="00C116D6" w:rsidRPr="00BE66AB">
        <w:rPr>
          <w:rFonts w:ascii="Arial" w:hAnsi="Arial" w:cs="Arial"/>
        </w:rPr>
        <w:t xml:space="preserve"> reste, « aucune mention figurant au dossier répressif n’établit qu’ils ne s’y trouvaient plus à l’arrivée des pompiers ». Résultat : en prouvant</w:t>
      </w:r>
      <w:r w:rsidR="00C63645" w:rsidRPr="00BE66AB">
        <w:rPr>
          <w:rFonts w:ascii="Arial" w:hAnsi="Arial" w:cs="Arial"/>
        </w:rPr>
        <w:t xml:space="preserve"> « au-delà de tout doute raisonnable »</w:t>
      </w:r>
      <w:r w:rsidR="00C116D6" w:rsidRPr="00BE66AB">
        <w:rPr>
          <w:rFonts w:ascii="Arial" w:hAnsi="Arial" w:cs="Arial"/>
        </w:rPr>
        <w:t xml:space="preserve"> que l’incendie </w:t>
      </w:r>
      <w:r w:rsidR="00410BD0" w:rsidRPr="00BE66AB">
        <w:rPr>
          <w:rFonts w:ascii="Arial" w:hAnsi="Arial" w:cs="Arial"/>
        </w:rPr>
        <w:t>« trouve sa cause dans le fait d’un tiers, qui n’est ni son assuré ni une personne dont ce dernier doit répondre, et que celui-ci n’a commis aucune négligence ayant facilité l’intrusion du tiers dans les lieux qui ont fait l’objet d’une effraction »</w:t>
      </w:r>
      <w:r w:rsidR="00C116D6" w:rsidRPr="00BE66AB">
        <w:rPr>
          <w:rFonts w:ascii="Arial" w:hAnsi="Arial" w:cs="Arial"/>
        </w:rPr>
        <w:t xml:space="preserve">, </w:t>
      </w:r>
      <w:r w:rsidR="00410BD0" w:rsidRPr="00BE66AB">
        <w:rPr>
          <w:rFonts w:ascii="Arial" w:hAnsi="Arial" w:cs="Arial"/>
        </w:rPr>
        <w:t>la compagnie d’assurance du</w:t>
      </w:r>
      <w:r w:rsidR="00C116D6" w:rsidRPr="00BE66AB">
        <w:rPr>
          <w:rFonts w:ascii="Arial" w:hAnsi="Arial" w:cs="Arial"/>
        </w:rPr>
        <w:t xml:space="preserve"> locataire « renverse » la présomption de responsabilité </w:t>
      </w:r>
      <w:r w:rsidR="00AF69EC" w:rsidRPr="00BE66AB">
        <w:rPr>
          <w:rFonts w:ascii="Arial" w:hAnsi="Arial" w:cs="Arial"/>
        </w:rPr>
        <w:t>instituée</w:t>
      </w:r>
      <w:r w:rsidR="00C116D6" w:rsidRPr="00BE66AB">
        <w:rPr>
          <w:rFonts w:ascii="Arial" w:hAnsi="Arial" w:cs="Arial"/>
        </w:rPr>
        <w:t xml:space="preserve"> par l’article 1733 du Code civil. </w:t>
      </w:r>
    </w:p>
    <w:p w14:paraId="6357FDD3" w14:textId="77777777" w:rsidR="00BF3841" w:rsidRPr="00BE66AB" w:rsidRDefault="00BF3841" w:rsidP="000B77AF">
      <w:pPr>
        <w:spacing w:line="360" w:lineRule="auto"/>
        <w:ind w:firstLine="567"/>
        <w:jc w:val="both"/>
        <w:rPr>
          <w:rFonts w:ascii="Arial" w:hAnsi="Arial" w:cs="Arial"/>
        </w:rPr>
      </w:pPr>
    </w:p>
    <w:p w14:paraId="49EC298C" w14:textId="2C6B2FAF" w:rsidR="00006A46" w:rsidRPr="00BE66AB" w:rsidRDefault="00BF3841" w:rsidP="000B77AF">
      <w:pPr>
        <w:spacing w:line="360" w:lineRule="auto"/>
        <w:ind w:firstLine="567"/>
        <w:jc w:val="both"/>
        <w:rPr>
          <w:rFonts w:ascii="Arial" w:hAnsi="Arial" w:cs="Arial"/>
        </w:rPr>
      </w:pPr>
      <w:r w:rsidRPr="00BE66AB">
        <w:rPr>
          <w:rFonts w:ascii="Arial" w:hAnsi="Arial" w:cs="Arial"/>
          <w:b/>
        </w:rPr>
        <w:t xml:space="preserve">15. </w:t>
      </w:r>
      <w:r w:rsidR="00F60B88" w:rsidRPr="00BE66AB">
        <w:rPr>
          <w:rFonts w:ascii="Arial" w:hAnsi="Arial" w:cs="Arial"/>
        </w:rPr>
        <w:t>Certaines juridictions vont plus loin. Il n’est pas sûr en effet qu</w:t>
      </w:r>
      <w:r w:rsidRPr="00BE66AB">
        <w:rPr>
          <w:rFonts w:ascii="Arial" w:hAnsi="Arial" w:cs="Arial"/>
        </w:rPr>
        <w:t xml:space="preserve">e l’occlusion </w:t>
      </w:r>
      <w:r w:rsidR="00006A46" w:rsidRPr="00BE66AB">
        <w:rPr>
          <w:rFonts w:ascii="Arial" w:hAnsi="Arial" w:cs="Arial"/>
        </w:rPr>
        <w:t xml:space="preserve">des </w:t>
      </w:r>
      <w:r w:rsidRPr="00BE66AB">
        <w:rPr>
          <w:rFonts w:ascii="Arial" w:hAnsi="Arial" w:cs="Arial"/>
        </w:rPr>
        <w:t xml:space="preserve">accès et </w:t>
      </w:r>
      <w:r w:rsidR="00006A46" w:rsidRPr="00BE66AB">
        <w:rPr>
          <w:rFonts w:ascii="Arial" w:hAnsi="Arial" w:cs="Arial"/>
        </w:rPr>
        <w:t xml:space="preserve">ouvertures menant à l’intérieur de la maison </w:t>
      </w:r>
      <w:r w:rsidR="00F60B88" w:rsidRPr="00BE66AB">
        <w:rPr>
          <w:rFonts w:ascii="Arial" w:hAnsi="Arial" w:cs="Arial"/>
        </w:rPr>
        <w:t xml:space="preserve">suffise à </w:t>
      </w:r>
      <w:r w:rsidR="00006A46" w:rsidRPr="00BE66AB">
        <w:rPr>
          <w:rFonts w:ascii="Arial" w:hAnsi="Arial" w:cs="Arial"/>
        </w:rPr>
        <w:t>dissuade</w:t>
      </w:r>
      <w:r w:rsidR="00F60B88" w:rsidRPr="00BE66AB">
        <w:rPr>
          <w:rFonts w:ascii="Arial" w:hAnsi="Arial" w:cs="Arial"/>
        </w:rPr>
        <w:t xml:space="preserve">r </w:t>
      </w:r>
      <w:r w:rsidR="00A86B5B" w:rsidRPr="00BE66AB">
        <w:rPr>
          <w:rFonts w:ascii="Arial" w:hAnsi="Arial" w:cs="Arial"/>
        </w:rPr>
        <w:t>certains</w:t>
      </w:r>
      <w:r w:rsidR="00AF69EC" w:rsidRPr="00BE66AB">
        <w:rPr>
          <w:rFonts w:ascii="Arial" w:hAnsi="Arial" w:cs="Arial"/>
        </w:rPr>
        <w:t xml:space="preserve"> cambrioleurs</w:t>
      </w:r>
      <w:r w:rsidR="00006A46" w:rsidRPr="00BE66AB">
        <w:rPr>
          <w:rFonts w:ascii="Arial" w:hAnsi="Arial" w:cs="Arial"/>
        </w:rPr>
        <w:t xml:space="preserve"> </w:t>
      </w:r>
      <w:r w:rsidR="00F60B88" w:rsidRPr="00BE66AB">
        <w:rPr>
          <w:rFonts w:ascii="Arial" w:hAnsi="Arial" w:cs="Arial"/>
        </w:rPr>
        <w:t xml:space="preserve">de pénétrer </w:t>
      </w:r>
      <w:r w:rsidR="00892C5D" w:rsidRPr="00BE66AB">
        <w:rPr>
          <w:rFonts w:ascii="Arial" w:hAnsi="Arial" w:cs="Arial"/>
        </w:rPr>
        <w:t xml:space="preserve">(par effraction) </w:t>
      </w:r>
      <w:r w:rsidR="00F60B88" w:rsidRPr="00BE66AB">
        <w:rPr>
          <w:rFonts w:ascii="Arial" w:hAnsi="Arial" w:cs="Arial"/>
        </w:rPr>
        <w:t>dans les lieux</w:t>
      </w:r>
      <w:r w:rsidR="00006A46" w:rsidRPr="00BE66AB">
        <w:rPr>
          <w:rFonts w:ascii="Arial" w:hAnsi="Arial" w:cs="Arial"/>
        </w:rPr>
        <w:t xml:space="preserve">. </w:t>
      </w:r>
      <w:r w:rsidR="000B77AF" w:rsidRPr="00BE66AB">
        <w:rPr>
          <w:rFonts w:ascii="Arial" w:hAnsi="Arial" w:cs="Arial"/>
        </w:rPr>
        <w:t xml:space="preserve">« À supposer même que les locataires aient commis une faute en laissant une fenêtre ouverte et une porte non verrouillée », observe la Cour d’appel de Mons, cette circonstance « ne présenterait pas de lien causal avec le dommage, en raison de la détermination du [pyromane] à commettre son forfait ». L’intéressé, il est vrai, était dans un « état reconnu grave de déséquilibre mental », amenant la Cour à </w:t>
      </w:r>
      <w:r w:rsidR="00892C5D" w:rsidRPr="00BE66AB">
        <w:rPr>
          <w:rFonts w:ascii="Arial" w:hAnsi="Arial" w:cs="Arial"/>
        </w:rPr>
        <w:t>déduire</w:t>
      </w:r>
      <w:r w:rsidR="000B77AF" w:rsidRPr="00BE66AB">
        <w:rPr>
          <w:rFonts w:ascii="Arial" w:hAnsi="Arial" w:cs="Arial"/>
        </w:rPr>
        <w:t xml:space="preserve"> « avec certitude qu’il aurait en tout état de cause commis les faits »</w:t>
      </w:r>
      <w:r w:rsidR="000B77AF" w:rsidRPr="00BE66AB">
        <w:rPr>
          <w:rStyle w:val="Marquenotebasdepage"/>
          <w:rFonts w:ascii="Arial" w:hAnsi="Arial" w:cs="Arial"/>
        </w:rPr>
        <w:footnoteReference w:id="63"/>
      </w:r>
      <w:r w:rsidR="000B77AF" w:rsidRPr="00BE66AB">
        <w:rPr>
          <w:rFonts w:ascii="Arial" w:hAnsi="Arial" w:cs="Arial"/>
        </w:rPr>
        <w:t xml:space="preserve">. </w:t>
      </w:r>
      <w:r w:rsidR="00892C5D" w:rsidRPr="00BE66AB">
        <w:rPr>
          <w:rFonts w:ascii="Arial" w:hAnsi="Arial" w:cs="Arial"/>
        </w:rPr>
        <w:t>Le comportement du preneur</w:t>
      </w:r>
      <w:r w:rsidR="00F60B88" w:rsidRPr="00BE66AB">
        <w:rPr>
          <w:rFonts w:ascii="Arial" w:hAnsi="Arial" w:cs="Arial"/>
        </w:rPr>
        <w:t>, à suivre ce m</w:t>
      </w:r>
      <w:r w:rsidRPr="00BE66AB">
        <w:rPr>
          <w:rFonts w:ascii="Arial" w:hAnsi="Arial" w:cs="Arial"/>
        </w:rPr>
        <w:t>agistrat, ne serait constitutif</w:t>
      </w:r>
      <w:r w:rsidR="00F60B88" w:rsidRPr="00BE66AB">
        <w:rPr>
          <w:rFonts w:ascii="Arial" w:hAnsi="Arial" w:cs="Arial"/>
        </w:rPr>
        <w:t xml:space="preserve"> d’aucune néglige</w:t>
      </w:r>
      <w:r w:rsidR="00AF69EC" w:rsidRPr="00BE66AB">
        <w:rPr>
          <w:rFonts w:ascii="Arial" w:hAnsi="Arial" w:cs="Arial"/>
        </w:rPr>
        <w:t>nce. C</w:t>
      </w:r>
      <w:r w:rsidR="00F60B88" w:rsidRPr="00BE66AB">
        <w:rPr>
          <w:rFonts w:ascii="Arial" w:hAnsi="Arial" w:cs="Arial"/>
        </w:rPr>
        <w:t>e à quoi nous ne pouvons cependant nous rallier</w:t>
      </w:r>
      <w:r w:rsidR="00AF69EC" w:rsidRPr="00BE66AB">
        <w:rPr>
          <w:rFonts w:ascii="Arial" w:hAnsi="Arial" w:cs="Arial"/>
        </w:rPr>
        <w:t xml:space="preserve"> ; </w:t>
      </w:r>
      <w:r w:rsidRPr="00BE66AB">
        <w:rPr>
          <w:rFonts w:ascii="Arial" w:hAnsi="Arial" w:cs="Arial"/>
        </w:rPr>
        <w:t>l’éventuelle faute du preneur</w:t>
      </w:r>
      <w:r w:rsidR="00AF69EC" w:rsidRPr="00BE66AB">
        <w:rPr>
          <w:rFonts w:ascii="Arial" w:hAnsi="Arial" w:cs="Arial"/>
        </w:rPr>
        <w:t>, à notre estime,</w:t>
      </w:r>
      <w:r w:rsidRPr="00BE66AB">
        <w:rPr>
          <w:rFonts w:ascii="Arial" w:hAnsi="Arial" w:cs="Arial"/>
        </w:rPr>
        <w:t xml:space="preserve"> </w:t>
      </w:r>
      <w:r w:rsidR="00AF69EC" w:rsidRPr="00BE66AB">
        <w:rPr>
          <w:rFonts w:ascii="Arial" w:hAnsi="Arial" w:cs="Arial"/>
        </w:rPr>
        <w:t>doit</w:t>
      </w:r>
      <w:r w:rsidR="0019166C" w:rsidRPr="00BE66AB">
        <w:rPr>
          <w:rFonts w:ascii="Arial" w:hAnsi="Arial" w:cs="Arial"/>
        </w:rPr>
        <w:t xml:space="preserve"> </w:t>
      </w:r>
      <w:r w:rsidRPr="00BE66AB">
        <w:rPr>
          <w:rFonts w:ascii="Arial" w:hAnsi="Arial" w:cs="Arial"/>
        </w:rPr>
        <w:t xml:space="preserve">s’apprécier </w:t>
      </w:r>
      <w:r w:rsidRPr="00BE66AB">
        <w:rPr>
          <w:rFonts w:ascii="Arial" w:hAnsi="Arial" w:cs="Arial"/>
          <w:i/>
        </w:rPr>
        <w:t>en elle-même</w:t>
      </w:r>
      <w:r w:rsidRPr="00BE66AB">
        <w:rPr>
          <w:rFonts w:ascii="Arial" w:hAnsi="Arial" w:cs="Arial"/>
        </w:rPr>
        <w:t xml:space="preserve">, et non en fonction de ses possibles </w:t>
      </w:r>
      <w:r w:rsidR="0019166C" w:rsidRPr="00BE66AB">
        <w:rPr>
          <w:rFonts w:ascii="Arial" w:hAnsi="Arial" w:cs="Arial"/>
        </w:rPr>
        <w:t>suites</w:t>
      </w:r>
      <w:r w:rsidR="00F60B88" w:rsidRPr="00BE66AB">
        <w:rPr>
          <w:rFonts w:ascii="Arial" w:hAnsi="Arial" w:cs="Arial"/>
        </w:rPr>
        <w:t>.</w:t>
      </w:r>
    </w:p>
    <w:p w14:paraId="1C90110A" w14:textId="77777777" w:rsidR="00440A80" w:rsidRPr="00BE66AB" w:rsidRDefault="00440A80" w:rsidP="00BF3841">
      <w:pPr>
        <w:spacing w:line="360" w:lineRule="auto"/>
        <w:jc w:val="both"/>
        <w:rPr>
          <w:rFonts w:ascii="Arial" w:hAnsi="Arial" w:cs="Arial"/>
        </w:rPr>
      </w:pPr>
    </w:p>
    <w:p w14:paraId="6B065F30" w14:textId="2BA9EA96" w:rsidR="00D03B1F" w:rsidRPr="00BE66AB" w:rsidRDefault="00BF3841" w:rsidP="00B87BB0">
      <w:pPr>
        <w:spacing w:line="360" w:lineRule="auto"/>
        <w:ind w:firstLine="567"/>
        <w:jc w:val="both"/>
        <w:rPr>
          <w:rFonts w:ascii="Arial" w:hAnsi="Arial" w:cs="Arial"/>
        </w:rPr>
      </w:pPr>
      <w:r w:rsidRPr="00BE66AB">
        <w:rPr>
          <w:rFonts w:ascii="Arial" w:hAnsi="Arial" w:cs="Arial"/>
          <w:b/>
        </w:rPr>
        <w:t>16</w:t>
      </w:r>
      <w:r w:rsidR="00440A80" w:rsidRPr="00BE66AB">
        <w:rPr>
          <w:rFonts w:ascii="Arial" w:hAnsi="Arial" w:cs="Arial"/>
          <w:b/>
        </w:rPr>
        <w:t xml:space="preserve">. </w:t>
      </w:r>
      <w:r w:rsidR="00F75676" w:rsidRPr="00BE66AB">
        <w:rPr>
          <w:rFonts w:ascii="Arial" w:hAnsi="Arial" w:cs="Arial"/>
        </w:rPr>
        <w:t xml:space="preserve">Si </w:t>
      </w:r>
      <w:r w:rsidR="003E3BC2" w:rsidRPr="00BE66AB">
        <w:rPr>
          <w:rFonts w:ascii="Arial" w:hAnsi="Arial" w:cs="Arial"/>
        </w:rPr>
        <w:t xml:space="preserve">la présente espèce </w:t>
      </w:r>
      <w:r w:rsidR="00F75676" w:rsidRPr="00BE66AB">
        <w:rPr>
          <w:rFonts w:ascii="Arial" w:hAnsi="Arial" w:cs="Arial"/>
        </w:rPr>
        <w:t xml:space="preserve">paraît s’inscrire dans un </w:t>
      </w:r>
      <w:r w:rsidR="003E3BC2" w:rsidRPr="00BE66AB">
        <w:rPr>
          <w:rFonts w:ascii="Arial" w:hAnsi="Arial" w:cs="Arial"/>
        </w:rPr>
        <w:t>sillage</w:t>
      </w:r>
      <w:r w:rsidR="00F75676" w:rsidRPr="00BE66AB">
        <w:rPr>
          <w:rFonts w:ascii="Arial" w:hAnsi="Arial" w:cs="Arial"/>
        </w:rPr>
        <w:t xml:space="preserve"> jurisprudentiel tendant à faciliter l’administration de la preuve par le preneur désireux de réfuter sa responsabilité en matière d’incendie, </w:t>
      </w:r>
      <w:r w:rsidR="003E3BC2" w:rsidRPr="00BE66AB">
        <w:rPr>
          <w:rFonts w:ascii="Arial" w:hAnsi="Arial" w:cs="Arial"/>
        </w:rPr>
        <w:t>son enseignement n’est pas unanimement partagé</w:t>
      </w:r>
      <w:r w:rsidR="00F75676" w:rsidRPr="00BE66AB">
        <w:rPr>
          <w:rFonts w:ascii="Arial" w:hAnsi="Arial" w:cs="Arial"/>
        </w:rPr>
        <w:t xml:space="preserve">. </w:t>
      </w:r>
      <w:r w:rsidR="003E3BC2" w:rsidRPr="00BE66AB">
        <w:rPr>
          <w:rFonts w:ascii="Arial" w:hAnsi="Arial" w:cs="Arial"/>
        </w:rPr>
        <w:t>Qu’on songe seulement à</w:t>
      </w:r>
      <w:r w:rsidR="00542DB6" w:rsidRPr="00BE66AB">
        <w:rPr>
          <w:rFonts w:ascii="Arial" w:hAnsi="Arial" w:cs="Arial"/>
        </w:rPr>
        <w:t xml:space="preserve"> l’arrêt prononcé</w:t>
      </w:r>
      <w:r w:rsidR="00F75676" w:rsidRPr="00BE66AB">
        <w:rPr>
          <w:rFonts w:ascii="Arial" w:hAnsi="Arial" w:cs="Arial"/>
        </w:rPr>
        <w:t xml:space="preserve"> le 15 septembre 2016 par </w:t>
      </w:r>
      <w:r w:rsidR="00F31D38" w:rsidRPr="00BE66AB">
        <w:rPr>
          <w:rFonts w:ascii="Arial" w:hAnsi="Arial" w:cs="Arial"/>
        </w:rPr>
        <w:t xml:space="preserve">la vingtième chambre de </w:t>
      </w:r>
      <w:r w:rsidR="00F75676" w:rsidRPr="00BE66AB">
        <w:rPr>
          <w:rFonts w:ascii="Arial" w:hAnsi="Arial" w:cs="Arial"/>
        </w:rPr>
        <w:t xml:space="preserve">la Cour d’appel de Liège. Les faits de la cause faisant écho </w:t>
      </w:r>
      <w:r w:rsidR="00410BD0" w:rsidRPr="00BE66AB">
        <w:rPr>
          <w:rFonts w:ascii="Arial" w:hAnsi="Arial" w:cs="Arial"/>
        </w:rPr>
        <w:t>au jugement annoté</w:t>
      </w:r>
      <w:r w:rsidR="00D03B1F" w:rsidRPr="00BE66AB">
        <w:rPr>
          <w:rFonts w:ascii="Arial" w:hAnsi="Arial" w:cs="Arial"/>
        </w:rPr>
        <w:t xml:space="preserve">, on </w:t>
      </w:r>
      <w:r w:rsidR="003E3BC2" w:rsidRPr="00BE66AB">
        <w:rPr>
          <w:rFonts w:ascii="Arial" w:hAnsi="Arial" w:cs="Arial"/>
        </w:rPr>
        <w:t xml:space="preserve">s’autorise à </w:t>
      </w:r>
      <w:r w:rsidR="00F75676" w:rsidRPr="00BE66AB">
        <w:rPr>
          <w:rFonts w:ascii="Arial" w:hAnsi="Arial" w:cs="Arial"/>
        </w:rPr>
        <w:t>s’y attarder un instant</w:t>
      </w:r>
      <w:r w:rsidR="00440A80" w:rsidRPr="00BE66AB">
        <w:rPr>
          <w:rStyle w:val="Marquenotebasdepage"/>
          <w:rFonts w:ascii="Arial" w:hAnsi="Arial" w:cs="Arial"/>
        </w:rPr>
        <w:footnoteReference w:id="64"/>
      </w:r>
      <w:r w:rsidR="00F75676" w:rsidRPr="00BE66AB">
        <w:rPr>
          <w:rFonts w:ascii="Arial" w:hAnsi="Arial" w:cs="Arial"/>
        </w:rPr>
        <w:t>.</w:t>
      </w:r>
      <w:r w:rsidR="00440A80" w:rsidRPr="00BE66AB">
        <w:rPr>
          <w:rFonts w:ascii="Arial" w:hAnsi="Arial" w:cs="Arial"/>
        </w:rPr>
        <w:t xml:space="preserve"> </w:t>
      </w:r>
    </w:p>
    <w:p w14:paraId="1AD48B58" w14:textId="7905B850" w:rsidR="00A54CB0" w:rsidRPr="00BE66AB" w:rsidRDefault="00D03B1F" w:rsidP="00B87BB0">
      <w:pPr>
        <w:spacing w:line="360" w:lineRule="auto"/>
        <w:ind w:firstLine="567"/>
        <w:jc w:val="both"/>
        <w:rPr>
          <w:rFonts w:ascii="Arial" w:hAnsi="Arial" w:cs="Arial"/>
        </w:rPr>
      </w:pPr>
      <w:r w:rsidRPr="00BE66AB">
        <w:rPr>
          <w:rFonts w:ascii="Arial" w:hAnsi="Arial" w:cs="Arial"/>
        </w:rPr>
        <w:t>De nature accidentelle, u</w:t>
      </w:r>
      <w:r w:rsidR="000F7052" w:rsidRPr="00BE66AB">
        <w:rPr>
          <w:rFonts w:ascii="Arial" w:hAnsi="Arial" w:cs="Arial"/>
        </w:rPr>
        <w:t>n premier incendie</w:t>
      </w:r>
      <w:r w:rsidRPr="00BE66AB">
        <w:rPr>
          <w:rFonts w:ascii="Arial" w:hAnsi="Arial" w:cs="Arial"/>
        </w:rPr>
        <w:t xml:space="preserve"> </w:t>
      </w:r>
      <w:r w:rsidR="000F7052" w:rsidRPr="00BE66AB">
        <w:rPr>
          <w:rFonts w:ascii="Arial" w:hAnsi="Arial" w:cs="Arial"/>
        </w:rPr>
        <w:t>éclate dans un logement loué</w:t>
      </w:r>
      <w:r w:rsidR="003E3BC2" w:rsidRPr="00BE66AB">
        <w:rPr>
          <w:rFonts w:ascii="Arial" w:hAnsi="Arial" w:cs="Arial"/>
        </w:rPr>
        <w:t xml:space="preserve"> en l’absence de son occupante</w:t>
      </w:r>
      <w:r w:rsidR="000F7052" w:rsidRPr="00BE66AB">
        <w:rPr>
          <w:rFonts w:ascii="Arial" w:hAnsi="Arial" w:cs="Arial"/>
        </w:rPr>
        <w:t xml:space="preserve">, </w:t>
      </w:r>
      <w:r w:rsidRPr="00BE66AB">
        <w:rPr>
          <w:rFonts w:ascii="Arial" w:hAnsi="Arial" w:cs="Arial"/>
        </w:rPr>
        <w:t xml:space="preserve">consécutivement à un problème électrique affectant un frigo. Les pompiers interviennent pour éteindre le foyer et demandent ensuite de laisser aérer l’appartement. Quelques heures plus tard, ils sont </w:t>
      </w:r>
      <w:r w:rsidR="00B136D5" w:rsidRPr="00BE66AB">
        <w:rPr>
          <w:rFonts w:ascii="Arial" w:hAnsi="Arial" w:cs="Arial"/>
        </w:rPr>
        <w:t>r</w:t>
      </w:r>
      <w:r w:rsidRPr="00BE66AB">
        <w:rPr>
          <w:rFonts w:ascii="Arial" w:hAnsi="Arial" w:cs="Arial"/>
        </w:rPr>
        <w:t xml:space="preserve">appelés car un </w:t>
      </w:r>
      <w:r w:rsidRPr="00BE66AB">
        <w:rPr>
          <w:rFonts w:ascii="Arial" w:hAnsi="Arial" w:cs="Arial"/>
          <w:i/>
        </w:rPr>
        <w:t>second</w:t>
      </w:r>
      <w:r w:rsidRPr="00BE66AB">
        <w:rPr>
          <w:rFonts w:ascii="Arial" w:hAnsi="Arial" w:cs="Arial"/>
        </w:rPr>
        <w:t xml:space="preserve"> incendie</w:t>
      </w:r>
      <w:r w:rsidR="008852EF" w:rsidRPr="00BE66AB">
        <w:rPr>
          <w:rFonts w:ascii="Arial" w:hAnsi="Arial" w:cs="Arial"/>
        </w:rPr>
        <w:t>, de type intentionnel celui-là,</w:t>
      </w:r>
      <w:r w:rsidRPr="00BE66AB">
        <w:rPr>
          <w:rFonts w:ascii="Arial" w:hAnsi="Arial" w:cs="Arial"/>
        </w:rPr>
        <w:t xml:space="preserve"> ravage les mêmes lieux ; </w:t>
      </w:r>
      <w:r w:rsidR="00B136D5" w:rsidRPr="00BE66AB">
        <w:rPr>
          <w:rFonts w:ascii="Arial" w:hAnsi="Arial" w:cs="Arial"/>
        </w:rPr>
        <w:t>à nouveau</w:t>
      </w:r>
      <w:r w:rsidRPr="00BE66AB">
        <w:rPr>
          <w:rFonts w:ascii="Arial" w:hAnsi="Arial" w:cs="Arial"/>
        </w:rPr>
        <w:t>, ce sont les propriétaires</w:t>
      </w:r>
      <w:r w:rsidR="00B136D5" w:rsidRPr="00BE66AB">
        <w:rPr>
          <w:rFonts w:ascii="Arial" w:hAnsi="Arial" w:cs="Arial"/>
        </w:rPr>
        <w:t xml:space="preserve"> (habitant quelques étages au-dessus du logement loué) </w:t>
      </w:r>
      <w:r w:rsidR="008852EF" w:rsidRPr="00BE66AB">
        <w:rPr>
          <w:rFonts w:ascii="Arial" w:hAnsi="Arial" w:cs="Arial"/>
        </w:rPr>
        <w:t xml:space="preserve">qui les ont </w:t>
      </w:r>
      <w:r w:rsidR="003E3BC2" w:rsidRPr="00BE66AB">
        <w:rPr>
          <w:rFonts w:ascii="Arial" w:hAnsi="Arial" w:cs="Arial"/>
        </w:rPr>
        <w:t>alertés</w:t>
      </w:r>
      <w:r w:rsidRPr="00BE66AB">
        <w:rPr>
          <w:rFonts w:ascii="Arial" w:hAnsi="Arial" w:cs="Arial"/>
        </w:rPr>
        <w:t>, car la lo</w:t>
      </w:r>
      <w:r w:rsidR="008852EF" w:rsidRPr="00BE66AB">
        <w:rPr>
          <w:rFonts w:ascii="Arial" w:hAnsi="Arial" w:cs="Arial"/>
        </w:rPr>
        <w:t>cataire, revenue après le premi</w:t>
      </w:r>
      <w:r w:rsidRPr="00BE66AB">
        <w:rPr>
          <w:rFonts w:ascii="Arial" w:hAnsi="Arial" w:cs="Arial"/>
        </w:rPr>
        <w:t xml:space="preserve">er sinistre, </w:t>
      </w:r>
      <w:r w:rsidR="008852EF" w:rsidRPr="00BE66AB">
        <w:rPr>
          <w:rFonts w:ascii="Arial" w:hAnsi="Arial" w:cs="Arial"/>
        </w:rPr>
        <w:t>est repartie entre-temps</w:t>
      </w:r>
      <w:r w:rsidRPr="00BE66AB">
        <w:rPr>
          <w:rFonts w:ascii="Arial" w:hAnsi="Arial" w:cs="Arial"/>
        </w:rPr>
        <w:t>.</w:t>
      </w:r>
      <w:r w:rsidR="008852EF" w:rsidRPr="00BE66AB">
        <w:rPr>
          <w:rFonts w:ascii="Arial" w:hAnsi="Arial" w:cs="Arial"/>
        </w:rPr>
        <w:t xml:space="preserve"> Sans que la chose apparaisse clairement dans </w:t>
      </w:r>
      <w:r w:rsidR="003E3BC2" w:rsidRPr="00BE66AB">
        <w:rPr>
          <w:rFonts w:ascii="Arial" w:hAnsi="Arial" w:cs="Arial"/>
        </w:rPr>
        <w:t>la décision de justice</w:t>
      </w:r>
      <w:r w:rsidR="008852EF" w:rsidRPr="00BE66AB">
        <w:rPr>
          <w:rFonts w:ascii="Arial" w:hAnsi="Arial" w:cs="Arial"/>
        </w:rPr>
        <w:t xml:space="preserve">, le soupçon se forme </w:t>
      </w:r>
      <w:r w:rsidR="003E3BC2" w:rsidRPr="00BE66AB">
        <w:rPr>
          <w:rFonts w:ascii="Arial" w:hAnsi="Arial" w:cs="Arial"/>
        </w:rPr>
        <w:t xml:space="preserve">rapidement </w:t>
      </w:r>
      <w:r w:rsidR="008852EF" w:rsidRPr="00BE66AB">
        <w:rPr>
          <w:rFonts w:ascii="Arial" w:hAnsi="Arial" w:cs="Arial"/>
        </w:rPr>
        <w:t xml:space="preserve">que la locataire a délibérément bouté le feu, pour le second sinistre, </w:t>
      </w:r>
      <w:r w:rsidR="00A54CB0" w:rsidRPr="00BE66AB">
        <w:rPr>
          <w:rFonts w:ascii="Arial" w:hAnsi="Arial" w:cs="Arial"/>
        </w:rPr>
        <w:t>à l’effet</w:t>
      </w:r>
      <w:r w:rsidR="008852EF" w:rsidRPr="00BE66AB">
        <w:rPr>
          <w:rFonts w:ascii="Arial" w:hAnsi="Arial" w:cs="Arial"/>
        </w:rPr>
        <w:t xml:space="preserve"> de détruire les preuves matérielles établissant sa </w:t>
      </w:r>
      <w:r w:rsidR="001223D3" w:rsidRPr="00BE66AB">
        <w:rPr>
          <w:rFonts w:ascii="Arial" w:hAnsi="Arial" w:cs="Arial"/>
        </w:rPr>
        <w:t>responsabilité</w:t>
      </w:r>
      <w:r w:rsidR="008852EF" w:rsidRPr="00BE66AB">
        <w:rPr>
          <w:rFonts w:ascii="Arial" w:hAnsi="Arial" w:cs="Arial"/>
        </w:rPr>
        <w:t xml:space="preserve"> dans le premier (on imagine que le frigo défectueux était sien, et peut-être n’avait-elle pas souscrit une assurance R.C. locative). </w:t>
      </w:r>
    </w:p>
    <w:p w14:paraId="1F0F98F4" w14:textId="2CC3FDD5" w:rsidR="00F75676" w:rsidRPr="00BE66AB" w:rsidRDefault="008852EF" w:rsidP="00B87BB0">
      <w:pPr>
        <w:spacing w:line="360" w:lineRule="auto"/>
        <w:ind w:firstLine="567"/>
        <w:jc w:val="both"/>
        <w:rPr>
          <w:rFonts w:ascii="Arial" w:hAnsi="Arial" w:cs="Arial"/>
        </w:rPr>
      </w:pPr>
      <w:r w:rsidRPr="00BE66AB">
        <w:rPr>
          <w:rFonts w:ascii="Arial" w:hAnsi="Arial" w:cs="Arial"/>
        </w:rPr>
        <w:t xml:space="preserve">Après avoir </w:t>
      </w:r>
      <w:r w:rsidR="003E3BC2" w:rsidRPr="00BE66AB">
        <w:rPr>
          <w:rFonts w:ascii="Arial" w:hAnsi="Arial" w:cs="Arial"/>
        </w:rPr>
        <w:t>fait remarquer</w:t>
      </w:r>
      <w:r w:rsidRPr="00BE66AB">
        <w:rPr>
          <w:rFonts w:ascii="Arial" w:hAnsi="Arial" w:cs="Arial"/>
        </w:rPr>
        <w:t xml:space="preserve"> que l’absence </w:t>
      </w:r>
      <w:r w:rsidR="003074AE" w:rsidRPr="00BE66AB">
        <w:rPr>
          <w:rFonts w:ascii="Arial" w:hAnsi="Arial" w:cs="Arial"/>
        </w:rPr>
        <w:t>de la locataire ne constitue</w:t>
      </w:r>
      <w:r w:rsidRPr="00BE66AB">
        <w:rPr>
          <w:rFonts w:ascii="Arial" w:hAnsi="Arial" w:cs="Arial"/>
        </w:rPr>
        <w:t xml:space="preserve"> en rien une cause d’exonération, la Cour </w:t>
      </w:r>
      <w:r w:rsidR="00A54CB0" w:rsidRPr="00BE66AB">
        <w:rPr>
          <w:rFonts w:ascii="Arial" w:hAnsi="Arial" w:cs="Arial"/>
        </w:rPr>
        <w:t xml:space="preserve">d’appel de Liège </w:t>
      </w:r>
      <w:r w:rsidRPr="00BE66AB">
        <w:rPr>
          <w:rFonts w:ascii="Arial" w:hAnsi="Arial" w:cs="Arial"/>
        </w:rPr>
        <w:t xml:space="preserve">examine de près </w:t>
      </w:r>
      <w:r w:rsidR="00A54CB0" w:rsidRPr="00BE66AB">
        <w:rPr>
          <w:rFonts w:ascii="Arial" w:hAnsi="Arial" w:cs="Arial"/>
        </w:rPr>
        <w:t xml:space="preserve">les explications avancées par </w:t>
      </w:r>
      <w:r w:rsidR="003074AE" w:rsidRPr="00BE66AB">
        <w:rPr>
          <w:rFonts w:ascii="Arial" w:hAnsi="Arial" w:cs="Arial"/>
        </w:rPr>
        <w:t>celle-ci</w:t>
      </w:r>
      <w:r w:rsidR="00A54CB0" w:rsidRPr="00BE66AB">
        <w:rPr>
          <w:rFonts w:ascii="Arial" w:hAnsi="Arial" w:cs="Arial"/>
        </w:rPr>
        <w:t>… pour leur refuser tout crédit. En fait, la locataire est revenue sur place étrangement vite après le second incendie, ce qui à la fois contredit ses propres allégations (sur le lieu où elle était censée se trouver</w:t>
      </w:r>
      <w:r w:rsidR="003074AE" w:rsidRPr="00BE66AB">
        <w:rPr>
          <w:rFonts w:ascii="Arial" w:hAnsi="Arial" w:cs="Arial"/>
        </w:rPr>
        <w:t xml:space="preserve"> à ce moment-là</w:t>
      </w:r>
      <w:r w:rsidR="00A54CB0" w:rsidRPr="00BE66AB">
        <w:rPr>
          <w:rFonts w:ascii="Arial" w:hAnsi="Arial" w:cs="Arial"/>
        </w:rPr>
        <w:t>) et donne à penser qu’elle ne s’était pas fort éloignée de son logement (histoire pour elle de vérifier que le sinis</w:t>
      </w:r>
      <w:r w:rsidR="003074AE" w:rsidRPr="00BE66AB">
        <w:rPr>
          <w:rFonts w:ascii="Arial" w:hAnsi="Arial" w:cs="Arial"/>
        </w:rPr>
        <w:t>tre ne prenne pas de trop impos</w:t>
      </w:r>
      <w:r w:rsidR="00A54CB0" w:rsidRPr="00BE66AB">
        <w:rPr>
          <w:rFonts w:ascii="Arial" w:hAnsi="Arial" w:cs="Arial"/>
        </w:rPr>
        <w:t xml:space="preserve">antes </w:t>
      </w:r>
      <w:r w:rsidR="001223D3" w:rsidRPr="00BE66AB">
        <w:rPr>
          <w:rFonts w:ascii="Arial" w:hAnsi="Arial" w:cs="Arial"/>
        </w:rPr>
        <w:t>proportions</w:t>
      </w:r>
      <w:r w:rsidR="00A54CB0" w:rsidRPr="00BE66AB">
        <w:rPr>
          <w:rFonts w:ascii="Arial" w:hAnsi="Arial" w:cs="Arial"/>
        </w:rPr>
        <w:t xml:space="preserve"> et</w:t>
      </w:r>
      <w:r w:rsidR="003074AE" w:rsidRPr="00BE66AB">
        <w:rPr>
          <w:rFonts w:ascii="Arial" w:hAnsi="Arial" w:cs="Arial"/>
        </w:rPr>
        <w:t>, le cas échéant ,</w:t>
      </w:r>
      <w:r w:rsidR="00A54CB0" w:rsidRPr="00BE66AB">
        <w:rPr>
          <w:rFonts w:ascii="Arial" w:hAnsi="Arial" w:cs="Arial"/>
        </w:rPr>
        <w:t xml:space="preserve"> appeler les pompiers</w:t>
      </w:r>
      <w:r w:rsidR="003074AE" w:rsidRPr="00BE66AB">
        <w:rPr>
          <w:rFonts w:ascii="Arial" w:hAnsi="Arial" w:cs="Arial"/>
        </w:rPr>
        <w:t xml:space="preserve"> </w:t>
      </w:r>
      <w:r w:rsidR="00A54CB0" w:rsidRPr="00BE66AB">
        <w:rPr>
          <w:rFonts w:ascii="Arial" w:hAnsi="Arial" w:cs="Arial"/>
        </w:rPr>
        <w:t>?). Au minimum, partir en laissant un appartement ouvert (certes à des fins d’aération) constitue une négligence susceptible de livrer le passage à d’éventuels intrus. Aussi</w:t>
      </w:r>
      <w:r w:rsidR="00B667D8" w:rsidRPr="00BE66AB">
        <w:rPr>
          <w:rFonts w:ascii="Arial" w:hAnsi="Arial" w:cs="Arial"/>
        </w:rPr>
        <w:t xml:space="preserve">, </w:t>
      </w:r>
      <w:r w:rsidR="003074AE" w:rsidRPr="00BE66AB">
        <w:rPr>
          <w:rFonts w:ascii="Arial" w:hAnsi="Arial" w:cs="Arial"/>
        </w:rPr>
        <w:t xml:space="preserve">tranche la Cour, </w:t>
      </w:r>
      <w:r w:rsidR="0031763A" w:rsidRPr="00BE66AB">
        <w:rPr>
          <w:rFonts w:ascii="Arial" w:hAnsi="Arial" w:cs="Arial"/>
        </w:rPr>
        <w:t>la locataire</w:t>
      </w:r>
      <w:r w:rsidR="00B667D8" w:rsidRPr="00BE66AB">
        <w:rPr>
          <w:rFonts w:ascii="Arial" w:hAnsi="Arial" w:cs="Arial"/>
        </w:rPr>
        <w:t xml:space="preserve"> </w:t>
      </w:r>
      <w:r w:rsidR="003074AE" w:rsidRPr="00BE66AB">
        <w:rPr>
          <w:rFonts w:ascii="Arial" w:hAnsi="Arial" w:cs="Arial"/>
        </w:rPr>
        <w:t xml:space="preserve">est </w:t>
      </w:r>
      <w:r w:rsidR="00B667D8" w:rsidRPr="00BE66AB">
        <w:rPr>
          <w:rFonts w:ascii="Arial" w:hAnsi="Arial" w:cs="Arial"/>
        </w:rPr>
        <w:t>rest</w:t>
      </w:r>
      <w:r w:rsidR="003074AE" w:rsidRPr="00BE66AB">
        <w:rPr>
          <w:rFonts w:ascii="Arial" w:hAnsi="Arial" w:cs="Arial"/>
        </w:rPr>
        <w:t>é</w:t>
      </w:r>
      <w:r w:rsidR="00B667D8" w:rsidRPr="00BE66AB">
        <w:rPr>
          <w:rFonts w:ascii="Arial" w:hAnsi="Arial" w:cs="Arial"/>
        </w:rPr>
        <w:t xml:space="preserve">e en défaut de démontrer que l’auteur de l’incendie est </w:t>
      </w:r>
      <w:r w:rsidR="003074AE" w:rsidRPr="00BE66AB">
        <w:rPr>
          <w:rFonts w:ascii="Arial" w:hAnsi="Arial" w:cs="Arial"/>
        </w:rPr>
        <w:t xml:space="preserve">bien </w:t>
      </w:r>
      <w:r w:rsidR="00B667D8" w:rsidRPr="00BE66AB">
        <w:rPr>
          <w:rFonts w:ascii="Arial" w:hAnsi="Arial" w:cs="Arial"/>
        </w:rPr>
        <w:t>un tiers</w:t>
      </w:r>
      <w:r w:rsidR="0031763A" w:rsidRPr="00BE66AB">
        <w:rPr>
          <w:rFonts w:ascii="Arial" w:hAnsi="Arial" w:cs="Arial"/>
        </w:rPr>
        <w:t xml:space="preserve"> </w:t>
      </w:r>
      <w:r w:rsidR="003074AE" w:rsidRPr="00BE66AB">
        <w:rPr>
          <w:rFonts w:ascii="Arial" w:hAnsi="Arial" w:cs="Arial"/>
        </w:rPr>
        <w:t xml:space="preserve">et qu’il a pu pénétrer dans la place </w:t>
      </w:r>
      <w:r w:rsidR="0031763A" w:rsidRPr="00BE66AB">
        <w:rPr>
          <w:rFonts w:ascii="Arial" w:hAnsi="Arial" w:cs="Arial"/>
        </w:rPr>
        <w:t>sans qu’aucune fau</w:t>
      </w:r>
      <w:r w:rsidR="003074AE" w:rsidRPr="00BE66AB">
        <w:rPr>
          <w:rFonts w:ascii="Arial" w:hAnsi="Arial" w:cs="Arial"/>
        </w:rPr>
        <w:t>te ne puisse lui être reprochée</w:t>
      </w:r>
      <w:r w:rsidR="0031763A" w:rsidRPr="00BE66AB">
        <w:rPr>
          <w:rFonts w:ascii="Arial" w:hAnsi="Arial" w:cs="Arial"/>
        </w:rPr>
        <w:t>.</w:t>
      </w:r>
    </w:p>
    <w:p w14:paraId="01439357" w14:textId="77777777" w:rsidR="0031763A" w:rsidRPr="00BE66AB" w:rsidRDefault="0031763A" w:rsidP="00B87BB0">
      <w:pPr>
        <w:spacing w:line="360" w:lineRule="auto"/>
        <w:ind w:firstLine="567"/>
        <w:jc w:val="both"/>
        <w:rPr>
          <w:rFonts w:ascii="Arial" w:hAnsi="Arial" w:cs="Arial"/>
        </w:rPr>
      </w:pPr>
    </w:p>
    <w:p w14:paraId="3131E724" w14:textId="37E7F847" w:rsidR="0031763A" w:rsidRPr="00BE66AB" w:rsidRDefault="0031763A" w:rsidP="00B87BB0">
      <w:pPr>
        <w:spacing w:line="360" w:lineRule="auto"/>
        <w:ind w:firstLine="567"/>
        <w:jc w:val="both"/>
        <w:rPr>
          <w:rFonts w:ascii="Arial" w:hAnsi="Arial" w:cs="Arial"/>
        </w:rPr>
      </w:pPr>
      <w:r w:rsidRPr="00BE66AB">
        <w:rPr>
          <w:rFonts w:ascii="Arial" w:hAnsi="Arial" w:cs="Arial"/>
          <w:b/>
        </w:rPr>
        <w:t xml:space="preserve">17. </w:t>
      </w:r>
      <w:r w:rsidRPr="00BE66AB">
        <w:rPr>
          <w:rFonts w:ascii="Arial" w:hAnsi="Arial" w:cs="Arial"/>
        </w:rPr>
        <w:t>Si l’on s’est donné la peine de détailler les circonstances de l’espèce</w:t>
      </w:r>
      <w:r w:rsidR="003074AE" w:rsidRPr="00BE66AB">
        <w:rPr>
          <w:rFonts w:ascii="Arial" w:hAnsi="Arial" w:cs="Arial"/>
        </w:rPr>
        <w:t xml:space="preserve"> </w:t>
      </w:r>
      <w:r w:rsidR="00F31D38" w:rsidRPr="00BE66AB">
        <w:rPr>
          <w:rFonts w:ascii="Arial" w:hAnsi="Arial" w:cs="Arial"/>
        </w:rPr>
        <w:t>« </w:t>
      </w:r>
      <w:r w:rsidR="003074AE" w:rsidRPr="00BE66AB">
        <w:rPr>
          <w:rFonts w:ascii="Arial" w:hAnsi="Arial" w:cs="Arial"/>
        </w:rPr>
        <w:t>liégeoise</w:t>
      </w:r>
      <w:r w:rsidR="00F31D38" w:rsidRPr="00BE66AB">
        <w:rPr>
          <w:rFonts w:ascii="Arial" w:hAnsi="Arial" w:cs="Arial"/>
        </w:rPr>
        <w:t> »</w:t>
      </w:r>
      <w:r w:rsidRPr="00BE66AB">
        <w:rPr>
          <w:rFonts w:ascii="Arial" w:hAnsi="Arial" w:cs="Arial"/>
        </w:rPr>
        <w:t xml:space="preserve">, c’est </w:t>
      </w:r>
      <w:r w:rsidR="003074AE" w:rsidRPr="00BE66AB">
        <w:rPr>
          <w:rFonts w:ascii="Arial" w:hAnsi="Arial" w:cs="Arial"/>
        </w:rPr>
        <w:t>avant tout</w:t>
      </w:r>
      <w:r w:rsidRPr="00BE66AB">
        <w:rPr>
          <w:rFonts w:ascii="Arial" w:hAnsi="Arial" w:cs="Arial"/>
        </w:rPr>
        <w:t xml:space="preserve"> pour montrer que la question de la responsabilité du locataire en cas d’incendie </w:t>
      </w:r>
      <w:r w:rsidR="003074AE" w:rsidRPr="00BE66AB">
        <w:rPr>
          <w:rFonts w:ascii="Arial" w:hAnsi="Arial" w:cs="Arial"/>
        </w:rPr>
        <w:t xml:space="preserve">provoqué par un tiers inconnu </w:t>
      </w:r>
      <w:r w:rsidRPr="00BE66AB">
        <w:rPr>
          <w:rFonts w:ascii="Arial" w:hAnsi="Arial" w:cs="Arial"/>
        </w:rPr>
        <w:t xml:space="preserve">est éminemment factuelle et empirique. Elle se règle au cas par cas, en fonction des éléments de fait (parfois très </w:t>
      </w:r>
      <w:r w:rsidR="003074AE" w:rsidRPr="00BE66AB">
        <w:rPr>
          <w:rFonts w:ascii="Arial" w:hAnsi="Arial" w:cs="Arial"/>
        </w:rPr>
        <w:t>pointus et techniques</w:t>
      </w:r>
      <w:r w:rsidRPr="00BE66AB">
        <w:rPr>
          <w:rFonts w:ascii="Arial" w:hAnsi="Arial" w:cs="Arial"/>
        </w:rPr>
        <w:t xml:space="preserve">) du dossier. </w:t>
      </w:r>
      <w:r w:rsidR="008C6FCF" w:rsidRPr="00BE66AB">
        <w:rPr>
          <w:rFonts w:ascii="Arial" w:hAnsi="Arial" w:cs="Arial"/>
        </w:rPr>
        <w:t xml:space="preserve">En </w:t>
      </w:r>
      <w:r w:rsidR="003074AE" w:rsidRPr="00BE66AB">
        <w:rPr>
          <w:rFonts w:ascii="Arial" w:hAnsi="Arial" w:cs="Arial"/>
        </w:rPr>
        <w:t>ce domaine</w:t>
      </w:r>
      <w:r w:rsidR="008C6FCF" w:rsidRPr="00BE66AB">
        <w:rPr>
          <w:rFonts w:ascii="Arial" w:hAnsi="Arial" w:cs="Arial"/>
        </w:rPr>
        <w:t xml:space="preserve">, « le débat judiciaire est quasi inévitable », </w:t>
      </w:r>
      <w:r w:rsidR="003074AE" w:rsidRPr="00BE66AB">
        <w:rPr>
          <w:rFonts w:ascii="Arial" w:hAnsi="Arial" w:cs="Arial"/>
        </w:rPr>
        <w:t>ramasse</w:t>
      </w:r>
      <w:r w:rsidR="008C6FCF" w:rsidRPr="00BE66AB">
        <w:rPr>
          <w:rFonts w:ascii="Arial" w:hAnsi="Arial" w:cs="Arial"/>
        </w:rPr>
        <w:t xml:space="preserve"> un auteur</w:t>
      </w:r>
      <w:r w:rsidR="008C6FCF" w:rsidRPr="00BE66AB">
        <w:rPr>
          <w:rStyle w:val="Marquenotebasdepage"/>
          <w:rFonts w:ascii="Arial" w:hAnsi="Arial" w:cs="Arial"/>
        </w:rPr>
        <w:footnoteReference w:id="65"/>
      </w:r>
      <w:r w:rsidR="008C6FCF" w:rsidRPr="00BE66AB">
        <w:rPr>
          <w:rFonts w:ascii="Arial" w:hAnsi="Arial" w:cs="Arial"/>
        </w:rPr>
        <w:t xml:space="preserve">. </w:t>
      </w:r>
      <w:r w:rsidRPr="00BE66AB">
        <w:rPr>
          <w:rFonts w:ascii="Arial" w:hAnsi="Arial" w:cs="Arial"/>
        </w:rPr>
        <w:t xml:space="preserve">Au-delà des principes </w:t>
      </w:r>
      <w:r w:rsidR="00410BD0" w:rsidRPr="00BE66AB">
        <w:rPr>
          <w:rFonts w:ascii="Arial" w:hAnsi="Arial" w:cs="Arial"/>
        </w:rPr>
        <w:t xml:space="preserve">théoriques </w:t>
      </w:r>
      <w:r w:rsidRPr="00BE66AB">
        <w:rPr>
          <w:rFonts w:ascii="Arial" w:hAnsi="Arial" w:cs="Arial"/>
        </w:rPr>
        <w:t xml:space="preserve">généraux, solidement ancrés </w:t>
      </w:r>
      <w:r w:rsidR="001223D3" w:rsidRPr="00BE66AB">
        <w:rPr>
          <w:rFonts w:ascii="Arial" w:hAnsi="Arial" w:cs="Arial"/>
        </w:rPr>
        <w:t>aujourd’hui</w:t>
      </w:r>
      <w:r w:rsidRPr="00BE66AB">
        <w:rPr>
          <w:rFonts w:ascii="Arial" w:hAnsi="Arial" w:cs="Arial"/>
        </w:rPr>
        <w:t xml:space="preserve">, il reste au </w:t>
      </w:r>
      <w:r w:rsidR="008C6FCF" w:rsidRPr="00BE66AB">
        <w:rPr>
          <w:rFonts w:ascii="Arial" w:hAnsi="Arial" w:cs="Arial"/>
        </w:rPr>
        <w:t>magistrat</w:t>
      </w:r>
      <w:r w:rsidRPr="00BE66AB">
        <w:rPr>
          <w:rFonts w:ascii="Arial" w:hAnsi="Arial" w:cs="Arial"/>
        </w:rPr>
        <w:t xml:space="preserve"> à effectuer un travail casuistique fin pour déterminer si, au vu du comportement du preneur, ce dernier est réellement fondé à se targuer de n’avoir commis aucune faute. </w:t>
      </w:r>
      <w:r w:rsidR="0057545B" w:rsidRPr="00BE66AB">
        <w:rPr>
          <w:rFonts w:ascii="Arial" w:hAnsi="Arial" w:cs="Arial"/>
        </w:rPr>
        <w:t>L</w:t>
      </w:r>
      <w:r w:rsidR="008C6FCF" w:rsidRPr="00BE66AB">
        <w:rPr>
          <w:rFonts w:ascii="Arial" w:hAnsi="Arial" w:cs="Arial"/>
        </w:rPr>
        <w:t>e tribunal civil de Namur</w:t>
      </w:r>
      <w:r w:rsidR="0057545B" w:rsidRPr="00BE66AB">
        <w:rPr>
          <w:rFonts w:ascii="Arial" w:hAnsi="Arial" w:cs="Arial"/>
        </w:rPr>
        <w:t>, pour sa part,</w:t>
      </w:r>
      <w:r w:rsidR="008C6FCF" w:rsidRPr="00BE66AB">
        <w:rPr>
          <w:rFonts w:ascii="Arial" w:hAnsi="Arial" w:cs="Arial"/>
        </w:rPr>
        <w:t xml:space="preserve"> ne s’y est point dérobé.</w:t>
      </w:r>
    </w:p>
    <w:p w14:paraId="3AA7F602" w14:textId="6D89FE24" w:rsidR="00124C35" w:rsidRPr="00BE66AB" w:rsidRDefault="00124C35" w:rsidP="00124C35">
      <w:pPr>
        <w:spacing w:line="360" w:lineRule="auto"/>
        <w:jc w:val="center"/>
        <w:rPr>
          <w:rFonts w:ascii="Arial" w:hAnsi="Arial" w:cs="Arial"/>
        </w:rPr>
      </w:pPr>
      <w:r w:rsidRPr="00BE66AB">
        <w:rPr>
          <w:rFonts w:ascii="Arial" w:hAnsi="Arial" w:cs="Arial"/>
        </w:rPr>
        <w:t>*</w:t>
      </w:r>
    </w:p>
    <w:p w14:paraId="25B36081" w14:textId="61E79DA4" w:rsidR="00124C35" w:rsidRPr="00BE66AB" w:rsidRDefault="00124C35" w:rsidP="00124C35">
      <w:pPr>
        <w:spacing w:line="360" w:lineRule="auto"/>
        <w:jc w:val="center"/>
        <w:rPr>
          <w:rFonts w:ascii="Arial" w:hAnsi="Arial" w:cs="Arial"/>
        </w:rPr>
      </w:pPr>
      <w:r w:rsidRPr="00BE66AB">
        <w:rPr>
          <w:rFonts w:ascii="Arial" w:hAnsi="Arial" w:cs="Arial"/>
        </w:rPr>
        <w:t>*</w:t>
      </w:r>
      <w:r w:rsidRPr="00BE66AB">
        <w:rPr>
          <w:rFonts w:ascii="Arial" w:hAnsi="Arial" w:cs="Arial"/>
        </w:rPr>
        <w:tab/>
        <w:t>*</w:t>
      </w:r>
    </w:p>
    <w:p w14:paraId="4F232E2F" w14:textId="758BD98C" w:rsidR="00FA0891" w:rsidRPr="00742B98" w:rsidRDefault="00124C35" w:rsidP="00B87BB0">
      <w:pPr>
        <w:spacing w:line="360" w:lineRule="auto"/>
        <w:ind w:firstLine="567"/>
        <w:jc w:val="both"/>
        <w:rPr>
          <w:rFonts w:ascii="Arial" w:hAnsi="Arial" w:cs="Arial"/>
        </w:rPr>
      </w:pPr>
      <w:r w:rsidRPr="00BE66AB">
        <w:rPr>
          <w:rFonts w:ascii="Arial" w:hAnsi="Arial" w:cs="Arial"/>
          <w:b/>
        </w:rPr>
        <w:t xml:space="preserve">18. </w:t>
      </w:r>
      <w:r w:rsidRPr="00BE66AB">
        <w:rPr>
          <w:rFonts w:ascii="Arial" w:hAnsi="Arial" w:cs="Arial"/>
        </w:rPr>
        <w:t>Pour conclure, un élément d’actualité, qui a son importance. Jusqu’alors fédérale, la compétence du bail d’habitation a glissé dans l’escarcelle des Régions à la faveur de la sixième réforme de l’État (intervenue en 2014)</w:t>
      </w:r>
      <w:r w:rsidRPr="00BE66AB">
        <w:rPr>
          <w:rStyle w:val="Marquenotebasdepage"/>
          <w:rFonts w:ascii="Arial" w:hAnsi="Arial" w:cs="Arial"/>
        </w:rPr>
        <w:footnoteReference w:id="66"/>
      </w:r>
      <w:r w:rsidRPr="00BE66AB">
        <w:rPr>
          <w:rFonts w:ascii="Arial" w:hAnsi="Arial" w:cs="Arial"/>
        </w:rPr>
        <w:t>. Les Régions ont donc tout le loisir désormais de remodeler le régime locatif en fonction de leurs priorité ainsi que de leurs besoins et spécificités. S’ils n’ont pas encore été adoptés, les textes régionaux en préparation sont déjà bien avancés</w:t>
      </w:r>
      <w:r w:rsidRPr="00BE66AB">
        <w:rPr>
          <w:rStyle w:val="Marquenotebasdepage"/>
          <w:rFonts w:ascii="Arial" w:hAnsi="Arial" w:cs="Arial"/>
        </w:rPr>
        <w:footnoteReference w:id="67"/>
      </w:r>
      <w:r w:rsidRPr="00BE66AB">
        <w:rPr>
          <w:rFonts w:ascii="Arial" w:hAnsi="Arial" w:cs="Arial"/>
        </w:rPr>
        <w:t xml:space="preserve">, </w:t>
      </w:r>
      <w:r w:rsidR="00DB4F36" w:rsidRPr="00BE66AB">
        <w:rPr>
          <w:rFonts w:ascii="Arial" w:hAnsi="Arial" w:cs="Arial"/>
        </w:rPr>
        <w:t>suffisamment en tous cas pour qu’on</w:t>
      </w:r>
      <w:r w:rsidRPr="00BE66AB">
        <w:rPr>
          <w:rFonts w:ascii="Arial" w:hAnsi="Arial" w:cs="Arial"/>
        </w:rPr>
        <w:t xml:space="preserve"> </w:t>
      </w:r>
      <w:r w:rsidR="00595727" w:rsidRPr="00BE66AB">
        <w:rPr>
          <w:rFonts w:ascii="Arial" w:hAnsi="Arial" w:cs="Arial"/>
        </w:rPr>
        <w:t>s’</w:t>
      </w:r>
      <w:r w:rsidRPr="00BE66AB">
        <w:rPr>
          <w:rFonts w:ascii="Arial" w:hAnsi="Arial" w:cs="Arial"/>
        </w:rPr>
        <w:t xml:space="preserve">autorise à lever un coin du voile. C’est qu’il est intéressant de s’y pencher aux fins de voir si les dispositions sur la responsabilité du locataire en cas d’incendie (intentionnel ou pas) </w:t>
      </w:r>
      <w:r w:rsidR="00DB4F36" w:rsidRPr="00BE66AB">
        <w:rPr>
          <w:rFonts w:ascii="Arial" w:hAnsi="Arial" w:cs="Arial"/>
        </w:rPr>
        <w:t xml:space="preserve">sortent transformées de la réforme à venir. À Bruxelles, aucun changement </w:t>
      </w:r>
      <w:r w:rsidR="00EA73A8" w:rsidRPr="00BE66AB">
        <w:rPr>
          <w:rFonts w:ascii="Arial" w:hAnsi="Arial" w:cs="Arial"/>
        </w:rPr>
        <w:t xml:space="preserve">n’est </w:t>
      </w:r>
      <w:r w:rsidR="00DB4F36" w:rsidRPr="00BE66AB">
        <w:rPr>
          <w:rFonts w:ascii="Arial" w:hAnsi="Arial" w:cs="Arial"/>
        </w:rPr>
        <w:t xml:space="preserve">à noter. En Wallonie, en revanche, une modification de taille s’annonce puisque l’assurance </w:t>
      </w:r>
      <w:r w:rsidR="000671E2" w:rsidRPr="00BE66AB">
        <w:rPr>
          <w:rFonts w:ascii="Arial" w:hAnsi="Arial" w:cs="Arial"/>
        </w:rPr>
        <w:t>« </w:t>
      </w:r>
      <w:r w:rsidR="00DB4F36" w:rsidRPr="00BE66AB">
        <w:rPr>
          <w:rFonts w:ascii="Arial" w:hAnsi="Arial" w:cs="Arial"/>
        </w:rPr>
        <w:t>responsabilité civile</w:t>
      </w:r>
      <w:r w:rsidR="000671E2" w:rsidRPr="00BE66AB">
        <w:rPr>
          <w:rFonts w:ascii="Arial" w:hAnsi="Arial" w:cs="Arial"/>
        </w:rPr>
        <w:t> »</w:t>
      </w:r>
      <w:r w:rsidR="00DB4F36" w:rsidRPr="00BE66AB">
        <w:rPr>
          <w:rFonts w:ascii="Arial" w:hAnsi="Arial" w:cs="Arial"/>
        </w:rPr>
        <w:t xml:space="preserve"> est dorénavant </w:t>
      </w:r>
      <w:r w:rsidR="00DB4F36" w:rsidRPr="00BE66AB">
        <w:rPr>
          <w:rFonts w:ascii="Arial" w:hAnsi="Arial" w:cs="Arial"/>
          <w:i/>
        </w:rPr>
        <w:t>obligatoire</w:t>
      </w:r>
      <w:r w:rsidR="000671E2" w:rsidRPr="00BE66AB">
        <w:rPr>
          <w:rFonts w:ascii="Arial" w:hAnsi="Arial" w:cs="Arial"/>
          <w:i/>
        </w:rPr>
        <w:t> </w:t>
      </w:r>
      <w:r w:rsidR="000671E2" w:rsidRPr="00BE66AB">
        <w:rPr>
          <w:rFonts w:ascii="Arial" w:hAnsi="Arial" w:cs="Arial"/>
        </w:rPr>
        <w:t>;</w:t>
      </w:r>
      <w:r w:rsidR="00DB4F36" w:rsidRPr="00BE66AB">
        <w:rPr>
          <w:rFonts w:ascii="Arial" w:hAnsi="Arial" w:cs="Arial"/>
        </w:rPr>
        <w:t xml:space="preserve"> sauf clause contraire, </w:t>
      </w:r>
      <w:r w:rsidR="000671E2" w:rsidRPr="00BE66AB">
        <w:rPr>
          <w:rFonts w:ascii="Arial" w:hAnsi="Arial" w:cs="Arial"/>
        </w:rPr>
        <w:t>il revient au</w:t>
      </w:r>
      <w:r w:rsidR="00DB4F36" w:rsidRPr="00BE66AB">
        <w:rPr>
          <w:rFonts w:ascii="Arial" w:hAnsi="Arial" w:cs="Arial"/>
        </w:rPr>
        <w:t xml:space="preserve"> preneur</w:t>
      </w:r>
      <w:r w:rsidR="000671E2" w:rsidRPr="00BE66AB">
        <w:rPr>
          <w:rFonts w:ascii="Arial" w:hAnsi="Arial" w:cs="Arial"/>
        </w:rPr>
        <w:t xml:space="preserve"> de la contracter</w:t>
      </w:r>
      <w:r w:rsidR="00DB4F36" w:rsidRPr="00BE66AB">
        <w:rPr>
          <w:rFonts w:ascii="Arial" w:hAnsi="Arial" w:cs="Arial"/>
        </w:rPr>
        <w:t xml:space="preserve">. </w:t>
      </w:r>
      <w:r w:rsidR="000671E2" w:rsidRPr="00BE66AB">
        <w:rPr>
          <w:rFonts w:ascii="Arial" w:hAnsi="Arial" w:cs="Arial"/>
        </w:rPr>
        <w:t>S’il ne s’y plie pas</w:t>
      </w:r>
      <w:r w:rsidR="00DB4F36" w:rsidRPr="00BE66AB">
        <w:rPr>
          <w:rFonts w:ascii="Arial" w:hAnsi="Arial" w:cs="Arial"/>
        </w:rPr>
        <w:t xml:space="preserve">, le bailleur est libre </w:t>
      </w:r>
      <w:r w:rsidR="000671E2" w:rsidRPr="00BE66AB">
        <w:rPr>
          <w:rFonts w:ascii="Arial" w:hAnsi="Arial" w:cs="Arial"/>
        </w:rPr>
        <w:t xml:space="preserve">alors </w:t>
      </w:r>
      <w:r w:rsidR="00DB4F36" w:rsidRPr="00BE66AB">
        <w:rPr>
          <w:rFonts w:ascii="Arial" w:hAnsi="Arial" w:cs="Arial"/>
        </w:rPr>
        <w:t>de souscrire une assurance</w:t>
      </w:r>
      <w:r w:rsidR="000671E2" w:rsidRPr="00BE66AB">
        <w:rPr>
          <w:rFonts w:ascii="Arial" w:hAnsi="Arial" w:cs="Arial"/>
        </w:rPr>
        <w:t xml:space="preserve"> de type</w:t>
      </w:r>
      <w:r w:rsidR="00DB4F36" w:rsidRPr="00BE66AB">
        <w:rPr>
          <w:rFonts w:ascii="Arial" w:hAnsi="Arial" w:cs="Arial"/>
        </w:rPr>
        <w:t xml:space="preserve"> </w:t>
      </w:r>
      <w:r w:rsidR="000671E2" w:rsidRPr="00BE66AB">
        <w:rPr>
          <w:rFonts w:ascii="Arial" w:hAnsi="Arial" w:cs="Arial"/>
        </w:rPr>
        <w:t>« </w:t>
      </w:r>
      <w:r w:rsidR="00DB4F36" w:rsidRPr="00BE66AB">
        <w:rPr>
          <w:rFonts w:ascii="Arial" w:hAnsi="Arial" w:cs="Arial"/>
        </w:rPr>
        <w:t>abandon de recours</w:t>
      </w:r>
      <w:r w:rsidR="000671E2" w:rsidRPr="00BE66AB">
        <w:rPr>
          <w:rFonts w:ascii="Arial" w:hAnsi="Arial" w:cs="Arial"/>
        </w:rPr>
        <w:t> »</w:t>
      </w:r>
      <w:r w:rsidR="00DB4F36" w:rsidRPr="00BE66AB">
        <w:rPr>
          <w:rFonts w:ascii="Arial" w:hAnsi="Arial" w:cs="Arial"/>
        </w:rPr>
        <w:t xml:space="preserve">, dont il </w:t>
      </w:r>
      <w:r w:rsidR="000671E2" w:rsidRPr="00BE66AB">
        <w:rPr>
          <w:rFonts w:ascii="Arial" w:hAnsi="Arial" w:cs="Arial"/>
        </w:rPr>
        <w:t>pourra faire</w:t>
      </w:r>
      <w:r w:rsidR="00DB4F36" w:rsidRPr="00BE66AB">
        <w:rPr>
          <w:rFonts w:ascii="Arial" w:hAnsi="Arial" w:cs="Arial"/>
        </w:rPr>
        <w:t xml:space="preserve"> p</w:t>
      </w:r>
      <w:r w:rsidR="000671E2" w:rsidRPr="00BE66AB">
        <w:rPr>
          <w:rFonts w:ascii="Arial" w:hAnsi="Arial" w:cs="Arial"/>
        </w:rPr>
        <w:t>eser le coût sur son cocontractant</w:t>
      </w:r>
      <w:r w:rsidR="00DB4F36" w:rsidRPr="00BE66AB">
        <w:rPr>
          <w:rFonts w:ascii="Arial" w:hAnsi="Arial" w:cs="Arial"/>
        </w:rPr>
        <w:t>. « </w:t>
      </w:r>
      <w:r w:rsidR="00DB4F36" w:rsidRPr="00BE66AB">
        <w:rPr>
          <w:rFonts w:ascii="Arial" w:eastAsiaTheme="minorEastAsia" w:hAnsi="Arial" w:cs="Arial"/>
        </w:rPr>
        <w:t>La responsabilité du locataire visée au paragraphe 1</w:t>
      </w:r>
      <w:r w:rsidR="00742B98" w:rsidRPr="00BE66AB">
        <w:rPr>
          <w:rFonts w:ascii="Arial" w:eastAsiaTheme="minorEastAsia" w:hAnsi="Arial" w:cs="Arial"/>
          <w:vertAlign w:val="superscript"/>
        </w:rPr>
        <w:t>er</w:t>
      </w:r>
      <w:r w:rsidR="00DB4F36" w:rsidRPr="00BE66AB">
        <w:rPr>
          <w:rFonts w:ascii="Arial" w:eastAsiaTheme="minorEastAsia" w:hAnsi="Arial" w:cs="Arial"/>
          <w:position w:val="13"/>
        </w:rPr>
        <w:t xml:space="preserve"> </w:t>
      </w:r>
      <w:r w:rsidR="00DB4F36" w:rsidRPr="00BE66AB">
        <w:rPr>
          <w:rFonts w:ascii="Arial" w:eastAsiaTheme="minorEastAsia" w:hAnsi="Arial" w:cs="Arial"/>
        </w:rPr>
        <w:t>est couverte par une assurance avant son entrée dans les lieux. Sauf si les parties en conviennent autrement, le locataire contracte cette assurance</w:t>
      </w:r>
      <w:r w:rsidR="00742B98" w:rsidRPr="00BE66AB">
        <w:rPr>
          <w:rFonts w:ascii="Arial" w:eastAsiaTheme="minorEastAsia" w:hAnsi="Arial" w:cs="Arial"/>
        </w:rPr>
        <w:t> », édicte le nouveau paragraphe 2 de l’</w:t>
      </w:r>
      <w:r w:rsidR="001B76DB" w:rsidRPr="00BE66AB">
        <w:rPr>
          <w:rFonts w:ascii="Arial" w:eastAsiaTheme="minorEastAsia" w:hAnsi="Arial" w:cs="Arial"/>
        </w:rPr>
        <w:t>article 1733 du Code civil</w:t>
      </w:r>
      <w:r w:rsidR="000671E2" w:rsidRPr="00BE66AB">
        <w:rPr>
          <w:rFonts w:ascii="Arial" w:eastAsiaTheme="minorEastAsia" w:hAnsi="Arial" w:cs="Arial"/>
        </w:rPr>
        <w:t>,</w:t>
      </w:r>
      <w:r w:rsidR="00742B98" w:rsidRPr="00BE66AB">
        <w:rPr>
          <w:rFonts w:ascii="Arial" w:eastAsiaTheme="minorEastAsia" w:hAnsi="Arial" w:cs="Arial"/>
        </w:rPr>
        <w:t xml:space="preserve"> </w:t>
      </w:r>
      <w:r w:rsidR="000671E2" w:rsidRPr="00BE66AB">
        <w:rPr>
          <w:rFonts w:ascii="Arial" w:eastAsiaTheme="minorEastAsia" w:hAnsi="Arial" w:cs="Arial"/>
        </w:rPr>
        <w:t>inséré</w:t>
      </w:r>
      <w:r w:rsidR="00742B98" w:rsidRPr="00BE66AB">
        <w:rPr>
          <w:rFonts w:ascii="Arial" w:eastAsiaTheme="minorEastAsia" w:hAnsi="Arial" w:cs="Arial"/>
        </w:rPr>
        <w:t xml:space="preserve"> par la Région wallonne</w:t>
      </w:r>
      <w:r w:rsidR="00DB4F36" w:rsidRPr="00BE66AB">
        <w:rPr>
          <w:rFonts w:ascii="Arial" w:eastAsiaTheme="minorEastAsia" w:hAnsi="Arial" w:cs="Arial"/>
        </w:rPr>
        <w:t xml:space="preserve">. </w:t>
      </w:r>
      <w:r w:rsidR="00742B98" w:rsidRPr="00BE66AB">
        <w:rPr>
          <w:rFonts w:ascii="Arial" w:eastAsiaTheme="minorEastAsia" w:hAnsi="Arial" w:cs="Arial"/>
        </w:rPr>
        <w:t>« </w:t>
      </w:r>
      <w:r w:rsidR="00DB4F36" w:rsidRPr="00BE66AB">
        <w:rPr>
          <w:rFonts w:ascii="Arial" w:eastAsiaTheme="minorEastAsia" w:hAnsi="Arial" w:cs="Arial"/>
        </w:rPr>
        <w:t>A défaut d’en apporter la preuve dans le mois suivant l’entrée dans les lieux, le bailleur peut contracter un abandon de recours au profit du locataire auprès de son organisme assureur assurant le logement. Dans ce cas, il peut en répercuter le coût au locataire. La franchise peut être laissée à charge du locataire si sa responsabilité est engagée</w:t>
      </w:r>
      <w:r w:rsidR="001B76DB" w:rsidRPr="00BE66AB">
        <w:rPr>
          <w:rFonts w:ascii="Arial" w:eastAsiaTheme="minorEastAsia" w:hAnsi="Arial" w:cs="Arial"/>
        </w:rPr>
        <w:t> »</w:t>
      </w:r>
      <w:r w:rsidR="00742B98" w:rsidRPr="00BE66AB">
        <w:rPr>
          <w:rStyle w:val="Marquenotebasdepage"/>
          <w:rFonts w:ascii="Arial" w:eastAsiaTheme="minorEastAsia" w:hAnsi="Arial" w:cs="Arial"/>
        </w:rPr>
        <w:footnoteReference w:id="68"/>
      </w:r>
      <w:r w:rsidR="00DB4F36" w:rsidRPr="00BE66AB">
        <w:rPr>
          <w:rFonts w:ascii="Arial" w:eastAsiaTheme="minorEastAsia" w:hAnsi="Arial" w:cs="Arial"/>
        </w:rPr>
        <w:t>.</w:t>
      </w:r>
      <w:r w:rsidR="001B76DB" w:rsidRPr="00BE66AB">
        <w:rPr>
          <w:rFonts w:ascii="Arial" w:eastAsiaTheme="minorEastAsia" w:hAnsi="Arial" w:cs="Arial"/>
        </w:rPr>
        <w:t xml:space="preserve"> Affaire à suivre assurément !</w:t>
      </w:r>
      <w:bookmarkStart w:id="0" w:name="_GoBack"/>
      <w:bookmarkEnd w:id="0"/>
      <w:r w:rsidR="001B76DB" w:rsidRPr="00742B98">
        <w:rPr>
          <w:rFonts w:ascii="Arial" w:eastAsiaTheme="minorEastAsia" w:hAnsi="Arial" w:cs="Arial"/>
        </w:rPr>
        <w:t xml:space="preserve"> </w:t>
      </w:r>
    </w:p>
    <w:p w14:paraId="671674D5" w14:textId="77777777" w:rsidR="00DB4F36" w:rsidRPr="00742B98" w:rsidRDefault="00DB4F36" w:rsidP="00B87BB0">
      <w:pPr>
        <w:spacing w:line="360" w:lineRule="auto"/>
        <w:ind w:firstLine="567"/>
        <w:jc w:val="both"/>
        <w:rPr>
          <w:rFonts w:ascii="Arial" w:hAnsi="Arial" w:cs="Arial"/>
        </w:rPr>
      </w:pPr>
    </w:p>
    <w:p w14:paraId="62A74643" w14:textId="24410F5F" w:rsidR="00852A97" w:rsidRPr="00742B98" w:rsidRDefault="00852A97" w:rsidP="00B87BB0">
      <w:pPr>
        <w:spacing w:line="360" w:lineRule="auto"/>
        <w:ind w:firstLine="567"/>
        <w:jc w:val="both"/>
        <w:rPr>
          <w:rFonts w:ascii="Arial" w:hAnsi="Arial" w:cs="Arial"/>
        </w:rPr>
      </w:pPr>
    </w:p>
    <w:p w14:paraId="1076D586" w14:textId="77777777" w:rsidR="00386E5B" w:rsidRPr="00742B98" w:rsidRDefault="00386E5B" w:rsidP="00440A80">
      <w:pPr>
        <w:spacing w:line="360" w:lineRule="auto"/>
        <w:jc w:val="both"/>
        <w:rPr>
          <w:rFonts w:ascii="Arial" w:hAnsi="Arial" w:cs="Arial"/>
        </w:rPr>
      </w:pPr>
    </w:p>
    <w:p w14:paraId="39EA251C" w14:textId="77777777" w:rsidR="00386E5B" w:rsidRPr="00742B98" w:rsidRDefault="00386E5B" w:rsidP="00B87BB0">
      <w:pPr>
        <w:spacing w:line="360" w:lineRule="auto"/>
        <w:ind w:firstLine="567"/>
        <w:jc w:val="both"/>
        <w:rPr>
          <w:rFonts w:ascii="Arial" w:hAnsi="Arial" w:cs="Arial"/>
        </w:rPr>
      </w:pPr>
    </w:p>
    <w:p w14:paraId="5B7C70BF" w14:textId="66A9CDA0" w:rsidR="00237F7B" w:rsidRPr="00742B98" w:rsidRDefault="00237F7B" w:rsidP="00B87BB0">
      <w:pPr>
        <w:spacing w:line="360" w:lineRule="auto"/>
        <w:ind w:firstLine="567"/>
        <w:jc w:val="both"/>
        <w:rPr>
          <w:rFonts w:ascii="Arial" w:hAnsi="Arial" w:cs="Arial"/>
        </w:rPr>
      </w:pPr>
      <w:r w:rsidRPr="00742B98">
        <w:rPr>
          <w:rFonts w:ascii="Arial" w:hAnsi="Arial" w:cs="Arial"/>
        </w:rPr>
        <w:t xml:space="preserve"> </w:t>
      </w:r>
    </w:p>
    <w:p w14:paraId="00F5DB8F" w14:textId="77777777" w:rsidR="004D577A" w:rsidRPr="00742B98" w:rsidRDefault="004D577A" w:rsidP="00B87BB0">
      <w:pPr>
        <w:spacing w:line="360" w:lineRule="auto"/>
        <w:ind w:firstLine="567"/>
        <w:jc w:val="both"/>
        <w:rPr>
          <w:rFonts w:ascii="Arial" w:hAnsi="Arial" w:cs="Arial"/>
        </w:rPr>
      </w:pPr>
    </w:p>
    <w:p w14:paraId="4C8FE66E" w14:textId="77777777" w:rsidR="00F90EBC" w:rsidRPr="00742B98" w:rsidRDefault="00F90EBC" w:rsidP="00B87BB0">
      <w:pPr>
        <w:spacing w:line="360" w:lineRule="auto"/>
        <w:ind w:firstLine="567"/>
        <w:jc w:val="both"/>
        <w:rPr>
          <w:rFonts w:ascii="Arial" w:hAnsi="Arial" w:cs="Arial"/>
          <w:bCs/>
        </w:rPr>
      </w:pPr>
    </w:p>
    <w:sectPr w:rsidR="00F90EBC" w:rsidRPr="00742B98" w:rsidSect="0080027F">
      <w:footerReference w:type="even" r:id="rId8"/>
      <w:foot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2785E" w14:textId="77777777" w:rsidR="00576E1D" w:rsidRDefault="00576E1D" w:rsidP="00A71F66">
      <w:r>
        <w:separator/>
      </w:r>
    </w:p>
  </w:endnote>
  <w:endnote w:type="continuationSeparator" w:id="0">
    <w:p w14:paraId="1A33E7C0" w14:textId="77777777" w:rsidR="00576E1D" w:rsidRDefault="00576E1D" w:rsidP="00A71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New York">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F7F533" w14:textId="77777777" w:rsidR="00576E1D" w:rsidRDefault="00576E1D" w:rsidP="00D200D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6AD56E5E" w14:textId="77777777" w:rsidR="00576E1D" w:rsidRDefault="00576E1D" w:rsidP="009437C0">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49CEA2" w14:textId="77777777" w:rsidR="00576E1D" w:rsidRDefault="00576E1D" w:rsidP="00D200DC">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E66AB">
      <w:rPr>
        <w:rStyle w:val="Numrodepage"/>
        <w:noProof/>
      </w:rPr>
      <w:t>1</w:t>
    </w:r>
    <w:r>
      <w:rPr>
        <w:rStyle w:val="Numrodepage"/>
      </w:rPr>
      <w:fldChar w:fldCharType="end"/>
    </w:r>
  </w:p>
  <w:p w14:paraId="6FE2A110" w14:textId="77777777" w:rsidR="00576E1D" w:rsidRDefault="00576E1D" w:rsidP="009437C0">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AF38A3" w14:textId="77777777" w:rsidR="00576E1D" w:rsidRDefault="00576E1D" w:rsidP="00A71F66">
      <w:r>
        <w:separator/>
      </w:r>
    </w:p>
  </w:footnote>
  <w:footnote w:type="continuationSeparator" w:id="0">
    <w:p w14:paraId="13AF23FD" w14:textId="77777777" w:rsidR="00576E1D" w:rsidRDefault="00576E1D" w:rsidP="00A71F66">
      <w:r>
        <w:continuationSeparator/>
      </w:r>
    </w:p>
  </w:footnote>
  <w:footnote w:id="1">
    <w:p w14:paraId="4D5A7453" w14:textId="6DE72E5A"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De manière générale, l’assureur n’est subrogé dans les droits de l’assuré qu’</w:t>
      </w:r>
      <w:r w:rsidRPr="002B518B">
        <w:rPr>
          <w:rFonts w:cs="Arial"/>
          <w:i/>
        </w:rPr>
        <w:t>après</w:t>
      </w:r>
      <w:r w:rsidRPr="002B518B">
        <w:rPr>
          <w:rFonts w:cs="Arial"/>
        </w:rPr>
        <w:t xml:space="preserve"> en effet avoir dédommagé ce dernier, et à proportion uniquement de ce paiement (art. 95, al. 1</w:t>
      </w:r>
      <w:r w:rsidRPr="002B518B">
        <w:rPr>
          <w:rFonts w:cs="Arial"/>
          <w:vertAlign w:val="superscript"/>
        </w:rPr>
        <w:t>er</w:t>
      </w:r>
      <w:r w:rsidRPr="002B518B">
        <w:rPr>
          <w:rFonts w:cs="Arial"/>
        </w:rPr>
        <w:t>, </w:t>
      </w:r>
      <w:r w:rsidRPr="002B518B">
        <w:rPr>
          <w:rFonts w:eastAsia="Times New Roman" w:cs="Arial"/>
        </w:rPr>
        <w:t xml:space="preserve">de la loi du 4 avril 2014 relative aux assurances, </w:t>
      </w:r>
      <w:r w:rsidRPr="002B518B">
        <w:rPr>
          <w:rFonts w:eastAsia="Times New Roman" w:cs="Arial"/>
          <w:i/>
        </w:rPr>
        <w:t>M.B.</w:t>
      </w:r>
      <w:r w:rsidRPr="002B518B">
        <w:rPr>
          <w:rFonts w:eastAsia="Times New Roman" w:cs="Arial"/>
        </w:rPr>
        <w:t>, 30 avril 2014</w:t>
      </w:r>
      <w:r w:rsidRPr="002B518B">
        <w:rPr>
          <w:rFonts w:cs="Arial"/>
        </w:rPr>
        <w:t xml:space="preserve">). Il peut néanmoins éviter l’indemnisation en prouvant que l’incendie a été provoqué intentionnellement </w:t>
      </w:r>
      <w:r w:rsidRPr="002B518B">
        <w:rPr>
          <w:rFonts w:cs="Arial"/>
          <w:i/>
        </w:rPr>
        <w:t>par le propriétaire</w:t>
      </w:r>
      <w:r w:rsidRPr="002B518B">
        <w:rPr>
          <w:rFonts w:cs="Arial"/>
        </w:rPr>
        <w:t xml:space="preserve"> lui-même, son propre assuré (art. 62, al. 1</w:t>
      </w:r>
      <w:r w:rsidRPr="002B518B">
        <w:rPr>
          <w:rFonts w:cs="Arial"/>
          <w:vertAlign w:val="superscript"/>
        </w:rPr>
        <w:t>er</w:t>
      </w:r>
      <w:r w:rsidRPr="002B518B">
        <w:rPr>
          <w:rFonts w:cs="Arial"/>
        </w:rPr>
        <w:t>, </w:t>
      </w:r>
      <w:r w:rsidRPr="002B518B">
        <w:rPr>
          <w:rFonts w:eastAsia="Times New Roman" w:cs="Arial"/>
        </w:rPr>
        <w:t>de la loi précitée du 4 avril 2014</w:t>
      </w:r>
      <w:r w:rsidRPr="002B518B">
        <w:rPr>
          <w:rFonts w:cs="Arial"/>
        </w:rPr>
        <w:t xml:space="preserve">) ; tel ne fut point le cas ici. </w:t>
      </w:r>
    </w:p>
  </w:footnote>
  <w:footnote w:id="2">
    <w:p w14:paraId="2E7616C8" w14:textId="208E2C54"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 </w:t>
      </w:r>
      <w:r w:rsidRPr="002B518B">
        <w:rPr>
          <w:rFonts w:eastAsia="Times New Roman" w:cs="Arial"/>
        </w:rPr>
        <w:t>Le propriétaire et les tiers possèdent un droit propre contre l'assureur [de la responsabilité locative] » (art. 122, al. 3, de la loi précitée du 4 avril 2014).</w:t>
      </w:r>
    </w:p>
  </w:footnote>
  <w:footnote w:id="3">
    <w:p w14:paraId="13696E80" w14:textId="0B6D16FB"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Civ. Bruxelles, 4 mars 2010, </w:t>
      </w:r>
      <w:r w:rsidRPr="002B518B">
        <w:rPr>
          <w:rFonts w:cs="Arial"/>
          <w:i/>
        </w:rPr>
        <w:t>Res jur. imm</w:t>
      </w:r>
      <w:r w:rsidRPr="002B518B">
        <w:rPr>
          <w:rFonts w:cs="Arial"/>
        </w:rPr>
        <w:t>. 2012, n°1, p. 7.</w:t>
      </w:r>
    </w:p>
  </w:footnote>
  <w:footnote w:id="4">
    <w:p w14:paraId="0ED688E8" w14:textId="7CAE1786"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Art. 1315, al. 2, du Code civil.</w:t>
      </w:r>
    </w:p>
  </w:footnote>
  <w:footnote w:id="5">
    <w:p w14:paraId="540F29BB" w14:textId="78EAA6C4"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Du nom de la section 1</w:t>
      </w:r>
      <w:r w:rsidRPr="002B518B">
        <w:rPr>
          <w:rFonts w:cs="Arial"/>
          <w:vertAlign w:val="superscript"/>
        </w:rPr>
        <w:t>ère</w:t>
      </w:r>
      <w:r w:rsidRPr="002B518B">
        <w:rPr>
          <w:rFonts w:cs="Arial"/>
        </w:rPr>
        <w:t xml:space="preserve"> du chapitre II ("Du louage des choses") du titre VIII ("Du contrat de louage") du livre III ("Des différentes manières dont on acquiert la propriété") du Code civil. C’est ce que l’’on appelle le droit commun du bail (art. 1714 à 1762</w:t>
      </w:r>
      <w:r w:rsidRPr="002B518B">
        <w:rPr>
          <w:rFonts w:cs="Arial"/>
          <w:i/>
        </w:rPr>
        <w:t>bis</w:t>
      </w:r>
      <w:r w:rsidRPr="002B518B">
        <w:rPr>
          <w:rFonts w:cs="Arial"/>
        </w:rPr>
        <w:t xml:space="preserve"> du Code civil).</w:t>
      </w:r>
    </w:p>
  </w:footnote>
  <w:footnote w:id="6">
    <w:p w14:paraId="0237C8DA" w14:textId="59D07C23"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Entre autres illustrations, voy. Civ. Bruxelles, 4 mars 2010, </w:t>
      </w:r>
      <w:r w:rsidRPr="002B518B">
        <w:rPr>
          <w:rFonts w:cs="Arial"/>
          <w:i/>
        </w:rPr>
        <w:t>Res jur. imm</w:t>
      </w:r>
      <w:r w:rsidRPr="002B518B">
        <w:rPr>
          <w:rFonts w:cs="Arial"/>
        </w:rPr>
        <w:t>. 2012, n°1, p. 7.</w:t>
      </w:r>
    </w:p>
  </w:footnote>
  <w:footnote w:id="7">
    <w:p w14:paraId="45C2367A" w14:textId="2349457C"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Cass., 25 mars 2010, </w:t>
      </w:r>
      <w:r w:rsidRPr="002B518B">
        <w:rPr>
          <w:rFonts w:cs="Arial"/>
          <w:i/>
        </w:rPr>
        <w:t>R.G.D.C.</w:t>
      </w:r>
      <w:r w:rsidRPr="002B518B">
        <w:rPr>
          <w:rFonts w:cs="Arial"/>
        </w:rPr>
        <w:t>, 2012, p. 44, note M. Higny.</w:t>
      </w:r>
    </w:p>
  </w:footnote>
  <w:footnote w:id="8">
    <w:p w14:paraId="6DB8559B" w14:textId="675C9AEB"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Tiré de L. KERZMANN, « Le sort des assurances en cas de bail : l’assurance incendie et l’assurance de la responsabilité locative », </w:t>
      </w:r>
      <w:r w:rsidRPr="002B518B">
        <w:rPr>
          <w:rFonts w:cs="Arial"/>
          <w:i/>
        </w:rPr>
        <w:t>Le droit commun du bail</w:t>
      </w:r>
      <w:r w:rsidRPr="002B518B">
        <w:rPr>
          <w:rFonts w:cs="Arial"/>
        </w:rPr>
        <w:t xml:space="preserve">, sous la direction de G. Benoît </w:t>
      </w:r>
      <w:r w:rsidRPr="002B518B">
        <w:rPr>
          <w:rFonts w:cs="Arial"/>
          <w:i/>
        </w:rPr>
        <w:t>et al.</w:t>
      </w:r>
      <w:r w:rsidRPr="002B518B">
        <w:rPr>
          <w:rFonts w:cs="Arial"/>
        </w:rPr>
        <w:t>, Bruxelles, La charte, 2006, p. 556.</w:t>
      </w:r>
    </w:p>
  </w:footnote>
  <w:footnote w:id="9">
    <w:p w14:paraId="6A81F1CC" w14:textId="7D45A12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N°9 et 10.</w:t>
      </w:r>
    </w:p>
  </w:footnote>
  <w:footnote w:id="10">
    <w:p w14:paraId="0D263D3A" w14:textId="46B8DDCF"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La restitution s’entendant exclusivement du bien loué, l’incendie qui détruirait des objets situés </w:t>
      </w:r>
      <w:r w:rsidRPr="002B518B">
        <w:rPr>
          <w:rFonts w:cs="Arial"/>
          <w:i/>
        </w:rPr>
        <w:t>en dehors</w:t>
      </w:r>
      <w:r w:rsidRPr="002B518B">
        <w:rPr>
          <w:rFonts w:cs="Arial"/>
        </w:rPr>
        <w:t xml:space="preserve"> de celui-ci (dans la maison voisine par exemple) ne met pas en cause la responsabilité contractuelle du preneur (issue de l’art. 1733 du Code civil) ; il faudra alors, pour obtenir indemnisation, invoquer la responsabilité </w:t>
      </w:r>
      <w:r w:rsidRPr="002B518B">
        <w:rPr>
          <w:rFonts w:cs="Arial"/>
          <w:i/>
        </w:rPr>
        <w:t>extracontractuelle</w:t>
      </w:r>
      <w:r w:rsidRPr="002B518B">
        <w:rPr>
          <w:rFonts w:cs="Arial"/>
        </w:rPr>
        <w:t xml:space="preserve"> de celui-ci, sur pied de l’art. 1382 du Code civil. </w:t>
      </w:r>
      <w:r w:rsidRPr="002B518B">
        <w:rPr>
          <w:rFonts w:cs="Arial"/>
          <w:i/>
        </w:rPr>
        <w:t>Cf.</w:t>
      </w:r>
      <w:r w:rsidRPr="002B518B">
        <w:rPr>
          <w:rFonts w:cs="Arial"/>
        </w:rPr>
        <w:t xml:space="preserve">, pour une illustration, Liège, 20 juin 2013, </w:t>
      </w:r>
      <w:r w:rsidRPr="002B518B">
        <w:rPr>
          <w:rFonts w:cs="Arial"/>
          <w:i/>
        </w:rPr>
        <w:t>Bull. ass.</w:t>
      </w:r>
      <w:r w:rsidRPr="002B518B">
        <w:rPr>
          <w:rFonts w:cs="Arial"/>
        </w:rPr>
        <w:t>, 2014, p. 303.</w:t>
      </w:r>
    </w:p>
  </w:footnote>
  <w:footnote w:id="11">
    <w:p w14:paraId="1E95C17C" w14:textId="0469D55E"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Art. 1732 du Code civil. </w:t>
      </w:r>
      <w:r w:rsidRPr="002B518B">
        <w:rPr>
          <w:rFonts w:cs="Arial"/>
          <w:i/>
        </w:rPr>
        <w:t xml:space="preserve">Cf. </w:t>
      </w:r>
      <w:r w:rsidRPr="002B518B">
        <w:rPr>
          <w:rFonts w:cs="Arial"/>
        </w:rPr>
        <w:t>aussi l’art. 1731.</w:t>
      </w:r>
    </w:p>
  </w:footnote>
  <w:footnote w:id="12">
    <w:p w14:paraId="69606512" w14:textId="0FC763A3"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w:t>
      </w:r>
      <w:r w:rsidRPr="002B518B">
        <w:rPr>
          <w:rFonts w:cs="Arial"/>
          <w:lang w:val="fr-BE"/>
        </w:rPr>
        <w:t>C.A.</w:t>
      </w:r>
      <w:r w:rsidRPr="002B518B">
        <w:rPr>
          <w:rFonts w:cs="Arial"/>
          <w:i/>
          <w:lang w:val="fr-BE"/>
        </w:rPr>
        <w:t xml:space="preserve">, </w:t>
      </w:r>
      <w:r w:rsidRPr="002B518B">
        <w:rPr>
          <w:rFonts w:cs="Arial"/>
          <w:lang w:val="fr-BE"/>
        </w:rPr>
        <w:t xml:space="preserve">21 juin 2000, n°82/2000, B.3 et B.4, </w:t>
      </w:r>
      <w:r w:rsidRPr="002B518B">
        <w:rPr>
          <w:rFonts w:eastAsia="Times New Roman" w:cs="Arial"/>
          <w:i/>
        </w:rPr>
        <w:t>Bull. ass</w:t>
      </w:r>
      <w:r w:rsidRPr="002B518B">
        <w:rPr>
          <w:rFonts w:eastAsia="Times New Roman" w:cs="Arial"/>
        </w:rPr>
        <w:t>., 2001, p. 748, note D. de Maeseneire</w:t>
      </w:r>
    </w:p>
  </w:footnote>
  <w:footnote w:id="13">
    <w:p w14:paraId="04DE836A" w14:textId="210118AF"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Art. 1302, al. 1</w:t>
      </w:r>
      <w:r w:rsidRPr="002B518B">
        <w:rPr>
          <w:rFonts w:cs="Arial"/>
          <w:vertAlign w:val="superscript"/>
        </w:rPr>
        <w:t>er</w:t>
      </w:r>
      <w:r w:rsidRPr="002B518B">
        <w:rPr>
          <w:rFonts w:cs="Arial"/>
        </w:rPr>
        <w:t xml:space="preserve">, du Code civil. </w:t>
      </w:r>
    </w:p>
  </w:footnote>
  <w:footnote w:id="14">
    <w:p w14:paraId="3A81C467" w14:textId="6879AFBF"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N°6 et s.</w:t>
      </w:r>
    </w:p>
  </w:footnote>
  <w:footnote w:id="15">
    <w:p w14:paraId="19B6BF59" w14:textId="7777777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Cass., 6 novembre 2008, </w:t>
      </w:r>
      <w:r w:rsidRPr="002B518B">
        <w:rPr>
          <w:rFonts w:cs="Arial"/>
          <w:i/>
        </w:rPr>
        <w:t>J.L.M.B.</w:t>
      </w:r>
      <w:r w:rsidRPr="002B518B">
        <w:rPr>
          <w:rFonts w:cs="Arial"/>
        </w:rPr>
        <w:t>, 2009, p.1106.</w:t>
      </w:r>
    </w:p>
  </w:footnote>
  <w:footnote w:id="16">
    <w:p w14:paraId="5609EDB8" w14:textId="5A912FC4"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À propos de cette convention atypique, voy. notamment I. SNICK et M. SNICK, </w:t>
      </w:r>
      <w:r w:rsidRPr="002B518B">
        <w:rPr>
          <w:rFonts w:cs="Arial"/>
          <w:i/>
        </w:rPr>
        <w:t>Occupation précaire</w:t>
      </w:r>
      <w:r w:rsidRPr="002B518B">
        <w:rPr>
          <w:rFonts w:cs="Arial"/>
        </w:rPr>
        <w:t xml:space="preserve">, Gand, Story publishers, 2010 et N. BERNARD, « Bail, résiliation pour occupation personnelle et convention d’occupation précaire : une clarification bienvenue », note sous Civ. Bruxelles, 28 juin 2013, </w:t>
      </w:r>
      <w:r w:rsidRPr="002B518B">
        <w:rPr>
          <w:rFonts w:cs="Arial"/>
          <w:i/>
        </w:rPr>
        <w:t>R.G.D.C.</w:t>
      </w:r>
      <w:r w:rsidRPr="002B518B">
        <w:rPr>
          <w:rFonts w:cs="Arial"/>
        </w:rPr>
        <w:t>, 2015, p. 391 et s.</w:t>
      </w:r>
    </w:p>
  </w:footnote>
  <w:footnote w:id="17">
    <w:p w14:paraId="78C8FDA6" w14:textId="7777777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Voy. sur cet arrêt G. SCHIFFINO, « Assurance incendie : responsabilité de l’occupant précaire », </w:t>
      </w:r>
      <w:r w:rsidRPr="002B518B">
        <w:rPr>
          <w:rFonts w:cs="Arial"/>
          <w:i/>
        </w:rPr>
        <w:t>Immobilier</w:t>
      </w:r>
      <w:r w:rsidRPr="002B518B">
        <w:rPr>
          <w:rFonts w:cs="Arial"/>
        </w:rPr>
        <w:t>, 2009, n°21, p. 6 et s.</w:t>
      </w:r>
    </w:p>
  </w:footnote>
  <w:footnote w:id="18">
    <w:p w14:paraId="088F9D0F" w14:textId="0ADB14AF"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w:t>
      </w:r>
      <w:r w:rsidRPr="002B518B">
        <w:rPr>
          <w:rFonts w:cs="Arial"/>
          <w:i/>
        </w:rPr>
        <w:t>Cf.</w:t>
      </w:r>
      <w:r w:rsidRPr="002B518B">
        <w:rPr>
          <w:rFonts w:cs="Arial"/>
        </w:rPr>
        <w:t xml:space="preserve"> entre autres Cass., 16 février 1978, </w:t>
      </w:r>
      <w:r w:rsidRPr="002B518B">
        <w:rPr>
          <w:rFonts w:cs="Arial"/>
          <w:i/>
        </w:rPr>
        <w:t>Pas.</w:t>
      </w:r>
      <w:r w:rsidRPr="002B518B">
        <w:rPr>
          <w:rFonts w:cs="Arial"/>
        </w:rPr>
        <w:t>, 1978, I, p. 699 et C</w:t>
      </w:r>
      <w:r w:rsidRPr="002B518B">
        <w:rPr>
          <w:rFonts w:cs="Arial"/>
          <w:lang w:val="fr-BE"/>
        </w:rPr>
        <w:t>.A.</w:t>
      </w:r>
      <w:r w:rsidRPr="002B518B">
        <w:rPr>
          <w:rFonts w:cs="Arial"/>
          <w:i/>
          <w:lang w:val="fr-BE"/>
        </w:rPr>
        <w:t xml:space="preserve">, </w:t>
      </w:r>
      <w:r w:rsidRPr="002B518B">
        <w:rPr>
          <w:rFonts w:cs="Arial"/>
          <w:lang w:val="fr-BE"/>
        </w:rPr>
        <w:t>21 juin 2000, n°82/2000, B.4,</w:t>
      </w:r>
      <w:r w:rsidRPr="002B518B">
        <w:rPr>
          <w:rFonts w:cs="Arial"/>
          <w:i/>
          <w:lang w:val="fr-BE"/>
        </w:rPr>
        <w:t xml:space="preserve"> </w:t>
      </w:r>
      <w:r w:rsidRPr="002B518B">
        <w:rPr>
          <w:rFonts w:eastAsia="Times New Roman" w:cs="Arial"/>
          <w:i/>
        </w:rPr>
        <w:t>Bull. ass</w:t>
      </w:r>
      <w:r w:rsidRPr="002B518B">
        <w:rPr>
          <w:rFonts w:eastAsia="Times New Roman" w:cs="Arial"/>
        </w:rPr>
        <w:t>., 2001, p. 748, note D. de Maeseneire.</w:t>
      </w:r>
    </w:p>
  </w:footnote>
  <w:footnote w:id="19">
    <w:p w14:paraId="59156F04" w14:textId="0D282BE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Voy. notamment L. KERZMANN, « Le sort des assurances en cas de bail : l’assurance incendie et l’assurance de la responsabilité locative », </w:t>
      </w:r>
      <w:r w:rsidRPr="002B518B">
        <w:rPr>
          <w:rFonts w:cs="Arial"/>
          <w:i/>
        </w:rPr>
        <w:t>Le droit commun du bail</w:t>
      </w:r>
      <w:r w:rsidRPr="002B518B">
        <w:rPr>
          <w:rFonts w:cs="Arial"/>
        </w:rPr>
        <w:t xml:space="preserve">, sous la direction de G. Benoît </w:t>
      </w:r>
      <w:r w:rsidRPr="002B518B">
        <w:rPr>
          <w:rFonts w:cs="Arial"/>
          <w:i/>
        </w:rPr>
        <w:t>et al.</w:t>
      </w:r>
      <w:r w:rsidRPr="002B518B">
        <w:rPr>
          <w:rFonts w:cs="Arial"/>
        </w:rPr>
        <w:t>, Bruxelles, La charte, 2006, p. 553.</w:t>
      </w:r>
    </w:p>
  </w:footnote>
  <w:footnote w:id="20">
    <w:p w14:paraId="729B9362" w14:textId="3D82D92A"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Art. 1147 du Code civil. Voy. également les art. 1148 (« </w:t>
      </w:r>
      <w:r w:rsidRPr="002B518B">
        <w:rPr>
          <w:rFonts w:eastAsia="Times New Roman" w:cs="Arial"/>
        </w:rPr>
        <w:t xml:space="preserve">Il n'y a lieu à aucun dommages et intérêts lorsque, par suite d'une force majeure ou d'un cas fortuit, le débiteur a été empêché de donner ou de faire ce à quoi il était obligé, ou a fait ce qui lui était interdit ») et </w:t>
      </w:r>
      <w:r w:rsidRPr="002B518B">
        <w:rPr>
          <w:rFonts w:cs="Arial"/>
        </w:rPr>
        <w:t>1302, al. 1</w:t>
      </w:r>
      <w:r w:rsidRPr="002B518B">
        <w:rPr>
          <w:rFonts w:cs="Arial"/>
          <w:vertAlign w:val="superscript"/>
        </w:rPr>
        <w:t>er</w:t>
      </w:r>
      <w:r w:rsidRPr="002B518B">
        <w:rPr>
          <w:rFonts w:cs="Arial"/>
        </w:rPr>
        <w:t xml:space="preserve"> </w:t>
      </w:r>
      <w:r w:rsidRPr="002B518B">
        <w:rPr>
          <w:rFonts w:eastAsia="Times New Roman" w:cs="Arial"/>
        </w:rPr>
        <w:t>(« </w:t>
      </w:r>
      <w:r w:rsidRPr="002B518B">
        <w:rPr>
          <w:rFonts w:cs="Arial"/>
        </w:rPr>
        <w:t xml:space="preserve">Lorsque le corps certain et déterminé qui était l'objet de l'obligation, vient à périr, est mis hors du commerce, ou se perd de manière qu'on en ignore absolument l'existence, l'obligation est éteinte si la chose a péri ou a été perdue sans la faute du débiteur et avant qu'il fût en demeure ») </w:t>
      </w:r>
      <w:r w:rsidRPr="002B518B">
        <w:rPr>
          <w:rFonts w:eastAsia="Times New Roman" w:cs="Arial"/>
        </w:rPr>
        <w:t xml:space="preserve">du Code civil. </w:t>
      </w:r>
    </w:p>
  </w:footnote>
  <w:footnote w:id="21">
    <w:p w14:paraId="7809987F" w14:textId="7A4C2B41"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 </w:t>
      </w:r>
      <w:r w:rsidRPr="002B518B">
        <w:rPr>
          <w:rFonts w:cs="Arial"/>
          <w:lang w:val="fr-BE"/>
        </w:rPr>
        <w:t>La responsabilité du preneur en cas d'incendie du bien loué est une responsabilité contractuelle qui dérive uniquement de l'obligation de restitution, qui est une obligation de résultat. Il résulte de la disposition en cause qu'il suffit que le preneur prouve que l'incendie s'est déclaré sans sa faute pour décliner sa responsabilité » (C.A.</w:t>
      </w:r>
      <w:r w:rsidRPr="002B518B">
        <w:rPr>
          <w:rFonts w:cs="Arial"/>
          <w:i/>
          <w:lang w:val="fr-BE"/>
        </w:rPr>
        <w:t xml:space="preserve">, </w:t>
      </w:r>
      <w:r w:rsidRPr="002B518B">
        <w:rPr>
          <w:rFonts w:cs="Arial"/>
          <w:lang w:val="fr-BE"/>
        </w:rPr>
        <w:t>21 juin 2000, n°82/2000, B.4,</w:t>
      </w:r>
      <w:r w:rsidRPr="002B518B">
        <w:rPr>
          <w:rFonts w:cs="Arial"/>
          <w:i/>
          <w:lang w:val="fr-BE"/>
        </w:rPr>
        <w:t xml:space="preserve"> </w:t>
      </w:r>
      <w:r w:rsidRPr="002B518B">
        <w:rPr>
          <w:rFonts w:eastAsia="Times New Roman" w:cs="Arial"/>
          <w:i/>
        </w:rPr>
        <w:t>Bull. ass</w:t>
      </w:r>
      <w:r w:rsidRPr="002B518B">
        <w:rPr>
          <w:rFonts w:eastAsia="Times New Roman" w:cs="Arial"/>
        </w:rPr>
        <w:t xml:space="preserve">., 2001, p. 748, note D. de Maeseneire). </w:t>
      </w:r>
    </w:p>
  </w:footnote>
  <w:footnote w:id="22">
    <w:p w14:paraId="3C4B8812" w14:textId="67753C53"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Des œuvres de la loi du 20 février 1991 modifiant et complétant les dispositions du Code civil relatives aux baux à loyer, </w:t>
      </w:r>
      <w:r w:rsidRPr="002B518B">
        <w:rPr>
          <w:rFonts w:cs="Arial"/>
          <w:i/>
        </w:rPr>
        <w:t>M.B.</w:t>
      </w:r>
      <w:r w:rsidRPr="002B518B">
        <w:rPr>
          <w:rFonts w:cs="Arial"/>
        </w:rPr>
        <w:t>, 22 février 1991, art. 7.</w:t>
      </w:r>
    </w:p>
  </w:footnote>
  <w:footnote w:id="23">
    <w:p w14:paraId="5CB444F9" w14:textId="0259A100" w:rsidR="00576E1D" w:rsidRPr="002B518B" w:rsidRDefault="00576E1D" w:rsidP="002B518B">
      <w:pPr>
        <w:jc w:val="both"/>
        <w:rPr>
          <w:rFonts w:ascii="Arial" w:hAnsi="Arial" w:cs="Arial"/>
          <w:i/>
          <w:sz w:val="20"/>
          <w:szCs w:val="20"/>
        </w:rPr>
      </w:pPr>
      <w:r w:rsidRPr="002B518B">
        <w:rPr>
          <w:rStyle w:val="Marquenotebasdepage"/>
          <w:rFonts w:ascii="Arial" w:hAnsi="Arial" w:cs="Arial"/>
          <w:sz w:val="20"/>
          <w:szCs w:val="20"/>
        </w:rPr>
        <w:footnoteRef/>
      </w:r>
      <w:r w:rsidRPr="002B518B">
        <w:rPr>
          <w:rFonts w:ascii="Arial" w:hAnsi="Arial" w:cs="Arial"/>
          <w:sz w:val="20"/>
          <w:szCs w:val="20"/>
        </w:rPr>
        <w:t xml:space="preserve"> </w:t>
      </w:r>
      <w:r w:rsidRPr="002B518B">
        <w:rPr>
          <w:rFonts w:ascii="Arial" w:hAnsi="Arial" w:cs="Arial"/>
          <w:i/>
          <w:sz w:val="20"/>
          <w:szCs w:val="20"/>
        </w:rPr>
        <w:t xml:space="preserve">Cf. </w:t>
      </w:r>
      <w:r w:rsidRPr="002B518B">
        <w:rPr>
          <w:rFonts w:ascii="Arial" w:hAnsi="Arial" w:cs="Arial"/>
          <w:sz w:val="20"/>
          <w:szCs w:val="20"/>
        </w:rPr>
        <w:t xml:space="preserve">Y. MERCHIERS, « La responsabilité du locataire en cas d’incendie et son assurance », </w:t>
      </w:r>
      <w:r w:rsidRPr="002B518B">
        <w:rPr>
          <w:rFonts w:ascii="Arial" w:hAnsi="Arial" w:cs="Arial"/>
          <w:i/>
          <w:sz w:val="20"/>
          <w:szCs w:val="20"/>
        </w:rPr>
        <w:t>Mélanges offerts à R.O. Dalcq. Responsabilité et assurances</w:t>
      </w:r>
      <w:r w:rsidRPr="002B518B">
        <w:rPr>
          <w:rFonts w:ascii="Arial" w:hAnsi="Arial" w:cs="Arial"/>
          <w:sz w:val="20"/>
          <w:szCs w:val="20"/>
        </w:rPr>
        <w:t>, Bruxelles, Larcier, 1994, p. 426.</w:t>
      </w:r>
    </w:p>
  </w:footnote>
  <w:footnote w:id="24">
    <w:p w14:paraId="7233ED4A" w14:textId="14452A4E"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w:t>
      </w:r>
      <w:r w:rsidRPr="002B518B">
        <w:rPr>
          <w:rFonts w:cs="Arial"/>
          <w:i/>
        </w:rPr>
        <w:t>Cf.</w:t>
      </w:r>
      <w:r w:rsidRPr="002B518B">
        <w:rPr>
          <w:rFonts w:cs="Arial"/>
        </w:rPr>
        <w:t xml:space="preserve"> entre autres Cass., 26 février 1988, </w:t>
      </w:r>
      <w:r w:rsidRPr="002B518B">
        <w:rPr>
          <w:rFonts w:cs="Arial"/>
          <w:i/>
        </w:rPr>
        <w:t>J.T.</w:t>
      </w:r>
      <w:r w:rsidRPr="002B518B">
        <w:rPr>
          <w:rFonts w:cs="Arial"/>
        </w:rPr>
        <w:t>, 1989, p. 196.</w:t>
      </w:r>
    </w:p>
  </w:footnote>
  <w:footnote w:id="25">
    <w:p w14:paraId="3717D41C" w14:textId="020969D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Civ. Liège, 4 septembre 1990, </w:t>
      </w:r>
      <w:r w:rsidRPr="002B518B">
        <w:rPr>
          <w:rFonts w:cs="Arial"/>
          <w:i/>
        </w:rPr>
        <w:t>J.L.M.B.</w:t>
      </w:r>
      <w:r w:rsidRPr="002B518B">
        <w:rPr>
          <w:rFonts w:cs="Arial"/>
        </w:rPr>
        <w:t>, 1990, p. 1279.</w:t>
      </w:r>
    </w:p>
  </w:footnote>
  <w:footnote w:id="26">
    <w:p w14:paraId="2910BA9F" w14:textId="1CC81A08"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N. PUISSANT, </w:t>
      </w:r>
      <w:r w:rsidRPr="002B518B">
        <w:rPr>
          <w:rFonts w:cs="Arial"/>
          <w:i/>
        </w:rPr>
        <w:t xml:space="preserve">Manuel permanent des baux à loyer et commerciaux, </w:t>
      </w:r>
      <w:r w:rsidRPr="002B518B">
        <w:rPr>
          <w:rFonts w:cs="Arial"/>
        </w:rPr>
        <w:t>Gand, Story publishers, 2007, p. B – IV – 1 – 93.</w:t>
      </w:r>
    </w:p>
  </w:footnote>
  <w:footnote w:id="27">
    <w:p w14:paraId="6F84184C" w14:textId="754C5CA9"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Cet état de fait ne décharge cependant le locataire de sa responsabilité qu’à la double condition pour lui d’avoir averti le bailleur à temps de la défaillance (pour autant que le vice soit apparent) et, en amont, de ne pas avoir lui-même failli à son éventuelle obligation d’entretien de l’appareil. Sur la distinction entre vice apparent et caché (et l’éventuelle responsabilité corrélative du preneur en cas d’incendie), voy. entre autres Mons, 9 mars 2011, </w:t>
      </w:r>
      <w:r w:rsidRPr="002B518B">
        <w:rPr>
          <w:rFonts w:cs="Arial"/>
          <w:i/>
        </w:rPr>
        <w:t>Bull. ass.</w:t>
      </w:r>
      <w:r w:rsidRPr="002B518B">
        <w:rPr>
          <w:rFonts w:cs="Arial"/>
        </w:rPr>
        <w:t xml:space="preserve">, 2011, p. 445 et Liège, 26 avril 2011, </w:t>
      </w:r>
      <w:r w:rsidRPr="002B518B">
        <w:rPr>
          <w:rFonts w:cs="Arial"/>
          <w:i/>
        </w:rPr>
        <w:t>Bull. ass.</w:t>
      </w:r>
      <w:r w:rsidRPr="002B518B">
        <w:rPr>
          <w:rFonts w:cs="Arial"/>
        </w:rPr>
        <w:t>, 2012, p. 121.</w:t>
      </w:r>
    </w:p>
  </w:footnote>
  <w:footnote w:id="28">
    <w:p w14:paraId="7E04B230" w14:textId="623DF87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Voy. </w:t>
      </w:r>
      <w:r w:rsidRPr="002B518B">
        <w:rPr>
          <w:rFonts w:cs="Arial"/>
          <w:i/>
        </w:rPr>
        <w:t>infra</w:t>
      </w:r>
      <w:r w:rsidRPr="002B518B">
        <w:rPr>
          <w:rFonts w:cs="Arial"/>
        </w:rPr>
        <w:t xml:space="preserve"> (n°13) pour l’hypothèse de l’appareil placé là par le preneur.</w:t>
      </w:r>
    </w:p>
  </w:footnote>
  <w:footnote w:id="29">
    <w:p w14:paraId="03DFD961" w14:textId="26F13890"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Cass., 10 février 1994, </w:t>
      </w:r>
      <w:r w:rsidRPr="002B518B">
        <w:rPr>
          <w:rFonts w:cs="Arial"/>
          <w:i/>
        </w:rPr>
        <w:t>J.L.M.B.</w:t>
      </w:r>
      <w:r w:rsidRPr="002B518B">
        <w:rPr>
          <w:rFonts w:cs="Arial"/>
        </w:rPr>
        <w:t xml:space="preserve">, 1994, p. 764. Relativement à ce sujet, voy. M. HIGNY, « La déficience des installations électriques en droit du bail », note sous Cass., 25 mars 2010, </w:t>
      </w:r>
      <w:r w:rsidRPr="002B518B">
        <w:rPr>
          <w:rFonts w:cs="Arial"/>
          <w:i/>
        </w:rPr>
        <w:t>R.G.D.C.</w:t>
      </w:r>
      <w:r w:rsidRPr="002B518B">
        <w:rPr>
          <w:rFonts w:cs="Arial"/>
        </w:rPr>
        <w:t>, 2012, p. 56.</w:t>
      </w:r>
    </w:p>
  </w:footnote>
  <w:footnote w:id="30">
    <w:p w14:paraId="7CD482C6" w14:textId="4608A73A" w:rsidR="00576E1D" w:rsidRPr="002B518B" w:rsidRDefault="00576E1D" w:rsidP="002B518B">
      <w:pPr>
        <w:pStyle w:val="Notedebasdepage"/>
        <w:jc w:val="both"/>
        <w:rPr>
          <w:rFonts w:cs="Arial"/>
          <w:i/>
        </w:rPr>
      </w:pPr>
      <w:r w:rsidRPr="002B518B">
        <w:rPr>
          <w:rStyle w:val="Marquenotebasdepage"/>
          <w:rFonts w:cs="Arial"/>
        </w:rPr>
        <w:footnoteRef/>
      </w:r>
      <w:r w:rsidRPr="002B518B">
        <w:rPr>
          <w:rFonts w:cs="Arial"/>
        </w:rPr>
        <w:t xml:space="preserve"> </w:t>
      </w:r>
      <w:r w:rsidRPr="002B518B">
        <w:rPr>
          <w:rFonts w:cs="Arial"/>
          <w:i/>
        </w:rPr>
        <w:t xml:space="preserve">Cf. </w:t>
      </w:r>
      <w:r w:rsidRPr="002B518B">
        <w:rPr>
          <w:rFonts w:eastAsia="Times New Roman" w:cs="Arial"/>
          <w:bCs/>
          <w:kern w:val="36"/>
        </w:rPr>
        <w:t xml:space="preserve">M. </w:t>
      </w:r>
      <w:r w:rsidRPr="00A634AC">
        <w:rPr>
          <w:rFonts w:eastAsia="Times New Roman" w:cs="Arial"/>
          <w:bCs/>
          <w:kern w:val="36"/>
        </w:rPr>
        <w:t xml:space="preserve">DAMBRE, </w:t>
      </w:r>
      <w:r w:rsidRPr="002B518B">
        <w:rPr>
          <w:rFonts w:eastAsia="Times New Roman" w:cs="Arial"/>
          <w:bCs/>
          <w:kern w:val="36"/>
        </w:rPr>
        <w:t>« </w:t>
      </w:r>
      <w:r w:rsidRPr="00A634AC">
        <w:rPr>
          <w:rFonts w:eastAsia="Times New Roman" w:cs="Arial"/>
          <w:bCs/>
          <w:kern w:val="36"/>
        </w:rPr>
        <w:t>De verbintenis van de huurder tot teruggave van het gehuurde goed en zijn aansprakelijkheid voor brand</w:t>
      </w:r>
      <w:r w:rsidRPr="002B518B">
        <w:rPr>
          <w:rFonts w:eastAsia="Times New Roman" w:cs="Arial"/>
          <w:bCs/>
          <w:kern w:val="36"/>
        </w:rPr>
        <w:t> »,</w:t>
      </w:r>
      <w:r w:rsidRPr="00A634AC">
        <w:rPr>
          <w:rFonts w:eastAsia="Times New Roman" w:cs="Arial"/>
          <w:bCs/>
          <w:kern w:val="36"/>
        </w:rPr>
        <w:t xml:space="preserve"> </w:t>
      </w:r>
      <w:r w:rsidRPr="00A634AC">
        <w:rPr>
          <w:rFonts w:eastAsia="Times New Roman" w:cs="Arial"/>
        </w:rPr>
        <w:t>R.G.D.C.</w:t>
      </w:r>
      <w:r w:rsidRPr="002B518B">
        <w:rPr>
          <w:rFonts w:eastAsia="Times New Roman" w:cs="Arial"/>
        </w:rPr>
        <w:t>,</w:t>
      </w:r>
      <w:r w:rsidRPr="00A634AC">
        <w:rPr>
          <w:rFonts w:eastAsia="Times New Roman" w:cs="Arial"/>
        </w:rPr>
        <w:t xml:space="preserve"> 2003, </w:t>
      </w:r>
      <w:r w:rsidRPr="002B518B">
        <w:rPr>
          <w:rFonts w:eastAsia="Times New Roman" w:cs="Arial"/>
        </w:rPr>
        <w:t>p. 620 et s</w:t>
      </w:r>
      <w:r w:rsidRPr="00A634AC">
        <w:rPr>
          <w:rFonts w:eastAsia="Times New Roman" w:cs="Arial"/>
        </w:rPr>
        <w:t>.</w:t>
      </w:r>
    </w:p>
  </w:footnote>
  <w:footnote w:id="31">
    <w:p w14:paraId="13EADA9C" w14:textId="46B576ED"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Notamment J.P. Etterbeek, 16 décembre 2013, </w:t>
      </w:r>
      <w:r w:rsidRPr="002B518B">
        <w:rPr>
          <w:rFonts w:cs="Arial"/>
          <w:i/>
        </w:rPr>
        <w:t>J.J.P.</w:t>
      </w:r>
      <w:r w:rsidRPr="002B518B">
        <w:rPr>
          <w:rFonts w:cs="Arial"/>
        </w:rPr>
        <w:t>, 2015, p. 235.</w:t>
      </w:r>
    </w:p>
  </w:footnote>
  <w:footnote w:id="32">
    <w:p w14:paraId="26CB7536" w14:textId="032D8446"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Mons, 16 avril 2008, </w:t>
      </w:r>
      <w:r w:rsidRPr="002B518B">
        <w:rPr>
          <w:rFonts w:cs="Arial"/>
          <w:i/>
        </w:rPr>
        <w:t>J.L.M.B.</w:t>
      </w:r>
      <w:r w:rsidRPr="002B518B">
        <w:rPr>
          <w:rFonts w:cs="Arial"/>
        </w:rPr>
        <w:t>, 2009, p. 487.</w:t>
      </w:r>
    </w:p>
  </w:footnote>
  <w:footnote w:id="33">
    <w:p w14:paraId="5DFCB8FB" w14:textId="30D59BBD"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En ce sens que « l’on peut induire d’un ensemble de présomptions graves, précises et concordantes que le sinistre résulte d’une cause étrangère au locataire » (Mons, 22 février 2005, </w:t>
      </w:r>
      <w:r w:rsidRPr="002B518B">
        <w:rPr>
          <w:rFonts w:cs="Arial"/>
          <w:i/>
        </w:rPr>
        <w:t>J.L.M.B.</w:t>
      </w:r>
      <w:r w:rsidRPr="002B518B">
        <w:rPr>
          <w:rFonts w:cs="Arial"/>
        </w:rPr>
        <w:t>, 2006, p. 360).</w:t>
      </w:r>
    </w:p>
  </w:footnote>
  <w:footnote w:id="34">
    <w:p w14:paraId="75AF4B5F" w14:textId="3779E2C1"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F. </w:t>
      </w:r>
      <w:r w:rsidRPr="002B518B">
        <w:rPr>
          <w:rFonts w:eastAsia="Times New Roman" w:cs="Arial"/>
        </w:rPr>
        <w:t>RAYMAEKERS, « </w:t>
      </w:r>
      <w:r w:rsidRPr="002B518B">
        <w:rPr>
          <w:rFonts w:eastAsia="Times New Roman" w:cs="Arial"/>
          <w:bCs/>
          <w:kern w:val="36"/>
        </w:rPr>
        <w:t xml:space="preserve">Responsabilité du locataire en cas d'incendie: 'Dommage assuré?' », </w:t>
      </w:r>
      <w:r w:rsidRPr="002B518B">
        <w:rPr>
          <w:rFonts w:eastAsia="Times New Roman" w:cs="Arial"/>
          <w:bCs/>
          <w:i/>
          <w:kern w:val="36"/>
        </w:rPr>
        <w:t xml:space="preserve">Immobilier, </w:t>
      </w:r>
      <w:r w:rsidRPr="002B518B">
        <w:rPr>
          <w:rFonts w:eastAsia="Times New Roman" w:cs="Arial"/>
          <w:bCs/>
          <w:kern w:val="36"/>
        </w:rPr>
        <w:t>2004, n°2, p</w:t>
      </w:r>
      <w:r w:rsidRPr="002B518B">
        <w:rPr>
          <w:rFonts w:cs="Arial"/>
        </w:rPr>
        <w:t>. 3.</w:t>
      </w:r>
    </w:p>
  </w:footnote>
  <w:footnote w:id="35">
    <w:p w14:paraId="35F38056" w14:textId="7777777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J.P. Forest, 4 mai 2015, </w:t>
      </w:r>
      <w:r w:rsidRPr="002B518B">
        <w:rPr>
          <w:rFonts w:cs="Arial"/>
          <w:i/>
        </w:rPr>
        <w:t>J.J.P.</w:t>
      </w:r>
      <w:r w:rsidRPr="002B518B">
        <w:rPr>
          <w:rFonts w:cs="Arial"/>
        </w:rPr>
        <w:t>, 2016, p. 81.</w:t>
      </w:r>
    </w:p>
  </w:footnote>
  <w:footnote w:id="36">
    <w:p w14:paraId="3CA8E685" w14:textId="5659BFA1"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Suivant les termes de l’art. 1353 du Code civil. Au passage, on a là un nouvel emprunt au droit commun des obligations contractuelles.</w:t>
      </w:r>
    </w:p>
  </w:footnote>
  <w:footnote w:id="37">
    <w:p w14:paraId="2809DDC8" w14:textId="17274D06"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Voy. entre autres Cass., 29 novembre 1984, </w:t>
      </w:r>
      <w:r w:rsidRPr="002B518B">
        <w:rPr>
          <w:rFonts w:cs="Arial"/>
          <w:i/>
        </w:rPr>
        <w:t>R.C.J.B.</w:t>
      </w:r>
      <w:r w:rsidRPr="002B518B">
        <w:rPr>
          <w:rFonts w:cs="Arial"/>
        </w:rPr>
        <w:t>, 1987, p. 813.</w:t>
      </w:r>
    </w:p>
  </w:footnote>
  <w:footnote w:id="38">
    <w:p w14:paraId="36A061B2" w14:textId="214836A8"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P. ROBIN, « Au feu ! », </w:t>
      </w:r>
      <w:r w:rsidRPr="002B518B">
        <w:rPr>
          <w:rFonts w:cs="Arial"/>
          <w:i/>
        </w:rPr>
        <w:t>Le Pli juridique</w:t>
      </w:r>
      <w:r w:rsidRPr="002B518B">
        <w:rPr>
          <w:rFonts w:cs="Arial"/>
        </w:rPr>
        <w:t>, n°23, 2013, p. 26.</w:t>
      </w:r>
    </w:p>
  </w:footnote>
  <w:footnote w:id="39">
    <w:p w14:paraId="41D0BA4A" w14:textId="2B0677AF"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F. </w:t>
      </w:r>
      <w:r w:rsidRPr="002B518B">
        <w:rPr>
          <w:rFonts w:eastAsia="Times New Roman" w:cs="Arial"/>
        </w:rPr>
        <w:t>RAYMAEKERS, « </w:t>
      </w:r>
      <w:r w:rsidRPr="002B518B">
        <w:rPr>
          <w:rFonts w:eastAsia="Times New Roman" w:cs="Arial"/>
          <w:bCs/>
          <w:kern w:val="36"/>
        </w:rPr>
        <w:t xml:space="preserve">Responsabilité du locataire en cas d'incendie: 'Dommage assuré?' », </w:t>
      </w:r>
      <w:r w:rsidRPr="002B518B">
        <w:rPr>
          <w:rFonts w:eastAsia="Times New Roman" w:cs="Arial"/>
          <w:bCs/>
          <w:i/>
          <w:kern w:val="36"/>
        </w:rPr>
        <w:t xml:space="preserve">Immobilier, </w:t>
      </w:r>
      <w:r w:rsidRPr="002B518B">
        <w:rPr>
          <w:rFonts w:eastAsia="Times New Roman" w:cs="Arial"/>
          <w:bCs/>
          <w:kern w:val="36"/>
        </w:rPr>
        <w:t>2004, n°2, p</w:t>
      </w:r>
      <w:r w:rsidRPr="002B518B">
        <w:rPr>
          <w:rFonts w:cs="Arial"/>
        </w:rPr>
        <w:t>. 3.</w:t>
      </w:r>
    </w:p>
  </w:footnote>
  <w:footnote w:id="40">
    <w:p w14:paraId="09DAC300" w14:textId="7B841133"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SI sa responsabilité est engagée (et en dehors de l’hypothèse du partage de responsabilités avec le bailleur), c’est </w:t>
      </w:r>
      <w:r w:rsidRPr="002B518B">
        <w:rPr>
          <w:rFonts w:cs="Arial"/>
          <w:i/>
        </w:rPr>
        <w:t>l’intégralité</w:t>
      </w:r>
      <w:r w:rsidRPr="002B518B">
        <w:rPr>
          <w:rFonts w:cs="Arial"/>
        </w:rPr>
        <w:t xml:space="preserve"> du dommage que le preneur devra en effet rembourser… ce qui, s’agissant d’un événement aussi destructeur que l’incendie, peut vite atteindre des montants très élevés. </w:t>
      </w:r>
    </w:p>
  </w:footnote>
  <w:footnote w:id="41">
    <w:p w14:paraId="0992CB25" w14:textId="7777777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L’éventuel dédommagement payé sur cette base bénéficiera non pas au preneur mais au propriétaire du logement, et à lui seul (« </w:t>
      </w:r>
      <w:r w:rsidRPr="002B518B">
        <w:rPr>
          <w:rFonts w:eastAsia="Times New Roman" w:cs="Arial"/>
        </w:rPr>
        <w:t>L'indemnité due par l'assureur de la responsabilité locative est dévolue, tant en cas de location que de sous-location, au propriétaire du bien loué, à l'exclusion des autres créanciers du locataire ou du sous-locataire » (art. 122, al. 1</w:t>
      </w:r>
      <w:r w:rsidRPr="002B518B">
        <w:rPr>
          <w:rFonts w:eastAsia="Times New Roman" w:cs="Arial"/>
          <w:vertAlign w:val="superscript"/>
        </w:rPr>
        <w:t>er</w:t>
      </w:r>
      <w:r w:rsidRPr="002B518B">
        <w:rPr>
          <w:rFonts w:eastAsia="Times New Roman" w:cs="Arial"/>
        </w:rPr>
        <w:t xml:space="preserve">, de la loi du 4 avril 2014 relative aux assurances, </w:t>
      </w:r>
      <w:r w:rsidRPr="002B518B">
        <w:rPr>
          <w:rFonts w:eastAsia="Times New Roman" w:cs="Arial"/>
          <w:i/>
        </w:rPr>
        <w:t>M.B.</w:t>
      </w:r>
      <w:r w:rsidRPr="002B518B">
        <w:rPr>
          <w:rFonts w:eastAsia="Times New Roman" w:cs="Arial"/>
        </w:rPr>
        <w:t>, 30 avril 2014)</w:t>
      </w:r>
      <w:r w:rsidRPr="002B518B">
        <w:rPr>
          <w:rFonts w:cs="Arial"/>
        </w:rPr>
        <w:t>.</w:t>
      </w:r>
    </w:p>
  </w:footnote>
  <w:footnote w:id="42">
    <w:p w14:paraId="791680F6" w14:textId="0AF84D89"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Ce qui la distingue de l’assurance </w:t>
      </w:r>
      <w:r w:rsidRPr="002B518B">
        <w:rPr>
          <w:rFonts w:cs="Arial"/>
          <w:i/>
        </w:rPr>
        <w:t>extracontractuelle</w:t>
      </w:r>
      <w:r w:rsidRPr="002B518B">
        <w:rPr>
          <w:rFonts w:cs="Arial"/>
        </w:rPr>
        <w:t xml:space="preserve"> classique, la R.C. familiale.</w:t>
      </w:r>
    </w:p>
  </w:footnote>
  <w:footnote w:id="43">
    <w:p w14:paraId="123B7244" w14:textId="07D2803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Parfois même la convention locative exige du locataire qu’il souscrive auprès de la compagnie qui a déjà assuré l’immeuble du propriétaire.</w:t>
      </w:r>
    </w:p>
  </w:footnote>
  <w:footnote w:id="44">
    <w:p w14:paraId="38C63F32" w14:textId="7F546D66"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w:t>
      </w:r>
      <w:r w:rsidRPr="002B518B">
        <w:rPr>
          <w:rFonts w:cs="Arial"/>
          <w:i/>
        </w:rPr>
        <w:t xml:space="preserve">Cf. </w:t>
      </w:r>
      <w:r w:rsidRPr="002B518B">
        <w:rPr>
          <w:rFonts w:cs="Arial"/>
        </w:rPr>
        <w:t xml:space="preserve">M. HIGNY, « La déficience des installations électriques en droit du bail », note sous Cass., 25 mars 2010, </w:t>
      </w:r>
      <w:r w:rsidRPr="002B518B">
        <w:rPr>
          <w:rFonts w:cs="Arial"/>
          <w:i/>
        </w:rPr>
        <w:t>R.G.D.C.</w:t>
      </w:r>
      <w:r w:rsidRPr="002B518B">
        <w:rPr>
          <w:rFonts w:cs="Arial"/>
        </w:rPr>
        <w:t>, 2012, p. 56. L’expression avait cependant été utilisée pour désigner le risque qu’encourt le preneur omettant de signaler au bailleur le vice affectant les installations électriques.</w:t>
      </w:r>
    </w:p>
  </w:footnote>
  <w:footnote w:id="45">
    <w:p w14:paraId="3232D18F" w14:textId="4D82116C"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Et spécifiquement le propriétaire, plutôt que le bailleur par exemple (au cas où il s’agirait de deux personnes différentes).</w:t>
      </w:r>
    </w:p>
  </w:footnote>
  <w:footnote w:id="46">
    <w:p w14:paraId="380B8FA8" w14:textId="6E2EAB3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En réalité, l’assurance dite incendie garantira le propriétaire contre bien d’autres dégâts que ceux que les flammes provoqueraient. Ainsi, « sauf convention contraire, l'assurance contre l'incendie garantit les biens assurés contre les dégâts causés par l'incendie, par la foudre, par l'explosion, par l'implosion ainsi que par la chute ou le heurt d'appareils de navigation aérienne ou d'objets qui en tombent ou qui en sont projetés et par le heurt de tous autres véhicules ou d'animaux » (art. 115 </w:t>
      </w:r>
      <w:r w:rsidRPr="002B518B">
        <w:rPr>
          <w:rFonts w:eastAsia="Times New Roman" w:cs="Arial"/>
        </w:rPr>
        <w:t xml:space="preserve">de la loi du 4 avril 2014 relative aux assurances, </w:t>
      </w:r>
      <w:r w:rsidRPr="002B518B">
        <w:rPr>
          <w:rFonts w:eastAsia="Times New Roman" w:cs="Arial"/>
          <w:i/>
        </w:rPr>
        <w:t>M.B.</w:t>
      </w:r>
      <w:r w:rsidRPr="002B518B">
        <w:rPr>
          <w:rFonts w:eastAsia="Times New Roman" w:cs="Arial"/>
        </w:rPr>
        <w:t>, 30 avril 2014)</w:t>
      </w:r>
      <w:r w:rsidRPr="002B518B">
        <w:rPr>
          <w:rFonts w:cs="Arial"/>
        </w:rPr>
        <w:t>.</w:t>
      </w:r>
    </w:p>
  </w:footnote>
  <w:footnote w:id="47">
    <w:p w14:paraId="1180F3AD" w14:textId="4E35FCBA"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D’où l’intitulé de l’assurance d’ailleurs (« responsabilité locative »).</w:t>
      </w:r>
    </w:p>
  </w:footnote>
  <w:footnote w:id="48">
    <w:p w14:paraId="2DF94506" w14:textId="252FAC33"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Lequel a un alibi en quelque sorte (il était au cinéma — avec son fils et son frère — pendant ce temps-là).</w:t>
      </w:r>
    </w:p>
  </w:footnote>
  <w:footnote w:id="49">
    <w:p w14:paraId="624F363E" w14:textId="408EDCD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Puisant sa source dans une convention (le bail, ici), cette responsabilité n’est pas à confondre dès lors avec la responsabilité extracontractuelle portée par les articles 1384 et suivants du Code civil. « </w:t>
      </w:r>
      <w:r w:rsidRPr="002B518B">
        <w:rPr>
          <w:rFonts w:eastAsia="Times New Roman" w:cs="Arial"/>
        </w:rPr>
        <w:t>La responsabilité du preneur en cas d'incendie du bien loué est une responsabilité contractuelle »</w:t>
      </w:r>
      <w:r w:rsidRPr="002B518B">
        <w:rPr>
          <w:rFonts w:cs="Arial"/>
        </w:rPr>
        <w:t>, appuie la Cour constitutionnelle (C</w:t>
      </w:r>
      <w:r w:rsidRPr="002B518B">
        <w:rPr>
          <w:rFonts w:cs="Arial"/>
          <w:lang w:val="fr-BE"/>
        </w:rPr>
        <w:t>.A.</w:t>
      </w:r>
      <w:r w:rsidRPr="002B518B">
        <w:rPr>
          <w:rFonts w:cs="Arial"/>
          <w:i/>
          <w:lang w:val="fr-BE"/>
        </w:rPr>
        <w:t xml:space="preserve">, </w:t>
      </w:r>
      <w:r w:rsidRPr="002B518B">
        <w:rPr>
          <w:rFonts w:cs="Arial"/>
          <w:lang w:val="fr-BE"/>
        </w:rPr>
        <w:t>21 juin 2000, n°82/2000, B.4,</w:t>
      </w:r>
      <w:r w:rsidRPr="002B518B">
        <w:rPr>
          <w:rFonts w:cs="Arial"/>
          <w:i/>
          <w:lang w:val="fr-BE"/>
        </w:rPr>
        <w:t xml:space="preserve"> </w:t>
      </w:r>
      <w:r w:rsidRPr="002B518B">
        <w:rPr>
          <w:rFonts w:eastAsia="Times New Roman" w:cs="Arial"/>
          <w:i/>
        </w:rPr>
        <w:t>Bull. ass</w:t>
      </w:r>
      <w:r w:rsidRPr="002B518B">
        <w:rPr>
          <w:rFonts w:eastAsia="Times New Roman" w:cs="Arial"/>
        </w:rPr>
        <w:t>., 2001, p. 748, note D. de Maeseneire).</w:t>
      </w:r>
    </w:p>
  </w:footnote>
  <w:footnote w:id="50">
    <w:p w14:paraId="53BCB2B5" w14:textId="0BDEAE99"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 Lorsque […] l’incendie a pour origine le fait intentionnel d’un tiers demeuré inconnu, cette preuve ne suffit pas à établir que le locataire n’a commis aucune faute en relation causale avec le sinistre ».</w:t>
      </w:r>
    </w:p>
  </w:footnote>
  <w:footnote w:id="51">
    <w:p w14:paraId="6E287C3B" w14:textId="0B98408B"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Civ. Bruxelles, 4 mars 2010, </w:t>
      </w:r>
      <w:r w:rsidRPr="002B518B">
        <w:rPr>
          <w:rFonts w:cs="Arial"/>
          <w:i/>
        </w:rPr>
        <w:t>Res jur. imm</w:t>
      </w:r>
      <w:r w:rsidRPr="002B518B">
        <w:rPr>
          <w:rFonts w:cs="Arial"/>
        </w:rPr>
        <w:t>. 2012, n°1, p. 7.</w:t>
      </w:r>
    </w:p>
  </w:footnote>
  <w:footnote w:id="52">
    <w:p w14:paraId="70E8D1A9" w14:textId="3FB641C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Mons, 19 février 2001, </w:t>
      </w:r>
      <w:r w:rsidRPr="002B518B">
        <w:rPr>
          <w:rFonts w:cs="Arial"/>
          <w:i/>
        </w:rPr>
        <w:t>R.G.A.R.</w:t>
      </w:r>
      <w:r w:rsidRPr="002B518B">
        <w:rPr>
          <w:rFonts w:cs="Arial"/>
        </w:rPr>
        <w:t>, 2002, n°13.571.</w:t>
      </w:r>
    </w:p>
  </w:footnote>
  <w:footnote w:id="53">
    <w:p w14:paraId="56E6406D" w14:textId="576A847C"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Dans l’espèce annotée.</w:t>
      </w:r>
    </w:p>
  </w:footnote>
  <w:footnote w:id="54">
    <w:p w14:paraId="17BA234E" w14:textId="047D1E6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F. </w:t>
      </w:r>
      <w:r w:rsidRPr="002B518B">
        <w:rPr>
          <w:rFonts w:eastAsia="Times New Roman" w:cs="Arial"/>
        </w:rPr>
        <w:t>RAYMAEKERS, « </w:t>
      </w:r>
      <w:r w:rsidRPr="002B518B">
        <w:rPr>
          <w:rFonts w:eastAsia="Times New Roman" w:cs="Arial"/>
          <w:bCs/>
          <w:kern w:val="36"/>
        </w:rPr>
        <w:t xml:space="preserve">Responsabilité du locataire en cas d'incendie: 'Dommage assuré?' », </w:t>
      </w:r>
      <w:r w:rsidRPr="002B518B">
        <w:rPr>
          <w:rFonts w:eastAsia="Times New Roman" w:cs="Arial"/>
          <w:bCs/>
          <w:i/>
          <w:kern w:val="36"/>
        </w:rPr>
        <w:t xml:space="preserve">Immobilier, </w:t>
      </w:r>
      <w:r w:rsidRPr="002B518B">
        <w:rPr>
          <w:rFonts w:eastAsia="Times New Roman" w:cs="Arial"/>
          <w:bCs/>
          <w:kern w:val="36"/>
        </w:rPr>
        <w:t>2004, n°2, p</w:t>
      </w:r>
      <w:r w:rsidRPr="002B518B">
        <w:rPr>
          <w:rFonts w:cs="Arial"/>
        </w:rPr>
        <w:t>. 6.</w:t>
      </w:r>
    </w:p>
  </w:footnote>
  <w:footnote w:id="55">
    <w:p w14:paraId="02A61266" w14:textId="1941ED13"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Ou pour un temps bref.</w:t>
      </w:r>
    </w:p>
  </w:footnote>
  <w:footnote w:id="56">
    <w:p w14:paraId="300E4488" w14:textId="15F4217E"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Ce, même si les travaux auraient dû — en vertu de la répartition des réparations entre preneur et bailleur — être effectués par ce dernier plutôt (pour le chauffage par exemple). Voy. N. PUISSANT, </w:t>
      </w:r>
      <w:r w:rsidRPr="002B518B">
        <w:rPr>
          <w:rFonts w:cs="Arial"/>
          <w:i/>
        </w:rPr>
        <w:t xml:space="preserve">Manuel permanent des baux à loyer et commerciaux, </w:t>
      </w:r>
      <w:r w:rsidRPr="002B518B">
        <w:rPr>
          <w:rFonts w:cs="Arial"/>
        </w:rPr>
        <w:t>Gand, Story publishers, 2007, p. B – IV – 1 – 97.</w:t>
      </w:r>
    </w:p>
  </w:footnote>
  <w:footnote w:id="57">
    <w:p w14:paraId="2FA7BE8B" w14:textId="256412FD"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Mons, 22 février 2005, </w:t>
      </w:r>
      <w:r w:rsidRPr="002B518B">
        <w:rPr>
          <w:rFonts w:cs="Arial"/>
          <w:i/>
        </w:rPr>
        <w:t>J.L.M.B.</w:t>
      </w:r>
      <w:r w:rsidRPr="002B518B">
        <w:rPr>
          <w:rFonts w:cs="Arial"/>
        </w:rPr>
        <w:t>, 2006, p. 360, souligné par nous.</w:t>
      </w:r>
    </w:p>
  </w:footnote>
  <w:footnote w:id="58">
    <w:p w14:paraId="4AF271AC" w14:textId="2399A8FA"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w:t>
      </w:r>
      <w:r w:rsidRPr="002B518B">
        <w:rPr>
          <w:rFonts w:cs="Arial"/>
          <w:i/>
        </w:rPr>
        <w:t>A contrario</w:t>
      </w:r>
      <w:r w:rsidRPr="002B518B">
        <w:rPr>
          <w:rFonts w:cs="Arial"/>
        </w:rPr>
        <w:t xml:space="preserve">, l’absence d’une quelconque trace d’effraction est indicative d’une négligence dans le chef du locataire (Mons, 25 novembre 2008, </w:t>
      </w:r>
      <w:r w:rsidRPr="002B518B">
        <w:rPr>
          <w:rFonts w:cs="Arial"/>
          <w:i/>
        </w:rPr>
        <w:t>J.L.M.B.</w:t>
      </w:r>
      <w:r w:rsidRPr="002B518B">
        <w:rPr>
          <w:rFonts w:cs="Arial"/>
        </w:rPr>
        <w:t>, 2010, p. 1879, somm.).</w:t>
      </w:r>
    </w:p>
  </w:footnote>
  <w:footnote w:id="59">
    <w:p w14:paraId="5DBEDECC" w14:textId="41776C19"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Bruxelles, 15 décembre 2015, </w:t>
      </w:r>
      <w:r w:rsidRPr="002B518B">
        <w:rPr>
          <w:rFonts w:cs="Arial"/>
          <w:i/>
        </w:rPr>
        <w:t>R.G.A.R.</w:t>
      </w:r>
      <w:r w:rsidRPr="002B518B">
        <w:rPr>
          <w:rFonts w:cs="Arial"/>
        </w:rPr>
        <w:t>, 2016, n°15.323.</w:t>
      </w:r>
    </w:p>
  </w:footnote>
  <w:footnote w:id="60">
    <w:p w14:paraId="46D063E7" w14:textId="0F94E0BE"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En effet, la sous-location n’est autorisée à un particulier qu’à la double condition de ne porter que sur une partie du bien et que le locataire principal/sous-bailleur continue à affecter l’autre partie à sa résidence principale. Voy. l’art. 4, §2, al. 1</w:t>
      </w:r>
      <w:r w:rsidRPr="002B518B">
        <w:rPr>
          <w:rFonts w:cs="Arial"/>
          <w:vertAlign w:val="superscript"/>
        </w:rPr>
        <w:t>er</w:t>
      </w:r>
      <w:r w:rsidRPr="002B518B">
        <w:rPr>
          <w:rFonts w:cs="Arial"/>
        </w:rPr>
        <w:t xml:space="preserve"> et 2, de la section 2 ("Des règles particulières aux baux de résidence principale du preneur") du chapitre II ("Du louage des choses") du titre VIII ("Du contrat de louage") du livre III ("Des différentes manières dont on acquiert la propriété") du Code civil, introduite par la loi du 20 février 1991 modifiant et complétant les dispositions du Code civil relatives aux baux à loyer, </w:t>
      </w:r>
      <w:r w:rsidRPr="002B518B">
        <w:rPr>
          <w:rFonts w:cs="Arial"/>
          <w:i/>
        </w:rPr>
        <w:t>M.B.</w:t>
      </w:r>
      <w:r w:rsidRPr="002B518B">
        <w:rPr>
          <w:rFonts w:cs="Arial"/>
        </w:rPr>
        <w:t>, 22 février 1991.</w:t>
      </w:r>
    </w:p>
  </w:footnote>
  <w:footnote w:id="61">
    <w:p w14:paraId="427A44C3" w14:textId="3E62C6F1" w:rsidR="00576E1D" w:rsidRPr="002B518B" w:rsidRDefault="00576E1D" w:rsidP="002B518B">
      <w:pPr>
        <w:jc w:val="both"/>
        <w:rPr>
          <w:rFonts w:ascii="Arial" w:hAnsi="Arial" w:cs="Arial"/>
          <w:sz w:val="20"/>
          <w:szCs w:val="20"/>
          <w:lang w:val="fr-BE"/>
        </w:rPr>
      </w:pPr>
      <w:r w:rsidRPr="002B518B">
        <w:rPr>
          <w:rStyle w:val="Marquenotebasdepage"/>
          <w:rFonts w:ascii="Arial" w:hAnsi="Arial" w:cs="Arial"/>
          <w:sz w:val="20"/>
          <w:szCs w:val="20"/>
        </w:rPr>
        <w:footnoteRef/>
      </w:r>
      <w:r w:rsidRPr="002B518B">
        <w:rPr>
          <w:rFonts w:ascii="Arial" w:hAnsi="Arial" w:cs="Arial"/>
          <w:sz w:val="20"/>
          <w:szCs w:val="20"/>
        </w:rPr>
        <w:t xml:space="preserve"> Art. 4, §2, al. 3, de la section 2 du chapitre II du titre VIII du livre III du Code civil. Voy. sur ce thème C</w:t>
      </w:r>
      <w:r w:rsidRPr="002B518B">
        <w:rPr>
          <w:rFonts w:ascii="Arial" w:hAnsi="Arial" w:cs="Arial"/>
          <w:sz w:val="20"/>
          <w:szCs w:val="20"/>
          <w:lang w:val="fr-BE"/>
        </w:rPr>
        <w:t xml:space="preserve">ass., 30 juin 1995, </w:t>
      </w:r>
      <w:r w:rsidRPr="002B518B">
        <w:rPr>
          <w:rFonts w:ascii="Arial" w:hAnsi="Arial" w:cs="Arial"/>
          <w:i/>
          <w:sz w:val="20"/>
          <w:szCs w:val="20"/>
          <w:lang w:val="fr-BE"/>
        </w:rPr>
        <w:t>Pas</w:t>
      </w:r>
      <w:r w:rsidRPr="002B518B">
        <w:rPr>
          <w:rFonts w:ascii="Arial" w:hAnsi="Arial" w:cs="Arial"/>
          <w:sz w:val="20"/>
          <w:szCs w:val="20"/>
          <w:lang w:val="fr-BE"/>
        </w:rPr>
        <w:t>., 1995, I, p. 71.</w:t>
      </w:r>
    </w:p>
  </w:footnote>
  <w:footnote w:id="62">
    <w:p w14:paraId="1AFD5392" w14:textId="14F09B42"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Civ. Mons, 19 décembre 1992, </w:t>
      </w:r>
      <w:r w:rsidRPr="002B518B">
        <w:rPr>
          <w:rFonts w:cs="Arial"/>
          <w:i/>
        </w:rPr>
        <w:t>J.L.M.B.</w:t>
      </w:r>
      <w:r w:rsidRPr="002B518B">
        <w:rPr>
          <w:rFonts w:cs="Arial"/>
        </w:rPr>
        <w:t>, 1990, p. 305.</w:t>
      </w:r>
    </w:p>
  </w:footnote>
  <w:footnote w:id="63">
    <w:p w14:paraId="0676AB94" w14:textId="5211C6DF"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 </w:t>
      </w:r>
      <w:r w:rsidRPr="002B518B">
        <w:rPr>
          <w:rFonts w:cs="Arial"/>
          <w:lang w:val="fr-BE"/>
        </w:rPr>
        <w:t xml:space="preserve">Il est d’ailleurs poursuivi également pour de nombreux vols avec effraction ce qui confirme qu’il n’hésitait pas à s’introduire de force dans les lieux pour perpétrer ses forfaits » (Mons, 27 mars 2012, </w:t>
      </w:r>
      <w:r w:rsidRPr="002B518B">
        <w:rPr>
          <w:rFonts w:cs="Arial"/>
          <w:i/>
          <w:lang w:val="fr-BE"/>
        </w:rPr>
        <w:t>Bull. ass.</w:t>
      </w:r>
      <w:r w:rsidRPr="002B518B">
        <w:rPr>
          <w:rFonts w:cs="Arial"/>
          <w:lang w:val="fr-BE"/>
        </w:rPr>
        <w:t>, 2012, p. 511).</w:t>
      </w:r>
    </w:p>
  </w:footnote>
  <w:footnote w:id="64">
    <w:p w14:paraId="44A035FF" w14:textId="7E6FB868"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w:t>
      </w:r>
      <w:r w:rsidRPr="002B518B">
        <w:rPr>
          <w:rFonts w:cs="Arial"/>
          <w:lang w:val="fr-BE"/>
        </w:rPr>
        <w:t>Cette focale s’indique d’autant plus que cette décision ne bénéficie pas (pour l’instant) des honneurs d’une publication.</w:t>
      </w:r>
    </w:p>
  </w:footnote>
  <w:footnote w:id="65">
    <w:p w14:paraId="58E5A646" w14:textId="79D936A7" w:rsidR="00576E1D" w:rsidRPr="002B518B" w:rsidRDefault="00576E1D" w:rsidP="002B518B">
      <w:pPr>
        <w:pStyle w:val="Notedebasdepage"/>
        <w:jc w:val="both"/>
        <w:rPr>
          <w:rFonts w:cs="Arial"/>
        </w:rPr>
      </w:pPr>
      <w:r w:rsidRPr="002B518B">
        <w:rPr>
          <w:rStyle w:val="Marquenotebasdepage"/>
          <w:rFonts w:cs="Arial"/>
        </w:rPr>
        <w:footnoteRef/>
      </w:r>
      <w:r w:rsidRPr="002B518B">
        <w:rPr>
          <w:rFonts w:cs="Arial"/>
        </w:rPr>
        <w:t xml:space="preserve"> P. ROBIN, « Au feu ! », </w:t>
      </w:r>
      <w:r w:rsidRPr="002B518B">
        <w:rPr>
          <w:rFonts w:cs="Arial"/>
          <w:i/>
        </w:rPr>
        <w:t>Le Pli juridique</w:t>
      </w:r>
      <w:r w:rsidRPr="002B518B">
        <w:rPr>
          <w:rFonts w:cs="Arial"/>
        </w:rPr>
        <w:t>, n°23, 2013, p. 26.</w:t>
      </w:r>
    </w:p>
  </w:footnote>
  <w:footnote w:id="66">
    <w:p w14:paraId="3C0AC5BB" w14:textId="77777777" w:rsidR="00576E1D" w:rsidRPr="00147780" w:rsidRDefault="00576E1D" w:rsidP="00124C35">
      <w:pPr>
        <w:pStyle w:val="Notedebasdepage"/>
        <w:jc w:val="both"/>
        <w:rPr>
          <w:rFonts w:cs="Arial"/>
        </w:rPr>
      </w:pPr>
      <w:r w:rsidRPr="00147780">
        <w:rPr>
          <w:rStyle w:val="Marquenotebasdepage"/>
          <w:rFonts w:cs="Arial"/>
        </w:rPr>
        <w:footnoteRef/>
      </w:r>
      <w:r w:rsidRPr="00147780">
        <w:rPr>
          <w:rFonts w:cs="Arial"/>
        </w:rPr>
        <w:t xml:space="preserve"> Art. 6, §1</w:t>
      </w:r>
      <w:r w:rsidRPr="00147780">
        <w:rPr>
          <w:rFonts w:cs="Arial"/>
          <w:vertAlign w:val="superscript"/>
        </w:rPr>
        <w:t>er</w:t>
      </w:r>
      <w:r w:rsidRPr="00147780">
        <w:rPr>
          <w:rFonts w:cs="Arial"/>
        </w:rPr>
        <w:t>, IV, 2°, de la loi spéciale précitée du 8 août 1980, inséré par l’art. 15 de loi spéciale du 6 janvier 2014 relative à la Sixième réforme de l'État</w:t>
      </w:r>
      <w:r w:rsidRPr="00147780">
        <w:rPr>
          <w:rFonts w:cs="Arial"/>
          <w:i/>
        </w:rPr>
        <w:t>, M.B.</w:t>
      </w:r>
      <w:r w:rsidRPr="00147780">
        <w:rPr>
          <w:rFonts w:cs="Arial"/>
        </w:rPr>
        <w:t>, 31 janvier 2014. Entrée en vigueur le 1</w:t>
      </w:r>
      <w:r w:rsidRPr="00147780">
        <w:rPr>
          <w:rFonts w:cs="Arial"/>
          <w:vertAlign w:val="superscript"/>
        </w:rPr>
        <w:t>er</w:t>
      </w:r>
      <w:r w:rsidRPr="00147780">
        <w:rPr>
          <w:rFonts w:cs="Arial"/>
        </w:rPr>
        <w:t xml:space="preserve"> juillet 2014, la régionalisation du bail ne sera cependant effective qu’au jour où les Régions auront adopté une ordonnance ou un décret portant leur propre régime en ce domaine ; dans l’attente, les prescriptions fédérales trouvent toujours — et intégralement — à s’appliquer. Voy. pour de plus amples renseignements N. BERNARD, « Le bail d’habitation et la sixième réforme de l’État : tirer le meilleur profit de la régionalisation », </w:t>
      </w:r>
      <w:r w:rsidRPr="00147780">
        <w:rPr>
          <w:rFonts w:cs="Arial"/>
          <w:i/>
        </w:rPr>
        <w:t>J.T.</w:t>
      </w:r>
      <w:r w:rsidRPr="00147780">
        <w:rPr>
          <w:rFonts w:cs="Arial"/>
        </w:rPr>
        <w:t xml:space="preserve">, 2014, p. 421 et s., B. HUBEAU et D. VERMEIR, </w:t>
      </w:r>
      <w:r w:rsidRPr="00147780">
        <w:rPr>
          <w:rFonts w:cs="Arial"/>
          <w:i/>
        </w:rPr>
        <w:t>Regionalisering van de federale huurwetgeving</w:t>
      </w:r>
      <w:r w:rsidRPr="00147780">
        <w:rPr>
          <w:rFonts w:cs="Arial"/>
        </w:rPr>
        <w:t xml:space="preserve">, Leuven, Steunpunt Wonen, 2013 et N. BERNARD (sous la direction de), </w:t>
      </w:r>
      <w:r w:rsidRPr="00147780">
        <w:rPr>
          <w:rFonts w:cs="Arial"/>
          <w:i/>
        </w:rPr>
        <w:t>La dé-fédéralisation du bail d’habitation : quel(s) levier(s) pour les Régions ?</w:t>
      </w:r>
      <w:r w:rsidRPr="00147780">
        <w:rPr>
          <w:rFonts w:cs="Arial"/>
        </w:rPr>
        <w:t>, Bruxelles, Larcier, 2014.</w:t>
      </w:r>
    </w:p>
  </w:footnote>
  <w:footnote w:id="67">
    <w:p w14:paraId="7A40DD5D" w14:textId="07A2FA98" w:rsidR="00576E1D" w:rsidRDefault="00576E1D">
      <w:pPr>
        <w:pStyle w:val="Notedebasdepage"/>
      </w:pPr>
      <w:r>
        <w:rPr>
          <w:rStyle w:val="Marquenotebasdepage"/>
        </w:rPr>
        <w:footnoteRef/>
      </w:r>
      <w:r>
        <w:t xml:space="preserve"> L’avant-projet de décret wallon </w:t>
      </w:r>
      <w:r>
        <w:rPr>
          <w:rFonts w:cs="Arial"/>
        </w:rPr>
        <w:t>a été a</w:t>
      </w:r>
      <w:r w:rsidRPr="000845CB">
        <w:rPr>
          <w:rFonts w:cs="Arial"/>
        </w:rPr>
        <w:t xml:space="preserve">dopté en seconde lecture par le gouvernement </w:t>
      </w:r>
      <w:r>
        <w:rPr>
          <w:rFonts w:cs="Arial"/>
        </w:rPr>
        <w:t xml:space="preserve">en avril 2017 et </w:t>
      </w:r>
      <w:r w:rsidRPr="000845CB">
        <w:rPr>
          <w:rFonts w:cs="Arial"/>
        </w:rPr>
        <w:t>est actuellement soumis à l’examen de la section de législation du Conseil d’État</w:t>
      </w:r>
      <w:r>
        <w:rPr>
          <w:rFonts w:cs="Arial"/>
        </w:rPr>
        <w:t>. À Bruxelles, le projet d’ordonnance est plus loin encore dans le processus d’élaboration puisqu’il a déjà été déposé au Parlement.</w:t>
      </w:r>
    </w:p>
  </w:footnote>
  <w:footnote w:id="68">
    <w:p w14:paraId="2B191098" w14:textId="6F6FECCD" w:rsidR="00576E1D" w:rsidRDefault="00576E1D">
      <w:pPr>
        <w:pStyle w:val="Notedebasdepage"/>
      </w:pPr>
      <w:r>
        <w:rPr>
          <w:rStyle w:val="Marquenotebasdepage"/>
        </w:rPr>
        <w:footnoteRef/>
      </w:r>
      <w:r>
        <w:t xml:space="preserve"> </w:t>
      </w:r>
      <w:r w:rsidRPr="00147780">
        <w:rPr>
          <w:rFonts w:cs="Arial"/>
        </w:rPr>
        <w:t xml:space="preserve">Art. </w:t>
      </w:r>
      <w:r w:rsidR="00595727">
        <w:rPr>
          <w:rFonts w:cs="Arial"/>
        </w:rPr>
        <w:t>15</w:t>
      </w:r>
      <w:r w:rsidRPr="00147780">
        <w:rPr>
          <w:rFonts w:cs="Arial"/>
        </w:rPr>
        <w:t xml:space="preserve"> de l’avant-projet de décret </w:t>
      </w:r>
      <w:r>
        <w:rPr>
          <w:rFonts w:cs="Arial"/>
        </w:rPr>
        <w:t xml:space="preserve">wallon </w:t>
      </w:r>
      <w:r w:rsidRPr="00147780">
        <w:rPr>
          <w:rFonts w:cs="Arial"/>
        </w:rPr>
        <w:t>modifiant diverses dispositions du Code civil relatives au bail d’habitation.</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0"/>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BD765A"/>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
    <w:nsid w:val="05426701"/>
    <w:multiLevelType w:val="hybridMultilevel"/>
    <w:tmpl w:val="C69E4B5E"/>
    <w:lvl w:ilvl="0" w:tplc="8EDAAAD4">
      <w:start w:val="1"/>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69707A1"/>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4">
    <w:nsid w:val="0FAE4740"/>
    <w:multiLevelType w:val="multilevel"/>
    <w:tmpl w:val="688C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DD1CC0"/>
    <w:multiLevelType w:val="hybridMultilevel"/>
    <w:tmpl w:val="486A95FE"/>
    <w:lvl w:ilvl="0" w:tplc="040C000B">
      <w:start w:val="1"/>
      <w:numFmt w:val="bullet"/>
      <w:lvlText w:val=""/>
      <w:lvlJc w:val="left"/>
      <w:pPr>
        <w:ind w:left="2705" w:hanging="360"/>
      </w:pPr>
      <w:rPr>
        <w:rFonts w:ascii="Wingdings" w:hAnsi="Wingdings" w:hint="default"/>
      </w:rPr>
    </w:lvl>
    <w:lvl w:ilvl="1" w:tplc="040C0003" w:tentative="1">
      <w:start w:val="1"/>
      <w:numFmt w:val="bullet"/>
      <w:lvlText w:val="o"/>
      <w:lvlJc w:val="left"/>
      <w:pPr>
        <w:ind w:left="3425" w:hanging="360"/>
      </w:pPr>
      <w:rPr>
        <w:rFonts w:ascii="Courier New" w:hAnsi="Courier New" w:hint="default"/>
      </w:rPr>
    </w:lvl>
    <w:lvl w:ilvl="2" w:tplc="040C0005" w:tentative="1">
      <w:start w:val="1"/>
      <w:numFmt w:val="bullet"/>
      <w:lvlText w:val=""/>
      <w:lvlJc w:val="left"/>
      <w:pPr>
        <w:ind w:left="4145" w:hanging="360"/>
      </w:pPr>
      <w:rPr>
        <w:rFonts w:ascii="Wingdings" w:hAnsi="Wingdings" w:hint="default"/>
      </w:rPr>
    </w:lvl>
    <w:lvl w:ilvl="3" w:tplc="040C0001" w:tentative="1">
      <w:start w:val="1"/>
      <w:numFmt w:val="bullet"/>
      <w:lvlText w:val=""/>
      <w:lvlJc w:val="left"/>
      <w:pPr>
        <w:ind w:left="4865" w:hanging="360"/>
      </w:pPr>
      <w:rPr>
        <w:rFonts w:ascii="Symbol" w:hAnsi="Symbol" w:hint="default"/>
      </w:rPr>
    </w:lvl>
    <w:lvl w:ilvl="4" w:tplc="040C0003" w:tentative="1">
      <w:start w:val="1"/>
      <w:numFmt w:val="bullet"/>
      <w:lvlText w:val="o"/>
      <w:lvlJc w:val="left"/>
      <w:pPr>
        <w:ind w:left="5585" w:hanging="360"/>
      </w:pPr>
      <w:rPr>
        <w:rFonts w:ascii="Courier New" w:hAnsi="Courier New" w:hint="default"/>
      </w:rPr>
    </w:lvl>
    <w:lvl w:ilvl="5" w:tplc="040C0005" w:tentative="1">
      <w:start w:val="1"/>
      <w:numFmt w:val="bullet"/>
      <w:lvlText w:val=""/>
      <w:lvlJc w:val="left"/>
      <w:pPr>
        <w:ind w:left="6305" w:hanging="360"/>
      </w:pPr>
      <w:rPr>
        <w:rFonts w:ascii="Wingdings" w:hAnsi="Wingdings" w:hint="default"/>
      </w:rPr>
    </w:lvl>
    <w:lvl w:ilvl="6" w:tplc="040C0001" w:tentative="1">
      <w:start w:val="1"/>
      <w:numFmt w:val="bullet"/>
      <w:lvlText w:val=""/>
      <w:lvlJc w:val="left"/>
      <w:pPr>
        <w:ind w:left="7025" w:hanging="360"/>
      </w:pPr>
      <w:rPr>
        <w:rFonts w:ascii="Symbol" w:hAnsi="Symbol" w:hint="default"/>
      </w:rPr>
    </w:lvl>
    <w:lvl w:ilvl="7" w:tplc="040C0003" w:tentative="1">
      <w:start w:val="1"/>
      <w:numFmt w:val="bullet"/>
      <w:lvlText w:val="o"/>
      <w:lvlJc w:val="left"/>
      <w:pPr>
        <w:ind w:left="7745" w:hanging="360"/>
      </w:pPr>
      <w:rPr>
        <w:rFonts w:ascii="Courier New" w:hAnsi="Courier New" w:hint="default"/>
      </w:rPr>
    </w:lvl>
    <w:lvl w:ilvl="8" w:tplc="040C0005" w:tentative="1">
      <w:start w:val="1"/>
      <w:numFmt w:val="bullet"/>
      <w:lvlText w:val=""/>
      <w:lvlJc w:val="left"/>
      <w:pPr>
        <w:ind w:left="8465" w:hanging="360"/>
      </w:pPr>
      <w:rPr>
        <w:rFonts w:ascii="Wingdings" w:hAnsi="Wingdings" w:hint="default"/>
      </w:rPr>
    </w:lvl>
  </w:abstractNum>
  <w:abstractNum w:abstractNumId="6">
    <w:nsid w:val="157854A8"/>
    <w:multiLevelType w:val="multilevel"/>
    <w:tmpl w:val="DA32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B557E3"/>
    <w:multiLevelType w:val="hybridMultilevel"/>
    <w:tmpl w:val="CDA6F1F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8">
    <w:nsid w:val="2AF94D60"/>
    <w:multiLevelType w:val="hybridMultilevel"/>
    <w:tmpl w:val="48763F32"/>
    <w:lvl w:ilvl="0" w:tplc="040C000B">
      <w:start w:val="1"/>
      <w:numFmt w:val="bullet"/>
      <w:lvlText w:val=""/>
      <w:lvlJc w:val="left"/>
      <w:pPr>
        <w:ind w:left="2280" w:hanging="360"/>
      </w:pPr>
      <w:rPr>
        <w:rFonts w:ascii="Wingdings" w:hAnsi="Wingdings" w:hint="default"/>
      </w:rPr>
    </w:lvl>
    <w:lvl w:ilvl="1" w:tplc="040C0003" w:tentative="1">
      <w:start w:val="1"/>
      <w:numFmt w:val="bullet"/>
      <w:lvlText w:val="o"/>
      <w:lvlJc w:val="left"/>
      <w:pPr>
        <w:ind w:left="3000" w:hanging="360"/>
      </w:pPr>
      <w:rPr>
        <w:rFonts w:ascii="Courier New" w:hAnsi="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9">
    <w:nsid w:val="2B7B592B"/>
    <w:multiLevelType w:val="multilevel"/>
    <w:tmpl w:val="0FB6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EA5544"/>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1">
    <w:nsid w:val="344041ED"/>
    <w:multiLevelType w:val="hybridMultilevel"/>
    <w:tmpl w:val="B1E41DCE"/>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2">
    <w:nsid w:val="35164577"/>
    <w:multiLevelType w:val="multilevel"/>
    <w:tmpl w:val="3C1C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642304"/>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4">
    <w:nsid w:val="459F2AE0"/>
    <w:multiLevelType w:val="hybridMultilevel"/>
    <w:tmpl w:val="3D008AE6"/>
    <w:lvl w:ilvl="0" w:tplc="8EDAAAD4">
      <w:start w:val="1"/>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6CF291F"/>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6">
    <w:nsid w:val="4B251C61"/>
    <w:multiLevelType w:val="hybridMultilevel"/>
    <w:tmpl w:val="F33614BC"/>
    <w:lvl w:ilvl="0" w:tplc="8EDAAAD4">
      <w:start w:val="1"/>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F484B8D"/>
    <w:multiLevelType w:val="hybridMultilevel"/>
    <w:tmpl w:val="5428FD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1544315"/>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19">
    <w:nsid w:val="52387E21"/>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0">
    <w:nsid w:val="57CB5017"/>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1">
    <w:nsid w:val="5AC4585F"/>
    <w:multiLevelType w:val="multilevel"/>
    <w:tmpl w:val="05FCD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8F1430A"/>
    <w:multiLevelType w:val="hybridMultilevel"/>
    <w:tmpl w:val="6608A82A"/>
    <w:lvl w:ilvl="0" w:tplc="69962DFC">
      <w:start w:val="1"/>
      <w:numFmt w:val="lowerLetter"/>
      <w:lvlText w:val="%1)"/>
      <w:lvlJc w:val="left"/>
      <w:pPr>
        <w:ind w:left="1778" w:hanging="36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23">
    <w:nsid w:val="6A9F2493"/>
    <w:multiLevelType w:val="hybridMultilevel"/>
    <w:tmpl w:val="B51C6888"/>
    <w:lvl w:ilvl="0" w:tplc="B8F6359C">
      <w:start w:val="1"/>
      <w:numFmt w:val="bullet"/>
      <w:lvlText w:val=""/>
      <w:lvlJc w:val="left"/>
      <w:pPr>
        <w:tabs>
          <w:tab w:val="num" w:pos="720"/>
        </w:tabs>
        <w:ind w:left="720" w:hanging="360"/>
      </w:pPr>
      <w:rPr>
        <w:rFonts w:ascii="Wingdings" w:hAnsi="Wingdings" w:hint="default"/>
      </w:rPr>
    </w:lvl>
    <w:lvl w:ilvl="1" w:tplc="0B74AAC8" w:tentative="1">
      <w:start w:val="1"/>
      <w:numFmt w:val="bullet"/>
      <w:lvlText w:val=""/>
      <w:lvlJc w:val="left"/>
      <w:pPr>
        <w:tabs>
          <w:tab w:val="num" w:pos="1440"/>
        </w:tabs>
        <w:ind w:left="1440" w:hanging="360"/>
      </w:pPr>
      <w:rPr>
        <w:rFonts w:ascii="Wingdings" w:hAnsi="Wingdings" w:hint="default"/>
      </w:rPr>
    </w:lvl>
    <w:lvl w:ilvl="2" w:tplc="31249DE4" w:tentative="1">
      <w:start w:val="1"/>
      <w:numFmt w:val="bullet"/>
      <w:lvlText w:val=""/>
      <w:lvlJc w:val="left"/>
      <w:pPr>
        <w:tabs>
          <w:tab w:val="num" w:pos="2160"/>
        </w:tabs>
        <w:ind w:left="2160" w:hanging="360"/>
      </w:pPr>
      <w:rPr>
        <w:rFonts w:ascii="Wingdings" w:hAnsi="Wingdings" w:hint="default"/>
      </w:rPr>
    </w:lvl>
    <w:lvl w:ilvl="3" w:tplc="D1A8A192" w:tentative="1">
      <w:start w:val="1"/>
      <w:numFmt w:val="bullet"/>
      <w:lvlText w:val=""/>
      <w:lvlJc w:val="left"/>
      <w:pPr>
        <w:tabs>
          <w:tab w:val="num" w:pos="2880"/>
        </w:tabs>
        <w:ind w:left="2880" w:hanging="360"/>
      </w:pPr>
      <w:rPr>
        <w:rFonts w:ascii="Wingdings" w:hAnsi="Wingdings" w:hint="default"/>
      </w:rPr>
    </w:lvl>
    <w:lvl w:ilvl="4" w:tplc="FCEECAF2" w:tentative="1">
      <w:start w:val="1"/>
      <w:numFmt w:val="bullet"/>
      <w:lvlText w:val=""/>
      <w:lvlJc w:val="left"/>
      <w:pPr>
        <w:tabs>
          <w:tab w:val="num" w:pos="3600"/>
        </w:tabs>
        <w:ind w:left="3600" w:hanging="360"/>
      </w:pPr>
      <w:rPr>
        <w:rFonts w:ascii="Wingdings" w:hAnsi="Wingdings" w:hint="default"/>
      </w:rPr>
    </w:lvl>
    <w:lvl w:ilvl="5" w:tplc="2F98356A" w:tentative="1">
      <w:start w:val="1"/>
      <w:numFmt w:val="bullet"/>
      <w:lvlText w:val=""/>
      <w:lvlJc w:val="left"/>
      <w:pPr>
        <w:tabs>
          <w:tab w:val="num" w:pos="4320"/>
        </w:tabs>
        <w:ind w:left="4320" w:hanging="360"/>
      </w:pPr>
      <w:rPr>
        <w:rFonts w:ascii="Wingdings" w:hAnsi="Wingdings" w:hint="default"/>
      </w:rPr>
    </w:lvl>
    <w:lvl w:ilvl="6" w:tplc="AC7EFB3E" w:tentative="1">
      <w:start w:val="1"/>
      <w:numFmt w:val="bullet"/>
      <w:lvlText w:val=""/>
      <w:lvlJc w:val="left"/>
      <w:pPr>
        <w:tabs>
          <w:tab w:val="num" w:pos="5040"/>
        </w:tabs>
        <w:ind w:left="5040" w:hanging="360"/>
      </w:pPr>
      <w:rPr>
        <w:rFonts w:ascii="Wingdings" w:hAnsi="Wingdings" w:hint="default"/>
      </w:rPr>
    </w:lvl>
    <w:lvl w:ilvl="7" w:tplc="457640A0" w:tentative="1">
      <w:start w:val="1"/>
      <w:numFmt w:val="bullet"/>
      <w:lvlText w:val=""/>
      <w:lvlJc w:val="left"/>
      <w:pPr>
        <w:tabs>
          <w:tab w:val="num" w:pos="5760"/>
        </w:tabs>
        <w:ind w:left="5760" w:hanging="360"/>
      </w:pPr>
      <w:rPr>
        <w:rFonts w:ascii="Wingdings" w:hAnsi="Wingdings" w:hint="default"/>
      </w:rPr>
    </w:lvl>
    <w:lvl w:ilvl="8" w:tplc="9BEAE442" w:tentative="1">
      <w:start w:val="1"/>
      <w:numFmt w:val="bullet"/>
      <w:lvlText w:val=""/>
      <w:lvlJc w:val="left"/>
      <w:pPr>
        <w:tabs>
          <w:tab w:val="num" w:pos="6480"/>
        </w:tabs>
        <w:ind w:left="6480" w:hanging="360"/>
      </w:pPr>
      <w:rPr>
        <w:rFonts w:ascii="Wingdings" w:hAnsi="Wingdings" w:hint="default"/>
      </w:rPr>
    </w:lvl>
  </w:abstractNum>
  <w:abstractNum w:abstractNumId="24">
    <w:nsid w:val="6B00362F"/>
    <w:multiLevelType w:val="hybridMultilevel"/>
    <w:tmpl w:val="E5A45E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nsid w:val="6F624715"/>
    <w:multiLevelType w:val="multilevel"/>
    <w:tmpl w:val="6414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4D55AE3"/>
    <w:multiLevelType w:val="hybridMultilevel"/>
    <w:tmpl w:val="E08AA4B4"/>
    <w:lvl w:ilvl="0" w:tplc="8EDAAAD4">
      <w:start w:val="1"/>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54C3CC2"/>
    <w:multiLevelType w:val="multilevel"/>
    <w:tmpl w:val="252A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BB5C4C"/>
    <w:multiLevelType w:val="multilevel"/>
    <w:tmpl w:val="29449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4"/>
  </w:num>
  <w:num w:numId="4">
    <w:abstractNumId w:val="6"/>
  </w:num>
  <w:num w:numId="5">
    <w:abstractNumId w:val="28"/>
  </w:num>
  <w:num w:numId="6">
    <w:abstractNumId w:val="25"/>
  </w:num>
  <w:num w:numId="7">
    <w:abstractNumId w:val="27"/>
  </w:num>
  <w:num w:numId="8">
    <w:abstractNumId w:val="21"/>
  </w:num>
  <w:num w:numId="9">
    <w:abstractNumId w:val="12"/>
  </w:num>
  <w:num w:numId="10">
    <w:abstractNumId w:val="9"/>
  </w:num>
  <w:num w:numId="11">
    <w:abstractNumId w:val="17"/>
  </w:num>
  <w:num w:numId="12">
    <w:abstractNumId w:val="22"/>
  </w:num>
  <w:num w:numId="13">
    <w:abstractNumId w:val="19"/>
  </w:num>
  <w:num w:numId="14">
    <w:abstractNumId w:val="18"/>
  </w:num>
  <w:num w:numId="15">
    <w:abstractNumId w:val="7"/>
  </w:num>
  <w:num w:numId="16">
    <w:abstractNumId w:val="3"/>
  </w:num>
  <w:num w:numId="17">
    <w:abstractNumId w:val="20"/>
  </w:num>
  <w:num w:numId="18">
    <w:abstractNumId w:val="13"/>
  </w:num>
  <w:num w:numId="19">
    <w:abstractNumId w:val="1"/>
  </w:num>
  <w:num w:numId="20">
    <w:abstractNumId w:val="10"/>
  </w:num>
  <w:num w:numId="21">
    <w:abstractNumId w:val="11"/>
  </w:num>
  <w:num w:numId="22">
    <w:abstractNumId w:val="15"/>
  </w:num>
  <w:num w:numId="23">
    <w:abstractNumId w:val="23"/>
  </w:num>
  <w:num w:numId="24">
    <w:abstractNumId w:val="14"/>
  </w:num>
  <w:num w:numId="25">
    <w:abstractNumId w:val="8"/>
  </w:num>
  <w:num w:numId="26">
    <w:abstractNumId w:val="5"/>
  </w:num>
  <w:num w:numId="27">
    <w:abstractNumId w:val="26"/>
  </w:num>
  <w:num w:numId="28">
    <w:abstractNumId w:val="16"/>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F66"/>
    <w:rsid w:val="00000427"/>
    <w:rsid w:val="00001272"/>
    <w:rsid w:val="0000263F"/>
    <w:rsid w:val="000036EB"/>
    <w:rsid w:val="00003C1B"/>
    <w:rsid w:val="00003CFF"/>
    <w:rsid w:val="00004153"/>
    <w:rsid w:val="0000435A"/>
    <w:rsid w:val="00004482"/>
    <w:rsid w:val="00005B3F"/>
    <w:rsid w:val="00006A46"/>
    <w:rsid w:val="000102FD"/>
    <w:rsid w:val="00013A78"/>
    <w:rsid w:val="00014B04"/>
    <w:rsid w:val="00015664"/>
    <w:rsid w:val="0001645E"/>
    <w:rsid w:val="00017D04"/>
    <w:rsid w:val="00022AA1"/>
    <w:rsid w:val="00024264"/>
    <w:rsid w:val="00025D52"/>
    <w:rsid w:val="00031FEF"/>
    <w:rsid w:val="0003263F"/>
    <w:rsid w:val="000341A1"/>
    <w:rsid w:val="0003690A"/>
    <w:rsid w:val="00036DB0"/>
    <w:rsid w:val="00037FBA"/>
    <w:rsid w:val="00041B2D"/>
    <w:rsid w:val="00042772"/>
    <w:rsid w:val="0004394A"/>
    <w:rsid w:val="00045CD6"/>
    <w:rsid w:val="0004638A"/>
    <w:rsid w:val="00046AFE"/>
    <w:rsid w:val="00047921"/>
    <w:rsid w:val="00050D37"/>
    <w:rsid w:val="00053622"/>
    <w:rsid w:val="00054728"/>
    <w:rsid w:val="000559E4"/>
    <w:rsid w:val="00055A6D"/>
    <w:rsid w:val="000562AE"/>
    <w:rsid w:val="00062289"/>
    <w:rsid w:val="000633C0"/>
    <w:rsid w:val="000646B1"/>
    <w:rsid w:val="00064B6B"/>
    <w:rsid w:val="000656BC"/>
    <w:rsid w:val="00066AB1"/>
    <w:rsid w:val="00066CD7"/>
    <w:rsid w:val="000671E2"/>
    <w:rsid w:val="00070D19"/>
    <w:rsid w:val="0007135C"/>
    <w:rsid w:val="00071F7F"/>
    <w:rsid w:val="000720CA"/>
    <w:rsid w:val="00072548"/>
    <w:rsid w:val="00072844"/>
    <w:rsid w:val="00072EC0"/>
    <w:rsid w:val="00073C9C"/>
    <w:rsid w:val="0007661E"/>
    <w:rsid w:val="00083F2A"/>
    <w:rsid w:val="000874C5"/>
    <w:rsid w:val="000932FA"/>
    <w:rsid w:val="000937FE"/>
    <w:rsid w:val="000A048D"/>
    <w:rsid w:val="000A096A"/>
    <w:rsid w:val="000A0D62"/>
    <w:rsid w:val="000A0ECF"/>
    <w:rsid w:val="000A2345"/>
    <w:rsid w:val="000A5625"/>
    <w:rsid w:val="000B0598"/>
    <w:rsid w:val="000B4084"/>
    <w:rsid w:val="000B40CE"/>
    <w:rsid w:val="000B4844"/>
    <w:rsid w:val="000B53D1"/>
    <w:rsid w:val="000B6C88"/>
    <w:rsid w:val="000B6DA1"/>
    <w:rsid w:val="000B77AF"/>
    <w:rsid w:val="000C1D9D"/>
    <w:rsid w:val="000C2613"/>
    <w:rsid w:val="000C2893"/>
    <w:rsid w:val="000C438A"/>
    <w:rsid w:val="000C5EE6"/>
    <w:rsid w:val="000C712E"/>
    <w:rsid w:val="000C726E"/>
    <w:rsid w:val="000D164B"/>
    <w:rsid w:val="000D7D06"/>
    <w:rsid w:val="000E1656"/>
    <w:rsid w:val="000E1CD6"/>
    <w:rsid w:val="000E2FEB"/>
    <w:rsid w:val="000E31B1"/>
    <w:rsid w:val="000E41E4"/>
    <w:rsid w:val="000E42B2"/>
    <w:rsid w:val="000E42BB"/>
    <w:rsid w:val="000E6244"/>
    <w:rsid w:val="000E6FD8"/>
    <w:rsid w:val="000F1550"/>
    <w:rsid w:val="000F18C8"/>
    <w:rsid w:val="000F2607"/>
    <w:rsid w:val="000F2986"/>
    <w:rsid w:val="000F3220"/>
    <w:rsid w:val="000F7052"/>
    <w:rsid w:val="00102F7C"/>
    <w:rsid w:val="0010408C"/>
    <w:rsid w:val="00104C10"/>
    <w:rsid w:val="0010654F"/>
    <w:rsid w:val="00110FC3"/>
    <w:rsid w:val="00111548"/>
    <w:rsid w:val="0011265B"/>
    <w:rsid w:val="00112F35"/>
    <w:rsid w:val="00117CED"/>
    <w:rsid w:val="00117D1C"/>
    <w:rsid w:val="001223D3"/>
    <w:rsid w:val="00124C35"/>
    <w:rsid w:val="001275EB"/>
    <w:rsid w:val="00127CEF"/>
    <w:rsid w:val="001316A5"/>
    <w:rsid w:val="001324E1"/>
    <w:rsid w:val="00132B81"/>
    <w:rsid w:val="00132F4C"/>
    <w:rsid w:val="00133B47"/>
    <w:rsid w:val="00141128"/>
    <w:rsid w:val="00142F9A"/>
    <w:rsid w:val="00145095"/>
    <w:rsid w:val="0015362C"/>
    <w:rsid w:val="001537BD"/>
    <w:rsid w:val="00154A58"/>
    <w:rsid w:val="00157899"/>
    <w:rsid w:val="00157F4F"/>
    <w:rsid w:val="00162E2C"/>
    <w:rsid w:val="001645D3"/>
    <w:rsid w:val="0016496F"/>
    <w:rsid w:val="001705BF"/>
    <w:rsid w:val="00171467"/>
    <w:rsid w:val="001747CD"/>
    <w:rsid w:val="00176F20"/>
    <w:rsid w:val="00177196"/>
    <w:rsid w:val="00177B40"/>
    <w:rsid w:val="00177B62"/>
    <w:rsid w:val="00180B69"/>
    <w:rsid w:val="00181145"/>
    <w:rsid w:val="0018511A"/>
    <w:rsid w:val="00186C6C"/>
    <w:rsid w:val="001876FC"/>
    <w:rsid w:val="00187DBB"/>
    <w:rsid w:val="0019098F"/>
    <w:rsid w:val="0019166C"/>
    <w:rsid w:val="00192452"/>
    <w:rsid w:val="0019307A"/>
    <w:rsid w:val="001941BD"/>
    <w:rsid w:val="0019475F"/>
    <w:rsid w:val="00194AA9"/>
    <w:rsid w:val="00194DD7"/>
    <w:rsid w:val="001A2DDE"/>
    <w:rsid w:val="001A5134"/>
    <w:rsid w:val="001A797C"/>
    <w:rsid w:val="001A79C9"/>
    <w:rsid w:val="001B39CD"/>
    <w:rsid w:val="001B4A5E"/>
    <w:rsid w:val="001B4AEA"/>
    <w:rsid w:val="001B5411"/>
    <w:rsid w:val="001B5838"/>
    <w:rsid w:val="001B76DB"/>
    <w:rsid w:val="001B7DE4"/>
    <w:rsid w:val="001C076E"/>
    <w:rsid w:val="001C177F"/>
    <w:rsid w:val="001C1D58"/>
    <w:rsid w:val="001C372F"/>
    <w:rsid w:val="001C3B95"/>
    <w:rsid w:val="001C620B"/>
    <w:rsid w:val="001C7093"/>
    <w:rsid w:val="001D0EE0"/>
    <w:rsid w:val="001D3798"/>
    <w:rsid w:val="001D4B9F"/>
    <w:rsid w:val="001E0D74"/>
    <w:rsid w:val="001E2FC8"/>
    <w:rsid w:val="001E36C5"/>
    <w:rsid w:val="001E49D8"/>
    <w:rsid w:val="001E502B"/>
    <w:rsid w:val="001E508B"/>
    <w:rsid w:val="001E6A1E"/>
    <w:rsid w:val="001E7097"/>
    <w:rsid w:val="001F26A5"/>
    <w:rsid w:val="001F356D"/>
    <w:rsid w:val="001F39BB"/>
    <w:rsid w:val="001F5683"/>
    <w:rsid w:val="001F6374"/>
    <w:rsid w:val="001F7DE1"/>
    <w:rsid w:val="002042CC"/>
    <w:rsid w:val="00204867"/>
    <w:rsid w:val="002060AA"/>
    <w:rsid w:val="0020664A"/>
    <w:rsid w:val="0020794A"/>
    <w:rsid w:val="00212870"/>
    <w:rsid w:val="00214EFC"/>
    <w:rsid w:val="002161A1"/>
    <w:rsid w:val="00216F9B"/>
    <w:rsid w:val="002210D1"/>
    <w:rsid w:val="00221E5F"/>
    <w:rsid w:val="00222E64"/>
    <w:rsid w:val="002231DD"/>
    <w:rsid w:val="00223210"/>
    <w:rsid w:val="002247BF"/>
    <w:rsid w:val="00224EC7"/>
    <w:rsid w:val="002258E8"/>
    <w:rsid w:val="002261CB"/>
    <w:rsid w:val="00226F87"/>
    <w:rsid w:val="002306D0"/>
    <w:rsid w:val="002306E1"/>
    <w:rsid w:val="00230FEA"/>
    <w:rsid w:val="00231E1A"/>
    <w:rsid w:val="00234C72"/>
    <w:rsid w:val="00236982"/>
    <w:rsid w:val="00236AFA"/>
    <w:rsid w:val="00237B0A"/>
    <w:rsid w:val="00237F7B"/>
    <w:rsid w:val="00240C94"/>
    <w:rsid w:val="002433F2"/>
    <w:rsid w:val="00243F65"/>
    <w:rsid w:val="002452FE"/>
    <w:rsid w:val="00246326"/>
    <w:rsid w:val="00246A36"/>
    <w:rsid w:val="002475C1"/>
    <w:rsid w:val="00247A51"/>
    <w:rsid w:val="00250D05"/>
    <w:rsid w:val="00252518"/>
    <w:rsid w:val="00254D03"/>
    <w:rsid w:val="00255013"/>
    <w:rsid w:val="002565D4"/>
    <w:rsid w:val="00257BEE"/>
    <w:rsid w:val="00262F52"/>
    <w:rsid w:val="00263145"/>
    <w:rsid w:val="00266CA1"/>
    <w:rsid w:val="00267924"/>
    <w:rsid w:val="00272E30"/>
    <w:rsid w:val="00273850"/>
    <w:rsid w:val="002756D8"/>
    <w:rsid w:val="00276707"/>
    <w:rsid w:val="00277469"/>
    <w:rsid w:val="00282F6C"/>
    <w:rsid w:val="002835F5"/>
    <w:rsid w:val="00285ED7"/>
    <w:rsid w:val="002877C9"/>
    <w:rsid w:val="00287FD5"/>
    <w:rsid w:val="00290C08"/>
    <w:rsid w:val="002911AA"/>
    <w:rsid w:val="002940D9"/>
    <w:rsid w:val="0029625A"/>
    <w:rsid w:val="00297BBB"/>
    <w:rsid w:val="00297F0E"/>
    <w:rsid w:val="002A0CC9"/>
    <w:rsid w:val="002A10D8"/>
    <w:rsid w:val="002A178D"/>
    <w:rsid w:val="002A2BCD"/>
    <w:rsid w:val="002A3B9D"/>
    <w:rsid w:val="002A5A22"/>
    <w:rsid w:val="002A7422"/>
    <w:rsid w:val="002B193E"/>
    <w:rsid w:val="002B2695"/>
    <w:rsid w:val="002B281C"/>
    <w:rsid w:val="002B2A68"/>
    <w:rsid w:val="002B518B"/>
    <w:rsid w:val="002B7765"/>
    <w:rsid w:val="002B7A39"/>
    <w:rsid w:val="002C36A5"/>
    <w:rsid w:val="002C4819"/>
    <w:rsid w:val="002C4C63"/>
    <w:rsid w:val="002C5DB9"/>
    <w:rsid w:val="002D0445"/>
    <w:rsid w:val="002D356D"/>
    <w:rsid w:val="002D3C49"/>
    <w:rsid w:val="002D4A24"/>
    <w:rsid w:val="002D4CAF"/>
    <w:rsid w:val="002D52D8"/>
    <w:rsid w:val="002D6199"/>
    <w:rsid w:val="002E10D1"/>
    <w:rsid w:val="002E5A6D"/>
    <w:rsid w:val="002E6283"/>
    <w:rsid w:val="002E6386"/>
    <w:rsid w:val="002E6C85"/>
    <w:rsid w:val="002F00A5"/>
    <w:rsid w:val="002F22EC"/>
    <w:rsid w:val="002F2D6D"/>
    <w:rsid w:val="002F5DEA"/>
    <w:rsid w:val="002F6C44"/>
    <w:rsid w:val="002F755E"/>
    <w:rsid w:val="00300738"/>
    <w:rsid w:val="003022CE"/>
    <w:rsid w:val="00302F8A"/>
    <w:rsid w:val="003059E9"/>
    <w:rsid w:val="0030736F"/>
    <w:rsid w:val="003074A4"/>
    <w:rsid w:val="003074AE"/>
    <w:rsid w:val="00310E88"/>
    <w:rsid w:val="003118CD"/>
    <w:rsid w:val="0031298C"/>
    <w:rsid w:val="00313EEE"/>
    <w:rsid w:val="003148FB"/>
    <w:rsid w:val="00315949"/>
    <w:rsid w:val="00316E0C"/>
    <w:rsid w:val="0031763A"/>
    <w:rsid w:val="00317DA3"/>
    <w:rsid w:val="00323DD6"/>
    <w:rsid w:val="00325BC1"/>
    <w:rsid w:val="00325BD8"/>
    <w:rsid w:val="00331A58"/>
    <w:rsid w:val="00331F9D"/>
    <w:rsid w:val="00332B10"/>
    <w:rsid w:val="00335771"/>
    <w:rsid w:val="00335AEB"/>
    <w:rsid w:val="0033652E"/>
    <w:rsid w:val="003367C5"/>
    <w:rsid w:val="00337126"/>
    <w:rsid w:val="00341F3F"/>
    <w:rsid w:val="00343658"/>
    <w:rsid w:val="00352B0A"/>
    <w:rsid w:val="00353908"/>
    <w:rsid w:val="00353C71"/>
    <w:rsid w:val="00354F7F"/>
    <w:rsid w:val="00355C5F"/>
    <w:rsid w:val="00357A11"/>
    <w:rsid w:val="00360D9D"/>
    <w:rsid w:val="00361AAF"/>
    <w:rsid w:val="00361C7B"/>
    <w:rsid w:val="0036407A"/>
    <w:rsid w:val="00364964"/>
    <w:rsid w:val="00364E1D"/>
    <w:rsid w:val="0036567A"/>
    <w:rsid w:val="0036690C"/>
    <w:rsid w:val="003671AD"/>
    <w:rsid w:val="0036762E"/>
    <w:rsid w:val="00371EA8"/>
    <w:rsid w:val="00373180"/>
    <w:rsid w:val="00373690"/>
    <w:rsid w:val="003772A1"/>
    <w:rsid w:val="00382AA2"/>
    <w:rsid w:val="00384DC2"/>
    <w:rsid w:val="00384FFB"/>
    <w:rsid w:val="003851E4"/>
    <w:rsid w:val="00386E5B"/>
    <w:rsid w:val="003908BA"/>
    <w:rsid w:val="00391A42"/>
    <w:rsid w:val="003927AB"/>
    <w:rsid w:val="00393B9B"/>
    <w:rsid w:val="00394421"/>
    <w:rsid w:val="00395B81"/>
    <w:rsid w:val="003962A1"/>
    <w:rsid w:val="003A2751"/>
    <w:rsid w:val="003B2473"/>
    <w:rsid w:val="003B2F9E"/>
    <w:rsid w:val="003B4329"/>
    <w:rsid w:val="003B550A"/>
    <w:rsid w:val="003B6B4B"/>
    <w:rsid w:val="003B7154"/>
    <w:rsid w:val="003B71E1"/>
    <w:rsid w:val="003B7288"/>
    <w:rsid w:val="003C339C"/>
    <w:rsid w:val="003C7BDF"/>
    <w:rsid w:val="003C7F82"/>
    <w:rsid w:val="003D12F3"/>
    <w:rsid w:val="003D2586"/>
    <w:rsid w:val="003D2F5A"/>
    <w:rsid w:val="003D3BC3"/>
    <w:rsid w:val="003D3D4D"/>
    <w:rsid w:val="003D42AB"/>
    <w:rsid w:val="003D50AA"/>
    <w:rsid w:val="003D59D6"/>
    <w:rsid w:val="003E00F1"/>
    <w:rsid w:val="003E24E2"/>
    <w:rsid w:val="003E2727"/>
    <w:rsid w:val="003E2C79"/>
    <w:rsid w:val="003E3BC2"/>
    <w:rsid w:val="003F1B5F"/>
    <w:rsid w:val="003F4F53"/>
    <w:rsid w:val="003F629F"/>
    <w:rsid w:val="004011EA"/>
    <w:rsid w:val="00403BF9"/>
    <w:rsid w:val="004051EA"/>
    <w:rsid w:val="004104D8"/>
    <w:rsid w:val="00410BD0"/>
    <w:rsid w:val="0041146D"/>
    <w:rsid w:val="004117CB"/>
    <w:rsid w:val="00413774"/>
    <w:rsid w:val="00414A76"/>
    <w:rsid w:val="00414ADC"/>
    <w:rsid w:val="004150DB"/>
    <w:rsid w:val="00420385"/>
    <w:rsid w:val="00420610"/>
    <w:rsid w:val="00423BC3"/>
    <w:rsid w:val="0042687C"/>
    <w:rsid w:val="00426BE8"/>
    <w:rsid w:val="00427870"/>
    <w:rsid w:val="00430373"/>
    <w:rsid w:val="00430CCB"/>
    <w:rsid w:val="00431244"/>
    <w:rsid w:val="004337A8"/>
    <w:rsid w:val="004363D4"/>
    <w:rsid w:val="00437E5A"/>
    <w:rsid w:val="00440A80"/>
    <w:rsid w:val="00441D8E"/>
    <w:rsid w:val="00444393"/>
    <w:rsid w:val="00445213"/>
    <w:rsid w:val="0044522C"/>
    <w:rsid w:val="00446770"/>
    <w:rsid w:val="004474B9"/>
    <w:rsid w:val="004512C5"/>
    <w:rsid w:val="004546A3"/>
    <w:rsid w:val="004548B8"/>
    <w:rsid w:val="0045536C"/>
    <w:rsid w:val="00456503"/>
    <w:rsid w:val="0046075F"/>
    <w:rsid w:val="004625E5"/>
    <w:rsid w:val="0046428C"/>
    <w:rsid w:val="00464318"/>
    <w:rsid w:val="0046649A"/>
    <w:rsid w:val="00466F48"/>
    <w:rsid w:val="0047356C"/>
    <w:rsid w:val="00474033"/>
    <w:rsid w:val="004758BF"/>
    <w:rsid w:val="00476F87"/>
    <w:rsid w:val="0048175B"/>
    <w:rsid w:val="00482703"/>
    <w:rsid w:val="00482ED0"/>
    <w:rsid w:val="00485439"/>
    <w:rsid w:val="00486014"/>
    <w:rsid w:val="0048765D"/>
    <w:rsid w:val="00487BCB"/>
    <w:rsid w:val="00491558"/>
    <w:rsid w:val="00492998"/>
    <w:rsid w:val="00493828"/>
    <w:rsid w:val="00495E8D"/>
    <w:rsid w:val="00497091"/>
    <w:rsid w:val="004A09E4"/>
    <w:rsid w:val="004A330B"/>
    <w:rsid w:val="004A354F"/>
    <w:rsid w:val="004A6E41"/>
    <w:rsid w:val="004A6E92"/>
    <w:rsid w:val="004A77B0"/>
    <w:rsid w:val="004B1A65"/>
    <w:rsid w:val="004B6199"/>
    <w:rsid w:val="004B7666"/>
    <w:rsid w:val="004C1992"/>
    <w:rsid w:val="004C212F"/>
    <w:rsid w:val="004C2862"/>
    <w:rsid w:val="004C3019"/>
    <w:rsid w:val="004C40E4"/>
    <w:rsid w:val="004C46F9"/>
    <w:rsid w:val="004C71A8"/>
    <w:rsid w:val="004C7A24"/>
    <w:rsid w:val="004D0DEA"/>
    <w:rsid w:val="004D289E"/>
    <w:rsid w:val="004D4F1C"/>
    <w:rsid w:val="004D577A"/>
    <w:rsid w:val="004D74ED"/>
    <w:rsid w:val="004D78E2"/>
    <w:rsid w:val="004E2DB1"/>
    <w:rsid w:val="004E37C5"/>
    <w:rsid w:val="004E63DC"/>
    <w:rsid w:val="004E7E59"/>
    <w:rsid w:val="004F05B9"/>
    <w:rsid w:val="004F09F2"/>
    <w:rsid w:val="004F36FD"/>
    <w:rsid w:val="004F41BD"/>
    <w:rsid w:val="004F6050"/>
    <w:rsid w:val="0050056D"/>
    <w:rsid w:val="00500F83"/>
    <w:rsid w:val="00501D7E"/>
    <w:rsid w:val="00505885"/>
    <w:rsid w:val="0050592D"/>
    <w:rsid w:val="00510889"/>
    <w:rsid w:val="00512D64"/>
    <w:rsid w:val="00514BD1"/>
    <w:rsid w:val="0051625B"/>
    <w:rsid w:val="00520730"/>
    <w:rsid w:val="00520D05"/>
    <w:rsid w:val="00522976"/>
    <w:rsid w:val="00524265"/>
    <w:rsid w:val="00525AE2"/>
    <w:rsid w:val="00525BCE"/>
    <w:rsid w:val="005305AF"/>
    <w:rsid w:val="0053134B"/>
    <w:rsid w:val="00532783"/>
    <w:rsid w:val="00532807"/>
    <w:rsid w:val="005332DA"/>
    <w:rsid w:val="00533C77"/>
    <w:rsid w:val="005358AA"/>
    <w:rsid w:val="00540DD1"/>
    <w:rsid w:val="00541043"/>
    <w:rsid w:val="0054236D"/>
    <w:rsid w:val="00542DB6"/>
    <w:rsid w:val="00543EE7"/>
    <w:rsid w:val="0054548A"/>
    <w:rsid w:val="0054569B"/>
    <w:rsid w:val="005469EA"/>
    <w:rsid w:val="00547ED2"/>
    <w:rsid w:val="0055001A"/>
    <w:rsid w:val="00550635"/>
    <w:rsid w:val="00550FB4"/>
    <w:rsid w:val="00552826"/>
    <w:rsid w:val="00552B16"/>
    <w:rsid w:val="0055619B"/>
    <w:rsid w:val="005565ED"/>
    <w:rsid w:val="0056145B"/>
    <w:rsid w:val="005619D9"/>
    <w:rsid w:val="005621C8"/>
    <w:rsid w:val="00562686"/>
    <w:rsid w:val="0056632A"/>
    <w:rsid w:val="00566F22"/>
    <w:rsid w:val="0057040D"/>
    <w:rsid w:val="00570514"/>
    <w:rsid w:val="00571DD8"/>
    <w:rsid w:val="0057250C"/>
    <w:rsid w:val="0057273C"/>
    <w:rsid w:val="00574BC7"/>
    <w:rsid w:val="0057545B"/>
    <w:rsid w:val="00575818"/>
    <w:rsid w:val="00575AFB"/>
    <w:rsid w:val="00576E1D"/>
    <w:rsid w:val="005832BF"/>
    <w:rsid w:val="00583CFE"/>
    <w:rsid w:val="00590241"/>
    <w:rsid w:val="00592AFF"/>
    <w:rsid w:val="0059546B"/>
    <w:rsid w:val="00595727"/>
    <w:rsid w:val="005959EB"/>
    <w:rsid w:val="00597EB4"/>
    <w:rsid w:val="005A0790"/>
    <w:rsid w:val="005A0FC8"/>
    <w:rsid w:val="005A2604"/>
    <w:rsid w:val="005A3394"/>
    <w:rsid w:val="005A40DA"/>
    <w:rsid w:val="005A47C8"/>
    <w:rsid w:val="005A56C7"/>
    <w:rsid w:val="005B1633"/>
    <w:rsid w:val="005B18CB"/>
    <w:rsid w:val="005B1988"/>
    <w:rsid w:val="005B2359"/>
    <w:rsid w:val="005B367C"/>
    <w:rsid w:val="005B3CA3"/>
    <w:rsid w:val="005B5FA7"/>
    <w:rsid w:val="005C2FC8"/>
    <w:rsid w:val="005C4755"/>
    <w:rsid w:val="005C59C5"/>
    <w:rsid w:val="005C5D7D"/>
    <w:rsid w:val="005C647A"/>
    <w:rsid w:val="005D0ACC"/>
    <w:rsid w:val="005D1AB5"/>
    <w:rsid w:val="005E2D92"/>
    <w:rsid w:val="005E34F7"/>
    <w:rsid w:val="005E3D3A"/>
    <w:rsid w:val="005E4513"/>
    <w:rsid w:val="005E7C10"/>
    <w:rsid w:val="005F0D8B"/>
    <w:rsid w:val="005F270E"/>
    <w:rsid w:val="005F333A"/>
    <w:rsid w:val="005F4B6C"/>
    <w:rsid w:val="005F671F"/>
    <w:rsid w:val="005F793B"/>
    <w:rsid w:val="005F7CF1"/>
    <w:rsid w:val="005F7DAE"/>
    <w:rsid w:val="0060165B"/>
    <w:rsid w:val="0060306B"/>
    <w:rsid w:val="0060420F"/>
    <w:rsid w:val="00610209"/>
    <w:rsid w:val="00610DB7"/>
    <w:rsid w:val="00610F16"/>
    <w:rsid w:val="0061119F"/>
    <w:rsid w:val="006115D8"/>
    <w:rsid w:val="00611E4C"/>
    <w:rsid w:val="00612F74"/>
    <w:rsid w:val="00614EC5"/>
    <w:rsid w:val="00617CB6"/>
    <w:rsid w:val="00617EE8"/>
    <w:rsid w:val="0062039C"/>
    <w:rsid w:val="00620A05"/>
    <w:rsid w:val="00621A3C"/>
    <w:rsid w:val="006233BC"/>
    <w:rsid w:val="0062391D"/>
    <w:rsid w:val="00625AE4"/>
    <w:rsid w:val="00626707"/>
    <w:rsid w:val="00626DB6"/>
    <w:rsid w:val="006279D3"/>
    <w:rsid w:val="006302BC"/>
    <w:rsid w:val="006311C5"/>
    <w:rsid w:val="0063164B"/>
    <w:rsid w:val="00631749"/>
    <w:rsid w:val="00633732"/>
    <w:rsid w:val="00636437"/>
    <w:rsid w:val="006419E7"/>
    <w:rsid w:val="00641F7D"/>
    <w:rsid w:val="006423E9"/>
    <w:rsid w:val="00644717"/>
    <w:rsid w:val="00652013"/>
    <w:rsid w:val="00654356"/>
    <w:rsid w:val="00655DA9"/>
    <w:rsid w:val="00656B6F"/>
    <w:rsid w:val="00657C54"/>
    <w:rsid w:val="00661A60"/>
    <w:rsid w:val="00662A6E"/>
    <w:rsid w:val="00665B08"/>
    <w:rsid w:val="00665EFB"/>
    <w:rsid w:val="00666419"/>
    <w:rsid w:val="00667C6E"/>
    <w:rsid w:val="00667F23"/>
    <w:rsid w:val="006714FA"/>
    <w:rsid w:val="00671858"/>
    <w:rsid w:val="00672F97"/>
    <w:rsid w:val="00676126"/>
    <w:rsid w:val="006769C2"/>
    <w:rsid w:val="006804B8"/>
    <w:rsid w:val="006805C8"/>
    <w:rsid w:val="006823A3"/>
    <w:rsid w:val="00682A3B"/>
    <w:rsid w:val="0068408A"/>
    <w:rsid w:val="0068434C"/>
    <w:rsid w:val="0068711C"/>
    <w:rsid w:val="00687F84"/>
    <w:rsid w:val="00687F85"/>
    <w:rsid w:val="0069067F"/>
    <w:rsid w:val="0069159F"/>
    <w:rsid w:val="00691A2E"/>
    <w:rsid w:val="00696079"/>
    <w:rsid w:val="00696278"/>
    <w:rsid w:val="00697AD2"/>
    <w:rsid w:val="006A0452"/>
    <w:rsid w:val="006A0BDF"/>
    <w:rsid w:val="006A1136"/>
    <w:rsid w:val="006A1DEF"/>
    <w:rsid w:val="006A237C"/>
    <w:rsid w:val="006B4C16"/>
    <w:rsid w:val="006B69F8"/>
    <w:rsid w:val="006B700A"/>
    <w:rsid w:val="006B7643"/>
    <w:rsid w:val="006C0088"/>
    <w:rsid w:val="006C2405"/>
    <w:rsid w:val="006C3D79"/>
    <w:rsid w:val="006C419B"/>
    <w:rsid w:val="006C49DA"/>
    <w:rsid w:val="006C5276"/>
    <w:rsid w:val="006C5459"/>
    <w:rsid w:val="006C5EE6"/>
    <w:rsid w:val="006C70E2"/>
    <w:rsid w:val="006C7B95"/>
    <w:rsid w:val="006D2290"/>
    <w:rsid w:val="006D26EF"/>
    <w:rsid w:val="006D5190"/>
    <w:rsid w:val="006D53B5"/>
    <w:rsid w:val="006D554C"/>
    <w:rsid w:val="006E3E8D"/>
    <w:rsid w:val="006E4C1E"/>
    <w:rsid w:val="006E739D"/>
    <w:rsid w:val="006E78AE"/>
    <w:rsid w:val="006E7B63"/>
    <w:rsid w:val="006F0CD7"/>
    <w:rsid w:val="006F1BA8"/>
    <w:rsid w:val="006F2080"/>
    <w:rsid w:val="006F4583"/>
    <w:rsid w:val="006F58BA"/>
    <w:rsid w:val="006F59CB"/>
    <w:rsid w:val="006F6A94"/>
    <w:rsid w:val="006F6F6A"/>
    <w:rsid w:val="006F70A3"/>
    <w:rsid w:val="00700595"/>
    <w:rsid w:val="007039B9"/>
    <w:rsid w:val="0070472B"/>
    <w:rsid w:val="00706485"/>
    <w:rsid w:val="007066A5"/>
    <w:rsid w:val="00707326"/>
    <w:rsid w:val="007075A0"/>
    <w:rsid w:val="007105B6"/>
    <w:rsid w:val="00712607"/>
    <w:rsid w:val="007127C2"/>
    <w:rsid w:val="00712EFA"/>
    <w:rsid w:val="0071582F"/>
    <w:rsid w:val="00721605"/>
    <w:rsid w:val="007226B4"/>
    <w:rsid w:val="00725C78"/>
    <w:rsid w:val="00727DFE"/>
    <w:rsid w:val="007342A2"/>
    <w:rsid w:val="007352F8"/>
    <w:rsid w:val="007353BF"/>
    <w:rsid w:val="00736863"/>
    <w:rsid w:val="0074024D"/>
    <w:rsid w:val="007423B7"/>
    <w:rsid w:val="00742B98"/>
    <w:rsid w:val="007441CA"/>
    <w:rsid w:val="00744CE9"/>
    <w:rsid w:val="00745148"/>
    <w:rsid w:val="00751BDC"/>
    <w:rsid w:val="00754F26"/>
    <w:rsid w:val="007552AF"/>
    <w:rsid w:val="00755B35"/>
    <w:rsid w:val="00755FFB"/>
    <w:rsid w:val="00756275"/>
    <w:rsid w:val="00756A9A"/>
    <w:rsid w:val="00756E37"/>
    <w:rsid w:val="007651CA"/>
    <w:rsid w:val="00766156"/>
    <w:rsid w:val="007665DA"/>
    <w:rsid w:val="0077129F"/>
    <w:rsid w:val="0077289D"/>
    <w:rsid w:val="007737B8"/>
    <w:rsid w:val="00774736"/>
    <w:rsid w:val="00774E96"/>
    <w:rsid w:val="00780B89"/>
    <w:rsid w:val="00781FB7"/>
    <w:rsid w:val="00782CFA"/>
    <w:rsid w:val="00782E67"/>
    <w:rsid w:val="00784E80"/>
    <w:rsid w:val="00786B4B"/>
    <w:rsid w:val="007870CE"/>
    <w:rsid w:val="00792761"/>
    <w:rsid w:val="00793444"/>
    <w:rsid w:val="00793A2A"/>
    <w:rsid w:val="00795258"/>
    <w:rsid w:val="00797150"/>
    <w:rsid w:val="007A05A7"/>
    <w:rsid w:val="007A0893"/>
    <w:rsid w:val="007A1D9E"/>
    <w:rsid w:val="007A1DEC"/>
    <w:rsid w:val="007A275E"/>
    <w:rsid w:val="007A3326"/>
    <w:rsid w:val="007A6D03"/>
    <w:rsid w:val="007B0F2D"/>
    <w:rsid w:val="007B167A"/>
    <w:rsid w:val="007B282F"/>
    <w:rsid w:val="007B2DCB"/>
    <w:rsid w:val="007B4A6A"/>
    <w:rsid w:val="007B5E07"/>
    <w:rsid w:val="007B65FE"/>
    <w:rsid w:val="007B78B4"/>
    <w:rsid w:val="007C069C"/>
    <w:rsid w:val="007C467A"/>
    <w:rsid w:val="007C4C24"/>
    <w:rsid w:val="007C4EB0"/>
    <w:rsid w:val="007C5AFE"/>
    <w:rsid w:val="007D1084"/>
    <w:rsid w:val="007D3D7F"/>
    <w:rsid w:val="007D470A"/>
    <w:rsid w:val="007D6BF0"/>
    <w:rsid w:val="007D6DB3"/>
    <w:rsid w:val="007D77C5"/>
    <w:rsid w:val="007E0CCB"/>
    <w:rsid w:val="007E1196"/>
    <w:rsid w:val="007E1778"/>
    <w:rsid w:val="007E594D"/>
    <w:rsid w:val="007E75EC"/>
    <w:rsid w:val="007F1B03"/>
    <w:rsid w:val="007F3B8A"/>
    <w:rsid w:val="007F4C53"/>
    <w:rsid w:val="0080027F"/>
    <w:rsid w:val="00801AE7"/>
    <w:rsid w:val="00802BFA"/>
    <w:rsid w:val="00803CDC"/>
    <w:rsid w:val="0080424C"/>
    <w:rsid w:val="00804712"/>
    <w:rsid w:val="00806CE4"/>
    <w:rsid w:val="00807BD3"/>
    <w:rsid w:val="0081368F"/>
    <w:rsid w:val="00814D4E"/>
    <w:rsid w:val="00820977"/>
    <w:rsid w:val="00824A0A"/>
    <w:rsid w:val="008267B9"/>
    <w:rsid w:val="00826F77"/>
    <w:rsid w:val="008300B4"/>
    <w:rsid w:val="00830CC6"/>
    <w:rsid w:val="00830D53"/>
    <w:rsid w:val="00831757"/>
    <w:rsid w:val="008317C0"/>
    <w:rsid w:val="00831F28"/>
    <w:rsid w:val="00832749"/>
    <w:rsid w:val="00832CC4"/>
    <w:rsid w:val="00835F2A"/>
    <w:rsid w:val="00837A5D"/>
    <w:rsid w:val="00841470"/>
    <w:rsid w:val="008437F4"/>
    <w:rsid w:val="00843E7C"/>
    <w:rsid w:val="008461DA"/>
    <w:rsid w:val="0084775D"/>
    <w:rsid w:val="00850048"/>
    <w:rsid w:val="00850814"/>
    <w:rsid w:val="00852952"/>
    <w:rsid w:val="00852A97"/>
    <w:rsid w:val="00852DA6"/>
    <w:rsid w:val="00853062"/>
    <w:rsid w:val="008543F6"/>
    <w:rsid w:val="00855A1A"/>
    <w:rsid w:val="00857361"/>
    <w:rsid w:val="0086119A"/>
    <w:rsid w:val="0086222E"/>
    <w:rsid w:val="00862A0A"/>
    <w:rsid w:val="0086320C"/>
    <w:rsid w:val="008635A1"/>
    <w:rsid w:val="00864119"/>
    <w:rsid w:val="0086780F"/>
    <w:rsid w:val="008701CD"/>
    <w:rsid w:val="00872581"/>
    <w:rsid w:val="008734AA"/>
    <w:rsid w:val="00874F28"/>
    <w:rsid w:val="008756FF"/>
    <w:rsid w:val="0088041C"/>
    <w:rsid w:val="0088078F"/>
    <w:rsid w:val="0088088D"/>
    <w:rsid w:val="00882490"/>
    <w:rsid w:val="008852EF"/>
    <w:rsid w:val="00885D95"/>
    <w:rsid w:val="0089146E"/>
    <w:rsid w:val="00891C4A"/>
    <w:rsid w:val="008924BC"/>
    <w:rsid w:val="00892C5D"/>
    <w:rsid w:val="008938CE"/>
    <w:rsid w:val="00896754"/>
    <w:rsid w:val="008970E3"/>
    <w:rsid w:val="0089729E"/>
    <w:rsid w:val="008A23AE"/>
    <w:rsid w:val="008A2D15"/>
    <w:rsid w:val="008A2FF4"/>
    <w:rsid w:val="008A30D8"/>
    <w:rsid w:val="008A4FCC"/>
    <w:rsid w:val="008A5823"/>
    <w:rsid w:val="008A6838"/>
    <w:rsid w:val="008A70EC"/>
    <w:rsid w:val="008A7480"/>
    <w:rsid w:val="008A767B"/>
    <w:rsid w:val="008A7D52"/>
    <w:rsid w:val="008B16C5"/>
    <w:rsid w:val="008B2ECE"/>
    <w:rsid w:val="008B3B68"/>
    <w:rsid w:val="008B4F9E"/>
    <w:rsid w:val="008B6721"/>
    <w:rsid w:val="008C0779"/>
    <w:rsid w:val="008C0B12"/>
    <w:rsid w:val="008C1478"/>
    <w:rsid w:val="008C2B4E"/>
    <w:rsid w:val="008C2E24"/>
    <w:rsid w:val="008C3804"/>
    <w:rsid w:val="008C4070"/>
    <w:rsid w:val="008C4B49"/>
    <w:rsid w:val="008C5035"/>
    <w:rsid w:val="008C52EC"/>
    <w:rsid w:val="008C55CE"/>
    <w:rsid w:val="008C573F"/>
    <w:rsid w:val="008C65F7"/>
    <w:rsid w:val="008C6FCF"/>
    <w:rsid w:val="008D209C"/>
    <w:rsid w:val="008D35AB"/>
    <w:rsid w:val="008D4DC6"/>
    <w:rsid w:val="008D4DC7"/>
    <w:rsid w:val="008D61D6"/>
    <w:rsid w:val="008D749D"/>
    <w:rsid w:val="008D757E"/>
    <w:rsid w:val="008D7927"/>
    <w:rsid w:val="008E0A2F"/>
    <w:rsid w:val="008E2A7A"/>
    <w:rsid w:val="008E436B"/>
    <w:rsid w:val="008E5543"/>
    <w:rsid w:val="008E5F41"/>
    <w:rsid w:val="008F0DF8"/>
    <w:rsid w:val="008F1152"/>
    <w:rsid w:val="008F1F3A"/>
    <w:rsid w:val="008F3692"/>
    <w:rsid w:val="008F3B7C"/>
    <w:rsid w:val="008F5DCC"/>
    <w:rsid w:val="008F6F75"/>
    <w:rsid w:val="0090204A"/>
    <w:rsid w:val="00903287"/>
    <w:rsid w:val="00905D0B"/>
    <w:rsid w:val="009068C5"/>
    <w:rsid w:val="00911129"/>
    <w:rsid w:val="00911846"/>
    <w:rsid w:val="009158AA"/>
    <w:rsid w:val="00917862"/>
    <w:rsid w:val="009200EE"/>
    <w:rsid w:val="00925C25"/>
    <w:rsid w:val="009274CC"/>
    <w:rsid w:val="0093223E"/>
    <w:rsid w:val="00932CCA"/>
    <w:rsid w:val="0093448E"/>
    <w:rsid w:val="00935BF3"/>
    <w:rsid w:val="0093618D"/>
    <w:rsid w:val="00937F0F"/>
    <w:rsid w:val="00942520"/>
    <w:rsid w:val="009425AD"/>
    <w:rsid w:val="009430AA"/>
    <w:rsid w:val="0094339E"/>
    <w:rsid w:val="009437C0"/>
    <w:rsid w:val="0094384D"/>
    <w:rsid w:val="0094492F"/>
    <w:rsid w:val="009449CB"/>
    <w:rsid w:val="00945733"/>
    <w:rsid w:val="009460C2"/>
    <w:rsid w:val="00946521"/>
    <w:rsid w:val="0094701F"/>
    <w:rsid w:val="00950A22"/>
    <w:rsid w:val="0095284D"/>
    <w:rsid w:val="0095289B"/>
    <w:rsid w:val="0095322D"/>
    <w:rsid w:val="00954876"/>
    <w:rsid w:val="00955F42"/>
    <w:rsid w:val="00960000"/>
    <w:rsid w:val="009608BB"/>
    <w:rsid w:val="009619A8"/>
    <w:rsid w:val="00962ACF"/>
    <w:rsid w:val="009636D6"/>
    <w:rsid w:val="0096504B"/>
    <w:rsid w:val="00965475"/>
    <w:rsid w:val="00966BE2"/>
    <w:rsid w:val="0096798F"/>
    <w:rsid w:val="009679A6"/>
    <w:rsid w:val="009712A0"/>
    <w:rsid w:val="0097147D"/>
    <w:rsid w:val="00971F59"/>
    <w:rsid w:val="00972A01"/>
    <w:rsid w:val="00972D68"/>
    <w:rsid w:val="009735DB"/>
    <w:rsid w:val="009806A7"/>
    <w:rsid w:val="0098415E"/>
    <w:rsid w:val="009842A8"/>
    <w:rsid w:val="00984372"/>
    <w:rsid w:val="009851DE"/>
    <w:rsid w:val="00986D88"/>
    <w:rsid w:val="00987408"/>
    <w:rsid w:val="009929EB"/>
    <w:rsid w:val="00993C1D"/>
    <w:rsid w:val="00995373"/>
    <w:rsid w:val="00997B3A"/>
    <w:rsid w:val="009A0AAD"/>
    <w:rsid w:val="009A2108"/>
    <w:rsid w:val="009A2596"/>
    <w:rsid w:val="009A3655"/>
    <w:rsid w:val="009A70A4"/>
    <w:rsid w:val="009B056A"/>
    <w:rsid w:val="009B1C92"/>
    <w:rsid w:val="009B33C1"/>
    <w:rsid w:val="009B4C80"/>
    <w:rsid w:val="009C14E8"/>
    <w:rsid w:val="009C3703"/>
    <w:rsid w:val="009C47C8"/>
    <w:rsid w:val="009C51BD"/>
    <w:rsid w:val="009C65F3"/>
    <w:rsid w:val="009C66E6"/>
    <w:rsid w:val="009C7812"/>
    <w:rsid w:val="009D06D0"/>
    <w:rsid w:val="009D19F0"/>
    <w:rsid w:val="009D40E5"/>
    <w:rsid w:val="009D545E"/>
    <w:rsid w:val="009D5FB1"/>
    <w:rsid w:val="009D7CCC"/>
    <w:rsid w:val="009E0162"/>
    <w:rsid w:val="009E06AE"/>
    <w:rsid w:val="009E2045"/>
    <w:rsid w:val="009E2AE6"/>
    <w:rsid w:val="009E2C35"/>
    <w:rsid w:val="009E41A7"/>
    <w:rsid w:val="009E4D83"/>
    <w:rsid w:val="009E5390"/>
    <w:rsid w:val="009E675F"/>
    <w:rsid w:val="009F1772"/>
    <w:rsid w:val="009F1784"/>
    <w:rsid w:val="009F2E18"/>
    <w:rsid w:val="009F43B1"/>
    <w:rsid w:val="009F7C0B"/>
    <w:rsid w:val="00A00863"/>
    <w:rsid w:val="00A03E16"/>
    <w:rsid w:val="00A04C72"/>
    <w:rsid w:val="00A05CDA"/>
    <w:rsid w:val="00A102B2"/>
    <w:rsid w:val="00A14493"/>
    <w:rsid w:val="00A14AC7"/>
    <w:rsid w:val="00A1769A"/>
    <w:rsid w:val="00A1797F"/>
    <w:rsid w:val="00A206C6"/>
    <w:rsid w:val="00A268B3"/>
    <w:rsid w:val="00A26FD6"/>
    <w:rsid w:val="00A270F4"/>
    <w:rsid w:val="00A33807"/>
    <w:rsid w:val="00A3441A"/>
    <w:rsid w:val="00A34561"/>
    <w:rsid w:val="00A36139"/>
    <w:rsid w:val="00A363C5"/>
    <w:rsid w:val="00A403FB"/>
    <w:rsid w:val="00A47DDE"/>
    <w:rsid w:val="00A50E1A"/>
    <w:rsid w:val="00A52580"/>
    <w:rsid w:val="00A5290A"/>
    <w:rsid w:val="00A52CCD"/>
    <w:rsid w:val="00A53722"/>
    <w:rsid w:val="00A54CB0"/>
    <w:rsid w:val="00A56F31"/>
    <w:rsid w:val="00A5799E"/>
    <w:rsid w:val="00A617F3"/>
    <w:rsid w:val="00A6220D"/>
    <w:rsid w:val="00A6280F"/>
    <w:rsid w:val="00A63C78"/>
    <w:rsid w:val="00A63FBE"/>
    <w:rsid w:val="00A6464D"/>
    <w:rsid w:val="00A64E97"/>
    <w:rsid w:val="00A67F14"/>
    <w:rsid w:val="00A71135"/>
    <w:rsid w:val="00A71EDB"/>
    <w:rsid w:val="00A71F66"/>
    <w:rsid w:val="00A73D61"/>
    <w:rsid w:val="00A74FE4"/>
    <w:rsid w:val="00A75575"/>
    <w:rsid w:val="00A75B43"/>
    <w:rsid w:val="00A80770"/>
    <w:rsid w:val="00A80AE0"/>
    <w:rsid w:val="00A80EF1"/>
    <w:rsid w:val="00A81BC0"/>
    <w:rsid w:val="00A82CEC"/>
    <w:rsid w:val="00A82E7C"/>
    <w:rsid w:val="00A82F20"/>
    <w:rsid w:val="00A83EA5"/>
    <w:rsid w:val="00A84D48"/>
    <w:rsid w:val="00A86B5B"/>
    <w:rsid w:val="00A87208"/>
    <w:rsid w:val="00A92428"/>
    <w:rsid w:val="00A94168"/>
    <w:rsid w:val="00A943D2"/>
    <w:rsid w:val="00A94C50"/>
    <w:rsid w:val="00A9573F"/>
    <w:rsid w:val="00AA0DB8"/>
    <w:rsid w:val="00AA42E9"/>
    <w:rsid w:val="00AA54D5"/>
    <w:rsid w:val="00AA6897"/>
    <w:rsid w:val="00AA6BA5"/>
    <w:rsid w:val="00AB0B32"/>
    <w:rsid w:val="00AB1235"/>
    <w:rsid w:val="00AB21A8"/>
    <w:rsid w:val="00AB22D6"/>
    <w:rsid w:val="00AB3D0C"/>
    <w:rsid w:val="00AB542F"/>
    <w:rsid w:val="00AB6EB9"/>
    <w:rsid w:val="00AC1320"/>
    <w:rsid w:val="00AC1D5A"/>
    <w:rsid w:val="00AC24CB"/>
    <w:rsid w:val="00AC25AE"/>
    <w:rsid w:val="00AC31DA"/>
    <w:rsid w:val="00AC443A"/>
    <w:rsid w:val="00AC45C5"/>
    <w:rsid w:val="00AC501E"/>
    <w:rsid w:val="00AC60C4"/>
    <w:rsid w:val="00AC69B2"/>
    <w:rsid w:val="00AC6B4F"/>
    <w:rsid w:val="00AD1C37"/>
    <w:rsid w:val="00AD3DD1"/>
    <w:rsid w:val="00AD48C1"/>
    <w:rsid w:val="00AD57E6"/>
    <w:rsid w:val="00AD66B0"/>
    <w:rsid w:val="00AD6EEA"/>
    <w:rsid w:val="00AE18A2"/>
    <w:rsid w:val="00AE47EE"/>
    <w:rsid w:val="00AE7F29"/>
    <w:rsid w:val="00AF02E4"/>
    <w:rsid w:val="00AF2183"/>
    <w:rsid w:val="00AF281D"/>
    <w:rsid w:val="00AF2C1F"/>
    <w:rsid w:val="00AF33CD"/>
    <w:rsid w:val="00AF69EC"/>
    <w:rsid w:val="00AF7540"/>
    <w:rsid w:val="00B0081F"/>
    <w:rsid w:val="00B02292"/>
    <w:rsid w:val="00B0365F"/>
    <w:rsid w:val="00B03DD4"/>
    <w:rsid w:val="00B03E5F"/>
    <w:rsid w:val="00B04745"/>
    <w:rsid w:val="00B05F55"/>
    <w:rsid w:val="00B0703A"/>
    <w:rsid w:val="00B1020D"/>
    <w:rsid w:val="00B114CB"/>
    <w:rsid w:val="00B11508"/>
    <w:rsid w:val="00B12ABB"/>
    <w:rsid w:val="00B13230"/>
    <w:rsid w:val="00B136D5"/>
    <w:rsid w:val="00B16415"/>
    <w:rsid w:val="00B165A8"/>
    <w:rsid w:val="00B17D35"/>
    <w:rsid w:val="00B17F49"/>
    <w:rsid w:val="00B2223F"/>
    <w:rsid w:val="00B231C0"/>
    <w:rsid w:val="00B27C54"/>
    <w:rsid w:val="00B30D73"/>
    <w:rsid w:val="00B32578"/>
    <w:rsid w:val="00B33204"/>
    <w:rsid w:val="00B34623"/>
    <w:rsid w:val="00B34D48"/>
    <w:rsid w:val="00B41934"/>
    <w:rsid w:val="00B41CFA"/>
    <w:rsid w:val="00B42F7B"/>
    <w:rsid w:val="00B44ECC"/>
    <w:rsid w:val="00B472BA"/>
    <w:rsid w:val="00B52577"/>
    <w:rsid w:val="00B527FA"/>
    <w:rsid w:val="00B5318F"/>
    <w:rsid w:val="00B5570E"/>
    <w:rsid w:val="00B55AAA"/>
    <w:rsid w:val="00B571E6"/>
    <w:rsid w:val="00B61995"/>
    <w:rsid w:val="00B63CDF"/>
    <w:rsid w:val="00B65A66"/>
    <w:rsid w:val="00B66720"/>
    <w:rsid w:val="00B667D8"/>
    <w:rsid w:val="00B70F33"/>
    <w:rsid w:val="00B72AD2"/>
    <w:rsid w:val="00B73553"/>
    <w:rsid w:val="00B73A10"/>
    <w:rsid w:val="00B73AD0"/>
    <w:rsid w:val="00B75BE5"/>
    <w:rsid w:val="00B76997"/>
    <w:rsid w:val="00B76CC9"/>
    <w:rsid w:val="00B77FD1"/>
    <w:rsid w:val="00B80388"/>
    <w:rsid w:val="00B818C6"/>
    <w:rsid w:val="00B826AA"/>
    <w:rsid w:val="00B82A1D"/>
    <w:rsid w:val="00B855C4"/>
    <w:rsid w:val="00B85AA9"/>
    <w:rsid w:val="00B87BB0"/>
    <w:rsid w:val="00B909D6"/>
    <w:rsid w:val="00B92427"/>
    <w:rsid w:val="00B94807"/>
    <w:rsid w:val="00B95753"/>
    <w:rsid w:val="00B96354"/>
    <w:rsid w:val="00BA2244"/>
    <w:rsid w:val="00BA4331"/>
    <w:rsid w:val="00BA52A9"/>
    <w:rsid w:val="00BA5F0F"/>
    <w:rsid w:val="00BA6150"/>
    <w:rsid w:val="00BB15F2"/>
    <w:rsid w:val="00BB321A"/>
    <w:rsid w:val="00BB3367"/>
    <w:rsid w:val="00BB389C"/>
    <w:rsid w:val="00BB3EF4"/>
    <w:rsid w:val="00BB46EC"/>
    <w:rsid w:val="00BB5A33"/>
    <w:rsid w:val="00BB6EBB"/>
    <w:rsid w:val="00BC312D"/>
    <w:rsid w:val="00BC3DE2"/>
    <w:rsid w:val="00BC4C6A"/>
    <w:rsid w:val="00BC6015"/>
    <w:rsid w:val="00BC64D2"/>
    <w:rsid w:val="00BD41F8"/>
    <w:rsid w:val="00BD4797"/>
    <w:rsid w:val="00BD57C3"/>
    <w:rsid w:val="00BE02CE"/>
    <w:rsid w:val="00BE10AE"/>
    <w:rsid w:val="00BE1508"/>
    <w:rsid w:val="00BE1CF7"/>
    <w:rsid w:val="00BE30F9"/>
    <w:rsid w:val="00BE40C4"/>
    <w:rsid w:val="00BE66AB"/>
    <w:rsid w:val="00BE66FD"/>
    <w:rsid w:val="00BF027E"/>
    <w:rsid w:val="00BF0F48"/>
    <w:rsid w:val="00BF1393"/>
    <w:rsid w:val="00BF1A7A"/>
    <w:rsid w:val="00BF29A1"/>
    <w:rsid w:val="00BF3841"/>
    <w:rsid w:val="00BF3A6E"/>
    <w:rsid w:val="00C0076E"/>
    <w:rsid w:val="00C03078"/>
    <w:rsid w:val="00C06579"/>
    <w:rsid w:val="00C116D6"/>
    <w:rsid w:val="00C140F4"/>
    <w:rsid w:val="00C1544D"/>
    <w:rsid w:val="00C23659"/>
    <w:rsid w:val="00C25AFB"/>
    <w:rsid w:val="00C25ECD"/>
    <w:rsid w:val="00C2758D"/>
    <w:rsid w:val="00C27C05"/>
    <w:rsid w:val="00C301DE"/>
    <w:rsid w:val="00C30407"/>
    <w:rsid w:val="00C3399E"/>
    <w:rsid w:val="00C35741"/>
    <w:rsid w:val="00C36923"/>
    <w:rsid w:val="00C417B1"/>
    <w:rsid w:val="00C426C3"/>
    <w:rsid w:val="00C44224"/>
    <w:rsid w:val="00C45076"/>
    <w:rsid w:val="00C452F1"/>
    <w:rsid w:val="00C50DD8"/>
    <w:rsid w:val="00C52CAE"/>
    <w:rsid w:val="00C54521"/>
    <w:rsid w:val="00C547F7"/>
    <w:rsid w:val="00C54F6D"/>
    <w:rsid w:val="00C616F3"/>
    <w:rsid w:val="00C625B7"/>
    <w:rsid w:val="00C62FC8"/>
    <w:rsid w:val="00C63645"/>
    <w:rsid w:val="00C63A0C"/>
    <w:rsid w:val="00C67B10"/>
    <w:rsid w:val="00C67C5F"/>
    <w:rsid w:val="00C70981"/>
    <w:rsid w:val="00C70B96"/>
    <w:rsid w:val="00C73B95"/>
    <w:rsid w:val="00C74857"/>
    <w:rsid w:val="00C76F71"/>
    <w:rsid w:val="00C8052E"/>
    <w:rsid w:val="00C81340"/>
    <w:rsid w:val="00C817E8"/>
    <w:rsid w:val="00C87738"/>
    <w:rsid w:val="00C90481"/>
    <w:rsid w:val="00C9097F"/>
    <w:rsid w:val="00C91375"/>
    <w:rsid w:val="00C91C0E"/>
    <w:rsid w:val="00C91D6C"/>
    <w:rsid w:val="00C9648E"/>
    <w:rsid w:val="00CA193F"/>
    <w:rsid w:val="00CA34EE"/>
    <w:rsid w:val="00CA34FB"/>
    <w:rsid w:val="00CA5AF6"/>
    <w:rsid w:val="00CA7449"/>
    <w:rsid w:val="00CA7C91"/>
    <w:rsid w:val="00CB04B6"/>
    <w:rsid w:val="00CB07BF"/>
    <w:rsid w:val="00CB1D00"/>
    <w:rsid w:val="00CB33F1"/>
    <w:rsid w:val="00CC2FE0"/>
    <w:rsid w:val="00CC40BA"/>
    <w:rsid w:val="00CD0642"/>
    <w:rsid w:val="00CD1BF4"/>
    <w:rsid w:val="00CD2F66"/>
    <w:rsid w:val="00CD3ADA"/>
    <w:rsid w:val="00CD3EBF"/>
    <w:rsid w:val="00CD77E1"/>
    <w:rsid w:val="00CE165E"/>
    <w:rsid w:val="00CE1B38"/>
    <w:rsid w:val="00CE20A3"/>
    <w:rsid w:val="00CE3D5B"/>
    <w:rsid w:val="00CE43C8"/>
    <w:rsid w:val="00CE4F4D"/>
    <w:rsid w:val="00CE5741"/>
    <w:rsid w:val="00CE6899"/>
    <w:rsid w:val="00CE7096"/>
    <w:rsid w:val="00CE76D8"/>
    <w:rsid w:val="00CE7B17"/>
    <w:rsid w:val="00CE7C00"/>
    <w:rsid w:val="00CF230B"/>
    <w:rsid w:val="00CF38CE"/>
    <w:rsid w:val="00CF4AA4"/>
    <w:rsid w:val="00CF5D09"/>
    <w:rsid w:val="00CF5E73"/>
    <w:rsid w:val="00CF6818"/>
    <w:rsid w:val="00CF69FE"/>
    <w:rsid w:val="00D00ADE"/>
    <w:rsid w:val="00D010C1"/>
    <w:rsid w:val="00D01A0B"/>
    <w:rsid w:val="00D03B1F"/>
    <w:rsid w:val="00D05348"/>
    <w:rsid w:val="00D056C1"/>
    <w:rsid w:val="00D0668A"/>
    <w:rsid w:val="00D145B8"/>
    <w:rsid w:val="00D1526E"/>
    <w:rsid w:val="00D163D9"/>
    <w:rsid w:val="00D17817"/>
    <w:rsid w:val="00D200DC"/>
    <w:rsid w:val="00D23612"/>
    <w:rsid w:val="00D2426F"/>
    <w:rsid w:val="00D26E70"/>
    <w:rsid w:val="00D2731C"/>
    <w:rsid w:val="00D3014A"/>
    <w:rsid w:val="00D31385"/>
    <w:rsid w:val="00D31E84"/>
    <w:rsid w:val="00D333FC"/>
    <w:rsid w:val="00D352DE"/>
    <w:rsid w:val="00D4102E"/>
    <w:rsid w:val="00D410EB"/>
    <w:rsid w:val="00D416DD"/>
    <w:rsid w:val="00D417CA"/>
    <w:rsid w:val="00D42970"/>
    <w:rsid w:val="00D436B4"/>
    <w:rsid w:val="00D43EB4"/>
    <w:rsid w:val="00D44E22"/>
    <w:rsid w:val="00D45B75"/>
    <w:rsid w:val="00D50162"/>
    <w:rsid w:val="00D50188"/>
    <w:rsid w:val="00D50D0C"/>
    <w:rsid w:val="00D518F0"/>
    <w:rsid w:val="00D52469"/>
    <w:rsid w:val="00D53F71"/>
    <w:rsid w:val="00D55B1D"/>
    <w:rsid w:val="00D5648B"/>
    <w:rsid w:val="00D574C8"/>
    <w:rsid w:val="00D63DFF"/>
    <w:rsid w:val="00D645F0"/>
    <w:rsid w:val="00D71238"/>
    <w:rsid w:val="00D7228D"/>
    <w:rsid w:val="00D73D9D"/>
    <w:rsid w:val="00D76EEB"/>
    <w:rsid w:val="00D77BE4"/>
    <w:rsid w:val="00D77EF2"/>
    <w:rsid w:val="00D80015"/>
    <w:rsid w:val="00D819B9"/>
    <w:rsid w:val="00D85124"/>
    <w:rsid w:val="00D85486"/>
    <w:rsid w:val="00D85C40"/>
    <w:rsid w:val="00D86CDD"/>
    <w:rsid w:val="00D874FE"/>
    <w:rsid w:val="00D90BE7"/>
    <w:rsid w:val="00D91F6D"/>
    <w:rsid w:val="00D92094"/>
    <w:rsid w:val="00D92685"/>
    <w:rsid w:val="00D94D28"/>
    <w:rsid w:val="00D96C64"/>
    <w:rsid w:val="00D96DCF"/>
    <w:rsid w:val="00D97C6F"/>
    <w:rsid w:val="00DA172E"/>
    <w:rsid w:val="00DA2152"/>
    <w:rsid w:val="00DA30E0"/>
    <w:rsid w:val="00DA3F17"/>
    <w:rsid w:val="00DA51D6"/>
    <w:rsid w:val="00DA5878"/>
    <w:rsid w:val="00DA626D"/>
    <w:rsid w:val="00DA6962"/>
    <w:rsid w:val="00DB2FCD"/>
    <w:rsid w:val="00DB4F36"/>
    <w:rsid w:val="00DB596F"/>
    <w:rsid w:val="00DB663A"/>
    <w:rsid w:val="00DB703C"/>
    <w:rsid w:val="00DB7F51"/>
    <w:rsid w:val="00DC0915"/>
    <w:rsid w:val="00DC0AFA"/>
    <w:rsid w:val="00DC491D"/>
    <w:rsid w:val="00DC5837"/>
    <w:rsid w:val="00DC5A4A"/>
    <w:rsid w:val="00DC5FBA"/>
    <w:rsid w:val="00DC66E1"/>
    <w:rsid w:val="00DD3FBE"/>
    <w:rsid w:val="00DD4677"/>
    <w:rsid w:val="00DD4695"/>
    <w:rsid w:val="00DD5D21"/>
    <w:rsid w:val="00DD747F"/>
    <w:rsid w:val="00DE0933"/>
    <w:rsid w:val="00DE1D4C"/>
    <w:rsid w:val="00DF15D0"/>
    <w:rsid w:val="00DF1633"/>
    <w:rsid w:val="00DF33AD"/>
    <w:rsid w:val="00DF344F"/>
    <w:rsid w:val="00DF34B2"/>
    <w:rsid w:val="00DF4E0F"/>
    <w:rsid w:val="00E01750"/>
    <w:rsid w:val="00E035BC"/>
    <w:rsid w:val="00E055A6"/>
    <w:rsid w:val="00E07640"/>
    <w:rsid w:val="00E10D8A"/>
    <w:rsid w:val="00E11BE1"/>
    <w:rsid w:val="00E149F5"/>
    <w:rsid w:val="00E14CFF"/>
    <w:rsid w:val="00E15D71"/>
    <w:rsid w:val="00E171D9"/>
    <w:rsid w:val="00E205A5"/>
    <w:rsid w:val="00E20CB8"/>
    <w:rsid w:val="00E21ED0"/>
    <w:rsid w:val="00E237B6"/>
    <w:rsid w:val="00E26020"/>
    <w:rsid w:val="00E30EE4"/>
    <w:rsid w:val="00E31CEA"/>
    <w:rsid w:val="00E3367D"/>
    <w:rsid w:val="00E33905"/>
    <w:rsid w:val="00E34DB0"/>
    <w:rsid w:val="00E34E0B"/>
    <w:rsid w:val="00E357B6"/>
    <w:rsid w:val="00E42713"/>
    <w:rsid w:val="00E43258"/>
    <w:rsid w:val="00E4459F"/>
    <w:rsid w:val="00E45CBE"/>
    <w:rsid w:val="00E47D63"/>
    <w:rsid w:val="00E5082C"/>
    <w:rsid w:val="00E52411"/>
    <w:rsid w:val="00E5301C"/>
    <w:rsid w:val="00E540CE"/>
    <w:rsid w:val="00E572EB"/>
    <w:rsid w:val="00E607E1"/>
    <w:rsid w:val="00E61AC4"/>
    <w:rsid w:val="00E62815"/>
    <w:rsid w:val="00E6363B"/>
    <w:rsid w:val="00E638EC"/>
    <w:rsid w:val="00E66068"/>
    <w:rsid w:val="00E66244"/>
    <w:rsid w:val="00E67071"/>
    <w:rsid w:val="00E67901"/>
    <w:rsid w:val="00E707D5"/>
    <w:rsid w:val="00E73BE9"/>
    <w:rsid w:val="00E77447"/>
    <w:rsid w:val="00E774EC"/>
    <w:rsid w:val="00E8078C"/>
    <w:rsid w:val="00E808B4"/>
    <w:rsid w:val="00E80EE6"/>
    <w:rsid w:val="00E82985"/>
    <w:rsid w:val="00E83CF7"/>
    <w:rsid w:val="00E845DB"/>
    <w:rsid w:val="00E84E6F"/>
    <w:rsid w:val="00E912C0"/>
    <w:rsid w:val="00E929C5"/>
    <w:rsid w:val="00E93FB7"/>
    <w:rsid w:val="00E972A4"/>
    <w:rsid w:val="00E97E8E"/>
    <w:rsid w:val="00EA0F33"/>
    <w:rsid w:val="00EA29C1"/>
    <w:rsid w:val="00EA358E"/>
    <w:rsid w:val="00EA4542"/>
    <w:rsid w:val="00EA707B"/>
    <w:rsid w:val="00EA73A8"/>
    <w:rsid w:val="00EB1D27"/>
    <w:rsid w:val="00EB6E0B"/>
    <w:rsid w:val="00EC00E3"/>
    <w:rsid w:val="00EC1E59"/>
    <w:rsid w:val="00EC3BF2"/>
    <w:rsid w:val="00EC4B7C"/>
    <w:rsid w:val="00EC5DDD"/>
    <w:rsid w:val="00EC651E"/>
    <w:rsid w:val="00ED3797"/>
    <w:rsid w:val="00ED4049"/>
    <w:rsid w:val="00ED52F4"/>
    <w:rsid w:val="00EE0741"/>
    <w:rsid w:val="00EE11A6"/>
    <w:rsid w:val="00EE1603"/>
    <w:rsid w:val="00EE2265"/>
    <w:rsid w:val="00EE7A01"/>
    <w:rsid w:val="00EF0877"/>
    <w:rsid w:val="00EF2246"/>
    <w:rsid w:val="00EF2933"/>
    <w:rsid w:val="00EF331F"/>
    <w:rsid w:val="00EF339E"/>
    <w:rsid w:val="00EF618D"/>
    <w:rsid w:val="00EF7E0E"/>
    <w:rsid w:val="00F01314"/>
    <w:rsid w:val="00F02B5E"/>
    <w:rsid w:val="00F0354D"/>
    <w:rsid w:val="00F03EE2"/>
    <w:rsid w:val="00F05E30"/>
    <w:rsid w:val="00F05E37"/>
    <w:rsid w:val="00F0777F"/>
    <w:rsid w:val="00F07912"/>
    <w:rsid w:val="00F101A5"/>
    <w:rsid w:val="00F10A40"/>
    <w:rsid w:val="00F12784"/>
    <w:rsid w:val="00F13347"/>
    <w:rsid w:val="00F17744"/>
    <w:rsid w:val="00F20395"/>
    <w:rsid w:val="00F21012"/>
    <w:rsid w:val="00F21F29"/>
    <w:rsid w:val="00F2339E"/>
    <w:rsid w:val="00F27E75"/>
    <w:rsid w:val="00F31D38"/>
    <w:rsid w:val="00F33433"/>
    <w:rsid w:val="00F358B9"/>
    <w:rsid w:val="00F35B38"/>
    <w:rsid w:val="00F40D5A"/>
    <w:rsid w:val="00F4621A"/>
    <w:rsid w:val="00F469F5"/>
    <w:rsid w:val="00F46CB4"/>
    <w:rsid w:val="00F50D1F"/>
    <w:rsid w:val="00F50DC1"/>
    <w:rsid w:val="00F54135"/>
    <w:rsid w:val="00F56C8C"/>
    <w:rsid w:val="00F60B88"/>
    <w:rsid w:val="00F6298B"/>
    <w:rsid w:val="00F62B1A"/>
    <w:rsid w:val="00F63549"/>
    <w:rsid w:val="00F64465"/>
    <w:rsid w:val="00F64674"/>
    <w:rsid w:val="00F64AAE"/>
    <w:rsid w:val="00F6532F"/>
    <w:rsid w:val="00F66358"/>
    <w:rsid w:val="00F66989"/>
    <w:rsid w:val="00F66FCF"/>
    <w:rsid w:val="00F7011F"/>
    <w:rsid w:val="00F709A5"/>
    <w:rsid w:val="00F70FB4"/>
    <w:rsid w:val="00F74D1F"/>
    <w:rsid w:val="00F75676"/>
    <w:rsid w:val="00F75C9B"/>
    <w:rsid w:val="00F76DCB"/>
    <w:rsid w:val="00F77073"/>
    <w:rsid w:val="00F8395E"/>
    <w:rsid w:val="00F906C5"/>
    <w:rsid w:val="00F90EBC"/>
    <w:rsid w:val="00F918FD"/>
    <w:rsid w:val="00F91B45"/>
    <w:rsid w:val="00F92902"/>
    <w:rsid w:val="00F92BC9"/>
    <w:rsid w:val="00F932DB"/>
    <w:rsid w:val="00F94F67"/>
    <w:rsid w:val="00F95D72"/>
    <w:rsid w:val="00FA0812"/>
    <w:rsid w:val="00FA0866"/>
    <w:rsid w:val="00FA0891"/>
    <w:rsid w:val="00FA1773"/>
    <w:rsid w:val="00FA1DF9"/>
    <w:rsid w:val="00FA271B"/>
    <w:rsid w:val="00FA277B"/>
    <w:rsid w:val="00FA2BBB"/>
    <w:rsid w:val="00FA34D8"/>
    <w:rsid w:val="00FA37E8"/>
    <w:rsid w:val="00FA4396"/>
    <w:rsid w:val="00FA5D47"/>
    <w:rsid w:val="00FA6501"/>
    <w:rsid w:val="00FA757E"/>
    <w:rsid w:val="00FB232F"/>
    <w:rsid w:val="00FB368D"/>
    <w:rsid w:val="00FB5AC8"/>
    <w:rsid w:val="00FB61F3"/>
    <w:rsid w:val="00FB7C54"/>
    <w:rsid w:val="00FC2825"/>
    <w:rsid w:val="00FC3D58"/>
    <w:rsid w:val="00FC467F"/>
    <w:rsid w:val="00FC579D"/>
    <w:rsid w:val="00FC593D"/>
    <w:rsid w:val="00FC6E0C"/>
    <w:rsid w:val="00FC7965"/>
    <w:rsid w:val="00FD0639"/>
    <w:rsid w:val="00FD0CFE"/>
    <w:rsid w:val="00FD2577"/>
    <w:rsid w:val="00FD46C8"/>
    <w:rsid w:val="00FD4F4F"/>
    <w:rsid w:val="00FD6709"/>
    <w:rsid w:val="00FD7E35"/>
    <w:rsid w:val="00FE1313"/>
    <w:rsid w:val="00FE17CF"/>
    <w:rsid w:val="00FE29D8"/>
    <w:rsid w:val="00FE316E"/>
    <w:rsid w:val="00FE6E2C"/>
    <w:rsid w:val="00FF2DA3"/>
    <w:rsid w:val="00FF3062"/>
    <w:rsid w:val="00FF37F0"/>
    <w:rsid w:val="00FF579B"/>
    <w:rsid w:val="00FF678B"/>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3C553D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F66"/>
    <w:rPr>
      <w:rFonts w:ascii="Times New Roman" w:eastAsia="Times New Roman" w:hAnsi="Times New Roman" w:cs="Times New Roman"/>
      <w:lang w:val="fr-FR"/>
    </w:rPr>
  </w:style>
  <w:style w:type="paragraph" w:styleId="Titre1">
    <w:name w:val="heading 1"/>
    <w:basedOn w:val="Normal"/>
    <w:link w:val="Titre1Car"/>
    <w:uiPriority w:val="9"/>
    <w:qFormat/>
    <w:rsid w:val="00C62FC8"/>
    <w:pPr>
      <w:spacing w:before="100" w:beforeAutospacing="1" w:after="100" w:afterAutospacing="1"/>
      <w:outlineLvl w:val="0"/>
    </w:pPr>
    <w:rPr>
      <w:rFonts w:ascii="Times" w:eastAsiaTheme="minorEastAsia" w:hAnsi="Times" w:cstheme="minorBidi"/>
      <w:b/>
      <w:bCs/>
      <w:kern w:val="36"/>
      <w:sz w:val="48"/>
      <w:szCs w:val="48"/>
      <w:lang w:val="fr-BE"/>
    </w:rPr>
  </w:style>
  <w:style w:type="paragraph" w:styleId="Titre2">
    <w:name w:val="heading 2"/>
    <w:basedOn w:val="Normal"/>
    <w:next w:val="Normal"/>
    <w:link w:val="Titre2Car"/>
    <w:uiPriority w:val="9"/>
    <w:semiHidden/>
    <w:unhideWhenUsed/>
    <w:qFormat/>
    <w:rsid w:val="002F22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C62FC8"/>
    <w:pPr>
      <w:spacing w:before="100" w:beforeAutospacing="1" w:after="100" w:afterAutospacing="1"/>
      <w:outlineLvl w:val="3"/>
    </w:pPr>
    <w:rPr>
      <w:rFonts w:ascii="Times" w:eastAsiaTheme="minorEastAsia" w:hAnsi="Times" w:cstheme="minorBidi"/>
      <w:b/>
      <w:bCs/>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unhideWhenUsed/>
    <w:qFormat/>
    <w:rsid w:val="00A71F66"/>
    <w:rPr>
      <w:rFonts w:ascii="Arial" w:eastAsiaTheme="minorEastAsia" w:hAnsi="Arial" w:cstheme="minorBidi"/>
      <w:sz w:val="20"/>
      <w:szCs w:val="20"/>
    </w:rPr>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A71F66"/>
    <w:rPr>
      <w:rFonts w:ascii="Arial" w:hAnsi="Arial"/>
      <w:sz w:val="20"/>
      <w:szCs w:val="20"/>
      <w:lang w:val="fr-FR"/>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basedOn w:val="Policepardfaut"/>
    <w:rsid w:val="00A71F66"/>
    <w:rPr>
      <w:vertAlign w:val="superscript"/>
    </w:rPr>
  </w:style>
  <w:style w:type="paragraph" w:styleId="Paragraphedeliste">
    <w:name w:val="List Paragraph"/>
    <w:basedOn w:val="Normal"/>
    <w:uiPriority w:val="34"/>
    <w:qFormat/>
    <w:rsid w:val="00A71F66"/>
    <w:pPr>
      <w:ind w:left="720"/>
      <w:contextualSpacing/>
    </w:pPr>
  </w:style>
  <w:style w:type="paragraph" w:styleId="Pieddepage">
    <w:name w:val="footer"/>
    <w:basedOn w:val="Normal"/>
    <w:link w:val="PieddepageCar"/>
    <w:uiPriority w:val="99"/>
    <w:unhideWhenUsed/>
    <w:rsid w:val="009437C0"/>
    <w:pPr>
      <w:tabs>
        <w:tab w:val="center" w:pos="4536"/>
        <w:tab w:val="right" w:pos="9072"/>
      </w:tabs>
    </w:pPr>
  </w:style>
  <w:style w:type="character" w:customStyle="1" w:styleId="PieddepageCar">
    <w:name w:val="Pied de page Car"/>
    <w:basedOn w:val="Policepardfaut"/>
    <w:link w:val="Pieddepage"/>
    <w:uiPriority w:val="99"/>
    <w:rsid w:val="009437C0"/>
    <w:rPr>
      <w:rFonts w:ascii="Times New Roman" w:eastAsia="Times New Roman" w:hAnsi="Times New Roman" w:cs="Times New Roman"/>
      <w:lang w:val="fr-FR"/>
    </w:rPr>
  </w:style>
  <w:style w:type="character" w:styleId="Numrodepage">
    <w:name w:val="page number"/>
    <w:basedOn w:val="Policepardfaut"/>
    <w:uiPriority w:val="99"/>
    <w:semiHidden/>
    <w:unhideWhenUsed/>
    <w:rsid w:val="009437C0"/>
  </w:style>
  <w:style w:type="paragraph" w:customStyle="1" w:styleId="helvetica">
    <w:name w:val="helvetica"/>
    <w:basedOn w:val="Notedebasdepage"/>
    <w:rsid w:val="00802BFA"/>
    <w:pPr>
      <w:jc w:val="both"/>
    </w:pPr>
    <w:rPr>
      <w:rFonts w:ascii="Helvetica" w:eastAsia="Times New Roman" w:hAnsi="Helvetica" w:cs="New York"/>
    </w:rPr>
  </w:style>
  <w:style w:type="character" w:customStyle="1" w:styleId="ref-vindpl">
    <w:name w:val="ref-vindpl"/>
    <w:basedOn w:val="Policepardfaut"/>
    <w:rsid w:val="00802BFA"/>
  </w:style>
  <w:style w:type="character" w:customStyle="1" w:styleId="searchword">
    <w:name w:val="searchword"/>
    <w:basedOn w:val="Policepardfaut"/>
    <w:rsid w:val="00802BFA"/>
  </w:style>
  <w:style w:type="character" w:customStyle="1" w:styleId="Titre1Car">
    <w:name w:val="Titre 1 Car"/>
    <w:basedOn w:val="Policepardfaut"/>
    <w:link w:val="Titre1"/>
    <w:uiPriority w:val="9"/>
    <w:rsid w:val="00C62FC8"/>
    <w:rPr>
      <w:rFonts w:ascii="Times" w:hAnsi="Times"/>
      <w:b/>
      <w:bCs/>
      <w:kern w:val="36"/>
      <w:sz w:val="48"/>
      <w:szCs w:val="48"/>
    </w:rPr>
  </w:style>
  <w:style w:type="character" w:customStyle="1" w:styleId="Titre4Car">
    <w:name w:val="Titre 4 Car"/>
    <w:basedOn w:val="Policepardfaut"/>
    <w:link w:val="Titre4"/>
    <w:uiPriority w:val="9"/>
    <w:rsid w:val="00C62FC8"/>
    <w:rPr>
      <w:rFonts w:ascii="Times" w:hAnsi="Times"/>
      <w:b/>
      <w:bCs/>
    </w:rPr>
  </w:style>
  <w:style w:type="paragraph" w:styleId="z-Hautdeformulaire">
    <w:name w:val="HTML Top of Form"/>
    <w:basedOn w:val="Normal"/>
    <w:next w:val="Normal"/>
    <w:link w:val="z-HautdeformulaireCar"/>
    <w:hidden/>
    <w:uiPriority w:val="99"/>
    <w:semiHidden/>
    <w:unhideWhenUsed/>
    <w:rsid w:val="00C62FC8"/>
    <w:pPr>
      <w:pBdr>
        <w:bottom w:val="single" w:sz="6" w:space="1" w:color="auto"/>
      </w:pBdr>
      <w:jc w:val="center"/>
    </w:pPr>
    <w:rPr>
      <w:rFonts w:ascii="Arial" w:eastAsiaTheme="minorEastAsia" w:hAnsi="Arial" w:cs="Arial"/>
      <w:vanish/>
      <w:sz w:val="16"/>
      <w:szCs w:val="16"/>
      <w:lang w:val="fr-BE"/>
    </w:rPr>
  </w:style>
  <w:style w:type="character" w:customStyle="1" w:styleId="z-HautdeformulaireCar">
    <w:name w:val="z-Haut de formulaire Car"/>
    <w:basedOn w:val="Policepardfaut"/>
    <w:link w:val="z-Hautdeformulaire"/>
    <w:uiPriority w:val="99"/>
    <w:semiHidden/>
    <w:rsid w:val="00C62FC8"/>
    <w:rPr>
      <w:rFonts w:ascii="Arial" w:hAnsi="Arial" w:cs="Arial"/>
      <w:vanish/>
      <w:sz w:val="16"/>
      <w:szCs w:val="16"/>
    </w:rPr>
  </w:style>
  <w:style w:type="character" w:customStyle="1" w:styleId="labelfrlabrefvindplaats">
    <w:name w:val="label_fr_labrefvindplaats"/>
    <w:basedOn w:val="Policepardfaut"/>
    <w:rsid w:val="00C62FC8"/>
  </w:style>
  <w:style w:type="paragraph" w:styleId="z-Basdeformulaire">
    <w:name w:val="HTML Bottom of Form"/>
    <w:basedOn w:val="Normal"/>
    <w:next w:val="Normal"/>
    <w:link w:val="z-BasdeformulaireCar"/>
    <w:hidden/>
    <w:uiPriority w:val="99"/>
    <w:semiHidden/>
    <w:unhideWhenUsed/>
    <w:rsid w:val="00C62FC8"/>
    <w:pPr>
      <w:pBdr>
        <w:top w:val="single" w:sz="6" w:space="1" w:color="auto"/>
      </w:pBdr>
      <w:jc w:val="center"/>
    </w:pPr>
    <w:rPr>
      <w:rFonts w:ascii="Arial" w:eastAsiaTheme="minorEastAsia" w:hAnsi="Arial" w:cs="Arial"/>
      <w:vanish/>
      <w:sz w:val="16"/>
      <w:szCs w:val="16"/>
      <w:lang w:val="fr-BE"/>
    </w:rPr>
  </w:style>
  <w:style w:type="character" w:customStyle="1" w:styleId="z-BasdeformulaireCar">
    <w:name w:val="z-Bas de formulaire Car"/>
    <w:basedOn w:val="Policepardfaut"/>
    <w:link w:val="z-Basdeformulaire"/>
    <w:uiPriority w:val="99"/>
    <w:semiHidden/>
    <w:rsid w:val="00C62FC8"/>
    <w:rPr>
      <w:rFonts w:ascii="Arial" w:hAnsi="Arial" w:cs="Arial"/>
      <w:vanish/>
      <w:sz w:val="16"/>
      <w:szCs w:val="16"/>
    </w:rPr>
  </w:style>
  <w:style w:type="character" w:styleId="Lienhypertexte">
    <w:name w:val="Hyperlink"/>
    <w:basedOn w:val="Policepardfaut"/>
    <w:uiPriority w:val="99"/>
    <w:semiHidden/>
    <w:unhideWhenUsed/>
    <w:rsid w:val="00FC579D"/>
    <w:rPr>
      <w:color w:val="0000FF"/>
      <w:u w:val="single"/>
    </w:rPr>
  </w:style>
  <w:style w:type="paragraph" w:styleId="NormalWeb">
    <w:name w:val="Normal (Web)"/>
    <w:basedOn w:val="Normal"/>
    <w:uiPriority w:val="99"/>
    <w:unhideWhenUsed/>
    <w:rsid w:val="00AB6EB9"/>
    <w:pPr>
      <w:spacing w:before="100" w:beforeAutospacing="1" w:after="100" w:afterAutospacing="1"/>
    </w:pPr>
    <w:rPr>
      <w:rFonts w:ascii="Times" w:eastAsiaTheme="minorEastAsia" w:hAnsi="Times"/>
      <w:sz w:val="20"/>
      <w:szCs w:val="20"/>
    </w:rPr>
  </w:style>
  <w:style w:type="paragraph" w:styleId="En-tte">
    <w:name w:val="header"/>
    <w:basedOn w:val="Normal"/>
    <w:link w:val="En-tteCar"/>
    <w:uiPriority w:val="99"/>
    <w:unhideWhenUsed/>
    <w:rsid w:val="00C81340"/>
    <w:pPr>
      <w:tabs>
        <w:tab w:val="center" w:pos="4536"/>
        <w:tab w:val="right" w:pos="9072"/>
      </w:tabs>
    </w:pPr>
  </w:style>
  <w:style w:type="character" w:customStyle="1" w:styleId="En-tteCar">
    <w:name w:val="En-tête Car"/>
    <w:basedOn w:val="Policepardfaut"/>
    <w:link w:val="En-tte"/>
    <w:uiPriority w:val="99"/>
    <w:rsid w:val="00C81340"/>
    <w:rPr>
      <w:rFonts w:ascii="Times New Roman" w:eastAsia="Times New Roman" w:hAnsi="Times New Roman" w:cs="Times New Roman"/>
      <w:lang w:val="fr-FR"/>
    </w:rPr>
  </w:style>
  <w:style w:type="paragraph" w:customStyle="1" w:styleId="notedebasdepage0">
    <w:name w:val="note de bas de page"/>
    <w:basedOn w:val="Normal"/>
    <w:rsid w:val="00AB3D0C"/>
    <w:rPr>
      <w:rFonts w:ascii="New York" w:hAnsi="New York" w:cs="New York"/>
      <w:noProof/>
      <w:sz w:val="20"/>
      <w:szCs w:val="20"/>
    </w:rPr>
  </w:style>
  <w:style w:type="character" w:customStyle="1" w:styleId="highlight">
    <w:name w:val="highlight"/>
    <w:basedOn w:val="Policepardfaut"/>
    <w:rsid w:val="00EC00E3"/>
  </w:style>
  <w:style w:type="character" w:customStyle="1" w:styleId="labelfrlababstract">
    <w:name w:val="label_fr_lababstract"/>
    <w:basedOn w:val="Policepardfaut"/>
    <w:rsid w:val="00532807"/>
  </w:style>
  <w:style w:type="character" w:customStyle="1" w:styleId="Titre2Car">
    <w:name w:val="Titre 2 Car"/>
    <w:basedOn w:val="Policepardfaut"/>
    <w:link w:val="Titre2"/>
    <w:uiPriority w:val="9"/>
    <w:semiHidden/>
    <w:rsid w:val="002F22EC"/>
    <w:rPr>
      <w:rFonts w:asciiTheme="majorHAnsi" w:eastAsiaTheme="majorEastAsia" w:hAnsiTheme="majorHAnsi" w:cstheme="majorBidi"/>
      <w:b/>
      <w:bCs/>
      <w:color w:val="4F81BD" w:themeColor="accent1"/>
      <w:sz w:val="26"/>
      <w:szCs w:val="26"/>
      <w:lang w:val="fr-FR"/>
    </w:rPr>
  </w:style>
  <w:style w:type="character" w:styleId="Lienhypertextesuivi">
    <w:name w:val="FollowedHyperlink"/>
    <w:basedOn w:val="Policepardfaut"/>
    <w:uiPriority w:val="99"/>
    <w:semiHidden/>
    <w:unhideWhenUsed/>
    <w:rsid w:val="007E75EC"/>
    <w:rPr>
      <w:color w:val="800080" w:themeColor="followedHyperlink"/>
      <w:u w:val="single"/>
    </w:rPr>
  </w:style>
  <w:style w:type="character" w:customStyle="1" w:styleId="sb8d990e2">
    <w:name w:val="sb8d990e2"/>
    <w:basedOn w:val="Policepardfaut"/>
    <w:rsid w:val="00A67F14"/>
  </w:style>
  <w:style w:type="character" w:customStyle="1" w:styleId="s7d2086b4">
    <w:name w:val="s7d2086b4"/>
    <w:basedOn w:val="Policepardfaut"/>
    <w:rsid w:val="007A0893"/>
  </w:style>
  <w:style w:type="character" w:customStyle="1" w:styleId="Marquenotebasde">
    <w:name w:val="Marque note bas de"/>
    <w:basedOn w:val="Policepardfaut"/>
    <w:rsid w:val="00DF344F"/>
    <w:rPr>
      <w:position w:val="6"/>
      <w:sz w:val="18"/>
      <w:szCs w:val="18"/>
    </w:rPr>
  </w:style>
  <w:style w:type="paragraph" w:styleId="Textedebulles">
    <w:name w:val="Balloon Text"/>
    <w:basedOn w:val="Normal"/>
    <w:link w:val="TextedebullesCar"/>
    <w:uiPriority w:val="99"/>
    <w:semiHidden/>
    <w:unhideWhenUsed/>
    <w:rsid w:val="00B03DD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03DD4"/>
    <w:rPr>
      <w:rFonts w:ascii="Lucida Grande" w:eastAsia="Times New Roman" w:hAnsi="Lucida Grande" w:cs="Lucida Grande"/>
      <w:sz w:val="18"/>
      <w:szCs w:val="18"/>
      <w:lang w:val="fr-FR"/>
    </w:rPr>
  </w:style>
  <w:style w:type="character" w:styleId="Accentuation">
    <w:name w:val="Emphasis"/>
    <w:basedOn w:val="Policepardfaut"/>
    <w:uiPriority w:val="20"/>
    <w:qFormat/>
    <w:rsid w:val="00C25AFB"/>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F66"/>
    <w:rPr>
      <w:rFonts w:ascii="Times New Roman" w:eastAsia="Times New Roman" w:hAnsi="Times New Roman" w:cs="Times New Roman"/>
      <w:lang w:val="fr-FR"/>
    </w:rPr>
  </w:style>
  <w:style w:type="paragraph" w:styleId="Titre1">
    <w:name w:val="heading 1"/>
    <w:basedOn w:val="Normal"/>
    <w:link w:val="Titre1Car"/>
    <w:uiPriority w:val="9"/>
    <w:qFormat/>
    <w:rsid w:val="00C62FC8"/>
    <w:pPr>
      <w:spacing w:before="100" w:beforeAutospacing="1" w:after="100" w:afterAutospacing="1"/>
      <w:outlineLvl w:val="0"/>
    </w:pPr>
    <w:rPr>
      <w:rFonts w:ascii="Times" w:eastAsiaTheme="minorEastAsia" w:hAnsi="Times" w:cstheme="minorBidi"/>
      <w:b/>
      <w:bCs/>
      <w:kern w:val="36"/>
      <w:sz w:val="48"/>
      <w:szCs w:val="48"/>
      <w:lang w:val="fr-BE"/>
    </w:rPr>
  </w:style>
  <w:style w:type="paragraph" w:styleId="Titre2">
    <w:name w:val="heading 2"/>
    <w:basedOn w:val="Normal"/>
    <w:next w:val="Normal"/>
    <w:link w:val="Titre2Car"/>
    <w:uiPriority w:val="9"/>
    <w:semiHidden/>
    <w:unhideWhenUsed/>
    <w:qFormat/>
    <w:rsid w:val="002F22E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link w:val="Titre4Car"/>
    <w:uiPriority w:val="9"/>
    <w:qFormat/>
    <w:rsid w:val="00C62FC8"/>
    <w:pPr>
      <w:spacing w:before="100" w:beforeAutospacing="1" w:after="100" w:afterAutospacing="1"/>
      <w:outlineLvl w:val="3"/>
    </w:pPr>
    <w:rPr>
      <w:rFonts w:ascii="Times" w:eastAsiaTheme="minorEastAsia" w:hAnsi="Times" w:cstheme="minorBidi"/>
      <w:b/>
      <w:bCs/>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Note de bas de page Car1,Note de bas de page Car Car,Footnot,F,footnote text,Footnotes Car,Foo,Footnote Text Char1,Footnote Text Char Char,Footnote Text Char1 Char Char,Footnote Text Char Char Char Char,Footnotes C,Note de bas de pa"/>
    <w:basedOn w:val="Normal"/>
    <w:link w:val="NotedebasdepageCar"/>
    <w:unhideWhenUsed/>
    <w:qFormat/>
    <w:rsid w:val="00A71F66"/>
    <w:rPr>
      <w:rFonts w:ascii="Arial" w:eastAsiaTheme="minorEastAsia" w:hAnsi="Arial" w:cstheme="minorBidi"/>
      <w:sz w:val="20"/>
      <w:szCs w:val="20"/>
    </w:rPr>
  </w:style>
  <w:style w:type="character" w:customStyle="1" w:styleId="NotedebasdepageCar">
    <w:name w:val="Note de bas de page Car"/>
    <w:aliases w:val="Note de bas de page Car1 Car,Note de bas de page Car Car Car,Footnot Car,F Car,footnote text Car,Footnotes Car Car,Foo Car,Footnote Text Char1 Car,Footnote Text Char Char Car,Footnote Text Char1 Char Char Car,Footnotes C Car"/>
    <w:basedOn w:val="Policepardfaut"/>
    <w:link w:val="Notedebasdepage"/>
    <w:rsid w:val="00A71F66"/>
    <w:rPr>
      <w:rFonts w:ascii="Arial" w:hAnsi="Arial"/>
      <w:sz w:val="20"/>
      <w:szCs w:val="20"/>
      <w:lang w:val="fr-FR"/>
    </w:rPr>
  </w:style>
  <w:style w:type="character" w:styleId="Marquenotebasdepage">
    <w:name w:val="footnote reference"/>
    <w:aliases w:val="Appel note de bas de page,callout,Footnote Refernece,Footnotes refss,Footnote Reference Superscript,BVI fnr,Footnote Reference Number, BVI fnr,Footnote R,Footnote Refere,Footnote Reference N,Footnote Reference in text,FZ,Footnote"/>
    <w:basedOn w:val="Policepardfaut"/>
    <w:rsid w:val="00A71F66"/>
    <w:rPr>
      <w:vertAlign w:val="superscript"/>
    </w:rPr>
  </w:style>
  <w:style w:type="paragraph" w:styleId="Paragraphedeliste">
    <w:name w:val="List Paragraph"/>
    <w:basedOn w:val="Normal"/>
    <w:uiPriority w:val="34"/>
    <w:qFormat/>
    <w:rsid w:val="00A71F66"/>
    <w:pPr>
      <w:ind w:left="720"/>
      <w:contextualSpacing/>
    </w:pPr>
  </w:style>
  <w:style w:type="paragraph" w:styleId="Pieddepage">
    <w:name w:val="footer"/>
    <w:basedOn w:val="Normal"/>
    <w:link w:val="PieddepageCar"/>
    <w:uiPriority w:val="99"/>
    <w:unhideWhenUsed/>
    <w:rsid w:val="009437C0"/>
    <w:pPr>
      <w:tabs>
        <w:tab w:val="center" w:pos="4536"/>
        <w:tab w:val="right" w:pos="9072"/>
      </w:tabs>
    </w:pPr>
  </w:style>
  <w:style w:type="character" w:customStyle="1" w:styleId="PieddepageCar">
    <w:name w:val="Pied de page Car"/>
    <w:basedOn w:val="Policepardfaut"/>
    <w:link w:val="Pieddepage"/>
    <w:uiPriority w:val="99"/>
    <w:rsid w:val="009437C0"/>
    <w:rPr>
      <w:rFonts w:ascii="Times New Roman" w:eastAsia="Times New Roman" w:hAnsi="Times New Roman" w:cs="Times New Roman"/>
      <w:lang w:val="fr-FR"/>
    </w:rPr>
  </w:style>
  <w:style w:type="character" w:styleId="Numrodepage">
    <w:name w:val="page number"/>
    <w:basedOn w:val="Policepardfaut"/>
    <w:uiPriority w:val="99"/>
    <w:semiHidden/>
    <w:unhideWhenUsed/>
    <w:rsid w:val="009437C0"/>
  </w:style>
  <w:style w:type="paragraph" w:customStyle="1" w:styleId="helvetica">
    <w:name w:val="helvetica"/>
    <w:basedOn w:val="Notedebasdepage"/>
    <w:rsid w:val="00802BFA"/>
    <w:pPr>
      <w:jc w:val="both"/>
    </w:pPr>
    <w:rPr>
      <w:rFonts w:ascii="Helvetica" w:eastAsia="Times New Roman" w:hAnsi="Helvetica" w:cs="New York"/>
    </w:rPr>
  </w:style>
  <w:style w:type="character" w:customStyle="1" w:styleId="ref-vindpl">
    <w:name w:val="ref-vindpl"/>
    <w:basedOn w:val="Policepardfaut"/>
    <w:rsid w:val="00802BFA"/>
  </w:style>
  <w:style w:type="character" w:customStyle="1" w:styleId="searchword">
    <w:name w:val="searchword"/>
    <w:basedOn w:val="Policepardfaut"/>
    <w:rsid w:val="00802BFA"/>
  </w:style>
  <w:style w:type="character" w:customStyle="1" w:styleId="Titre1Car">
    <w:name w:val="Titre 1 Car"/>
    <w:basedOn w:val="Policepardfaut"/>
    <w:link w:val="Titre1"/>
    <w:uiPriority w:val="9"/>
    <w:rsid w:val="00C62FC8"/>
    <w:rPr>
      <w:rFonts w:ascii="Times" w:hAnsi="Times"/>
      <w:b/>
      <w:bCs/>
      <w:kern w:val="36"/>
      <w:sz w:val="48"/>
      <w:szCs w:val="48"/>
    </w:rPr>
  </w:style>
  <w:style w:type="character" w:customStyle="1" w:styleId="Titre4Car">
    <w:name w:val="Titre 4 Car"/>
    <w:basedOn w:val="Policepardfaut"/>
    <w:link w:val="Titre4"/>
    <w:uiPriority w:val="9"/>
    <w:rsid w:val="00C62FC8"/>
    <w:rPr>
      <w:rFonts w:ascii="Times" w:hAnsi="Times"/>
      <w:b/>
      <w:bCs/>
    </w:rPr>
  </w:style>
  <w:style w:type="paragraph" w:styleId="z-Hautdeformulaire">
    <w:name w:val="HTML Top of Form"/>
    <w:basedOn w:val="Normal"/>
    <w:next w:val="Normal"/>
    <w:link w:val="z-HautdeformulaireCar"/>
    <w:hidden/>
    <w:uiPriority w:val="99"/>
    <w:semiHidden/>
    <w:unhideWhenUsed/>
    <w:rsid w:val="00C62FC8"/>
    <w:pPr>
      <w:pBdr>
        <w:bottom w:val="single" w:sz="6" w:space="1" w:color="auto"/>
      </w:pBdr>
      <w:jc w:val="center"/>
    </w:pPr>
    <w:rPr>
      <w:rFonts w:ascii="Arial" w:eastAsiaTheme="minorEastAsia" w:hAnsi="Arial" w:cs="Arial"/>
      <w:vanish/>
      <w:sz w:val="16"/>
      <w:szCs w:val="16"/>
      <w:lang w:val="fr-BE"/>
    </w:rPr>
  </w:style>
  <w:style w:type="character" w:customStyle="1" w:styleId="z-HautdeformulaireCar">
    <w:name w:val="z-Haut de formulaire Car"/>
    <w:basedOn w:val="Policepardfaut"/>
    <w:link w:val="z-Hautdeformulaire"/>
    <w:uiPriority w:val="99"/>
    <w:semiHidden/>
    <w:rsid w:val="00C62FC8"/>
    <w:rPr>
      <w:rFonts w:ascii="Arial" w:hAnsi="Arial" w:cs="Arial"/>
      <w:vanish/>
      <w:sz w:val="16"/>
      <w:szCs w:val="16"/>
    </w:rPr>
  </w:style>
  <w:style w:type="character" w:customStyle="1" w:styleId="labelfrlabrefvindplaats">
    <w:name w:val="label_fr_labrefvindplaats"/>
    <w:basedOn w:val="Policepardfaut"/>
    <w:rsid w:val="00C62FC8"/>
  </w:style>
  <w:style w:type="paragraph" w:styleId="z-Basdeformulaire">
    <w:name w:val="HTML Bottom of Form"/>
    <w:basedOn w:val="Normal"/>
    <w:next w:val="Normal"/>
    <w:link w:val="z-BasdeformulaireCar"/>
    <w:hidden/>
    <w:uiPriority w:val="99"/>
    <w:semiHidden/>
    <w:unhideWhenUsed/>
    <w:rsid w:val="00C62FC8"/>
    <w:pPr>
      <w:pBdr>
        <w:top w:val="single" w:sz="6" w:space="1" w:color="auto"/>
      </w:pBdr>
      <w:jc w:val="center"/>
    </w:pPr>
    <w:rPr>
      <w:rFonts w:ascii="Arial" w:eastAsiaTheme="minorEastAsia" w:hAnsi="Arial" w:cs="Arial"/>
      <w:vanish/>
      <w:sz w:val="16"/>
      <w:szCs w:val="16"/>
      <w:lang w:val="fr-BE"/>
    </w:rPr>
  </w:style>
  <w:style w:type="character" w:customStyle="1" w:styleId="z-BasdeformulaireCar">
    <w:name w:val="z-Bas de formulaire Car"/>
    <w:basedOn w:val="Policepardfaut"/>
    <w:link w:val="z-Basdeformulaire"/>
    <w:uiPriority w:val="99"/>
    <w:semiHidden/>
    <w:rsid w:val="00C62FC8"/>
    <w:rPr>
      <w:rFonts w:ascii="Arial" w:hAnsi="Arial" w:cs="Arial"/>
      <w:vanish/>
      <w:sz w:val="16"/>
      <w:szCs w:val="16"/>
    </w:rPr>
  </w:style>
  <w:style w:type="character" w:styleId="Lienhypertexte">
    <w:name w:val="Hyperlink"/>
    <w:basedOn w:val="Policepardfaut"/>
    <w:uiPriority w:val="99"/>
    <w:semiHidden/>
    <w:unhideWhenUsed/>
    <w:rsid w:val="00FC579D"/>
    <w:rPr>
      <w:color w:val="0000FF"/>
      <w:u w:val="single"/>
    </w:rPr>
  </w:style>
  <w:style w:type="paragraph" w:styleId="NormalWeb">
    <w:name w:val="Normal (Web)"/>
    <w:basedOn w:val="Normal"/>
    <w:uiPriority w:val="99"/>
    <w:unhideWhenUsed/>
    <w:rsid w:val="00AB6EB9"/>
    <w:pPr>
      <w:spacing w:before="100" w:beforeAutospacing="1" w:after="100" w:afterAutospacing="1"/>
    </w:pPr>
    <w:rPr>
      <w:rFonts w:ascii="Times" w:eastAsiaTheme="minorEastAsia" w:hAnsi="Times"/>
      <w:sz w:val="20"/>
      <w:szCs w:val="20"/>
    </w:rPr>
  </w:style>
  <w:style w:type="paragraph" w:styleId="En-tte">
    <w:name w:val="header"/>
    <w:basedOn w:val="Normal"/>
    <w:link w:val="En-tteCar"/>
    <w:uiPriority w:val="99"/>
    <w:unhideWhenUsed/>
    <w:rsid w:val="00C81340"/>
    <w:pPr>
      <w:tabs>
        <w:tab w:val="center" w:pos="4536"/>
        <w:tab w:val="right" w:pos="9072"/>
      </w:tabs>
    </w:pPr>
  </w:style>
  <w:style w:type="character" w:customStyle="1" w:styleId="En-tteCar">
    <w:name w:val="En-tête Car"/>
    <w:basedOn w:val="Policepardfaut"/>
    <w:link w:val="En-tte"/>
    <w:uiPriority w:val="99"/>
    <w:rsid w:val="00C81340"/>
    <w:rPr>
      <w:rFonts w:ascii="Times New Roman" w:eastAsia="Times New Roman" w:hAnsi="Times New Roman" w:cs="Times New Roman"/>
      <w:lang w:val="fr-FR"/>
    </w:rPr>
  </w:style>
  <w:style w:type="paragraph" w:customStyle="1" w:styleId="notedebasdepage0">
    <w:name w:val="note de bas de page"/>
    <w:basedOn w:val="Normal"/>
    <w:rsid w:val="00AB3D0C"/>
    <w:rPr>
      <w:rFonts w:ascii="New York" w:hAnsi="New York" w:cs="New York"/>
      <w:noProof/>
      <w:sz w:val="20"/>
      <w:szCs w:val="20"/>
    </w:rPr>
  </w:style>
  <w:style w:type="character" w:customStyle="1" w:styleId="highlight">
    <w:name w:val="highlight"/>
    <w:basedOn w:val="Policepardfaut"/>
    <w:rsid w:val="00EC00E3"/>
  </w:style>
  <w:style w:type="character" w:customStyle="1" w:styleId="labelfrlababstract">
    <w:name w:val="label_fr_lababstract"/>
    <w:basedOn w:val="Policepardfaut"/>
    <w:rsid w:val="00532807"/>
  </w:style>
  <w:style w:type="character" w:customStyle="1" w:styleId="Titre2Car">
    <w:name w:val="Titre 2 Car"/>
    <w:basedOn w:val="Policepardfaut"/>
    <w:link w:val="Titre2"/>
    <w:uiPriority w:val="9"/>
    <w:semiHidden/>
    <w:rsid w:val="002F22EC"/>
    <w:rPr>
      <w:rFonts w:asciiTheme="majorHAnsi" w:eastAsiaTheme="majorEastAsia" w:hAnsiTheme="majorHAnsi" w:cstheme="majorBidi"/>
      <w:b/>
      <w:bCs/>
      <w:color w:val="4F81BD" w:themeColor="accent1"/>
      <w:sz w:val="26"/>
      <w:szCs w:val="26"/>
      <w:lang w:val="fr-FR"/>
    </w:rPr>
  </w:style>
  <w:style w:type="character" w:styleId="Lienhypertextesuivi">
    <w:name w:val="FollowedHyperlink"/>
    <w:basedOn w:val="Policepardfaut"/>
    <w:uiPriority w:val="99"/>
    <w:semiHidden/>
    <w:unhideWhenUsed/>
    <w:rsid w:val="007E75EC"/>
    <w:rPr>
      <w:color w:val="800080" w:themeColor="followedHyperlink"/>
      <w:u w:val="single"/>
    </w:rPr>
  </w:style>
  <w:style w:type="character" w:customStyle="1" w:styleId="sb8d990e2">
    <w:name w:val="sb8d990e2"/>
    <w:basedOn w:val="Policepardfaut"/>
    <w:rsid w:val="00A67F14"/>
  </w:style>
  <w:style w:type="character" w:customStyle="1" w:styleId="s7d2086b4">
    <w:name w:val="s7d2086b4"/>
    <w:basedOn w:val="Policepardfaut"/>
    <w:rsid w:val="007A0893"/>
  </w:style>
  <w:style w:type="character" w:customStyle="1" w:styleId="Marquenotebasde">
    <w:name w:val="Marque note bas de"/>
    <w:basedOn w:val="Policepardfaut"/>
    <w:rsid w:val="00DF344F"/>
    <w:rPr>
      <w:position w:val="6"/>
      <w:sz w:val="18"/>
      <w:szCs w:val="18"/>
    </w:rPr>
  </w:style>
  <w:style w:type="paragraph" w:styleId="Textedebulles">
    <w:name w:val="Balloon Text"/>
    <w:basedOn w:val="Normal"/>
    <w:link w:val="TextedebullesCar"/>
    <w:uiPriority w:val="99"/>
    <w:semiHidden/>
    <w:unhideWhenUsed/>
    <w:rsid w:val="00B03DD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03DD4"/>
    <w:rPr>
      <w:rFonts w:ascii="Lucida Grande" w:eastAsia="Times New Roman" w:hAnsi="Lucida Grande" w:cs="Lucida Grande"/>
      <w:sz w:val="18"/>
      <w:szCs w:val="18"/>
      <w:lang w:val="fr-FR"/>
    </w:rPr>
  </w:style>
  <w:style w:type="character" w:styleId="Accentuation">
    <w:name w:val="Emphasis"/>
    <w:basedOn w:val="Policepardfaut"/>
    <w:uiPriority w:val="20"/>
    <w:qFormat/>
    <w:rsid w:val="00C25A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7468">
      <w:bodyDiv w:val="1"/>
      <w:marLeft w:val="0"/>
      <w:marRight w:val="0"/>
      <w:marTop w:val="0"/>
      <w:marBottom w:val="0"/>
      <w:divBdr>
        <w:top w:val="none" w:sz="0" w:space="0" w:color="auto"/>
        <w:left w:val="none" w:sz="0" w:space="0" w:color="auto"/>
        <w:bottom w:val="none" w:sz="0" w:space="0" w:color="auto"/>
        <w:right w:val="none" w:sz="0" w:space="0" w:color="auto"/>
      </w:divBdr>
    </w:div>
    <w:div w:id="186067945">
      <w:bodyDiv w:val="1"/>
      <w:marLeft w:val="0"/>
      <w:marRight w:val="0"/>
      <w:marTop w:val="0"/>
      <w:marBottom w:val="0"/>
      <w:divBdr>
        <w:top w:val="none" w:sz="0" w:space="0" w:color="auto"/>
        <w:left w:val="none" w:sz="0" w:space="0" w:color="auto"/>
        <w:bottom w:val="none" w:sz="0" w:space="0" w:color="auto"/>
        <w:right w:val="none" w:sz="0" w:space="0" w:color="auto"/>
      </w:divBdr>
      <w:divsChild>
        <w:div w:id="545531075">
          <w:marLeft w:val="0"/>
          <w:marRight w:val="0"/>
          <w:marTop w:val="0"/>
          <w:marBottom w:val="0"/>
          <w:divBdr>
            <w:top w:val="none" w:sz="0" w:space="0" w:color="auto"/>
            <w:left w:val="none" w:sz="0" w:space="0" w:color="auto"/>
            <w:bottom w:val="none" w:sz="0" w:space="0" w:color="auto"/>
            <w:right w:val="none" w:sz="0" w:space="0" w:color="auto"/>
          </w:divBdr>
        </w:div>
        <w:div w:id="1672370696">
          <w:marLeft w:val="0"/>
          <w:marRight w:val="0"/>
          <w:marTop w:val="0"/>
          <w:marBottom w:val="0"/>
          <w:divBdr>
            <w:top w:val="none" w:sz="0" w:space="0" w:color="auto"/>
            <w:left w:val="none" w:sz="0" w:space="0" w:color="auto"/>
            <w:bottom w:val="none" w:sz="0" w:space="0" w:color="auto"/>
            <w:right w:val="none" w:sz="0" w:space="0" w:color="auto"/>
          </w:divBdr>
        </w:div>
        <w:div w:id="392892577">
          <w:marLeft w:val="0"/>
          <w:marRight w:val="0"/>
          <w:marTop w:val="0"/>
          <w:marBottom w:val="0"/>
          <w:divBdr>
            <w:top w:val="none" w:sz="0" w:space="0" w:color="auto"/>
            <w:left w:val="none" w:sz="0" w:space="0" w:color="auto"/>
            <w:bottom w:val="none" w:sz="0" w:space="0" w:color="auto"/>
            <w:right w:val="none" w:sz="0" w:space="0" w:color="auto"/>
          </w:divBdr>
        </w:div>
      </w:divsChild>
    </w:div>
    <w:div w:id="211045787">
      <w:bodyDiv w:val="1"/>
      <w:marLeft w:val="0"/>
      <w:marRight w:val="0"/>
      <w:marTop w:val="0"/>
      <w:marBottom w:val="0"/>
      <w:divBdr>
        <w:top w:val="none" w:sz="0" w:space="0" w:color="auto"/>
        <w:left w:val="none" w:sz="0" w:space="0" w:color="auto"/>
        <w:bottom w:val="none" w:sz="0" w:space="0" w:color="auto"/>
        <w:right w:val="none" w:sz="0" w:space="0" w:color="auto"/>
      </w:divBdr>
      <w:divsChild>
        <w:div w:id="416754143">
          <w:marLeft w:val="0"/>
          <w:marRight w:val="0"/>
          <w:marTop w:val="0"/>
          <w:marBottom w:val="0"/>
          <w:divBdr>
            <w:top w:val="none" w:sz="0" w:space="0" w:color="auto"/>
            <w:left w:val="none" w:sz="0" w:space="0" w:color="auto"/>
            <w:bottom w:val="none" w:sz="0" w:space="0" w:color="auto"/>
            <w:right w:val="none" w:sz="0" w:space="0" w:color="auto"/>
          </w:divBdr>
        </w:div>
        <w:div w:id="580261116">
          <w:marLeft w:val="0"/>
          <w:marRight w:val="0"/>
          <w:marTop w:val="0"/>
          <w:marBottom w:val="0"/>
          <w:divBdr>
            <w:top w:val="none" w:sz="0" w:space="0" w:color="auto"/>
            <w:left w:val="none" w:sz="0" w:space="0" w:color="auto"/>
            <w:bottom w:val="none" w:sz="0" w:space="0" w:color="auto"/>
            <w:right w:val="none" w:sz="0" w:space="0" w:color="auto"/>
          </w:divBdr>
        </w:div>
        <w:div w:id="842282962">
          <w:marLeft w:val="0"/>
          <w:marRight w:val="0"/>
          <w:marTop w:val="0"/>
          <w:marBottom w:val="0"/>
          <w:divBdr>
            <w:top w:val="none" w:sz="0" w:space="0" w:color="auto"/>
            <w:left w:val="none" w:sz="0" w:space="0" w:color="auto"/>
            <w:bottom w:val="none" w:sz="0" w:space="0" w:color="auto"/>
            <w:right w:val="none" w:sz="0" w:space="0" w:color="auto"/>
          </w:divBdr>
        </w:div>
        <w:div w:id="1543709895">
          <w:marLeft w:val="0"/>
          <w:marRight w:val="0"/>
          <w:marTop w:val="0"/>
          <w:marBottom w:val="0"/>
          <w:divBdr>
            <w:top w:val="none" w:sz="0" w:space="0" w:color="auto"/>
            <w:left w:val="none" w:sz="0" w:space="0" w:color="auto"/>
            <w:bottom w:val="none" w:sz="0" w:space="0" w:color="auto"/>
            <w:right w:val="none" w:sz="0" w:space="0" w:color="auto"/>
          </w:divBdr>
        </w:div>
        <w:div w:id="1674647124">
          <w:marLeft w:val="0"/>
          <w:marRight w:val="0"/>
          <w:marTop w:val="0"/>
          <w:marBottom w:val="0"/>
          <w:divBdr>
            <w:top w:val="none" w:sz="0" w:space="0" w:color="auto"/>
            <w:left w:val="none" w:sz="0" w:space="0" w:color="auto"/>
            <w:bottom w:val="none" w:sz="0" w:space="0" w:color="auto"/>
            <w:right w:val="none" w:sz="0" w:space="0" w:color="auto"/>
          </w:divBdr>
        </w:div>
        <w:div w:id="2080320491">
          <w:marLeft w:val="0"/>
          <w:marRight w:val="0"/>
          <w:marTop w:val="0"/>
          <w:marBottom w:val="0"/>
          <w:divBdr>
            <w:top w:val="none" w:sz="0" w:space="0" w:color="auto"/>
            <w:left w:val="none" w:sz="0" w:space="0" w:color="auto"/>
            <w:bottom w:val="none" w:sz="0" w:space="0" w:color="auto"/>
            <w:right w:val="none" w:sz="0" w:space="0" w:color="auto"/>
          </w:divBdr>
        </w:div>
        <w:div w:id="2089495079">
          <w:marLeft w:val="0"/>
          <w:marRight w:val="0"/>
          <w:marTop w:val="0"/>
          <w:marBottom w:val="0"/>
          <w:divBdr>
            <w:top w:val="none" w:sz="0" w:space="0" w:color="auto"/>
            <w:left w:val="none" w:sz="0" w:space="0" w:color="auto"/>
            <w:bottom w:val="none" w:sz="0" w:space="0" w:color="auto"/>
            <w:right w:val="none" w:sz="0" w:space="0" w:color="auto"/>
          </w:divBdr>
        </w:div>
      </w:divsChild>
    </w:div>
    <w:div w:id="286351121">
      <w:bodyDiv w:val="1"/>
      <w:marLeft w:val="0"/>
      <w:marRight w:val="0"/>
      <w:marTop w:val="0"/>
      <w:marBottom w:val="0"/>
      <w:divBdr>
        <w:top w:val="none" w:sz="0" w:space="0" w:color="auto"/>
        <w:left w:val="none" w:sz="0" w:space="0" w:color="auto"/>
        <w:bottom w:val="none" w:sz="0" w:space="0" w:color="auto"/>
        <w:right w:val="none" w:sz="0" w:space="0" w:color="auto"/>
      </w:divBdr>
      <w:divsChild>
        <w:div w:id="2067994489">
          <w:marLeft w:val="0"/>
          <w:marRight w:val="0"/>
          <w:marTop w:val="0"/>
          <w:marBottom w:val="0"/>
          <w:divBdr>
            <w:top w:val="none" w:sz="0" w:space="0" w:color="auto"/>
            <w:left w:val="none" w:sz="0" w:space="0" w:color="auto"/>
            <w:bottom w:val="none" w:sz="0" w:space="0" w:color="auto"/>
            <w:right w:val="none" w:sz="0" w:space="0" w:color="auto"/>
          </w:divBdr>
          <w:divsChild>
            <w:div w:id="127866291">
              <w:marLeft w:val="0"/>
              <w:marRight w:val="0"/>
              <w:marTop w:val="0"/>
              <w:marBottom w:val="0"/>
              <w:divBdr>
                <w:top w:val="none" w:sz="0" w:space="0" w:color="auto"/>
                <w:left w:val="none" w:sz="0" w:space="0" w:color="auto"/>
                <w:bottom w:val="none" w:sz="0" w:space="0" w:color="auto"/>
                <w:right w:val="none" w:sz="0" w:space="0" w:color="auto"/>
              </w:divBdr>
              <w:divsChild>
                <w:div w:id="1559898919">
                  <w:marLeft w:val="0"/>
                  <w:marRight w:val="0"/>
                  <w:marTop w:val="0"/>
                  <w:marBottom w:val="0"/>
                  <w:divBdr>
                    <w:top w:val="none" w:sz="0" w:space="0" w:color="auto"/>
                    <w:left w:val="none" w:sz="0" w:space="0" w:color="auto"/>
                    <w:bottom w:val="none" w:sz="0" w:space="0" w:color="auto"/>
                    <w:right w:val="none" w:sz="0" w:space="0" w:color="auto"/>
                  </w:divBdr>
                  <w:divsChild>
                    <w:div w:id="844784589">
                      <w:marLeft w:val="0"/>
                      <w:marRight w:val="0"/>
                      <w:marTop w:val="0"/>
                      <w:marBottom w:val="0"/>
                      <w:divBdr>
                        <w:top w:val="none" w:sz="0" w:space="0" w:color="auto"/>
                        <w:left w:val="none" w:sz="0" w:space="0" w:color="auto"/>
                        <w:bottom w:val="none" w:sz="0" w:space="0" w:color="auto"/>
                        <w:right w:val="none" w:sz="0" w:space="0" w:color="auto"/>
                      </w:divBdr>
                      <w:divsChild>
                        <w:div w:id="2049841038">
                          <w:marLeft w:val="0"/>
                          <w:marRight w:val="0"/>
                          <w:marTop w:val="0"/>
                          <w:marBottom w:val="0"/>
                          <w:divBdr>
                            <w:top w:val="none" w:sz="0" w:space="0" w:color="auto"/>
                            <w:left w:val="none" w:sz="0" w:space="0" w:color="auto"/>
                            <w:bottom w:val="none" w:sz="0" w:space="0" w:color="auto"/>
                            <w:right w:val="none" w:sz="0" w:space="0" w:color="auto"/>
                          </w:divBdr>
                        </w:div>
                      </w:divsChild>
                    </w:div>
                    <w:div w:id="102848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536022">
      <w:bodyDiv w:val="1"/>
      <w:marLeft w:val="0"/>
      <w:marRight w:val="0"/>
      <w:marTop w:val="0"/>
      <w:marBottom w:val="0"/>
      <w:divBdr>
        <w:top w:val="none" w:sz="0" w:space="0" w:color="auto"/>
        <w:left w:val="none" w:sz="0" w:space="0" w:color="auto"/>
        <w:bottom w:val="none" w:sz="0" w:space="0" w:color="auto"/>
        <w:right w:val="none" w:sz="0" w:space="0" w:color="auto"/>
      </w:divBdr>
      <w:divsChild>
        <w:div w:id="623076724">
          <w:marLeft w:val="0"/>
          <w:marRight w:val="0"/>
          <w:marTop w:val="0"/>
          <w:marBottom w:val="0"/>
          <w:divBdr>
            <w:top w:val="none" w:sz="0" w:space="0" w:color="auto"/>
            <w:left w:val="none" w:sz="0" w:space="0" w:color="auto"/>
            <w:bottom w:val="none" w:sz="0" w:space="0" w:color="auto"/>
            <w:right w:val="none" w:sz="0" w:space="0" w:color="auto"/>
          </w:divBdr>
        </w:div>
        <w:div w:id="805661677">
          <w:marLeft w:val="0"/>
          <w:marRight w:val="0"/>
          <w:marTop w:val="0"/>
          <w:marBottom w:val="0"/>
          <w:divBdr>
            <w:top w:val="none" w:sz="0" w:space="0" w:color="auto"/>
            <w:left w:val="none" w:sz="0" w:space="0" w:color="auto"/>
            <w:bottom w:val="none" w:sz="0" w:space="0" w:color="auto"/>
            <w:right w:val="none" w:sz="0" w:space="0" w:color="auto"/>
          </w:divBdr>
        </w:div>
        <w:div w:id="1094084586">
          <w:marLeft w:val="0"/>
          <w:marRight w:val="0"/>
          <w:marTop w:val="0"/>
          <w:marBottom w:val="0"/>
          <w:divBdr>
            <w:top w:val="none" w:sz="0" w:space="0" w:color="auto"/>
            <w:left w:val="none" w:sz="0" w:space="0" w:color="auto"/>
            <w:bottom w:val="none" w:sz="0" w:space="0" w:color="auto"/>
            <w:right w:val="none" w:sz="0" w:space="0" w:color="auto"/>
          </w:divBdr>
        </w:div>
      </w:divsChild>
    </w:div>
    <w:div w:id="475802883">
      <w:bodyDiv w:val="1"/>
      <w:marLeft w:val="0"/>
      <w:marRight w:val="0"/>
      <w:marTop w:val="0"/>
      <w:marBottom w:val="0"/>
      <w:divBdr>
        <w:top w:val="none" w:sz="0" w:space="0" w:color="auto"/>
        <w:left w:val="none" w:sz="0" w:space="0" w:color="auto"/>
        <w:bottom w:val="none" w:sz="0" w:space="0" w:color="auto"/>
        <w:right w:val="none" w:sz="0" w:space="0" w:color="auto"/>
      </w:divBdr>
      <w:divsChild>
        <w:div w:id="813639728">
          <w:marLeft w:val="0"/>
          <w:marRight w:val="0"/>
          <w:marTop w:val="0"/>
          <w:marBottom w:val="0"/>
          <w:divBdr>
            <w:top w:val="none" w:sz="0" w:space="0" w:color="auto"/>
            <w:left w:val="none" w:sz="0" w:space="0" w:color="auto"/>
            <w:bottom w:val="none" w:sz="0" w:space="0" w:color="auto"/>
            <w:right w:val="none" w:sz="0" w:space="0" w:color="auto"/>
          </w:divBdr>
        </w:div>
        <w:div w:id="1115246977">
          <w:marLeft w:val="0"/>
          <w:marRight w:val="0"/>
          <w:marTop w:val="0"/>
          <w:marBottom w:val="0"/>
          <w:divBdr>
            <w:top w:val="none" w:sz="0" w:space="0" w:color="auto"/>
            <w:left w:val="none" w:sz="0" w:space="0" w:color="auto"/>
            <w:bottom w:val="none" w:sz="0" w:space="0" w:color="auto"/>
            <w:right w:val="none" w:sz="0" w:space="0" w:color="auto"/>
          </w:divBdr>
        </w:div>
        <w:div w:id="1398169227">
          <w:marLeft w:val="0"/>
          <w:marRight w:val="0"/>
          <w:marTop w:val="0"/>
          <w:marBottom w:val="0"/>
          <w:divBdr>
            <w:top w:val="none" w:sz="0" w:space="0" w:color="auto"/>
            <w:left w:val="none" w:sz="0" w:space="0" w:color="auto"/>
            <w:bottom w:val="none" w:sz="0" w:space="0" w:color="auto"/>
            <w:right w:val="none" w:sz="0" w:space="0" w:color="auto"/>
          </w:divBdr>
        </w:div>
        <w:div w:id="1431776247">
          <w:marLeft w:val="0"/>
          <w:marRight w:val="0"/>
          <w:marTop w:val="0"/>
          <w:marBottom w:val="0"/>
          <w:divBdr>
            <w:top w:val="none" w:sz="0" w:space="0" w:color="auto"/>
            <w:left w:val="none" w:sz="0" w:space="0" w:color="auto"/>
            <w:bottom w:val="none" w:sz="0" w:space="0" w:color="auto"/>
            <w:right w:val="none" w:sz="0" w:space="0" w:color="auto"/>
          </w:divBdr>
        </w:div>
      </w:divsChild>
    </w:div>
    <w:div w:id="550583158">
      <w:bodyDiv w:val="1"/>
      <w:marLeft w:val="0"/>
      <w:marRight w:val="0"/>
      <w:marTop w:val="0"/>
      <w:marBottom w:val="0"/>
      <w:divBdr>
        <w:top w:val="none" w:sz="0" w:space="0" w:color="auto"/>
        <w:left w:val="none" w:sz="0" w:space="0" w:color="auto"/>
        <w:bottom w:val="none" w:sz="0" w:space="0" w:color="auto"/>
        <w:right w:val="none" w:sz="0" w:space="0" w:color="auto"/>
      </w:divBdr>
      <w:divsChild>
        <w:div w:id="860508909">
          <w:marLeft w:val="0"/>
          <w:marRight w:val="0"/>
          <w:marTop w:val="0"/>
          <w:marBottom w:val="0"/>
          <w:divBdr>
            <w:top w:val="none" w:sz="0" w:space="0" w:color="auto"/>
            <w:left w:val="none" w:sz="0" w:space="0" w:color="auto"/>
            <w:bottom w:val="none" w:sz="0" w:space="0" w:color="auto"/>
            <w:right w:val="none" w:sz="0" w:space="0" w:color="auto"/>
          </w:divBdr>
        </w:div>
        <w:div w:id="1758747653">
          <w:marLeft w:val="0"/>
          <w:marRight w:val="0"/>
          <w:marTop w:val="0"/>
          <w:marBottom w:val="0"/>
          <w:divBdr>
            <w:top w:val="none" w:sz="0" w:space="0" w:color="auto"/>
            <w:left w:val="none" w:sz="0" w:space="0" w:color="auto"/>
            <w:bottom w:val="none" w:sz="0" w:space="0" w:color="auto"/>
            <w:right w:val="none" w:sz="0" w:space="0" w:color="auto"/>
          </w:divBdr>
        </w:div>
        <w:div w:id="1145201328">
          <w:marLeft w:val="0"/>
          <w:marRight w:val="0"/>
          <w:marTop w:val="0"/>
          <w:marBottom w:val="0"/>
          <w:divBdr>
            <w:top w:val="none" w:sz="0" w:space="0" w:color="auto"/>
            <w:left w:val="none" w:sz="0" w:space="0" w:color="auto"/>
            <w:bottom w:val="none" w:sz="0" w:space="0" w:color="auto"/>
            <w:right w:val="none" w:sz="0" w:space="0" w:color="auto"/>
          </w:divBdr>
        </w:div>
      </w:divsChild>
    </w:div>
    <w:div w:id="700013733">
      <w:bodyDiv w:val="1"/>
      <w:marLeft w:val="0"/>
      <w:marRight w:val="0"/>
      <w:marTop w:val="0"/>
      <w:marBottom w:val="0"/>
      <w:divBdr>
        <w:top w:val="none" w:sz="0" w:space="0" w:color="auto"/>
        <w:left w:val="none" w:sz="0" w:space="0" w:color="auto"/>
        <w:bottom w:val="none" w:sz="0" w:space="0" w:color="auto"/>
        <w:right w:val="none" w:sz="0" w:space="0" w:color="auto"/>
      </w:divBdr>
    </w:div>
    <w:div w:id="740249549">
      <w:bodyDiv w:val="1"/>
      <w:marLeft w:val="0"/>
      <w:marRight w:val="0"/>
      <w:marTop w:val="0"/>
      <w:marBottom w:val="0"/>
      <w:divBdr>
        <w:top w:val="none" w:sz="0" w:space="0" w:color="auto"/>
        <w:left w:val="none" w:sz="0" w:space="0" w:color="auto"/>
        <w:bottom w:val="none" w:sz="0" w:space="0" w:color="auto"/>
        <w:right w:val="none" w:sz="0" w:space="0" w:color="auto"/>
      </w:divBdr>
      <w:divsChild>
        <w:div w:id="136385358">
          <w:marLeft w:val="0"/>
          <w:marRight w:val="0"/>
          <w:marTop w:val="0"/>
          <w:marBottom w:val="0"/>
          <w:divBdr>
            <w:top w:val="none" w:sz="0" w:space="0" w:color="auto"/>
            <w:left w:val="none" w:sz="0" w:space="0" w:color="auto"/>
            <w:bottom w:val="none" w:sz="0" w:space="0" w:color="auto"/>
            <w:right w:val="none" w:sz="0" w:space="0" w:color="auto"/>
          </w:divBdr>
        </w:div>
      </w:divsChild>
    </w:div>
    <w:div w:id="828331441">
      <w:bodyDiv w:val="1"/>
      <w:marLeft w:val="0"/>
      <w:marRight w:val="0"/>
      <w:marTop w:val="0"/>
      <w:marBottom w:val="0"/>
      <w:divBdr>
        <w:top w:val="none" w:sz="0" w:space="0" w:color="auto"/>
        <w:left w:val="none" w:sz="0" w:space="0" w:color="auto"/>
        <w:bottom w:val="none" w:sz="0" w:space="0" w:color="auto"/>
        <w:right w:val="none" w:sz="0" w:space="0" w:color="auto"/>
      </w:divBdr>
      <w:divsChild>
        <w:div w:id="515079194">
          <w:marLeft w:val="0"/>
          <w:marRight w:val="0"/>
          <w:marTop w:val="0"/>
          <w:marBottom w:val="0"/>
          <w:divBdr>
            <w:top w:val="none" w:sz="0" w:space="0" w:color="auto"/>
            <w:left w:val="none" w:sz="0" w:space="0" w:color="auto"/>
            <w:bottom w:val="none" w:sz="0" w:space="0" w:color="auto"/>
            <w:right w:val="none" w:sz="0" w:space="0" w:color="auto"/>
          </w:divBdr>
          <w:divsChild>
            <w:div w:id="2092312406">
              <w:marLeft w:val="0"/>
              <w:marRight w:val="0"/>
              <w:marTop w:val="0"/>
              <w:marBottom w:val="0"/>
              <w:divBdr>
                <w:top w:val="none" w:sz="0" w:space="0" w:color="auto"/>
                <w:left w:val="none" w:sz="0" w:space="0" w:color="auto"/>
                <w:bottom w:val="none" w:sz="0" w:space="0" w:color="auto"/>
                <w:right w:val="none" w:sz="0" w:space="0" w:color="auto"/>
              </w:divBdr>
              <w:divsChild>
                <w:div w:id="11417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486139">
      <w:bodyDiv w:val="1"/>
      <w:marLeft w:val="0"/>
      <w:marRight w:val="0"/>
      <w:marTop w:val="0"/>
      <w:marBottom w:val="0"/>
      <w:divBdr>
        <w:top w:val="none" w:sz="0" w:space="0" w:color="auto"/>
        <w:left w:val="none" w:sz="0" w:space="0" w:color="auto"/>
        <w:bottom w:val="none" w:sz="0" w:space="0" w:color="auto"/>
        <w:right w:val="none" w:sz="0" w:space="0" w:color="auto"/>
      </w:divBdr>
      <w:divsChild>
        <w:div w:id="1496842898">
          <w:marLeft w:val="3110"/>
          <w:marRight w:val="0"/>
          <w:marTop w:val="86"/>
          <w:marBottom w:val="0"/>
          <w:divBdr>
            <w:top w:val="none" w:sz="0" w:space="0" w:color="auto"/>
            <w:left w:val="none" w:sz="0" w:space="0" w:color="auto"/>
            <w:bottom w:val="none" w:sz="0" w:space="0" w:color="auto"/>
            <w:right w:val="none" w:sz="0" w:space="0" w:color="auto"/>
          </w:divBdr>
        </w:div>
      </w:divsChild>
    </w:div>
    <w:div w:id="917446731">
      <w:bodyDiv w:val="1"/>
      <w:marLeft w:val="0"/>
      <w:marRight w:val="0"/>
      <w:marTop w:val="0"/>
      <w:marBottom w:val="0"/>
      <w:divBdr>
        <w:top w:val="none" w:sz="0" w:space="0" w:color="auto"/>
        <w:left w:val="none" w:sz="0" w:space="0" w:color="auto"/>
        <w:bottom w:val="none" w:sz="0" w:space="0" w:color="auto"/>
        <w:right w:val="none" w:sz="0" w:space="0" w:color="auto"/>
      </w:divBdr>
      <w:divsChild>
        <w:div w:id="773328692">
          <w:marLeft w:val="0"/>
          <w:marRight w:val="0"/>
          <w:marTop w:val="0"/>
          <w:marBottom w:val="0"/>
          <w:divBdr>
            <w:top w:val="none" w:sz="0" w:space="0" w:color="auto"/>
            <w:left w:val="none" w:sz="0" w:space="0" w:color="auto"/>
            <w:bottom w:val="none" w:sz="0" w:space="0" w:color="auto"/>
            <w:right w:val="none" w:sz="0" w:space="0" w:color="auto"/>
          </w:divBdr>
        </w:div>
        <w:div w:id="799345697">
          <w:marLeft w:val="0"/>
          <w:marRight w:val="0"/>
          <w:marTop w:val="0"/>
          <w:marBottom w:val="0"/>
          <w:divBdr>
            <w:top w:val="none" w:sz="0" w:space="0" w:color="auto"/>
            <w:left w:val="none" w:sz="0" w:space="0" w:color="auto"/>
            <w:bottom w:val="none" w:sz="0" w:space="0" w:color="auto"/>
            <w:right w:val="none" w:sz="0" w:space="0" w:color="auto"/>
          </w:divBdr>
        </w:div>
        <w:div w:id="997465958">
          <w:marLeft w:val="0"/>
          <w:marRight w:val="0"/>
          <w:marTop w:val="0"/>
          <w:marBottom w:val="0"/>
          <w:divBdr>
            <w:top w:val="none" w:sz="0" w:space="0" w:color="auto"/>
            <w:left w:val="none" w:sz="0" w:space="0" w:color="auto"/>
            <w:bottom w:val="none" w:sz="0" w:space="0" w:color="auto"/>
            <w:right w:val="none" w:sz="0" w:space="0" w:color="auto"/>
          </w:divBdr>
        </w:div>
        <w:div w:id="1169172831">
          <w:marLeft w:val="0"/>
          <w:marRight w:val="0"/>
          <w:marTop w:val="0"/>
          <w:marBottom w:val="0"/>
          <w:divBdr>
            <w:top w:val="none" w:sz="0" w:space="0" w:color="auto"/>
            <w:left w:val="none" w:sz="0" w:space="0" w:color="auto"/>
            <w:bottom w:val="none" w:sz="0" w:space="0" w:color="auto"/>
            <w:right w:val="none" w:sz="0" w:space="0" w:color="auto"/>
          </w:divBdr>
        </w:div>
        <w:div w:id="1523477497">
          <w:marLeft w:val="0"/>
          <w:marRight w:val="0"/>
          <w:marTop w:val="0"/>
          <w:marBottom w:val="0"/>
          <w:divBdr>
            <w:top w:val="none" w:sz="0" w:space="0" w:color="auto"/>
            <w:left w:val="none" w:sz="0" w:space="0" w:color="auto"/>
            <w:bottom w:val="none" w:sz="0" w:space="0" w:color="auto"/>
            <w:right w:val="none" w:sz="0" w:space="0" w:color="auto"/>
          </w:divBdr>
        </w:div>
        <w:div w:id="1667048889">
          <w:marLeft w:val="0"/>
          <w:marRight w:val="0"/>
          <w:marTop w:val="0"/>
          <w:marBottom w:val="0"/>
          <w:divBdr>
            <w:top w:val="none" w:sz="0" w:space="0" w:color="auto"/>
            <w:left w:val="none" w:sz="0" w:space="0" w:color="auto"/>
            <w:bottom w:val="none" w:sz="0" w:space="0" w:color="auto"/>
            <w:right w:val="none" w:sz="0" w:space="0" w:color="auto"/>
          </w:divBdr>
        </w:div>
        <w:div w:id="1702323018">
          <w:marLeft w:val="0"/>
          <w:marRight w:val="0"/>
          <w:marTop w:val="0"/>
          <w:marBottom w:val="0"/>
          <w:divBdr>
            <w:top w:val="none" w:sz="0" w:space="0" w:color="auto"/>
            <w:left w:val="none" w:sz="0" w:space="0" w:color="auto"/>
            <w:bottom w:val="none" w:sz="0" w:space="0" w:color="auto"/>
            <w:right w:val="none" w:sz="0" w:space="0" w:color="auto"/>
          </w:divBdr>
        </w:div>
      </w:divsChild>
    </w:div>
    <w:div w:id="929432378">
      <w:bodyDiv w:val="1"/>
      <w:marLeft w:val="0"/>
      <w:marRight w:val="0"/>
      <w:marTop w:val="0"/>
      <w:marBottom w:val="0"/>
      <w:divBdr>
        <w:top w:val="none" w:sz="0" w:space="0" w:color="auto"/>
        <w:left w:val="none" w:sz="0" w:space="0" w:color="auto"/>
        <w:bottom w:val="none" w:sz="0" w:space="0" w:color="auto"/>
        <w:right w:val="none" w:sz="0" w:space="0" w:color="auto"/>
      </w:divBdr>
      <w:divsChild>
        <w:div w:id="147208348">
          <w:marLeft w:val="0"/>
          <w:marRight w:val="0"/>
          <w:marTop w:val="0"/>
          <w:marBottom w:val="0"/>
          <w:divBdr>
            <w:top w:val="none" w:sz="0" w:space="0" w:color="auto"/>
            <w:left w:val="none" w:sz="0" w:space="0" w:color="auto"/>
            <w:bottom w:val="none" w:sz="0" w:space="0" w:color="auto"/>
            <w:right w:val="none" w:sz="0" w:space="0" w:color="auto"/>
          </w:divBdr>
        </w:div>
        <w:div w:id="401606896">
          <w:marLeft w:val="0"/>
          <w:marRight w:val="0"/>
          <w:marTop w:val="0"/>
          <w:marBottom w:val="0"/>
          <w:divBdr>
            <w:top w:val="none" w:sz="0" w:space="0" w:color="auto"/>
            <w:left w:val="none" w:sz="0" w:space="0" w:color="auto"/>
            <w:bottom w:val="none" w:sz="0" w:space="0" w:color="auto"/>
            <w:right w:val="none" w:sz="0" w:space="0" w:color="auto"/>
          </w:divBdr>
        </w:div>
        <w:div w:id="806779637">
          <w:marLeft w:val="0"/>
          <w:marRight w:val="0"/>
          <w:marTop w:val="0"/>
          <w:marBottom w:val="0"/>
          <w:divBdr>
            <w:top w:val="none" w:sz="0" w:space="0" w:color="auto"/>
            <w:left w:val="none" w:sz="0" w:space="0" w:color="auto"/>
            <w:bottom w:val="none" w:sz="0" w:space="0" w:color="auto"/>
            <w:right w:val="none" w:sz="0" w:space="0" w:color="auto"/>
          </w:divBdr>
        </w:div>
        <w:div w:id="1157649845">
          <w:marLeft w:val="0"/>
          <w:marRight w:val="0"/>
          <w:marTop w:val="0"/>
          <w:marBottom w:val="0"/>
          <w:divBdr>
            <w:top w:val="none" w:sz="0" w:space="0" w:color="auto"/>
            <w:left w:val="none" w:sz="0" w:space="0" w:color="auto"/>
            <w:bottom w:val="none" w:sz="0" w:space="0" w:color="auto"/>
            <w:right w:val="none" w:sz="0" w:space="0" w:color="auto"/>
          </w:divBdr>
        </w:div>
        <w:div w:id="1472626133">
          <w:marLeft w:val="0"/>
          <w:marRight w:val="0"/>
          <w:marTop w:val="0"/>
          <w:marBottom w:val="0"/>
          <w:divBdr>
            <w:top w:val="none" w:sz="0" w:space="0" w:color="auto"/>
            <w:left w:val="none" w:sz="0" w:space="0" w:color="auto"/>
            <w:bottom w:val="none" w:sz="0" w:space="0" w:color="auto"/>
            <w:right w:val="none" w:sz="0" w:space="0" w:color="auto"/>
          </w:divBdr>
        </w:div>
        <w:div w:id="1501509775">
          <w:marLeft w:val="0"/>
          <w:marRight w:val="0"/>
          <w:marTop w:val="0"/>
          <w:marBottom w:val="0"/>
          <w:divBdr>
            <w:top w:val="none" w:sz="0" w:space="0" w:color="auto"/>
            <w:left w:val="none" w:sz="0" w:space="0" w:color="auto"/>
            <w:bottom w:val="none" w:sz="0" w:space="0" w:color="auto"/>
            <w:right w:val="none" w:sz="0" w:space="0" w:color="auto"/>
          </w:divBdr>
        </w:div>
        <w:div w:id="1515461789">
          <w:marLeft w:val="0"/>
          <w:marRight w:val="0"/>
          <w:marTop w:val="0"/>
          <w:marBottom w:val="0"/>
          <w:divBdr>
            <w:top w:val="none" w:sz="0" w:space="0" w:color="auto"/>
            <w:left w:val="none" w:sz="0" w:space="0" w:color="auto"/>
            <w:bottom w:val="none" w:sz="0" w:space="0" w:color="auto"/>
            <w:right w:val="none" w:sz="0" w:space="0" w:color="auto"/>
          </w:divBdr>
        </w:div>
      </w:divsChild>
    </w:div>
    <w:div w:id="929852476">
      <w:bodyDiv w:val="1"/>
      <w:marLeft w:val="0"/>
      <w:marRight w:val="0"/>
      <w:marTop w:val="0"/>
      <w:marBottom w:val="0"/>
      <w:divBdr>
        <w:top w:val="none" w:sz="0" w:space="0" w:color="auto"/>
        <w:left w:val="none" w:sz="0" w:space="0" w:color="auto"/>
        <w:bottom w:val="none" w:sz="0" w:space="0" w:color="auto"/>
        <w:right w:val="none" w:sz="0" w:space="0" w:color="auto"/>
      </w:divBdr>
      <w:divsChild>
        <w:div w:id="210465355">
          <w:marLeft w:val="0"/>
          <w:marRight w:val="0"/>
          <w:marTop w:val="0"/>
          <w:marBottom w:val="0"/>
          <w:divBdr>
            <w:top w:val="none" w:sz="0" w:space="0" w:color="auto"/>
            <w:left w:val="none" w:sz="0" w:space="0" w:color="auto"/>
            <w:bottom w:val="none" w:sz="0" w:space="0" w:color="auto"/>
            <w:right w:val="none" w:sz="0" w:space="0" w:color="auto"/>
          </w:divBdr>
        </w:div>
        <w:div w:id="305546703">
          <w:marLeft w:val="0"/>
          <w:marRight w:val="0"/>
          <w:marTop w:val="0"/>
          <w:marBottom w:val="0"/>
          <w:divBdr>
            <w:top w:val="none" w:sz="0" w:space="0" w:color="auto"/>
            <w:left w:val="none" w:sz="0" w:space="0" w:color="auto"/>
            <w:bottom w:val="none" w:sz="0" w:space="0" w:color="auto"/>
            <w:right w:val="none" w:sz="0" w:space="0" w:color="auto"/>
          </w:divBdr>
        </w:div>
        <w:div w:id="332798442">
          <w:marLeft w:val="0"/>
          <w:marRight w:val="0"/>
          <w:marTop w:val="0"/>
          <w:marBottom w:val="0"/>
          <w:divBdr>
            <w:top w:val="none" w:sz="0" w:space="0" w:color="auto"/>
            <w:left w:val="none" w:sz="0" w:space="0" w:color="auto"/>
            <w:bottom w:val="none" w:sz="0" w:space="0" w:color="auto"/>
            <w:right w:val="none" w:sz="0" w:space="0" w:color="auto"/>
          </w:divBdr>
        </w:div>
        <w:div w:id="597523329">
          <w:marLeft w:val="0"/>
          <w:marRight w:val="0"/>
          <w:marTop w:val="0"/>
          <w:marBottom w:val="0"/>
          <w:divBdr>
            <w:top w:val="none" w:sz="0" w:space="0" w:color="auto"/>
            <w:left w:val="none" w:sz="0" w:space="0" w:color="auto"/>
            <w:bottom w:val="none" w:sz="0" w:space="0" w:color="auto"/>
            <w:right w:val="none" w:sz="0" w:space="0" w:color="auto"/>
          </w:divBdr>
        </w:div>
        <w:div w:id="820661586">
          <w:marLeft w:val="0"/>
          <w:marRight w:val="0"/>
          <w:marTop w:val="0"/>
          <w:marBottom w:val="0"/>
          <w:divBdr>
            <w:top w:val="none" w:sz="0" w:space="0" w:color="auto"/>
            <w:left w:val="none" w:sz="0" w:space="0" w:color="auto"/>
            <w:bottom w:val="none" w:sz="0" w:space="0" w:color="auto"/>
            <w:right w:val="none" w:sz="0" w:space="0" w:color="auto"/>
          </w:divBdr>
        </w:div>
        <w:div w:id="913511220">
          <w:marLeft w:val="0"/>
          <w:marRight w:val="0"/>
          <w:marTop w:val="0"/>
          <w:marBottom w:val="0"/>
          <w:divBdr>
            <w:top w:val="none" w:sz="0" w:space="0" w:color="auto"/>
            <w:left w:val="none" w:sz="0" w:space="0" w:color="auto"/>
            <w:bottom w:val="none" w:sz="0" w:space="0" w:color="auto"/>
            <w:right w:val="none" w:sz="0" w:space="0" w:color="auto"/>
          </w:divBdr>
        </w:div>
        <w:div w:id="1117989340">
          <w:marLeft w:val="0"/>
          <w:marRight w:val="0"/>
          <w:marTop w:val="0"/>
          <w:marBottom w:val="0"/>
          <w:divBdr>
            <w:top w:val="none" w:sz="0" w:space="0" w:color="auto"/>
            <w:left w:val="none" w:sz="0" w:space="0" w:color="auto"/>
            <w:bottom w:val="none" w:sz="0" w:space="0" w:color="auto"/>
            <w:right w:val="none" w:sz="0" w:space="0" w:color="auto"/>
          </w:divBdr>
        </w:div>
        <w:div w:id="1437866486">
          <w:marLeft w:val="0"/>
          <w:marRight w:val="0"/>
          <w:marTop w:val="0"/>
          <w:marBottom w:val="0"/>
          <w:divBdr>
            <w:top w:val="none" w:sz="0" w:space="0" w:color="auto"/>
            <w:left w:val="none" w:sz="0" w:space="0" w:color="auto"/>
            <w:bottom w:val="none" w:sz="0" w:space="0" w:color="auto"/>
            <w:right w:val="none" w:sz="0" w:space="0" w:color="auto"/>
          </w:divBdr>
        </w:div>
        <w:div w:id="1496266493">
          <w:marLeft w:val="0"/>
          <w:marRight w:val="0"/>
          <w:marTop w:val="0"/>
          <w:marBottom w:val="0"/>
          <w:divBdr>
            <w:top w:val="none" w:sz="0" w:space="0" w:color="auto"/>
            <w:left w:val="none" w:sz="0" w:space="0" w:color="auto"/>
            <w:bottom w:val="none" w:sz="0" w:space="0" w:color="auto"/>
            <w:right w:val="none" w:sz="0" w:space="0" w:color="auto"/>
          </w:divBdr>
        </w:div>
        <w:div w:id="1870796428">
          <w:marLeft w:val="0"/>
          <w:marRight w:val="0"/>
          <w:marTop w:val="0"/>
          <w:marBottom w:val="0"/>
          <w:divBdr>
            <w:top w:val="none" w:sz="0" w:space="0" w:color="auto"/>
            <w:left w:val="none" w:sz="0" w:space="0" w:color="auto"/>
            <w:bottom w:val="none" w:sz="0" w:space="0" w:color="auto"/>
            <w:right w:val="none" w:sz="0" w:space="0" w:color="auto"/>
          </w:divBdr>
        </w:div>
        <w:div w:id="1949777141">
          <w:marLeft w:val="0"/>
          <w:marRight w:val="0"/>
          <w:marTop w:val="0"/>
          <w:marBottom w:val="0"/>
          <w:divBdr>
            <w:top w:val="none" w:sz="0" w:space="0" w:color="auto"/>
            <w:left w:val="none" w:sz="0" w:space="0" w:color="auto"/>
            <w:bottom w:val="none" w:sz="0" w:space="0" w:color="auto"/>
            <w:right w:val="none" w:sz="0" w:space="0" w:color="auto"/>
          </w:divBdr>
        </w:div>
      </w:divsChild>
    </w:div>
    <w:div w:id="1020199148">
      <w:bodyDiv w:val="1"/>
      <w:marLeft w:val="0"/>
      <w:marRight w:val="0"/>
      <w:marTop w:val="0"/>
      <w:marBottom w:val="0"/>
      <w:divBdr>
        <w:top w:val="none" w:sz="0" w:space="0" w:color="auto"/>
        <w:left w:val="none" w:sz="0" w:space="0" w:color="auto"/>
        <w:bottom w:val="none" w:sz="0" w:space="0" w:color="auto"/>
        <w:right w:val="none" w:sz="0" w:space="0" w:color="auto"/>
      </w:divBdr>
      <w:divsChild>
        <w:div w:id="830175349">
          <w:marLeft w:val="0"/>
          <w:marRight w:val="0"/>
          <w:marTop w:val="0"/>
          <w:marBottom w:val="0"/>
          <w:divBdr>
            <w:top w:val="none" w:sz="0" w:space="0" w:color="auto"/>
            <w:left w:val="none" w:sz="0" w:space="0" w:color="auto"/>
            <w:bottom w:val="none" w:sz="0" w:space="0" w:color="auto"/>
            <w:right w:val="none" w:sz="0" w:space="0" w:color="auto"/>
          </w:divBdr>
          <w:divsChild>
            <w:div w:id="555504730">
              <w:marLeft w:val="0"/>
              <w:marRight w:val="0"/>
              <w:marTop w:val="0"/>
              <w:marBottom w:val="0"/>
              <w:divBdr>
                <w:top w:val="none" w:sz="0" w:space="0" w:color="auto"/>
                <w:left w:val="none" w:sz="0" w:space="0" w:color="auto"/>
                <w:bottom w:val="none" w:sz="0" w:space="0" w:color="auto"/>
                <w:right w:val="none" w:sz="0" w:space="0" w:color="auto"/>
              </w:divBdr>
              <w:divsChild>
                <w:div w:id="375592469">
                  <w:marLeft w:val="0"/>
                  <w:marRight w:val="0"/>
                  <w:marTop w:val="0"/>
                  <w:marBottom w:val="0"/>
                  <w:divBdr>
                    <w:top w:val="none" w:sz="0" w:space="0" w:color="auto"/>
                    <w:left w:val="none" w:sz="0" w:space="0" w:color="auto"/>
                    <w:bottom w:val="none" w:sz="0" w:space="0" w:color="auto"/>
                    <w:right w:val="none" w:sz="0" w:space="0" w:color="auto"/>
                  </w:divBdr>
                  <w:divsChild>
                    <w:div w:id="274287448">
                      <w:marLeft w:val="0"/>
                      <w:marRight w:val="0"/>
                      <w:marTop w:val="0"/>
                      <w:marBottom w:val="0"/>
                      <w:divBdr>
                        <w:top w:val="none" w:sz="0" w:space="0" w:color="auto"/>
                        <w:left w:val="none" w:sz="0" w:space="0" w:color="auto"/>
                        <w:bottom w:val="none" w:sz="0" w:space="0" w:color="auto"/>
                        <w:right w:val="none" w:sz="0" w:space="0" w:color="auto"/>
                      </w:divBdr>
                      <w:divsChild>
                        <w:div w:id="375470725">
                          <w:marLeft w:val="0"/>
                          <w:marRight w:val="0"/>
                          <w:marTop w:val="0"/>
                          <w:marBottom w:val="0"/>
                          <w:divBdr>
                            <w:top w:val="none" w:sz="0" w:space="0" w:color="auto"/>
                            <w:left w:val="none" w:sz="0" w:space="0" w:color="auto"/>
                            <w:bottom w:val="none" w:sz="0" w:space="0" w:color="auto"/>
                            <w:right w:val="none" w:sz="0" w:space="0" w:color="auto"/>
                          </w:divBdr>
                          <w:divsChild>
                            <w:div w:id="39090762">
                              <w:marLeft w:val="0"/>
                              <w:marRight w:val="0"/>
                              <w:marTop w:val="0"/>
                              <w:marBottom w:val="0"/>
                              <w:divBdr>
                                <w:top w:val="dashed" w:sz="6" w:space="0" w:color="000000"/>
                                <w:left w:val="none" w:sz="0" w:space="0" w:color="auto"/>
                                <w:bottom w:val="none" w:sz="0" w:space="0" w:color="auto"/>
                                <w:right w:val="none" w:sz="0" w:space="0" w:color="auto"/>
                              </w:divBdr>
                            </w:div>
                          </w:divsChild>
                        </w:div>
                      </w:divsChild>
                    </w:div>
                  </w:divsChild>
                </w:div>
              </w:divsChild>
            </w:div>
          </w:divsChild>
        </w:div>
        <w:div w:id="1585797707">
          <w:marLeft w:val="0"/>
          <w:marRight w:val="0"/>
          <w:marTop w:val="0"/>
          <w:marBottom w:val="0"/>
          <w:divBdr>
            <w:top w:val="none" w:sz="0" w:space="0" w:color="auto"/>
            <w:left w:val="none" w:sz="0" w:space="0" w:color="auto"/>
            <w:bottom w:val="none" w:sz="0" w:space="0" w:color="auto"/>
            <w:right w:val="none" w:sz="0" w:space="0" w:color="auto"/>
          </w:divBdr>
          <w:divsChild>
            <w:div w:id="455946649">
              <w:marLeft w:val="0"/>
              <w:marRight w:val="0"/>
              <w:marTop w:val="0"/>
              <w:marBottom w:val="0"/>
              <w:divBdr>
                <w:top w:val="none" w:sz="0" w:space="0" w:color="auto"/>
                <w:left w:val="none" w:sz="0" w:space="0" w:color="auto"/>
                <w:bottom w:val="none" w:sz="0" w:space="0" w:color="auto"/>
                <w:right w:val="none" w:sz="0" w:space="0" w:color="auto"/>
              </w:divBdr>
              <w:divsChild>
                <w:div w:id="1469517896">
                  <w:marLeft w:val="0"/>
                  <w:marRight w:val="0"/>
                  <w:marTop w:val="0"/>
                  <w:marBottom w:val="0"/>
                  <w:divBdr>
                    <w:top w:val="none" w:sz="0" w:space="0" w:color="auto"/>
                    <w:left w:val="none" w:sz="0" w:space="0" w:color="auto"/>
                    <w:bottom w:val="none" w:sz="0" w:space="0" w:color="auto"/>
                    <w:right w:val="none" w:sz="0" w:space="0" w:color="auto"/>
                  </w:divBdr>
                  <w:divsChild>
                    <w:div w:id="1678920571">
                      <w:marLeft w:val="0"/>
                      <w:marRight w:val="0"/>
                      <w:marTop w:val="0"/>
                      <w:marBottom w:val="0"/>
                      <w:divBdr>
                        <w:top w:val="none" w:sz="0" w:space="0" w:color="auto"/>
                        <w:left w:val="none" w:sz="0" w:space="0" w:color="auto"/>
                        <w:bottom w:val="none" w:sz="0" w:space="0" w:color="auto"/>
                        <w:right w:val="none" w:sz="0" w:space="0" w:color="auto"/>
                      </w:divBdr>
                      <w:divsChild>
                        <w:div w:id="1682704317">
                          <w:marLeft w:val="0"/>
                          <w:marRight w:val="0"/>
                          <w:marTop w:val="0"/>
                          <w:marBottom w:val="0"/>
                          <w:divBdr>
                            <w:top w:val="none" w:sz="0" w:space="0" w:color="auto"/>
                            <w:left w:val="none" w:sz="0" w:space="0" w:color="auto"/>
                            <w:bottom w:val="none" w:sz="0" w:space="0" w:color="auto"/>
                            <w:right w:val="none" w:sz="0" w:space="0" w:color="auto"/>
                          </w:divBdr>
                          <w:divsChild>
                            <w:div w:id="5089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182587">
      <w:bodyDiv w:val="1"/>
      <w:marLeft w:val="0"/>
      <w:marRight w:val="0"/>
      <w:marTop w:val="0"/>
      <w:marBottom w:val="0"/>
      <w:divBdr>
        <w:top w:val="none" w:sz="0" w:space="0" w:color="auto"/>
        <w:left w:val="none" w:sz="0" w:space="0" w:color="auto"/>
        <w:bottom w:val="none" w:sz="0" w:space="0" w:color="auto"/>
        <w:right w:val="none" w:sz="0" w:space="0" w:color="auto"/>
      </w:divBdr>
      <w:divsChild>
        <w:div w:id="1038433636">
          <w:marLeft w:val="0"/>
          <w:marRight w:val="0"/>
          <w:marTop w:val="0"/>
          <w:marBottom w:val="0"/>
          <w:divBdr>
            <w:top w:val="none" w:sz="0" w:space="0" w:color="auto"/>
            <w:left w:val="none" w:sz="0" w:space="0" w:color="auto"/>
            <w:bottom w:val="none" w:sz="0" w:space="0" w:color="auto"/>
            <w:right w:val="none" w:sz="0" w:space="0" w:color="auto"/>
          </w:divBdr>
          <w:divsChild>
            <w:div w:id="1338535335">
              <w:marLeft w:val="0"/>
              <w:marRight w:val="0"/>
              <w:marTop w:val="0"/>
              <w:marBottom w:val="0"/>
              <w:divBdr>
                <w:top w:val="none" w:sz="0" w:space="0" w:color="auto"/>
                <w:left w:val="none" w:sz="0" w:space="0" w:color="auto"/>
                <w:bottom w:val="none" w:sz="0" w:space="0" w:color="auto"/>
                <w:right w:val="none" w:sz="0" w:space="0" w:color="auto"/>
              </w:divBdr>
              <w:divsChild>
                <w:div w:id="1199586707">
                  <w:marLeft w:val="0"/>
                  <w:marRight w:val="0"/>
                  <w:marTop w:val="0"/>
                  <w:marBottom w:val="0"/>
                  <w:divBdr>
                    <w:top w:val="none" w:sz="0" w:space="0" w:color="auto"/>
                    <w:left w:val="none" w:sz="0" w:space="0" w:color="auto"/>
                    <w:bottom w:val="none" w:sz="0" w:space="0" w:color="auto"/>
                    <w:right w:val="none" w:sz="0" w:space="0" w:color="auto"/>
                  </w:divBdr>
                  <w:divsChild>
                    <w:div w:id="12236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443351">
      <w:bodyDiv w:val="1"/>
      <w:marLeft w:val="0"/>
      <w:marRight w:val="0"/>
      <w:marTop w:val="0"/>
      <w:marBottom w:val="0"/>
      <w:divBdr>
        <w:top w:val="none" w:sz="0" w:space="0" w:color="auto"/>
        <w:left w:val="none" w:sz="0" w:space="0" w:color="auto"/>
        <w:bottom w:val="none" w:sz="0" w:space="0" w:color="auto"/>
        <w:right w:val="none" w:sz="0" w:space="0" w:color="auto"/>
      </w:divBdr>
      <w:divsChild>
        <w:div w:id="97718659">
          <w:marLeft w:val="0"/>
          <w:marRight w:val="0"/>
          <w:marTop w:val="0"/>
          <w:marBottom w:val="0"/>
          <w:divBdr>
            <w:top w:val="none" w:sz="0" w:space="0" w:color="auto"/>
            <w:left w:val="none" w:sz="0" w:space="0" w:color="auto"/>
            <w:bottom w:val="none" w:sz="0" w:space="0" w:color="auto"/>
            <w:right w:val="none" w:sz="0" w:space="0" w:color="auto"/>
          </w:divBdr>
        </w:div>
        <w:div w:id="203518605">
          <w:marLeft w:val="0"/>
          <w:marRight w:val="0"/>
          <w:marTop w:val="0"/>
          <w:marBottom w:val="0"/>
          <w:divBdr>
            <w:top w:val="none" w:sz="0" w:space="0" w:color="auto"/>
            <w:left w:val="none" w:sz="0" w:space="0" w:color="auto"/>
            <w:bottom w:val="none" w:sz="0" w:space="0" w:color="auto"/>
            <w:right w:val="none" w:sz="0" w:space="0" w:color="auto"/>
          </w:divBdr>
        </w:div>
        <w:div w:id="260530415">
          <w:marLeft w:val="0"/>
          <w:marRight w:val="0"/>
          <w:marTop w:val="0"/>
          <w:marBottom w:val="0"/>
          <w:divBdr>
            <w:top w:val="none" w:sz="0" w:space="0" w:color="auto"/>
            <w:left w:val="none" w:sz="0" w:space="0" w:color="auto"/>
            <w:bottom w:val="none" w:sz="0" w:space="0" w:color="auto"/>
            <w:right w:val="none" w:sz="0" w:space="0" w:color="auto"/>
          </w:divBdr>
        </w:div>
        <w:div w:id="266501354">
          <w:marLeft w:val="0"/>
          <w:marRight w:val="0"/>
          <w:marTop w:val="0"/>
          <w:marBottom w:val="0"/>
          <w:divBdr>
            <w:top w:val="none" w:sz="0" w:space="0" w:color="auto"/>
            <w:left w:val="none" w:sz="0" w:space="0" w:color="auto"/>
            <w:bottom w:val="none" w:sz="0" w:space="0" w:color="auto"/>
            <w:right w:val="none" w:sz="0" w:space="0" w:color="auto"/>
          </w:divBdr>
        </w:div>
        <w:div w:id="330183865">
          <w:marLeft w:val="0"/>
          <w:marRight w:val="0"/>
          <w:marTop w:val="0"/>
          <w:marBottom w:val="0"/>
          <w:divBdr>
            <w:top w:val="none" w:sz="0" w:space="0" w:color="auto"/>
            <w:left w:val="none" w:sz="0" w:space="0" w:color="auto"/>
            <w:bottom w:val="none" w:sz="0" w:space="0" w:color="auto"/>
            <w:right w:val="none" w:sz="0" w:space="0" w:color="auto"/>
          </w:divBdr>
        </w:div>
        <w:div w:id="379936051">
          <w:marLeft w:val="0"/>
          <w:marRight w:val="0"/>
          <w:marTop w:val="0"/>
          <w:marBottom w:val="0"/>
          <w:divBdr>
            <w:top w:val="none" w:sz="0" w:space="0" w:color="auto"/>
            <w:left w:val="none" w:sz="0" w:space="0" w:color="auto"/>
            <w:bottom w:val="none" w:sz="0" w:space="0" w:color="auto"/>
            <w:right w:val="none" w:sz="0" w:space="0" w:color="auto"/>
          </w:divBdr>
        </w:div>
        <w:div w:id="504249196">
          <w:marLeft w:val="0"/>
          <w:marRight w:val="0"/>
          <w:marTop w:val="0"/>
          <w:marBottom w:val="0"/>
          <w:divBdr>
            <w:top w:val="none" w:sz="0" w:space="0" w:color="auto"/>
            <w:left w:val="none" w:sz="0" w:space="0" w:color="auto"/>
            <w:bottom w:val="none" w:sz="0" w:space="0" w:color="auto"/>
            <w:right w:val="none" w:sz="0" w:space="0" w:color="auto"/>
          </w:divBdr>
        </w:div>
        <w:div w:id="514615263">
          <w:marLeft w:val="0"/>
          <w:marRight w:val="0"/>
          <w:marTop w:val="0"/>
          <w:marBottom w:val="0"/>
          <w:divBdr>
            <w:top w:val="none" w:sz="0" w:space="0" w:color="auto"/>
            <w:left w:val="none" w:sz="0" w:space="0" w:color="auto"/>
            <w:bottom w:val="none" w:sz="0" w:space="0" w:color="auto"/>
            <w:right w:val="none" w:sz="0" w:space="0" w:color="auto"/>
          </w:divBdr>
        </w:div>
        <w:div w:id="526722996">
          <w:marLeft w:val="0"/>
          <w:marRight w:val="0"/>
          <w:marTop w:val="0"/>
          <w:marBottom w:val="0"/>
          <w:divBdr>
            <w:top w:val="none" w:sz="0" w:space="0" w:color="auto"/>
            <w:left w:val="none" w:sz="0" w:space="0" w:color="auto"/>
            <w:bottom w:val="none" w:sz="0" w:space="0" w:color="auto"/>
            <w:right w:val="none" w:sz="0" w:space="0" w:color="auto"/>
          </w:divBdr>
        </w:div>
        <w:div w:id="629290342">
          <w:marLeft w:val="0"/>
          <w:marRight w:val="0"/>
          <w:marTop w:val="0"/>
          <w:marBottom w:val="0"/>
          <w:divBdr>
            <w:top w:val="none" w:sz="0" w:space="0" w:color="auto"/>
            <w:left w:val="none" w:sz="0" w:space="0" w:color="auto"/>
            <w:bottom w:val="none" w:sz="0" w:space="0" w:color="auto"/>
            <w:right w:val="none" w:sz="0" w:space="0" w:color="auto"/>
          </w:divBdr>
        </w:div>
        <w:div w:id="710149379">
          <w:marLeft w:val="0"/>
          <w:marRight w:val="0"/>
          <w:marTop w:val="0"/>
          <w:marBottom w:val="0"/>
          <w:divBdr>
            <w:top w:val="none" w:sz="0" w:space="0" w:color="auto"/>
            <w:left w:val="none" w:sz="0" w:space="0" w:color="auto"/>
            <w:bottom w:val="none" w:sz="0" w:space="0" w:color="auto"/>
            <w:right w:val="none" w:sz="0" w:space="0" w:color="auto"/>
          </w:divBdr>
        </w:div>
        <w:div w:id="729620192">
          <w:marLeft w:val="0"/>
          <w:marRight w:val="0"/>
          <w:marTop w:val="0"/>
          <w:marBottom w:val="0"/>
          <w:divBdr>
            <w:top w:val="none" w:sz="0" w:space="0" w:color="auto"/>
            <w:left w:val="none" w:sz="0" w:space="0" w:color="auto"/>
            <w:bottom w:val="none" w:sz="0" w:space="0" w:color="auto"/>
            <w:right w:val="none" w:sz="0" w:space="0" w:color="auto"/>
          </w:divBdr>
        </w:div>
        <w:div w:id="774907136">
          <w:marLeft w:val="0"/>
          <w:marRight w:val="0"/>
          <w:marTop w:val="0"/>
          <w:marBottom w:val="0"/>
          <w:divBdr>
            <w:top w:val="none" w:sz="0" w:space="0" w:color="auto"/>
            <w:left w:val="none" w:sz="0" w:space="0" w:color="auto"/>
            <w:bottom w:val="none" w:sz="0" w:space="0" w:color="auto"/>
            <w:right w:val="none" w:sz="0" w:space="0" w:color="auto"/>
          </w:divBdr>
        </w:div>
        <w:div w:id="919560002">
          <w:marLeft w:val="0"/>
          <w:marRight w:val="0"/>
          <w:marTop w:val="0"/>
          <w:marBottom w:val="0"/>
          <w:divBdr>
            <w:top w:val="none" w:sz="0" w:space="0" w:color="auto"/>
            <w:left w:val="none" w:sz="0" w:space="0" w:color="auto"/>
            <w:bottom w:val="none" w:sz="0" w:space="0" w:color="auto"/>
            <w:right w:val="none" w:sz="0" w:space="0" w:color="auto"/>
          </w:divBdr>
        </w:div>
        <w:div w:id="1058240747">
          <w:marLeft w:val="0"/>
          <w:marRight w:val="0"/>
          <w:marTop w:val="0"/>
          <w:marBottom w:val="0"/>
          <w:divBdr>
            <w:top w:val="none" w:sz="0" w:space="0" w:color="auto"/>
            <w:left w:val="none" w:sz="0" w:space="0" w:color="auto"/>
            <w:bottom w:val="none" w:sz="0" w:space="0" w:color="auto"/>
            <w:right w:val="none" w:sz="0" w:space="0" w:color="auto"/>
          </w:divBdr>
        </w:div>
        <w:div w:id="1095633054">
          <w:marLeft w:val="0"/>
          <w:marRight w:val="0"/>
          <w:marTop w:val="0"/>
          <w:marBottom w:val="0"/>
          <w:divBdr>
            <w:top w:val="none" w:sz="0" w:space="0" w:color="auto"/>
            <w:left w:val="none" w:sz="0" w:space="0" w:color="auto"/>
            <w:bottom w:val="none" w:sz="0" w:space="0" w:color="auto"/>
            <w:right w:val="none" w:sz="0" w:space="0" w:color="auto"/>
          </w:divBdr>
        </w:div>
        <w:div w:id="1399016058">
          <w:marLeft w:val="0"/>
          <w:marRight w:val="0"/>
          <w:marTop w:val="0"/>
          <w:marBottom w:val="0"/>
          <w:divBdr>
            <w:top w:val="none" w:sz="0" w:space="0" w:color="auto"/>
            <w:left w:val="none" w:sz="0" w:space="0" w:color="auto"/>
            <w:bottom w:val="none" w:sz="0" w:space="0" w:color="auto"/>
            <w:right w:val="none" w:sz="0" w:space="0" w:color="auto"/>
          </w:divBdr>
        </w:div>
        <w:div w:id="1437023857">
          <w:marLeft w:val="0"/>
          <w:marRight w:val="0"/>
          <w:marTop w:val="0"/>
          <w:marBottom w:val="0"/>
          <w:divBdr>
            <w:top w:val="none" w:sz="0" w:space="0" w:color="auto"/>
            <w:left w:val="none" w:sz="0" w:space="0" w:color="auto"/>
            <w:bottom w:val="none" w:sz="0" w:space="0" w:color="auto"/>
            <w:right w:val="none" w:sz="0" w:space="0" w:color="auto"/>
          </w:divBdr>
        </w:div>
        <w:div w:id="1661499302">
          <w:marLeft w:val="0"/>
          <w:marRight w:val="0"/>
          <w:marTop w:val="0"/>
          <w:marBottom w:val="0"/>
          <w:divBdr>
            <w:top w:val="none" w:sz="0" w:space="0" w:color="auto"/>
            <w:left w:val="none" w:sz="0" w:space="0" w:color="auto"/>
            <w:bottom w:val="none" w:sz="0" w:space="0" w:color="auto"/>
            <w:right w:val="none" w:sz="0" w:space="0" w:color="auto"/>
          </w:divBdr>
        </w:div>
        <w:div w:id="1767455602">
          <w:marLeft w:val="0"/>
          <w:marRight w:val="0"/>
          <w:marTop w:val="0"/>
          <w:marBottom w:val="0"/>
          <w:divBdr>
            <w:top w:val="none" w:sz="0" w:space="0" w:color="auto"/>
            <w:left w:val="none" w:sz="0" w:space="0" w:color="auto"/>
            <w:bottom w:val="none" w:sz="0" w:space="0" w:color="auto"/>
            <w:right w:val="none" w:sz="0" w:space="0" w:color="auto"/>
          </w:divBdr>
        </w:div>
        <w:div w:id="1804955890">
          <w:marLeft w:val="0"/>
          <w:marRight w:val="0"/>
          <w:marTop w:val="0"/>
          <w:marBottom w:val="0"/>
          <w:divBdr>
            <w:top w:val="none" w:sz="0" w:space="0" w:color="auto"/>
            <w:left w:val="none" w:sz="0" w:space="0" w:color="auto"/>
            <w:bottom w:val="none" w:sz="0" w:space="0" w:color="auto"/>
            <w:right w:val="none" w:sz="0" w:space="0" w:color="auto"/>
          </w:divBdr>
        </w:div>
        <w:div w:id="1899823599">
          <w:marLeft w:val="0"/>
          <w:marRight w:val="0"/>
          <w:marTop w:val="0"/>
          <w:marBottom w:val="0"/>
          <w:divBdr>
            <w:top w:val="none" w:sz="0" w:space="0" w:color="auto"/>
            <w:left w:val="none" w:sz="0" w:space="0" w:color="auto"/>
            <w:bottom w:val="none" w:sz="0" w:space="0" w:color="auto"/>
            <w:right w:val="none" w:sz="0" w:space="0" w:color="auto"/>
          </w:divBdr>
        </w:div>
      </w:divsChild>
    </w:div>
    <w:div w:id="1196117655">
      <w:bodyDiv w:val="1"/>
      <w:marLeft w:val="0"/>
      <w:marRight w:val="0"/>
      <w:marTop w:val="0"/>
      <w:marBottom w:val="0"/>
      <w:divBdr>
        <w:top w:val="none" w:sz="0" w:space="0" w:color="auto"/>
        <w:left w:val="none" w:sz="0" w:space="0" w:color="auto"/>
        <w:bottom w:val="none" w:sz="0" w:space="0" w:color="auto"/>
        <w:right w:val="none" w:sz="0" w:space="0" w:color="auto"/>
      </w:divBdr>
      <w:divsChild>
        <w:div w:id="68624083">
          <w:marLeft w:val="0"/>
          <w:marRight w:val="0"/>
          <w:marTop w:val="0"/>
          <w:marBottom w:val="0"/>
          <w:divBdr>
            <w:top w:val="none" w:sz="0" w:space="0" w:color="auto"/>
            <w:left w:val="none" w:sz="0" w:space="0" w:color="auto"/>
            <w:bottom w:val="none" w:sz="0" w:space="0" w:color="auto"/>
            <w:right w:val="none" w:sz="0" w:space="0" w:color="auto"/>
          </w:divBdr>
        </w:div>
        <w:div w:id="312872489">
          <w:marLeft w:val="0"/>
          <w:marRight w:val="0"/>
          <w:marTop w:val="0"/>
          <w:marBottom w:val="0"/>
          <w:divBdr>
            <w:top w:val="none" w:sz="0" w:space="0" w:color="auto"/>
            <w:left w:val="none" w:sz="0" w:space="0" w:color="auto"/>
            <w:bottom w:val="none" w:sz="0" w:space="0" w:color="auto"/>
            <w:right w:val="none" w:sz="0" w:space="0" w:color="auto"/>
          </w:divBdr>
        </w:div>
      </w:divsChild>
    </w:div>
    <w:div w:id="1236434661">
      <w:bodyDiv w:val="1"/>
      <w:marLeft w:val="0"/>
      <w:marRight w:val="0"/>
      <w:marTop w:val="0"/>
      <w:marBottom w:val="0"/>
      <w:divBdr>
        <w:top w:val="none" w:sz="0" w:space="0" w:color="auto"/>
        <w:left w:val="none" w:sz="0" w:space="0" w:color="auto"/>
        <w:bottom w:val="none" w:sz="0" w:space="0" w:color="auto"/>
        <w:right w:val="none" w:sz="0" w:space="0" w:color="auto"/>
      </w:divBdr>
    </w:div>
    <w:div w:id="1247884741">
      <w:bodyDiv w:val="1"/>
      <w:marLeft w:val="0"/>
      <w:marRight w:val="0"/>
      <w:marTop w:val="0"/>
      <w:marBottom w:val="0"/>
      <w:divBdr>
        <w:top w:val="none" w:sz="0" w:space="0" w:color="auto"/>
        <w:left w:val="none" w:sz="0" w:space="0" w:color="auto"/>
        <w:bottom w:val="none" w:sz="0" w:space="0" w:color="auto"/>
        <w:right w:val="none" w:sz="0" w:space="0" w:color="auto"/>
      </w:divBdr>
      <w:divsChild>
        <w:div w:id="345668318">
          <w:marLeft w:val="0"/>
          <w:marRight w:val="0"/>
          <w:marTop w:val="0"/>
          <w:marBottom w:val="0"/>
          <w:divBdr>
            <w:top w:val="none" w:sz="0" w:space="0" w:color="auto"/>
            <w:left w:val="none" w:sz="0" w:space="0" w:color="auto"/>
            <w:bottom w:val="none" w:sz="0" w:space="0" w:color="auto"/>
            <w:right w:val="none" w:sz="0" w:space="0" w:color="auto"/>
          </w:divBdr>
        </w:div>
        <w:div w:id="1189636910">
          <w:marLeft w:val="0"/>
          <w:marRight w:val="0"/>
          <w:marTop w:val="0"/>
          <w:marBottom w:val="0"/>
          <w:divBdr>
            <w:top w:val="none" w:sz="0" w:space="0" w:color="auto"/>
            <w:left w:val="none" w:sz="0" w:space="0" w:color="auto"/>
            <w:bottom w:val="none" w:sz="0" w:space="0" w:color="auto"/>
            <w:right w:val="none" w:sz="0" w:space="0" w:color="auto"/>
          </w:divBdr>
        </w:div>
        <w:div w:id="1890334465">
          <w:marLeft w:val="0"/>
          <w:marRight w:val="0"/>
          <w:marTop w:val="0"/>
          <w:marBottom w:val="0"/>
          <w:divBdr>
            <w:top w:val="none" w:sz="0" w:space="0" w:color="auto"/>
            <w:left w:val="none" w:sz="0" w:space="0" w:color="auto"/>
            <w:bottom w:val="none" w:sz="0" w:space="0" w:color="auto"/>
            <w:right w:val="none" w:sz="0" w:space="0" w:color="auto"/>
          </w:divBdr>
        </w:div>
      </w:divsChild>
    </w:div>
    <w:div w:id="1253859257">
      <w:bodyDiv w:val="1"/>
      <w:marLeft w:val="0"/>
      <w:marRight w:val="0"/>
      <w:marTop w:val="0"/>
      <w:marBottom w:val="0"/>
      <w:divBdr>
        <w:top w:val="none" w:sz="0" w:space="0" w:color="auto"/>
        <w:left w:val="none" w:sz="0" w:space="0" w:color="auto"/>
        <w:bottom w:val="none" w:sz="0" w:space="0" w:color="auto"/>
        <w:right w:val="none" w:sz="0" w:space="0" w:color="auto"/>
      </w:divBdr>
      <w:divsChild>
        <w:div w:id="339702343">
          <w:marLeft w:val="0"/>
          <w:marRight w:val="0"/>
          <w:marTop w:val="0"/>
          <w:marBottom w:val="0"/>
          <w:divBdr>
            <w:top w:val="none" w:sz="0" w:space="0" w:color="auto"/>
            <w:left w:val="none" w:sz="0" w:space="0" w:color="auto"/>
            <w:bottom w:val="none" w:sz="0" w:space="0" w:color="auto"/>
            <w:right w:val="none" w:sz="0" w:space="0" w:color="auto"/>
          </w:divBdr>
          <w:divsChild>
            <w:div w:id="995721052">
              <w:marLeft w:val="0"/>
              <w:marRight w:val="0"/>
              <w:marTop w:val="0"/>
              <w:marBottom w:val="0"/>
              <w:divBdr>
                <w:top w:val="none" w:sz="0" w:space="0" w:color="auto"/>
                <w:left w:val="none" w:sz="0" w:space="0" w:color="auto"/>
                <w:bottom w:val="none" w:sz="0" w:space="0" w:color="auto"/>
                <w:right w:val="none" w:sz="0" w:space="0" w:color="auto"/>
              </w:divBdr>
              <w:divsChild>
                <w:div w:id="638193483">
                  <w:marLeft w:val="0"/>
                  <w:marRight w:val="0"/>
                  <w:marTop w:val="0"/>
                  <w:marBottom w:val="0"/>
                  <w:divBdr>
                    <w:top w:val="none" w:sz="0" w:space="0" w:color="auto"/>
                    <w:left w:val="none" w:sz="0" w:space="0" w:color="auto"/>
                    <w:bottom w:val="none" w:sz="0" w:space="0" w:color="auto"/>
                    <w:right w:val="none" w:sz="0" w:space="0" w:color="auto"/>
                  </w:divBdr>
                  <w:divsChild>
                    <w:div w:id="474300878">
                      <w:marLeft w:val="0"/>
                      <w:marRight w:val="0"/>
                      <w:marTop w:val="0"/>
                      <w:marBottom w:val="0"/>
                      <w:divBdr>
                        <w:top w:val="none" w:sz="0" w:space="0" w:color="auto"/>
                        <w:left w:val="none" w:sz="0" w:space="0" w:color="auto"/>
                        <w:bottom w:val="none" w:sz="0" w:space="0" w:color="auto"/>
                        <w:right w:val="none" w:sz="0" w:space="0" w:color="auto"/>
                      </w:divBdr>
                    </w:div>
                    <w:div w:id="1869021729">
                      <w:marLeft w:val="0"/>
                      <w:marRight w:val="0"/>
                      <w:marTop w:val="0"/>
                      <w:marBottom w:val="0"/>
                      <w:divBdr>
                        <w:top w:val="none" w:sz="0" w:space="0" w:color="auto"/>
                        <w:left w:val="none" w:sz="0" w:space="0" w:color="auto"/>
                        <w:bottom w:val="none" w:sz="0" w:space="0" w:color="auto"/>
                        <w:right w:val="none" w:sz="0" w:space="0" w:color="auto"/>
                      </w:divBdr>
                      <w:divsChild>
                        <w:div w:id="190992089">
                          <w:marLeft w:val="0"/>
                          <w:marRight w:val="0"/>
                          <w:marTop w:val="0"/>
                          <w:marBottom w:val="0"/>
                          <w:divBdr>
                            <w:top w:val="none" w:sz="0" w:space="0" w:color="auto"/>
                            <w:left w:val="none" w:sz="0" w:space="0" w:color="auto"/>
                            <w:bottom w:val="none" w:sz="0" w:space="0" w:color="auto"/>
                            <w:right w:val="none" w:sz="0" w:space="0" w:color="auto"/>
                          </w:divBdr>
                          <w:divsChild>
                            <w:div w:id="187451383">
                              <w:marLeft w:val="0"/>
                              <w:marRight w:val="0"/>
                              <w:marTop w:val="0"/>
                              <w:marBottom w:val="0"/>
                              <w:divBdr>
                                <w:top w:val="dashed" w:sz="6" w:space="0" w:color="000000"/>
                                <w:left w:val="none" w:sz="0" w:space="0" w:color="auto"/>
                                <w:bottom w:val="none" w:sz="0" w:space="0" w:color="auto"/>
                                <w:right w:val="none" w:sz="0" w:space="0" w:color="auto"/>
                              </w:divBdr>
                            </w:div>
                            <w:div w:id="707681146">
                              <w:marLeft w:val="0"/>
                              <w:marRight w:val="0"/>
                              <w:marTop w:val="0"/>
                              <w:marBottom w:val="0"/>
                              <w:divBdr>
                                <w:top w:val="none" w:sz="0" w:space="0" w:color="auto"/>
                                <w:left w:val="none" w:sz="0" w:space="0" w:color="auto"/>
                                <w:bottom w:val="none" w:sz="0" w:space="0" w:color="auto"/>
                                <w:right w:val="none" w:sz="0" w:space="0" w:color="auto"/>
                              </w:divBdr>
                              <w:divsChild>
                                <w:div w:id="1677805491">
                                  <w:marLeft w:val="0"/>
                                  <w:marRight w:val="0"/>
                                  <w:marTop w:val="0"/>
                                  <w:marBottom w:val="0"/>
                                  <w:divBdr>
                                    <w:top w:val="none" w:sz="0" w:space="0" w:color="auto"/>
                                    <w:left w:val="none" w:sz="0" w:space="0" w:color="auto"/>
                                    <w:bottom w:val="none" w:sz="0" w:space="0" w:color="auto"/>
                                    <w:right w:val="none" w:sz="0" w:space="0" w:color="auto"/>
                                  </w:divBdr>
                                  <w:divsChild>
                                    <w:div w:id="186228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83032">
          <w:marLeft w:val="0"/>
          <w:marRight w:val="0"/>
          <w:marTop w:val="0"/>
          <w:marBottom w:val="0"/>
          <w:divBdr>
            <w:top w:val="none" w:sz="0" w:space="0" w:color="auto"/>
            <w:left w:val="none" w:sz="0" w:space="0" w:color="auto"/>
            <w:bottom w:val="none" w:sz="0" w:space="0" w:color="auto"/>
            <w:right w:val="none" w:sz="0" w:space="0" w:color="auto"/>
          </w:divBdr>
          <w:divsChild>
            <w:div w:id="72238911">
              <w:marLeft w:val="0"/>
              <w:marRight w:val="0"/>
              <w:marTop w:val="0"/>
              <w:marBottom w:val="0"/>
              <w:divBdr>
                <w:top w:val="none" w:sz="0" w:space="0" w:color="auto"/>
                <w:left w:val="none" w:sz="0" w:space="0" w:color="auto"/>
                <w:bottom w:val="none" w:sz="0" w:space="0" w:color="auto"/>
                <w:right w:val="none" w:sz="0" w:space="0" w:color="auto"/>
              </w:divBdr>
              <w:divsChild>
                <w:div w:id="984238862">
                  <w:marLeft w:val="0"/>
                  <w:marRight w:val="0"/>
                  <w:marTop w:val="0"/>
                  <w:marBottom w:val="0"/>
                  <w:divBdr>
                    <w:top w:val="none" w:sz="0" w:space="0" w:color="auto"/>
                    <w:left w:val="none" w:sz="0" w:space="0" w:color="auto"/>
                    <w:bottom w:val="none" w:sz="0" w:space="0" w:color="auto"/>
                    <w:right w:val="none" w:sz="0" w:space="0" w:color="auto"/>
                  </w:divBdr>
                  <w:divsChild>
                    <w:div w:id="1740640092">
                      <w:marLeft w:val="0"/>
                      <w:marRight w:val="0"/>
                      <w:marTop w:val="0"/>
                      <w:marBottom w:val="0"/>
                      <w:divBdr>
                        <w:top w:val="none" w:sz="0" w:space="0" w:color="auto"/>
                        <w:left w:val="none" w:sz="0" w:space="0" w:color="auto"/>
                        <w:bottom w:val="none" w:sz="0" w:space="0" w:color="auto"/>
                        <w:right w:val="none" w:sz="0" w:space="0" w:color="auto"/>
                      </w:divBdr>
                      <w:divsChild>
                        <w:div w:id="830365001">
                          <w:marLeft w:val="0"/>
                          <w:marRight w:val="0"/>
                          <w:marTop w:val="0"/>
                          <w:marBottom w:val="0"/>
                          <w:divBdr>
                            <w:top w:val="none" w:sz="0" w:space="0" w:color="auto"/>
                            <w:left w:val="none" w:sz="0" w:space="0" w:color="auto"/>
                            <w:bottom w:val="none" w:sz="0" w:space="0" w:color="auto"/>
                            <w:right w:val="none" w:sz="0" w:space="0" w:color="auto"/>
                          </w:divBdr>
                          <w:divsChild>
                            <w:div w:id="5565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313304">
          <w:marLeft w:val="0"/>
          <w:marRight w:val="0"/>
          <w:marTop w:val="0"/>
          <w:marBottom w:val="0"/>
          <w:divBdr>
            <w:top w:val="none" w:sz="0" w:space="0" w:color="auto"/>
            <w:left w:val="none" w:sz="0" w:space="0" w:color="auto"/>
            <w:bottom w:val="none" w:sz="0" w:space="0" w:color="auto"/>
            <w:right w:val="none" w:sz="0" w:space="0" w:color="auto"/>
          </w:divBdr>
          <w:divsChild>
            <w:div w:id="1918783703">
              <w:marLeft w:val="0"/>
              <w:marRight w:val="0"/>
              <w:marTop w:val="0"/>
              <w:marBottom w:val="0"/>
              <w:divBdr>
                <w:top w:val="none" w:sz="0" w:space="0" w:color="auto"/>
                <w:left w:val="none" w:sz="0" w:space="0" w:color="auto"/>
                <w:bottom w:val="none" w:sz="0" w:space="0" w:color="auto"/>
                <w:right w:val="none" w:sz="0" w:space="0" w:color="auto"/>
              </w:divBdr>
              <w:divsChild>
                <w:div w:id="11284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65177">
          <w:marLeft w:val="0"/>
          <w:marRight w:val="0"/>
          <w:marTop w:val="0"/>
          <w:marBottom w:val="0"/>
          <w:divBdr>
            <w:top w:val="none" w:sz="0" w:space="0" w:color="auto"/>
            <w:left w:val="none" w:sz="0" w:space="0" w:color="auto"/>
            <w:bottom w:val="none" w:sz="0" w:space="0" w:color="auto"/>
            <w:right w:val="none" w:sz="0" w:space="0" w:color="auto"/>
          </w:divBdr>
          <w:divsChild>
            <w:div w:id="341784603">
              <w:marLeft w:val="0"/>
              <w:marRight w:val="0"/>
              <w:marTop w:val="0"/>
              <w:marBottom w:val="0"/>
              <w:divBdr>
                <w:top w:val="none" w:sz="0" w:space="0" w:color="auto"/>
                <w:left w:val="none" w:sz="0" w:space="0" w:color="auto"/>
                <w:bottom w:val="none" w:sz="0" w:space="0" w:color="auto"/>
                <w:right w:val="none" w:sz="0" w:space="0" w:color="auto"/>
              </w:divBdr>
              <w:divsChild>
                <w:div w:id="1624581330">
                  <w:marLeft w:val="0"/>
                  <w:marRight w:val="0"/>
                  <w:marTop w:val="0"/>
                  <w:marBottom w:val="0"/>
                  <w:divBdr>
                    <w:top w:val="none" w:sz="0" w:space="0" w:color="auto"/>
                    <w:left w:val="none" w:sz="0" w:space="0" w:color="auto"/>
                    <w:bottom w:val="none" w:sz="0" w:space="0" w:color="auto"/>
                    <w:right w:val="none" w:sz="0" w:space="0" w:color="auto"/>
                  </w:divBdr>
                </w:div>
                <w:div w:id="1843934305">
                  <w:marLeft w:val="0"/>
                  <w:marRight w:val="0"/>
                  <w:marTop w:val="0"/>
                  <w:marBottom w:val="0"/>
                  <w:divBdr>
                    <w:top w:val="none" w:sz="0" w:space="0" w:color="auto"/>
                    <w:left w:val="none" w:sz="0" w:space="0" w:color="auto"/>
                    <w:bottom w:val="none" w:sz="0" w:space="0" w:color="auto"/>
                    <w:right w:val="none" w:sz="0" w:space="0" w:color="auto"/>
                  </w:divBdr>
                </w:div>
              </w:divsChild>
            </w:div>
            <w:div w:id="1424448037">
              <w:marLeft w:val="0"/>
              <w:marRight w:val="0"/>
              <w:marTop w:val="0"/>
              <w:marBottom w:val="0"/>
              <w:divBdr>
                <w:top w:val="none" w:sz="0" w:space="0" w:color="auto"/>
                <w:left w:val="none" w:sz="0" w:space="0" w:color="auto"/>
                <w:bottom w:val="none" w:sz="0" w:space="0" w:color="auto"/>
                <w:right w:val="none" w:sz="0" w:space="0" w:color="auto"/>
              </w:divBdr>
              <w:divsChild>
                <w:div w:id="1336344989">
                  <w:marLeft w:val="0"/>
                  <w:marRight w:val="0"/>
                  <w:marTop w:val="0"/>
                  <w:marBottom w:val="0"/>
                  <w:divBdr>
                    <w:top w:val="none" w:sz="0" w:space="0" w:color="auto"/>
                    <w:left w:val="none" w:sz="0" w:space="0" w:color="auto"/>
                    <w:bottom w:val="none" w:sz="0" w:space="0" w:color="auto"/>
                    <w:right w:val="none" w:sz="0" w:space="0" w:color="auto"/>
                  </w:divBdr>
                </w:div>
                <w:div w:id="151919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434072">
      <w:bodyDiv w:val="1"/>
      <w:marLeft w:val="0"/>
      <w:marRight w:val="0"/>
      <w:marTop w:val="0"/>
      <w:marBottom w:val="0"/>
      <w:divBdr>
        <w:top w:val="none" w:sz="0" w:space="0" w:color="auto"/>
        <w:left w:val="none" w:sz="0" w:space="0" w:color="auto"/>
        <w:bottom w:val="none" w:sz="0" w:space="0" w:color="auto"/>
        <w:right w:val="none" w:sz="0" w:space="0" w:color="auto"/>
      </w:divBdr>
      <w:divsChild>
        <w:div w:id="420873212">
          <w:marLeft w:val="0"/>
          <w:marRight w:val="0"/>
          <w:marTop w:val="0"/>
          <w:marBottom w:val="0"/>
          <w:divBdr>
            <w:top w:val="none" w:sz="0" w:space="0" w:color="auto"/>
            <w:left w:val="none" w:sz="0" w:space="0" w:color="auto"/>
            <w:bottom w:val="none" w:sz="0" w:space="0" w:color="auto"/>
            <w:right w:val="none" w:sz="0" w:space="0" w:color="auto"/>
          </w:divBdr>
        </w:div>
        <w:div w:id="1792629837">
          <w:marLeft w:val="0"/>
          <w:marRight w:val="0"/>
          <w:marTop w:val="0"/>
          <w:marBottom w:val="0"/>
          <w:divBdr>
            <w:top w:val="none" w:sz="0" w:space="0" w:color="auto"/>
            <w:left w:val="none" w:sz="0" w:space="0" w:color="auto"/>
            <w:bottom w:val="none" w:sz="0" w:space="0" w:color="auto"/>
            <w:right w:val="none" w:sz="0" w:space="0" w:color="auto"/>
          </w:divBdr>
        </w:div>
        <w:div w:id="558248486">
          <w:marLeft w:val="0"/>
          <w:marRight w:val="0"/>
          <w:marTop w:val="0"/>
          <w:marBottom w:val="0"/>
          <w:divBdr>
            <w:top w:val="none" w:sz="0" w:space="0" w:color="auto"/>
            <w:left w:val="none" w:sz="0" w:space="0" w:color="auto"/>
            <w:bottom w:val="none" w:sz="0" w:space="0" w:color="auto"/>
            <w:right w:val="none" w:sz="0" w:space="0" w:color="auto"/>
          </w:divBdr>
        </w:div>
        <w:div w:id="2111469045">
          <w:marLeft w:val="0"/>
          <w:marRight w:val="0"/>
          <w:marTop w:val="0"/>
          <w:marBottom w:val="0"/>
          <w:divBdr>
            <w:top w:val="none" w:sz="0" w:space="0" w:color="auto"/>
            <w:left w:val="none" w:sz="0" w:space="0" w:color="auto"/>
            <w:bottom w:val="none" w:sz="0" w:space="0" w:color="auto"/>
            <w:right w:val="none" w:sz="0" w:space="0" w:color="auto"/>
          </w:divBdr>
        </w:div>
      </w:divsChild>
    </w:div>
    <w:div w:id="1357001710">
      <w:bodyDiv w:val="1"/>
      <w:marLeft w:val="0"/>
      <w:marRight w:val="0"/>
      <w:marTop w:val="0"/>
      <w:marBottom w:val="0"/>
      <w:divBdr>
        <w:top w:val="none" w:sz="0" w:space="0" w:color="auto"/>
        <w:left w:val="none" w:sz="0" w:space="0" w:color="auto"/>
        <w:bottom w:val="none" w:sz="0" w:space="0" w:color="auto"/>
        <w:right w:val="none" w:sz="0" w:space="0" w:color="auto"/>
      </w:divBdr>
    </w:div>
    <w:div w:id="1411385759">
      <w:bodyDiv w:val="1"/>
      <w:marLeft w:val="0"/>
      <w:marRight w:val="0"/>
      <w:marTop w:val="0"/>
      <w:marBottom w:val="0"/>
      <w:divBdr>
        <w:top w:val="none" w:sz="0" w:space="0" w:color="auto"/>
        <w:left w:val="none" w:sz="0" w:space="0" w:color="auto"/>
        <w:bottom w:val="none" w:sz="0" w:space="0" w:color="auto"/>
        <w:right w:val="none" w:sz="0" w:space="0" w:color="auto"/>
      </w:divBdr>
      <w:divsChild>
        <w:div w:id="912155257">
          <w:marLeft w:val="0"/>
          <w:marRight w:val="0"/>
          <w:marTop w:val="0"/>
          <w:marBottom w:val="0"/>
          <w:divBdr>
            <w:top w:val="none" w:sz="0" w:space="0" w:color="auto"/>
            <w:left w:val="none" w:sz="0" w:space="0" w:color="auto"/>
            <w:bottom w:val="none" w:sz="0" w:space="0" w:color="auto"/>
            <w:right w:val="none" w:sz="0" w:space="0" w:color="auto"/>
          </w:divBdr>
        </w:div>
        <w:div w:id="1681078284">
          <w:marLeft w:val="0"/>
          <w:marRight w:val="0"/>
          <w:marTop w:val="0"/>
          <w:marBottom w:val="0"/>
          <w:divBdr>
            <w:top w:val="none" w:sz="0" w:space="0" w:color="auto"/>
            <w:left w:val="none" w:sz="0" w:space="0" w:color="auto"/>
            <w:bottom w:val="none" w:sz="0" w:space="0" w:color="auto"/>
            <w:right w:val="none" w:sz="0" w:space="0" w:color="auto"/>
          </w:divBdr>
        </w:div>
      </w:divsChild>
    </w:div>
    <w:div w:id="1448350763">
      <w:bodyDiv w:val="1"/>
      <w:marLeft w:val="0"/>
      <w:marRight w:val="0"/>
      <w:marTop w:val="0"/>
      <w:marBottom w:val="0"/>
      <w:divBdr>
        <w:top w:val="none" w:sz="0" w:space="0" w:color="auto"/>
        <w:left w:val="none" w:sz="0" w:space="0" w:color="auto"/>
        <w:bottom w:val="none" w:sz="0" w:space="0" w:color="auto"/>
        <w:right w:val="none" w:sz="0" w:space="0" w:color="auto"/>
      </w:divBdr>
      <w:divsChild>
        <w:div w:id="38089607">
          <w:marLeft w:val="0"/>
          <w:marRight w:val="0"/>
          <w:marTop w:val="0"/>
          <w:marBottom w:val="0"/>
          <w:divBdr>
            <w:top w:val="none" w:sz="0" w:space="0" w:color="auto"/>
            <w:left w:val="none" w:sz="0" w:space="0" w:color="auto"/>
            <w:bottom w:val="none" w:sz="0" w:space="0" w:color="auto"/>
            <w:right w:val="none" w:sz="0" w:space="0" w:color="auto"/>
          </w:divBdr>
        </w:div>
        <w:div w:id="365328056">
          <w:marLeft w:val="0"/>
          <w:marRight w:val="0"/>
          <w:marTop w:val="0"/>
          <w:marBottom w:val="0"/>
          <w:divBdr>
            <w:top w:val="none" w:sz="0" w:space="0" w:color="auto"/>
            <w:left w:val="none" w:sz="0" w:space="0" w:color="auto"/>
            <w:bottom w:val="none" w:sz="0" w:space="0" w:color="auto"/>
            <w:right w:val="none" w:sz="0" w:space="0" w:color="auto"/>
          </w:divBdr>
        </w:div>
        <w:div w:id="394207518">
          <w:marLeft w:val="0"/>
          <w:marRight w:val="0"/>
          <w:marTop w:val="0"/>
          <w:marBottom w:val="0"/>
          <w:divBdr>
            <w:top w:val="none" w:sz="0" w:space="0" w:color="auto"/>
            <w:left w:val="none" w:sz="0" w:space="0" w:color="auto"/>
            <w:bottom w:val="none" w:sz="0" w:space="0" w:color="auto"/>
            <w:right w:val="none" w:sz="0" w:space="0" w:color="auto"/>
          </w:divBdr>
        </w:div>
      </w:divsChild>
    </w:div>
    <w:div w:id="1472480197">
      <w:bodyDiv w:val="1"/>
      <w:marLeft w:val="0"/>
      <w:marRight w:val="0"/>
      <w:marTop w:val="0"/>
      <w:marBottom w:val="0"/>
      <w:divBdr>
        <w:top w:val="none" w:sz="0" w:space="0" w:color="auto"/>
        <w:left w:val="none" w:sz="0" w:space="0" w:color="auto"/>
        <w:bottom w:val="none" w:sz="0" w:space="0" w:color="auto"/>
        <w:right w:val="none" w:sz="0" w:space="0" w:color="auto"/>
      </w:divBdr>
    </w:div>
    <w:div w:id="1564831291">
      <w:bodyDiv w:val="1"/>
      <w:marLeft w:val="0"/>
      <w:marRight w:val="0"/>
      <w:marTop w:val="0"/>
      <w:marBottom w:val="0"/>
      <w:divBdr>
        <w:top w:val="none" w:sz="0" w:space="0" w:color="auto"/>
        <w:left w:val="none" w:sz="0" w:space="0" w:color="auto"/>
        <w:bottom w:val="none" w:sz="0" w:space="0" w:color="auto"/>
        <w:right w:val="none" w:sz="0" w:space="0" w:color="auto"/>
      </w:divBdr>
      <w:divsChild>
        <w:div w:id="1693149621">
          <w:marLeft w:val="0"/>
          <w:marRight w:val="0"/>
          <w:marTop w:val="0"/>
          <w:marBottom w:val="0"/>
          <w:divBdr>
            <w:top w:val="none" w:sz="0" w:space="0" w:color="auto"/>
            <w:left w:val="none" w:sz="0" w:space="0" w:color="auto"/>
            <w:bottom w:val="none" w:sz="0" w:space="0" w:color="auto"/>
            <w:right w:val="none" w:sz="0" w:space="0" w:color="auto"/>
          </w:divBdr>
          <w:divsChild>
            <w:div w:id="301352667">
              <w:marLeft w:val="0"/>
              <w:marRight w:val="0"/>
              <w:marTop w:val="0"/>
              <w:marBottom w:val="0"/>
              <w:divBdr>
                <w:top w:val="none" w:sz="0" w:space="0" w:color="auto"/>
                <w:left w:val="none" w:sz="0" w:space="0" w:color="auto"/>
                <w:bottom w:val="none" w:sz="0" w:space="0" w:color="auto"/>
                <w:right w:val="none" w:sz="0" w:space="0" w:color="auto"/>
              </w:divBdr>
              <w:divsChild>
                <w:div w:id="50732331">
                  <w:marLeft w:val="0"/>
                  <w:marRight w:val="0"/>
                  <w:marTop w:val="0"/>
                  <w:marBottom w:val="0"/>
                  <w:divBdr>
                    <w:top w:val="none" w:sz="0" w:space="0" w:color="auto"/>
                    <w:left w:val="none" w:sz="0" w:space="0" w:color="auto"/>
                    <w:bottom w:val="none" w:sz="0" w:space="0" w:color="auto"/>
                    <w:right w:val="none" w:sz="0" w:space="0" w:color="auto"/>
                  </w:divBdr>
                  <w:divsChild>
                    <w:div w:id="61197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1352428">
      <w:bodyDiv w:val="1"/>
      <w:marLeft w:val="0"/>
      <w:marRight w:val="0"/>
      <w:marTop w:val="0"/>
      <w:marBottom w:val="0"/>
      <w:divBdr>
        <w:top w:val="none" w:sz="0" w:space="0" w:color="auto"/>
        <w:left w:val="none" w:sz="0" w:space="0" w:color="auto"/>
        <w:bottom w:val="none" w:sz="0" w:space="0" w:color="auto"/>
        <w:right w:val="none" w:sz="0" w:space="0" w:color="auto"/>
      </w:divBdr>
      <w:divsChild>
        <w:div w:id="245044465">
          <w:marLeft w:val="0"/>
          <w:marRight w:val="0"/>
          <w:marTop w:val="0"/>
          <w:marBottom w:val="0"/>
          <w:divBdr>
            <w:top w:val="none" w:sz="0" w:space="0" w:color="auto"/>
            <w:left w:val="none" w:sz="0" w:space="0" w:color="auto"/>
            <w:bottom w:val="none" w:sz="0" w:space="0" w:color="auto"/>
            <w:right w:val="none" w:sz="0" w:space="0" w:color="auto"/>
          </w:divBdr>
          <w:divsChild>
            <w:div w:id="956446230">
              <w:marLeft w:val="0"/>
              <w:marRight w:val="0"/>
              <w:marTop w:val="0"/>
              <w:marBottom w:val="0"/>
              <w:divBdr>
                <w:top w:val="none" w:sz="0" w:space="0" w:color="auto"/>
                <w:left w:val="none" w:sz="0" w:space="0" w:color="auto"/>
                <w:bottom w:val="none" w:sz="0" w:space="0" w:color="auto"/>
                <w:right w:val="none" w:sz="0" w:space="0" w:color="auto"/>
              </w:divBdr>
              <w:divsChild>
                <w:div w:id="753359660">
                  <w:marLeft w:val="0"/>
                  <w:marRight w:val="0"/>
                  <w:marTop w:val="0"/>
                  <w:marBottom w:val="0"/>
                  <w:divBdr>
                    <w:top w:val="none" w:sz="0" w:space="0" w:color="auto"/>
                    <w:left w:val="none" w:sz="0" w:space="0" w:color="auto"/>
                    <w:bottom w:val="none" w:sz="0" w:space="0" w:color="auto"/>
                    <w:right w:val="none" w:sz="0" w:space="0" w:color="auto"/>
                  </w:divBdr>
                  <w:divsChild>
                    <w:div w:id="120805777">
                      <w:marLeft w:val="0"/>
                      <w:marRight w:val="0"/>
                      <w:marTop w:val="0"/>
                      <w:marBottom w:val="0"/>
                      <w:divBdr>
                        <w:top w:val="none" w:sz="0" w:space="0" w:color="auto"/>
                        <w:left w:val="none" w:sz="0" w:space="0" w:color="auto"/>
                        <w:bottom w:val="none" w:sz="0" w:space="0" w:color="auto"/>
                        <w:right w:val="none" w:sz="0" w:space="0" w:color="auto"/>
                      </w:divBdr>
                      <w:divsChild>
                        <w:div w:id="20117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644614">
          <w:marLeft w:val="0"/>
          <w:marRight w:val="0"/>
          <w:marTop w:val="0"/>
          <w:marBottom w:val="0"/>
          <w:divBdr>
            <w:top w:val="none" w:sz="0" w:space="0" w:color="auto"/>
            <w:left w:val="none" w:sz="0" w:space="0" w:color="auto"/>
            <w:bottom w:val="none" w:sz="0" w:space="0" w:color="auto"/>
            <w:right w:val="none" w:sz="0" w:space="0" w:color="auto"/>
          </w:divBdr>
          <w:divsChild>
            <w:div w:id="1669016638">
              <w:marLeft w:val="0"/>
              <w:marRight w:val="0"/>
              <w:marTop w:val="0"/>
              <w:marBottom w:val="0"/>
              <w:divBdr>
                <w:top w:val="none" w:sz="0" w:space="0" w:color="auto"/>
                <w:left w:val="none" w:sz="0" w:space="0" w:color="auto"/>
                <w:bottom w:val="none" w:sz="0" w:space="0" w:color="auto"/>
                <w:right w:val="none" w:sz="0" w:space="0" w:color="auto"/>
              </w:divBdr>
              <w:divsChild>
                <w:div w:id="380176801">
                  <w:marLeft w:val="0"/>
                  <w:marRight w:val="0"/>
                  <w:marTop w:val="0"/>
                  <w:marBottom w:val="0"/>
                  <w:divBdr>
                    <w:top w:val="none" w:sz="0" w:space="0" w:color="auto"/>
                    <w:left w:val="none" w:sz="0" w:space="0" w:color="auto"/>
                    <w:bottom w:val="none" w:sz="0" w:space="0" w:color="auto"/>
                    <w:right w:val="none" w:sz="0" w:space="0" w:color="auto"/>
                  </w:divBdr>
                  <w:divsChild>
                    <w:div w:id="74590211">
                      <w:marLeft w:val="0"/>
                      <w:marRight w:val="0"/>
                      <w:marTop w:val="0"/>
                      <w:marBottom w:val="0"/>
                      <w:divBdr>
                        <w:top w:val="none" w:sz="0" w:space="0" w:color="auto"/>
                        <w:left w:val="none" w:sz="0" w:space="0" w:color="auto"/>
                        <w:bottom w:val="none" w:sz="0" w:space="0" w:color="auto"/>
                        <w:right w:val="none" w:sz="0" w:space="0" w:color="auto"/>
                      </w:divBdr>
                      <w:divsChild>
                        <w:div w:id="195671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122534">
      <w:bodyDiv w:val="1"/>
      <w:marLeft w:val="0"/>
      <w:marRight w:val="0"/>
      <w:marTop w:val="0"/>
      <w:marBottom w:val="0"/>
      <w:divBdr>
        <w:top w:val="none" w:sz="0" w:space="0" w:color="auto"/>
        <w:left w:val="none" w:sz="0" w:space="0" w:color="auto"/>
        <w:bottom w:val="none" w:sz="0" w:space="0" w:color="auto"/>
        <w:right w:val="none" w:sz="0" w:space="0" w:color="auto"/>
      </w:divBdr>
      <w:divsChild>
        <w:div w:id="890582217">
          <w:marLeft w:val="0"/>
          <w:marRight w:val="0"/>
          <w:marTop w:val="0"/>
          <w:marBottom w:val="0"/>
          <w:divBdr>
            <w:top w:val="none" w:sz="0" w:space="0" w:color="auto"/>
            <w:left w:val="none" w:sz="0" w:space="0" w:color="auto"/>
            <w:bottom w:val="none" w:sz="0" w:space="0" w:color="auto"/>
            <w:right w:val="none" w:sz="0" w:space="0" w:color="auto"/>
          </w:divBdr>
          <w:divsChild>
            <w:div w:id="1557622660">
              <w:marLeft w:val="0"/>
              <w:marRight w:val="0"/>
              <w:marTop w:val="0"/>
              <w:marBottom w:val="0"/>
              <w:divBdr>
                <w:top w:val="none" w:sz="0" w:space="0" w:color="auto"/>
                <w:left w:val="none" w:sz="0" w:space="0" w:color="auto"/>
                <w:bottom w:val="none" w:sz="0" w:space="0" w:color="auto"/>
                <w:right w:val="none" w:sz="0" w:space="0" w:color="auto"/>
              </w:divBdr>
              <w:divsChild>
                <w:div w:id="200554736">
                  <w:marLeft w:val="0"/>
                  <w:marRight w:val="0"/>
                  <w:marTop w:val="0"/>
                  <w:marBottom w:val="0"/>
                  <w:divBdr>
                    <w:top w:val="none" w:sz="0" w:space="0" w:color="auto"/>
                    <w:left w:val="none" w:sz="0" w:space="0" w:color="auto"/>
                    <w:bottom w:val="none" w:sz="0" w:space="0" w:color="auto"/>
                    <w:right w:val="none" w:sz="0" w:space="0" w:color="auto"/>
                  </w:divBdr>
                  <w:divsChild>
                    <w:div w:id="2062971929">
                      <w:marLeft w:val="0"/>
                      <w:marRight w:val="0"/>
                      <w:marTop w:val="0"/>
                      <w:marBottom w:val="0"/>
                      <w:divBdr>
                        <w:top w:val="none" w:sz="0" w:space="0" w:color="auto"/>
                        <w:left w:val="none" w:sz="0" w:space="0" w:color="auto"/>
                        <w:bottom w:val="none" w:sz="0" w:space="0" w:color="auto"/>
                        <w:right w:val="none" w:sz="0" w:space="0" w:color="auto"/>
                      </w:divBdr>
                      <w:divsChild>
                        <w:div w:id="12011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665371">
          <w:marLeft w:val="0"/>
          <w:marRight w:val="0"/>
          <w:marTop w:val="0"/>
          <w:marBottom w:val="0"/>
          <w:divBdr>
            <w:top w:val="none" w:sz="0" w:space="0" w:color="auto"/>
            <w:left w:val="none" w:sz="0" w:space="0" w:color="auto"/>
            <w:bottom w:val="none" w:sz="0" w:space="0" w:color="auto"/>
            <w:right w:val="none" w:sz="0" w:space="0" w:color="auto"/>
          </w:divBdr>
          <w:divsChild>
            <w:div w:id="232813071">
              <w:marLeft w:val="0"/>
              <w:marRight w:val="0"/>
              <w:marTop w:val="0"/>
              <w:marBottom w:val="0"/>
              <w:divBdr>
                <w:top w:val="none" w:sz="0" w:space="0" w:color="auto"/>
                <w:left w:val="none" w:sz="0" w:space="0" w:color="auto"/>
                <w:bottom w:val="none" w:sz="0" w:space="0" w:color="auto"/>
                <w:right w:val="none" w:sz="0" w:space="0" w:color="auto"/>
              </w:divBdr>
              <w:divsChild>
                <w:div w:id="1927111594">
                  <w:marLeft w:val="0"/>
                  <w:marRight w:val="0"/>
                  <w:marTop w:val="0"/>
                  <w:marBottom w:val="0"/>
                  <w:divBdr>
                    <w:top w:val="none" w:sz="0" w:space="0" w:color="auto"/>
                    <w:left w:val="none" w:sz="0" w:space="0" w:color="auto"/>
                    <w:bottom w:val="none" w:sz="0" w:space="0" w:color="auto"/>
                    <w:right w:val="none" w:sz="0" w:space="0" w:color="auto"/>
                  </w:divBdr>
                  <w:divsChild>
                    <w:div w:id="35909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359511">
      <w:bodyDiv w:val="1"/>
      <w:marLeft w:val="0"/>
      <w:marRight w:val="0"/>
      <w:marTop w:val="0"/>
      <w:marBottom w:val="0"/>
      <w:divBdr>
        <w:top w:val="none" w:sz="0" w:space="0" w:color="auto"/>
        <w:left w:val="none" w:sz="0" w:space="0" w:color="auto"/>
        <w:bottom w:val="none" w:sz="0" w:space="0" w:color="auto"/>
        <w:right w:val="none" w:sz="0" w:space="0" w:color="auto"/>
      </w:divBdr>
      <w:divsChild>
        <w:div w:id="483206723">
          <w:marLeft w:val="0"/>
          <w:marRight w:val="0"/>
          <w:marTop w:val="0"/>
          <w:marBottom w:val="0"/>
          <w:divBdr>
            <w:top w:val="none" w:sz="0" w:space="0" w:color="auto"/>
            <w:left w:val="none" w:sz="0" w:space="0" w:color="auto"/>
            <w:bottom w:val="none" w:sz="0" w:space="0" w:color="auto"/>
            <w:right w:val="none" w:sz="0" w:space="0" w:color="auto"/>
          </w:divBdr>
        </w:div>
        <w:div w:id="1956786313">
          <w:marLeft w:val="0"/>
          <w:marRight w:val="0"/>
          <w:marTop w:val="0"/>
          <w:marBottom w:val="0"/>
          <w:divBdr>
            <w:top w:val="none" w:sz="0" w:space="0" w:color="auto"/>
            <w:left w:val="none" w:sz="0" w:space="0" w:color="auto"/>
            <w:bottom w:val="none" w:sz="0" w:space="0" w:color="auto"/>
            <w:right w:val="none" w:sz="0" w:space="0" w:color="auto"/>
          </w:divBdr>
        </w:div>
        <w:div w:id="124782139">
          <w:marLeft w:val="0"/>
          <w:marRight w:val="0"/>
          <w:marTop w:val="0"/>
          <w:marBottom w:val="0"/>
          <w:divBdr>
            <w:top w:val="none" w:sz="0" w:space="0" w:color="auto"/>
            <w:left w:val="none" w:sz="0" w:space="0" w:color="auto"/>
            <w:bottom w:val="none" w:sz="0" w:space="0" w:color="auto"/>
            <w:right w:val="none" w:sz="0" w:space="0" w:color="auto"/>
          </w:divBdr>
        </w:div>
        <w:div w:id="291635828">
          <w:marLeft w:val="0"/>
          <w:marRight w:val="0"/>
          <w:marTop w:val="0"/>
          <w:marBottom w:val="0"/>
          <w:divBdr>
            <w:top w:val="none" w:sz="0" w:space="0" w:color="auto"/>
            <w:left w:val="none" w:sz="0" w:space="0" w:color="auto"/>
            <w:bottom w:val="none" w:sz="0" w:space="0" w:color="auto"/>
            <w:right w:val="none" w:sz="0" w:space="0" w:color="auto"/>
          </w:divBdr>
        </w:div>
        <w:div w:id="330569364">
          <w:marLeft w:val="0"/>
          <w:marRight w:val="0"/>
          <w:marTop w:val="0"/>
          <w:marBottom w:val="0"/>
          <w:divBdr>
            <w:top w:val="none" w:sz="0" w:space="0" w:color="auto"/>
            <w:left w:val="none" w:sz="0" w:space="0" w:color="auto"/>
            <w:bottom w:val="none" w:sz="0" w:space="0" w:color="auto"/>
            <w:right w:val="none" w:sz="0" w:space="0" w:color="auto"/>
          </w:divBdr>
        </w:div>
        <w:div w:id="1226331390">
          <w:marLeft w:val="0"/>
          <w:marRight w:val="0"/>
          <w:marTop w:val="0"/>
          <w:marBottom w:val="0"/>
          <w:divBdr>
            <w:top w:val="none" w:sz="0" w:space="0" w:color="auto"/>
            <w:left w:val="none" w:sz="0" w:space="0" w:color="auto"/>
            <w:bottom w:val="none" w:sz="0" w:space="0" w:color="auto"/>
            <w:right w:val="none" w:sz="0" w:space="0" w:color="auto"/>
          </w:divBdr>
        </w:div>
        <w:div w:id="1091778365">
          <w:marLeft w:val="0"/>
          <w:marRight w:val="0"/>
          <w:marTop w:val="0"/>
          <w:marBottom w:val="0"/>
          <w:divBdr>
            <w:top w:val="none" w:sz="0" w:space="0" w:color="auto"/>
            <w:left w:val="none" w:sz="0" w:space="0" w:color="auto"/>
            <w:bottom w:val="none" w:sz="0" w:space="0" w:color="auto"/>
            <w:right w:val="none" w:sz="0" w:space="0" w:color="auto"/>
          </w:divBdr>
        </w:div>
        <w:div w:id="1036200910">
          <w:marLeft w:val="0"/>
          <w:marRight w:val="0"/>
          <w:marTop w:val="0"/>
          <w:marBottom w:val="0"/>
          <w:divBdr>
            <w:top w:val="none" w:sz="0" w:space="0" w:color="auto"/>
            <w:left w:val="none" w:sz="0" w:space="0" w:color="auto"/>
            <w:bottom w:val="none" w:sz="0" w:space="0" w:color="auto"/>
            <w:right w:val="none" w:sz="0" w:space="0" w:color="auto"/>
          </w:divBdr>
        </w:div>
        <w:div w:id="61949508">
          <w:marLeft w:val="0"/>
          <w:marRight w:val="0"/>
          <w:marTop w:val="0"/>
          <w:marBottom w:val="0"/>
          <w:divBdr>
            <w:top w:val="none" w:sz="0" w:space="0" w:color="auto"/>
            <w:left w:val="none" w:sz="0" w:space="0" w:color="auto"/>
            <w:bottom w:val="none" w:sz="0" w:space="0" w:color="auto"/>
            <w:right w:val="none" w:sz="0" w:space="0" w:color="auto"/>
          </w:divBdr>
        </w:div>
        <w:div w:id="880434836">
          <w:marLeft w:val="0"/>
          <w:marRight w:val="0"/>
          <w:marTop w:val="0"/>
          <w:marBottom w:val="0"/>
          <w:divBdr>
            <w:top w:val="none" w:sz="0" w:space="0" w:color="auto"/>
            <w:left w:val="none" w:sz="0" w:space="0" w:color="auto"/>
            <w:bottom w:val="none" w:sz="0" w:space="0" w:color="auto"/>
            <w:right w:val="none" w:sz="0" w:space="0" w:color="auto"/>
          </w:divBdr>
        </w:div>
        <w:div w:id="1706906563">
          <w:marLeft w:val="0"/>
          <w:marRight w:val="0"/>
          <w:marTop w:val="0"/>
          <w:marBottom w:val="0"/>
          <w:divBdr>
            <w:top w:val="none" w:sz="0" w:space="0" w:color="auto"/>
            <w:left w:val="none" w:sz="0" w:space="0" w:color="auto"/>
            <w:bottom w:val="none" w:sz="0" w:space="0" w:color="auto"/>
            <w:right w:val="none" w:sz="0" w:space="0" w:color="auto"/>
          </w:divBdr>
        </w:div>
        <w:div w:id="277369367">
          <w:marLeft w:val="0"/>
          <w:marRight w:val="0"/>
          <w:marTop w:val="0"/>
          <w:marBottom w:val="0"/>
          <w:divBdr>
            <w:top w:val="none" w:sz="0" w:space="0" w:color="auto"/>
            <w:left w:val="none" w:sz="0" w:space="0" w:color="auto"/>
            <w:bottom w:val="none" w:sz="0" w:space="0" w:color="auto"/>
            <w:right w:val="none" w:sz="0" w:space="0" w:color="auto"/>
          </w:divBdr>
        </w:div>
        <w:div w:id="1608196940">
          <w:marLeft w:val="0"/>
          <w:marRight w:val="0"/>
          <w:marTop w:val="0"/>
          <w:marBottom w:val="0"/>
          <w:divBdr>
            <w:top w:val="none" w:sz="0" w:space="0" w:color="auto"/>
            <w:left w:val="none" w:sz="0" w:space="0" w:color="auto"/>
            <w:bottom w:val="none" w:sz="0" w:space="0" w:color="auto"/>
            <w:right w:val="none" w:sz="0" w:space="0" w:color="auto"/>
          </w:divBdr>
        </w:div>
        <w:div w:id="632905853">
          <w:marLeft w:val="0"/>
          <w:marRight w:val="0"/>
          <w:marTop w:val="0"/>
          <w:marBottom w:val="0"/>
          <w:divBdr>
            <w:top w:val="none" w:sz="0" w:space="0" w:color="auto"/>
            <w:left w:val="none" w:sz="0" w:space="0" w:color="auto"/>
            <w:bottom w:val="none" w:sz="0" w:space="0" w:color="auto"/>
            <w:right w:val="none" w:sz="0" w:space="0" w:color="auto"/>
          </w:divBdr>
        </w:div>
        <w:div w:id="800222731">
          <w:marLeft w:val="0"/>
          <w:marRight w:val="0"/>
          <w:marTop w:val="0"/>
          <w:marBottom w:val="0"/>
          <w:divBdr>
            <w:top w:val="none" w:sz="0" w:space="0" w:color="auto"/>
            <w:left w:val="none" w:sz="0" w:space="0" w:color="auto"/>
            <w:bottom w:val="none" w:sz="0" w:space="0" w:color="auto"/>
            <w:right w:val="none" w:sz="0" w:space="0" w:color="auto"/>
          </w:divBdr>
        </w:div>
        <w:div w:id="1111513036">
          <w:marLeft w:val="0"/>
          <w:marRight w:val="0"/>
          <w:marTop w:val="0"/>
          <w:marBottom w:val="0"/>
          <w:divBdr>
            <w:top w:val="none" w:sz="0" w:space="0" w:color="auto"/>
            <w:left w:val="none" w:sz="0" w:space="0" w:color="auto"/>
            <w:bottom w:val="none" w:sz="0" w:space="0" w:color="auto"/>
            <w:right w:val="none" w:sz="0" w:space="0" w:color="auto"/>
          </w:divBdr>
        </w:div>
        <w:div w:id="1452820184">
          <w:marLeft w:val="0"/>
          <w:marRight w:val="0"/>
          <w:marTop w:val="0"/>
          <w:marBottom w:val="0"/>
          <w:divBdr>
            <w:top w:val="none" w:sz="0" w:space="0" w:color="auto"/>
            <w:left w:val="none" w:sz="0" w:space="0" w:color="auto"/>
            <w:bottom w:val="none" w:sz="0" w:space="0" w:color="auto"/>
            <w:right w:val="none" w:sz="0" w:space="0" w:color="auto"/>
          </w:divBdr>
        </w:div>
      </w:divsChild>
    </w:div>
    <w:div w:id="1817255037">
      <w:bodyDiv w:val="1"/>
      <w:marLeft w:val="0"/>
      <w:marRight w:val="0"/>
      <w:marTop w:val="0"/>
      <w:marBottom w:val="0"/>
      <w:divBdr>
        <w:top w:val="none" w:sz="0" w:space="0" w:color="auto"/>
        <w:left w:val="none" w:sz="0" w:space="0" w:color="auto"/>
        <w:bottom w:val="none" w:sz="0" w:space="0" w:color="auto"/>
        <w:right w:val="none" w:sz="0" w:space="0" w:color="auto"/>
      </w:divBdr>
      <w:divsChild>
        <w:div w:id="2069182141">
          <w:marLeft w:val="0"/>
          <w:marRight w:val="0"/>
          <w:marTop w:val="0"/>
          <w:marBottom w:val="0"/>
          <w:divBdr>
            <w:top w:val="none" w:sz="0" w:space="0" w:color="auto"/>
            <w:left w:val="none" w:sz="0" w:space="0" w:color="auto"/>
            <w:bottom w:val="none" w:sz="0" w:space="0" w:color="auto"/>
            <w:right w:val="none" w:sz="0" w:space="0" w:color="auto"/>
          </w:divBdr>
        </w:div>
        <w:div w:id="165751435">
          <w:marLeft w:val="0"/>
          <w:marRight w:val="0"/>
          <w:marTop w:val="0"/>
          <w:marBottom w:val="0"/>
          <w:divBdr>
            <w:top w:val="none" w:sz="0" w:space="0" w:color="auto"/>
            <w:left w:val="none" w:sz="0" w:space="0" w:color="auto"/>
            <w:bottom w:val="none" w:sz="0" w:space="0" w:color="auto"/>
            <w:right w:val="none" w:sz="0" w:space="0" w:color="auto"/>
          </w:divBdr>
        </w:div>
        <w:div w:id="838303139">
          <w:marLeft w:val="0"/>
          <w:marRight w:val="0"/>
          <w:marTop w:val="0"/>
          <w:marBottom w:val="0"/>
          <w:divBdr>
            <w:top w:val="none" w:sz="0" w:space="0" w:color="auto"/>
            <w:left w:val="none" w:sz="0" w:space="0" w:color="auto"/>
            <w:bottom w:val="none" w:sz="0" w:space="0" w:color="auto"/>
            <w:right w:val="none" w:sz="0" w:space="0" w:color="auto"/>
          </w:divBdr>
        </w:div>
        <w:div w:id="156960788">
          <w:marLeft w:val="0"/>
          <w:marRight w:val="0"/>
          <w:marTop w:val="0"/>
          <w:marBottom w:val="0"/>
          <w:divBdr>
            <w:top w:val="none" w:sz="0" w:space="0" w:color="auto"/>
            <w:left w:val="none" w:sz="0" w:space="0" w:color="auto"/>
            <w:bottom w:val="none" w:sz="0" w:space="0" w:color="auto"/>
            <w:right w:val="none" w:sz="0" w:space="0" w:color="auto"/>
          </w:divBdr>
        </w:div>
      </w:divsChild>
    </w:div>
    <w:div w:id="1872764562">
      <w:bodyDiv w:val="1"/>
      <w:marLeft w:val="0"/>
      <w:marRight w:val="0"/>
      <w:marTop w:val="0"/>
      <w:marBottom w:val="0"/>
      <w:divBdr>
        <w:top w:val="none" w:sz="0" w:space="0" w:color="auto"/>
        <w:left w:val="none" w:sz="0" w:space="0" w:color="auto"/>
        <w:bottom w:val="none" w:sz="0" w:space="0" w:color="auto"/>
        <w:right w:val="none" w:sz="0" w:space="0" w:color="auto"/>
      </w:divBdr>
    </w:div>
    <w:div w:id="1919289902">
      <w:bodyDiv w:val="1"/>
      <w:marLeft w:val="0"/>
      <w:marRight w:val="0"/>
      <w:marTop w:val="0"/>
      <w:marBottom w:val="0"/>
      <w:divBdr>
        <w:top w:val="none" w:sz="0" w:space="0" w:color="auto"/>
        <w:left w:val="none" w:sz="0" w:space="0" w:color="auto"/>
        <w:bottom w:val="none" w:sz="0" w:space="0" w:color="auto"/>
        <w:right w:val="none" w:sz="0" w:space="0" w:color="auto"/>
      </w:divBdr>
      <w:divsChild>
        <w:div w:id="634406700">
          <w:marLeft w:val="0"/>
          <w:marRight w:val="0"/>
          <w:marTop w:val="0"/>
          <w:marBottom w:val="0"/>
          <w:divBdr>
            <w:top w:val="none" w:sz="0" w:space="0" w:color="auto"/>
            <w:left w:val="none" w:sz="0" w:space="0" w:color="auto"/>
            <w:bottom w:val="none" w:sz="0" w:space="0" w:color="auto"/>
            <w:right w:val="none" w:sz="0" w:space="0" w:color="auto"/>
          </w:divBdr>
          <w:divsChild>
            <w:div w:id="1310867154">
              <w:marLeft w:val="0"/>
              <w:marRight w:val="0"/>
              <w:marTop w:val="0"/>
              <w:marBottom w:val="0"/>
              <w:divBdr>
                <w:top w:val="none" w:sz="0" w:space="0" w:color="auto"/>
                <w:left w:val="none" w:sz="0" w:space="0" w:color="auto"/>
                <w:bottom w:val="none" w:sz="0" w:space="0" w:color="auto"/>
                <w:right w:val="none" w:sz="0" w:space="0" w:color="auto"/>
              </w:divBdr>
            </w:div>
          </w:divsChild>
        </w:div>
        <w:div w:id="277101075">
          <w:marLeft w:val="0"/>
          <w:marRight w:val="0"/>
          <w:marTop w:val="0"/>
          <w:marBottom w:val="0"/>
          <w:divBdr>
            <w:top w:val="none" w:sz="0" w:space="0" w:color="auto"/>
            <w:left w:val="none" w:sz="0" w:space="0" w:color="auto"/>
            <w:bottom w:val="none" w:sz="0" w:space="0" w:color="auto"/>
            <w:right w:val="none" w:sz="0" w:space="0" w:color="auto"/>
          </w:divBdr>
          <w:divsChild>
            <w:div w:id="166407438">
              <w:marLeft w:val="0"/>
              <w:marRight w:val="0"/>
              <w:marTop w:val="0"/>
              <w:marBottom w:val="0"/>
              <w:divBdr>
                <w:top w:val="none" w:sz="0" w:space="0" w:color="auto"/>
                <w:left w:val="none" w:sz="0" w:space="0" w:color="auto"/>
                <w:bottom w:val="none" w:sz="0" w:space="0" w:color="auto"/>
                <w:right w:val="none" w:sz="0" w:space="0" w:color="auto"/>
              </w:divBdr>
            </w:div>
            <w:div w:id="19893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441964">
      <w:bodyDiv w:val="1"/>
      <w:marLeft w:val="0"/>
      <w:marRight w:val="0"/>
      <w:marTop w:val="0"/>
      <w:marBottom w:val="0"/>
      <w:divBdr>
        <w:top w:val="none" w:sz="0" w:space="0" w:color="auto"/>
        <w:left w:val="none" w:sz="0" w:space="0" w:color="auto"/>
        <w:bottom w:val="none" w:sz="0" w:space="0" w:color="auto"/>
        <w:right w:val="none" w:sz="0" w:space="0" w:color="auto"/>
      </w:divBdr>
      <w:divsChild>
        <w:div w:id="263076733">
          <w:marLeft w:val="0"/>
          <w:marRight w:val="0"/>
          <w:marTop w:val="0"/>
          <w:marBottom w:val="0"/>
          <w:divBdr>
            <w:top w:val="none" w:sz="0" w:space="0" w:color="auto"/>
            <w:left w:val="none" w:sz="0" w:space="0" w:color="auto"/>
            <w:bottom w:val="none" w:sz="0" w:space="0" w:color="auto"/>
            <w:right w:val="none" w:sz="0" w:space="0" w:color="auto"/>
          </w:divBdr>
          <w:divsChild>
            <w:div w:id="105198919">
              <w:marLeft w:val="0"/>
              <w:marRight w:val="0"/>
              <w:marTop w:val="0"/>
              <w:marBottom w:val="0"/>
              <w:divBdr>
                <w:top w:val="none" w:sz="0" w:space="0" w:color="auto"/>
                <w:left w:val="none" w:sz="0" w:space="0" w:color="auto"/>
                <w:bottom w:val="none" w:sz="0" w:space="0" w:color="auto"/>
                <w:right w:val="none" w:sz="0" w:space="0" w:color="auto"/>
              </w:divBdr>
              <w:divsChild>
                <w:div w:id="55269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352152">
          <w:marLeft w:val="0"/>
          <w:marRight w:val="0"/>
          <w:marTop w:val="0"/>
          <w:marBottom w:val="0"/>
          <w:divBdr>
            <w:top w:val="none" w:sz="0" w:space="0" w:color="auto"/>
            <w:left w:val="none" w:sz="0" w:space="0" w:color="auto"/>
            <w:bottom w:val="none" w:sz="0" w:space="0" w:color="auto"/>
            <w:right w:val="none" w:sz="0" w:space="0" w:color="auto"/>
          </w:divBdr>
          <w:divsChild>
            <w:div w:id="619072341">
              <w:marLeft w:val="0"/>
              <w:marRight w:val="0"/>
              <w:marTop w:val="0"/>
              <w:marBottom w:val="0"/>
              <w:divBdr>
                <w:top w:val="none" w:sz="0" w:space="0" w:color="auto"/>
                <w:left w:val="none" w:sz="0" w:space="0" w:color="auto"/>
                <w:bottom w:val="none" w:sz="0" w:space="0" w:color="auto"/>
                <w:right w:val="none" w:sz="0" w:space="0" w:color="auto"/>
              </w:divBdr>
              <w:divsChild>
                <w:div w:id="472983662">
                  <w:marLeft w:val="0"/>
                  <w:marRight w:val="0"/>
                  <w:marTop w:val="0"/>
                  <w:marBottom w:val="0"/>
                  <w:divBdr>
                    <w:top w:val="none" w:sz="0" w:space="0" w:color="auto"/>
                    <w:left w:val="none" w:sz="0" w:space="0" w:color="auto"/>
                    <w:bottom w:val="none" w:sz="0" w:space="0" w:color="auto"/>
                    <w:right w:val="none" w:sz="0" w:space="0" w:color="auto"/>
                  </w:divBdr>
                  <w:divsChild>
                    <w:div w:id="813260320">
                      <w:marLeft w:val="0"/>
                      <w:marRight w:val="0"/>
                      <w:marTop w:val="0"/>
                      <w:marBottom w:val="0"/>
                      <w:divBdr>
                        <w:top w:val="none" w:sz="0" w:space="0" w:color="auto"/>
                        <w:left w:val="none" w:sz="0" w:space="0" w:color="auto"/>
                        <w:bottom w:val="none" w:sz="0" w:space="0" w:color="auto"/>
                        <w:right w:val="none" w:sz="0" w:space="0" w:color="auto"/>
                      </w:divBdr>
                      <w:divsChild>
                        <w:div w:id="54495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144838">
          <w:marLeft w:val="0"/>
          <w:marRight w:val="0"/>
          <w:marTop w:val="0"/>
          <w:marBottom w:val="0"/>
          <w:divBdr>
            <w:top w:val="none" w:sz="0" w:space="0" w:color="auto"/>
            <w:left w:val="none" w:sz="0" w:space="0" w:color="auto"/>
            <w:bottom w:val="none" w:sz="0" w:space="0" w:color="auto"/>
            <w:right w:val="none" w:sz="0" w:space="0" w:color="auto"/>
          </w:divBdr>
          <w:divsChild>
            <w:div w:id="1380133719">
              <w:marLeft w:val="0"/>
              <w:marRight w:val="0"/>
              <w:marTop w:val="0"/>
              <w:marBottom w:val="0"/>
              <w:divBdr>
                <w:top w:val="none" w:sz="0" w:space="0" w:color="auto"/>
                <w:left w:val="none" w:sz="0" w:space="0" w:color="auto"/>
                <w:bottom w:val="none" w:sz="0" w:space="0" w:color="auto"/>
                <w:right w:val="none" w:sz="0" w:space="0" w:color="auto"/>
              </w:divBdr>
              <w:divsChild>
                <w:div w:id="739324980">
                  <w:marLeft w:val="0"/>
                  <w:marRight w:val="0"/>
                  <w:marTop w:val="0"/>
                  <w:marBottom w:val="0"/>
                  <w:divBdr>
                    <w:top w:val="none" w:sz="0" w:space="0" w:color="auto"/>
                    <w:left w:val="none" w:sz="0" w:space="0" w:color="auto"/>
                    <w:bottom w:val="none" w:sz="0" w:space="0" w:color="auto"/>
                    <w:right w:val="none" w:sz="0" w:space="0" w:color="auto"/>
                  </w:divBdr>
                  <w:divsChild>
                    <w:div w:id="497042002">
                      <w:marLeft w:val="0"/>
                      <w:marRight w:val="0"/>
                      <w:marTop w:val="0"/>
                      <w:marBottom w:val="0"/>
                      <w:divBdr>
                        <w:top w:val="none" w:sz="0" w:space="0" w:color="auto"/>
                        <w:left w:val="none" w:sz="0" w:space="0" w:color="auto"/>
                        <w:bottom w:val="none" w:sz="0" w:space="0" w:color="auto"/>
                        <w:right w:val="none" w:sz="0" w:space="0" w:color="auto"/>
                      </w:divBdr>
                    </w:div>
                    <w:div w:id="1318725773">
                      <w:marLeft w:val="0"/>
                      <w:marRight w:val="0"/>
                      <w:marTop w:val="0"/>
                      <w:marBottom w:val="0"/>
                      <w:divBdr>
                        <w:top w:val="none" w:sz="0" w:space="0" w:color="auto"/>
                        <w:left w:val="none" w:sz="0" w:space="0" w:color="auto"/>
                        <w:bottom w:val="none" w:sz="0" w:space="0" w:color="auto"/>
                        <w:right w:val="none" w:sz="0" w:space="0" w:color="auto"/>
                      </w:divBdr>
                      <w:divsChild>
                        <w:div w:id="843980677">
                          <w:marLeft w:val="0"/>
                          <w:marRight w:val="0"/>
                          <w:marTop w:val="0"/>
                          <w:marBottom w:val="0"/>
                          <w:divBdr>
                            <w:top w:val="none" w:sz="0" w:space="0" w:color="auto"/>
                            <w:left w:val="none" w:sz="0" w:space="0" w:color="auto"/>
                            <w:bottom w:val="none" w:sz="0" w:space="0" w:color="auto"/>
                            <w:right w:val="none" w:sz="0" w:space="0" w:color="auto"/>
                          </w:divBdr>
                          <w:divsChild>
                            <w:div w:id="1493982850">
                              <w:marLeft w:val="0"/>
                              <w:marRight w:val="0"/>
                              <w:marTop w:val="0"/>
                              <w:marBottom w:val="0"/>
                              <w:divBdr>
                                <w:top w:val="none" w:sz="0" w:space="0" w:color="auto"/>
                                <w:left w:val="none" w:sz="0" w:space="0" w:color="auto"/>
                                <w:bottom w:val="none" w:sz="0" w:space="0" w:color="auto"/>
                                <w:right w:val="none" w:sz="0" w:space="0" w:color="auto"/>
                              </w:divBdr>
                              <w:divsChild>
                                <w:div w:id="1764645223">
                                  <w:marLeft w:val="0"/>
                                  <w:marRight w:val="0"/>
                                  <w:marTop w:val="0"/>
                                  <w:marBottom w:val="0"/>
                                  <w:divBdr>
                                    <w:top w:val="none" w:sz="0" w:space="0" w:color="auto"/>
                                    <w:left w:val="none" w:sz="0" w:space="0" w:color="auto"/>
                                    <w:bottom w:val="none" w:sz="0" w:space="0" w:color="auto"/>
                                    <w:right w:val="none" w:sz="0" w:space="0" w:color="auto"/>
                                  </w:divBdr>
                                  <w:divsChild>
                                    <w:div w:id="13770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645975">
          <w:marLeft w:val="0"/>
          <w:marRight w:val="0"/>
          <w:marTop w:val="0"/>
          <w:marBottom w:val="0"/>
          <w:divBdr>
            <w:top w:val="none" w:sz="0" w:space="0" w:color="auto"/>
            <w:left w:val="none" w:sz="0" w:space="0" w:color="auto"/>
            <w:bottom w:val="none" w:sz="0" w:space="0" w:color="auto"/>
            <w:right w:val="none" w:sz="0" w:space="0" w:color="auto"/>
          </w:divBdr>
          <w:divsChild>
            <w:div w:id="1444348444">
              <w:marLeft w:val="0"/>
              <w:marRight w:val="0"/>
              <w:marTop w:val="0"/>
              <w:marBottom w:val="0"/>
              <w:divBdr>
                <w:top w:val="none" w:sz="0" w:space="0" w:color="auto"/>
                <w:left w:val="none" w:sz="0" w:space="0" w:color="auto"/>
                <w:bottom w:val="none" w:sz="0" w:space="0" w:color="auto"/>
                <w:right w:val="none" w:sz="0" w:space="0" w:color="auto"/>
              </w:divBdr>
              <w:divsChild>
                <w:div w:id="1405295849">
                  <w:marLeft w:val="0"/>
                  <w:marRight w:val="0"/>
                  <w:marTop w:val="0"/>
                  <w:marBottom w:val="0"/>
                  <w:divBdr>
                    <w:top w:val="none" w:sz="0" w:space="0" w:color="auto"/>
                    <w:left w:val="none" w:sz="0" w:space="0" w:color="auto"/>
                    <w:bottom w:val="none" w:sz="0" w:space="0" w:color="auto"/>
                    <w:right w:val="none" w:sz="0" w:space="0" w:color="auto"/>
                  </w:divBdr>
                </w:div>
                <w:div w:id="16692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78811">
      <w:bodyDiv w:val="1"/>
      <w:marLeft w:val="0"/>
      <w:marRight w:val="0"/>
      <w:marTop w:val="0"/>
      <w:marBottom w:val="0"/>
      <w:divBdr>
        <w:top w:val="none" w:sz="0" w:space="0" w:color="auto"/>
        <w:left w:val="none" w:sz="0" w:space="0" w:color="auto"/>
        <w:bottom w:val="none" w:sz="0" w:space="0" w:color="auto"/>
        <w:right w:val="none" w:sz="0" w:space="0" w:color="auto"/>
      </w:divBdr>
      <w:divsChild>
        <w:div w:id="964459728">
          <w:marLeft w:val="0"/>
          <w:marRight w:val="0"/>
          <w:marTop w:val="0"/>
          <w:marBottom w:val="0"/>
          <w:divBdr>
            <w:top w:val="none" w:sz="0" w:space="0" w:color="auto"/>
            <w:left w:val="none" w:sz="0" w:space="0" w:color="auto"/>
            <w:bottom w:val="none" w:sz="0" w:space="0" w:color="auto"/>
            <w:right w:val="none" w:sz="0" w:space="0" w:color="auto"/>
          </w:divBdr>
          <w:divsChild>
            <w:div w:id="1200430921">
              <w:marLeft w:val="0"/>
              <w:marRight w:val="0"/>
              <w:marTop w:val="0"/>
              <w:marBottom w:val="0"/>
              <w:divBdr>
                <w:top w:val="none" w:sz="0" w:space="0" w:color="auto"/>
                <w:left w:val="none" w:sz="0" w:space="0" w:color="auto"/>
                <w:bottom w:val="none" w:sz="0" w:space="0" w:color="auto"/>
                <w:right w:val="none" w:sz="0" w:space="0" w:color="auto"/>
              </w:divBdr>
              <w:divsChild>
                <w:div w:id="1596933584">
                  <w:marLeft w:val="0"/>
                  <w:marRight w:val="0"/>
                  <w:marTop w:val="0"/>
                  <w:marBottom w:val="0"/>
                  <w:divBdr>
                    <w:top w:val="none" w:sz="0" w:space="0" w:color="auto"/>
                    <w:left w:val="none" w:sz="0" w:space="0" w:color="auto"/>
                    <w:bottom w:val="none" w:sz="0" w:space="0" w:color="auto"/>
                    <w:right w:val="none" w:sz="0" w:space="0" w:color="auto"/>
                  </w:divBdr>
                  <w:divsChild>
                    <w:div w:id="1952086878">
                      <w:marLeft w:val="0"/>
                      <w:marRight w:val="0"/>
                      <w:marTop w:val="0"/>
                      <w:marBottom w:val="0"/>
                      <w:divBdr>
                        <w:top w:val="none" w:sz="0" w:space="0" w:color="auto"/>
                        <w:left w:val="none" w:sz="0" w:space="0" w:color="auto"/>
                        <w:bottom w:val="none" w:sz="0" w:space="0" w:color="auto"/>
                        <w:right w:val="none" w:sz="0" w:space="0" w:color="auto"/>
                      </w:divBdr>
                      <w:divsChild>
                        <w:div w:id="25625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485008">
          <w:marLeft w:val="0"/>
          <w:marRight w:val="0"/>
          <w:marTop w:val="0"/>
          <w:marBottom w:val="0"/>
          <w:divBdr>
            <w:top w:val="none" w:sz="0" w:space="0" w:color="auto"/>
            <w:left w:val="none" w:sz="0" w:space="0" w:color="auto"/>
            <w:bottom w:val="none" w:sz="0" w:space="0" w:color="auto"/>
            <w:right w:val="none" w:sz="0" w:space="0" w:color="auto"/>
          </w:divBdr>
          <w:divsChild>
            <w:div w:id="905534977">
              <w:marLeft w:val="0"/>
              <w:marRight w:val="0"/>
              <w:marTop w:val="0"/>
              <w:marBottom w:val="0"/>
              <w:divBdr>
                <w:top w:val="none" w:sz="0" w:space="0" w:color="auto"/>
                <w:left w:val="none" w:sz="0" w:space="0" w:color="auto"/>
                <w:bottom w:val="none" w:sz="0" w:space="0" w:color="auto"/>
                <w:right w:val="none" w:sz="0" w:space="0" w:color="auto"/>
              </w:divBdr>
              <w:divsChild>
                <w:div w:id="232735807">
                  <w:marLeft w:val="0"/>
                  <w:marRight w:val="0"/>
                  <w:marTop w:val="0"/>
                  <w:marBottom w:val="0"/>
                  <w:divBdr>
                    <w:top w:val="none" w:sz="0" w:space="0" w:color="auto"/>
                    <w:left w:val="none" w:sz="0" w:space="0" w:color="auto"/>
                    <w:bottom w:val="none" w:sz="0" w:space="0" w:color="auto"/>
                    <w:right w:val="none" w:sz="0" w:space="0" w:color="auto"/>
                  </w:divBdr>
                  <w:divsChild>
                    <w:div w:id="146285577">
                      <w:marLeft w:val="0"/>
                      <w:marRight w:val="0"/>
                      <w:marTop w:val="0"/>
                      <w:marBottom w:val="0"/>
                      <w:divBdr>
                        <w:top w:val="none" w:sz="0" w:space="0" w:color="auto"/>
                        <w:left w:val="none" w:sz="0" w:space="0" w:color="auto"/>
                        <w:bottom w:val="none" w:sz="0" w:space="0" w:color="auto"/>
                        <w:right w:val="none" w:sz="0" w:space="0" w:color="auto"/>
                      </w:divBdr>
                      <w:divsChild>
                        <w:div w:id="90664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244683">
      <w:bodyDiv w:val="1"/>
      <w:marLeft w:val="0"/>
      <w:marRight w:val="0"/>
      <w:marTop w:val="0"/>
      <w:marBottom w:val="0"/>
      <w:divBdr>
        <w:top w:val="none" w:sz="0" w:space="0" w:color="auto"/>
        <w:left w:val="none" w:sz="0" w:space="0" w:color="auto"/>
        <w:bottom w:val="none" w:sz="0" w:space="0" w:color="auto"/>
        <w:right w:val="none" w:sz="0" w:space="0" w:color="auto"/>
      </w:divBdr>
      <w:divsChild>
        <w:div w:id="79763394">
          <w:marLeft w:val="0"/>
          <w:marRight w:val="0"/>
          <w:marTop w:val="0"/>
          <w:marBottom w:val="0"/>
          <w:divBdr>
            <w:top w:val="none" w:sz="0" w:space="0" w:color="auto"/>
            <w:left w:val="none" w:sz="0" w:space="0" w:color="auto"/>
            <w:bottom w:val="none" w:sz="0" w:space="0" w:color="auto"/>
            <w:right w:val="none" w:sz="0" w:space="0" w:color="auto"/>
          </w:divBdr>
        </w:div>
        <w:div w:id="406612727">
          <w:marLeft w:val="0"/>
          <w:marRight w:val="0"/>
          <w:marTop w:val="0"/>
          <w:marBottom w:val="0"/>
          <w:divBdr>
            <w:top w:val="none" w:sz="0" w:space="0" w:color="auto"/>
            <w:left w:val="none" w:sz="0" w:space="0" w:color="auto"/>
            <w:bottom w:val="none" w:sz="0" w:space="0" w:color="auto"/>
            <w:right w:val="none" w:sz="0" w:space="0" w:color="auto"/>
          </w:divBdr>
        </w:div>
        <w:div w:id="477890874">
          <w:marLeft w:val="0"/>
          <w:marRight w:val="0"/>
          <w:marTop w:val="0"/>
          <w:marBottom w:val="0"/>
          <w:divBdr>
            <w:top w:val="none" w:sz="0" w:space="0" w:color="auto"/>
            <w:left w:val="none" w:sz="0" w:space="0" w:color="auto"/>
            <w:bottom w:val="none" w:sz="0" w:space="0" w:color="auto"/>
            <w:right w:val="none" w:sz="0" w:space="0" w:color="auto"/>
          </w:divBdr>
        </w:div>
      </w:divsChild>
    </w:div>
    <w:div w:id="1952742839">
      <w:bodyDiv w:val="1"/>
      <w:marLeft w:val="0"/>
      <w:marRight w:val="0"/>
      <w:marTop w:val="0"/>
      <w:marBottom w:val="0"/>
      <w:divBdr>
        <w:top w:val="none" w:sz="0" w:space="0" w:color="auto"/>
        <w:left w:val="none" w:sz="0" w:space="0" w:color="auto"/>
        <w:bottom w:val="none" w:sz="0" w:space="0" w:color="auto"/>
        <w:right w:val="none" w:sz="0" w:space="0" w:color="auto"/>
      </w:divBdr>
      <w:divsChild>
        <w:div w:id="455830451">
          <w:marLeft w:val="0"/>
          <w:marRight w:val="0"/>
          <w:marTop w:val="0"/>
          <w:marBottom w:val="0"/>
          <w:divBdr>
            <w:top w:val="none" w:sz="0" w:space="0" w:color="auto"/>
            <w:left w:val="none" w:sz="0" w:space="0" w:color="auto"/>
            <w:bottom w:val="none" w:sz="0" w:space="0" w:color="auto"/>
            <w:right w:val="none" w:sz="0" w:space="0" w:color="auto"/>
          </w:divBdr>
        </w:div>
        <w:div w:id="1234042905">
          <w:marLeft w:val="0"/>
          <w:marRight w:val="0"/>
          <w:marTop w:val="0"/>
          <w:marBottom w:val="0"/>
          <w:divBdr>
            <w:top w:val="none" w:sz="0" w:space="0" w:color="auto"/>
            <w:left w:val="none" w:sz="0" w:space="0" w:color="auto"/>
            <w:bottom w:val="none" w:sz="0" w:space="0" w:color="auto"/>
            <w:right w:val="none" w:sz="0" w:space="0" w:color="auto"/>
          </w:divBdr>
        </w:div>
        <w:div w:id="939683430">
          <w:marLeft w:val="0"/>
          <w:marRight w:val="0"/>
          <w:marTop w:val="0"/>
          <w:marBottom w:val="0"/>
          <w:divBdr>
            <w:top w:val="none" w:sz="0" w:space="0" w:color="auto"/>
            <w:left w:val="none" w:sz="0" w:space="0" w:color="auto"/>
            <w:bottom w:val="none" w:sz="0" w:space="0" w:color="auto"/>
            <w:right w:val="none" w:sz="0" w:space="0" w:color="auto"/>
          </w:divBdr>
        </w:div>
      </w:divsChild>
    </w:div>
    <w:div w:id="2018580310">
      <w:bodyDiv w:val="1"/>
      <w:marLeft w:val="0"/>
      <w:marRight w:val="0"/>
      <w:marTop w:val="0"/>
      <w:marBottom w:val="0"/>
      <w:divBdr>
        <w:top w:val="none" w:sz="0" w:space="0" w:color="auto"/>
        <w:left w:val="none" w:sz="0" w:space="0" w:color="auto"/>
        <w:bottom w:val="none" w:sz="0" w:space="0" w:color="auto"/>
        <w:right w:val="none" w:sz="0" w:space="0" w:color="auto"/>
      </w:divBdr>
      <w:divsChild>
        <w:div w:id="121191220">
          <w:marLeft w:val="0"/>
          <w:marRight w:val="0"/>
          <w:marTop w:val="0"/>
          <w:marBottom w:val="0"/>
          <w:divBdr>
            <w:top w:val="none" w:sz="0" w:space="0" w:color="auto"/>
            <w:left w:val="none" w:sz="0" w:space="0" w:color="auto"/>
            <w:bottom w:val="none" w:sz="0" w:space="0" w:color="auto"/>
            <w:right w:val="none" w:sz="0" w:space="0" w:color="auto"/>
          </w:divBdr>
          <w:divsChild>
            <w:div w:id="154958777">
              <w:marLeft w:val="0"/>
              <w:marRight w:val="0"/>
              <w:marTop w:val="0"/>
              <w:marBottom w:val="0"/>
              <w:divBdr>
                <w:top w:val="none" w:sz="0" w:space="0" w:color="auto"/>
                <w:left w:val="none" w:sz="0" w:space="0" w:color="auto"/>
                <w:bottom w:val="none" w:sz="0" w:space="0" w:color="auto"/>
                <w:right w:val="none" w:sz="0" w:space="0" w:color="auto"/>
              </w:divBdr>
              <w:divsChild>
                <w:div w:id="813447252">
                  <w:marLeft w:val="0"/>
                  <w:marRight w:val="0"/>
                  <w:marTop w:val="0"/>
                  <w:marBottom w:val="0"/>
                  <w:divBdr>
                    <w:top w:val="none" w:sz="0" w:space="0" w:color="auto"/>
                    <w:left w:val="none" w:sz="0" w:space="0" w:color="auto"/>
                    <w:bottom w:val="none" w:sz="0" w:space="0" w:color="auto"/>
                    <w:right w:val="none" w:sz="0" w:space="0" w:color="auto"/>
                  </w:divBdr>
                </w:div>
              </w:divsChild>
            </w:div>
            <w:div w:id="311063787">
              <w:marLeft w:val="0"/>
              <w:marRight w:val="0"/>
              <w:marTop w:val="0"/>
              <w:marBottom w:val="0"/>
              <w:divBdr>
                <w:top w:val="none" w:sz="0" w:space="0" w:color="auto"/>
                <w:left w:val="none" w:sz="0" w:space="0" w:color="auto"/>
                <w:bottom w:val="none" w:sz="0" w:space="0" w:color="auto"/>
                <w:right w:val="none" w:sz="0" w:space="0" w:color="auto"/>
              </w:divBdr>
              <w:divsChild>
                <w:div w:id="696395702">
                  <w:marLeft w:val="0"/>
                  <w:marRight w:val="0"/>
                  <w:marTop w:val="0"/>
                  <w:marBottom w:val="0"/>
                  <w:divBdr>
                    <w:top w:val="none" w:sz="0" w:space="0" w:color="auto"/>
                    <w:left w:val="none" w:sz="0" w:space="0" w:color="auto"/>
                    <w:bottom w:val="none" w:sz="0" w:space="0" w:color="auto"/>
                    <w:right w:val="none" w:sz="0" w:space="0" w:color="auto"/>
                  </w:divBdr>
                </w:div>
              </w:divsChild>
            </w:div>
            <w:div w:id="783234149">
              <w:marLeft w:val="0"/>
              <w:marRight w:val="0"/>
              <w:marTop w:val="0"/>
              <w:marBottom w:val="0"/>
              <w:divBdr>
                <w:top w:val="none" w:sz="0" w:space="0" w:color="auto"/>
                <w:left w:val="none" w:sz="0" w:space="0" w:color="auto"/>
                <w:bottom w:val="none" w:sz="0" w:space="0" w:color="auto"/>
                <w:right w:val="none" w:sz="0" w:space="0" w:color="auto"/>
              </w:divBdr>
              <w:divsChild>
                <w:div w:id="785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527154">
          <w:marLeft w:val="0"/>
          <w:marRight w:val="0"/>
          <w:marTop w:val="0"/>
          <w:marBottom w:val="0"/>
          <w:divBdr>
            <w:top w:val="none" w:sz="0" w:space="0" w:color="auto"/>
            <w:left w:val="none" w:sz="0" w:space="0" w:color="auto"/>
            <w:bottom w:val="none" w:sz="0" w:space="0" w:color="auto"/>
            <w:right w:val="none" w:sz="0" w:space="0" w:color="auto"/>
          </w:divBdr>
          <w:divsChild>
            <w:div w:id="113334554">
              <w:marLeft w:val="0"/>
              <w:marRight w:val="0"/>
              <w:marTop w:val="0"/>
              <w:marBottom w:val="0"/>
              <w:divBdr>
                <w:top w:val="none" w:sz="0" w:space="0" w:color="auto"/>
                <w:left w:val="none" w:sz="0" w:space="0" w:color="auto"/>
                <w:bottom w:val="none" w:sz="0" w:space="0" w:color="auto"/>
                <w:right w:val="none" w:sz="0" w:space="0" w:color="auto"/>
              </w:divBdr>
              <w:divsChild>
                <w:div w:id="1510408893">
                  <w:marLeft w:val="0"/>
                  <w:marRight w:val="0"/>
                  <w:marTop w:val="0"/>
                  <w:marBottom w:val="0"/>
                  <w:divBdr>
                    <w:top w:val="none" w:sz="0" w:space="0" w:color="auto"/>
                    <w:left w:val="none" w:sz="0" w:space="0" w:color="auto"/>
                    <w:bottom w:val="none" w:sz="0" w:space="0" w:color="auto"/>
                    <w:right w:val="none" w:sz="0" w:space="0" w:color="auto"/>
                  </w:divBdr>
                </w:div>
              </w:divsChild>
            </w:div>
            <w:div w:id="339432838">
              <w:marLeft w:val="0"/>
              <w:marRight w:val="0"/>
              <w:marTop w:val="0"/>
              <w:marBottom w:val="0"/>
              <w:divBdr>
                <w:top w:val="none" w:sz="0" w:space="0" w:color="auto"/>
                <w:left w:val="none" w:sz="0" w:space="0" w:color="auto"/>
                <w:bottom w:val="none" w:sz="0" w:space="0" w:color="auto"/>
                <w:right w:val="none" w:sz="0" w:space="0" w:color="auto"/>
              </w:divBdr>
              <w:divsChild>
                <w:div w:id="1816289848">
                  <w:marLeft w:val="0"/>
                  <w:marRight w:val="0"/>
                  <w:marTop w:val="0"/>
                  <w:marBottom w:val="0"/>
                  <w:divBdr>
                    <w:top w:val="none" w:sz="0" w:space="0" w:color="auto"/>
                    <w:left w:val="none" w:sz="0" w:space="0" w:color="auto"/>
                    <w:bottom w:val="none" w:sz="0" w:space="0" w:color="auto"/>
                    <w:right w:val="none" w:sz="0" w:space="0" w:color="auto"/>
                  </w:divBdr>
                </w:div>
              </w:divsChild>
            </w:div>
            <w:div w:id="1068111476">
              <w:marLeft w:val="0"/>
              <w:marRight w:val="0"/>
              <w:marTop w:val="0"/>
              <w:marBottom w:val="0"/>
              <w:divBdr>
                <w:top w:val="none" w:sz="0" w:space="0" w:color="auto"/>
                <w:left w:val="none" w:sz="0" w:space="0" w:color="auto"/>
                <w:bottom w:val="none" w:sz="0" w:space="0" w:color="auto"/>
                <w:right w:val="none" w:sz="0" w:space="0" w:color="auto"/>
              </w:divBdr>
              <w:divsChild>
                <w:div w:id="269241079">
                  <w:marLeft w:val="0"/>
                  <w:marRight w:val="0"/>
                  <w:marTop w:val="0"/>
                  <w:marBottom w:val="0"/>
                  <w:divBdr>
                    <w:top w:val="none" w:sz="0" w:space="0" w:color="auto"/>
                    <w:left w:val="none" w:sz="0" w:space="0" w:color="auto"/>
                    <w:bottom w:val="none" w:sz="0" w:space="0" w:color="auto"/>
                    <w:right w:val="none" w:sz="0" w:space="0" w:color="auto"/>
                  </w:divBdr>
                </w:div>
                <w:div w:id="35562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61776">
      <w:bodyDiv w:val="1"/>
      <w:marLeft w:val="0"/>
      <w:marRight w:val="0"/>
      <w:marTop w:val="0"/>
      <w:marBottom w:val="0"/>
      <w:divBdr>
        <w:top w:val="none" w:sz="0" w:space="0" w:color="auto"/>
        <w:left w:val="none" w:sz="0" w:space="0" w:color="auto"/>
        <w:bottom w:val="none" w:sz="0" w:space="0" w:color="auto"/>
        <w:right w:val="none" w:sz="0" w:space="0" w:color="auto"/>
      </w:divBdr>
      <w:divsChild>
        <w:div w:id="2069649186">
          <w:marLeft w:val="0"/>
          <w:marRight w:val="0"/>
          <w:marTop w:val="0"/>
          <w:marBottom w:val="0"/>
          <w:divBdr>
            <w:top w:val="none" w:sz="0" w:space="0" w:color="auto"/>
            <w:left w:val="none" w:sz="0" w:space="0" w:color="auto"/>
            <w:bottom w:val="none" w:sz="0" w:space="0" w:color="auto"/>
            <w:right w:val="none" w:sz="0" w:space="0" w:color="auto"/>
          </w:divBdr>
        </w:div>
        <w:div w:id="1723362796">
          <w:marLeft w:val="0"/>
          <w:marRight w:val="0"/>
          <w:marTop w:val="0"/>
          <w:marBottom w:val="0"/>
          <w:divBdr>
            <w:top w:val="none" w:sz="0" w:space="0" w:color="auto"/>
            <w:left w:val="none" w:sz="0" w:space="0" w:color="auto"/>
            <w:bottom w:val="none" w:sz="0" w:space="0" w:color="auto"/>
            <w:right w:val="none" w:sz="0" w:space="0" w:color="auto"/>
          </w:divBdr>
        </w:div>
        <w:div w:id="485753937">
          <w:marLeft w:val="0"/>
          <w:marRight w:val="0"/>
          <w:marTop w:val="0"/>
          <w:marBottom w:val="0"/>
          <w:divBdr>
            <w:top w:val="none" w:sz="0" w:space="0" w:color="auto"/>
            <w:left w:val="none" w:sz="0" w:space="0" w:color="auto"/>
            <w:bottom w:val="none" w:sz="0" w:space="0" w:color="auto"/>
            <w:right w:val="none" w:sz="0" w:space="0" w:color="auto"/>
          </w:divBdr>
        </w:div>
        <w:div w:id="837044065">
          <w:marLeft w:val="0"/>
          <w:marRight w:val="0"/>
          <w:marTop w:val="0"/>
          <w:marBottom w:val="0"/>
          <w:divBdr>
            <w:top w:val="none" w:sz="0" w:space="0" w:color="auto"/>
            <w:left w:val="none" w:sz="0" w:space="0" w:color="auto"/>
            <w:bottom w:val="none" w:sz="0" w:space="0" w:color="auto"/>
            <w:right w:val="none" w:sz="0" w:space="0" w:color="auto"/>
          </w:divBdr>
        </w:div>
      </w:divsChild>
    </w:div>
    <w:div w:id="2112821046">
      <w:bodyDiv w:val="1"/>
      <w:marLeft w:val="0"/>
      <w:marRight w:val="0"/>
      <w:marTop w:val="0"/>
      <w:marBottom w:val="0"/>
      <w:divBdr>
        <w:top w:val="none" w:sz="0" w:space="0" w:color="auto"/>
        <w:left w:val="none" w:sz="0" w:space="0" w:color="auto"/>
        <w:bottom w:val="none" w:sz="0" w:space="0" w:color="auto"/>
        <w:right w:val="none" w:sz="0" w:space="0" w:color="auto"/>
      </w:divBdr>
      <w:divsChild>
        <w:div w:id="952832640">
          <w:marLeft w:val="0"/>
          <w:marRight w:val="0"/>
          <w:marTop w:val="0"/>
          <w:marBottom w:val="0"/>
          <w:divBdr>
            <w:top w:val="none" w:sz="0" w:space="0" w:color="auto"/>
            <w:left w:val="none" w:sz="0" w:space="0" w:color="auto"/>
            <w:bottom w:val="none" w:sz="0" w:space="0" w:color="auto"/>
            <w:right w:val="none" w:sz="0" w:space="0" w:color="auto"/>
          </w:divBdr>
        </w:div>
        <w:div w:id="127424676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841</TotalTime>
  <Pages>13</Pages>
  <Words>3386</Words>
  <Characters>18624</Characters>
  <Application>Microsoft Macintosh Word</Application>
  <DocSecurity>0</DocSecurity>
  <Lines>155</Lines>
  <Paragraphs>43</Paragraphs>
  <ScaleCrop>false</ScaleCrop>
  <Company/>
  <LinksUpToDate>false</LinksUpToDate>
  <CharactersWithSpaces>21967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sinfo fusl</cp:lastModifiedBy>
  <cp:revision>127</cp:revision>
  <dcterms:created xsi:type="dcterms:W3CDTF">2017-06-08T15:46:00Z</dcterms:created>
  <dcterms:modified xsi:type="dcterms:W3CDTF">2017-06-27T09:08:00Z</dcterms:modified>
</cp:coreProperties>
</file>