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4A164" w14:textId="77777777" w:rsidR="00177353" w:rsidRDefault="00177353" w:rsidP="00177353">
      <w:pPr>
        <w:pStyle w:val="paragraph"/>
        <w:spacing w:before="0" w:beforeAutospacing="0" w:after="0" w:afterAutospacing="0" w:line="276" w:lineRule="auto"/>
        <w:jc w:val="right"/>
        <w:textAlignment w:val="baseline"/>
        <w:rPr>
          <w:rStyle w:val="normaltextrun"/>
          <w:color w:val="000000"/>
          <w:sz w:val="22"/>
          <w:szCs w:val="22"/>
        </w:rPr>
      </w:pPr>
      <w:r>
        <w:rPr>
          <w:rStyle w:val="normaltextrun"/>
          <w:color w:val="000000"/>
          <w:sz w:val="22"/>
          <w:szCs w:val="22"/>
        </w:rPr>
        <w:t xml:space="preserve">Josiane </w:t>
      </w:r>
      <w:proofErr w:type="spellStart"/>
      <w:r>
        <w:rPr>
          <w:rStyle w:val="normaltextrun"/>
          <w:color w:val="000000"/>
          <w:sz w:val="22"/>
          <w:szCs w:val="22"/>
        </w:rPr>
        <w:t>Kanginzila</w:t>
      </w:r>
      <w:proofErr w:type="spellEnd"/>
      <w:r>
        <w:rPr>
          <w:rStyle w:val="normaltextrun"/>
          <w:color w:val="000000"/>
          <w:sz w:val="22"/>
          <w:szCs w:val="22"/>
        </w:rPr>
        <w:t>, Université de Lubumbashi</w:t>
      </w:r>
    </w:p>
    <w:p w14:paraId="06A04A68" w14:textId="77777777" w:rsidR="00177353" w:rsidRDefault="00177353" w:rsidP="00177353">
      <w:pPr>
        <w:pStyle w:val="paragraph"/>
        <w:spacing w:before="0" w:beforeAutospacing="0" w:after="0" w:afterAutospacing="0" w:line="276" w:lineRule="auto"/>
        <w:jc w:val="right"/>
        <w:textAlignment w:val="baseline"/>
        <w:rPr>
          <w:rStyle w:val="normaltextrun"/>
          <w:color w:val="000000"/>
          <w:sz w:val="22"/>
          <w:szCs w:val="22"/>
        </w:rPr>
      </w:pPr>
      <w:proofErr w:type="spellStart"/>
      <w:r>
        <w:rPr>
          <w:rStyle w:val="normaltextrun"/>
          <w:color w:val="000000"/>
          <w:sz w:val="22"/>
          <w:szCs w:val="22"/>
        </w:rPr>
        <w:t>Eric</w:t>
      </w:r>
      <w:proofErr w:type="spellEnd"/>
      <w:r>
        <w:rPr>
          <w:rStyle w:val="normaltextrun"/>
          <w:color w:val="000000"/>
          <w:sz w:val="22"/>
          <w:szCs w:val="22"/>
        </w:rPr>
        <w:t xml:space="preserve"> </w:t>
      </w:r>
      <w:proofErr w:type="spellStart"/>
      <w:r>
        <w:rPr>
          <w:rStyle w:val="normaltextrun"/>
          <w:color w:val="000000"/>
          <w:sz w:val="22"/>
          <w:szCs w:val="22"/>
        </w:rPr>
        <w:t>Imoa</w:t>
      </w:r>
      <w:proofErr w:type="spellEnd"/>
      <w:r>
        <w:rPr>
          <w:rStyle w:val="normaltextrun"/>
          <w:color w:val="000000"/>
          <w:sz w:val="22"/>
          <w:szCs w:val="22"/>
        </w:rPr>
        <w:t xml:space="preserve"> </w:t>
      </w:r>
      <w:proofErr w:type="spellStart"/>
      <w:r>
        <w:rPr>
          <w:rStyle w:val="normaltextrun"/>
          <w:color w:val="000000"/>
          <w:sz w:val="22"/>
          <w:szCs w:val="22"/>
        </w:rPr>
        <w:t>Mahemu</w:t>
      </w:r>
      <w:proofErr w:type="spellEnd"/>
      <w:r>
        <w:rPr>
          <w:rStyle w:val="normaltextrun"/>
          <w:color w:val="000000"/>
          <w:sz w:val="22"/>
          <w:szCs w:val="22"/>
        </w:rPr>
        <w:t>, Université de Lubumbashi</w:t>
      </w:r>
    </w:p>
    <w:p w14:paraId="4E53196C" w14:textId="77777777" w:rsidR="00177353" w:rsidRDefault="00177353" w:rsidP="00177353">
      <w:pPr>
        <w:pStyle w:val="paragraph"/>
        <w:spacing w:before="0" w:beforeAutospacing="0" w:after="0" w:afterAutospacing="0" w:line="276" w:lineRule="auto"/>
        <w:jc w:val="right"/>
        <w:textAlignment w:val="baseline"/>
        <w:rPr>
          <w:rStyle w:val="normaltextrun"/>
          <w:color w:val="000000"/>
          <w:sz w:val="22"/>
          <w:szCs w:val="22"/>
        </w:rPr>
      </w:pPr>
      <w:r>
        <w:rPr>
          <w:rStyle w:val="normaltextrun"/>
          <w:color w:val="000000"/>
          <w:sz w:val="22"/>
          <w:szCs w:val="22"/>
        </w:rPr>
        <w:t>Christelle Sukadi Mangwa, Université Catholique de Louvain</w:t>
      </w:r>
    </w:p>
    <w:p w14:paraId="6503336D" w14:textId="77777777" w:rsidR="00177353" w:rsidRDefault="00177353" w:rsidP="00177353">
      <w:pPr>
        <w:jc w:val="right"/>
      </w:pPr>
    </w:p>
    <w:p w14:paraId="46D8CBB7" w14:textId="77777777" w:rsidR="00177353" w:rsidRDefault="00177353" w:rsidP="00177353">
      <w:pPr>
        <w:pStyle w:val="paragraph"/>
        <w:spacing w:line="276" w:lineRule="auto"/>
        <w:jc w:val="center"/>
        <w:textAlignment w:val="baseline"/>
        <w:rPr>
          <w:rStyle w:val="normaltextrun"/>
          <w:color w:val="000000"/>
          <w:sz w:val="32"/>
          <w:szCs w:val="32"/>
        </w:rPr>
      </w:pPr>
      <w:r>
        <w:rPr>
          <w:rStyle w:val="normaltextrun"/>
          <w:color w:val="000000"/>
          <w:sz w:val="32"/>
          <w:szCs w:val="32"/>
        </w:rPr>
        <w:t xml:space="preserve">Analyse de la légitimité des acteurs sur Facebook et Twitter durant l'épidémie d'Ebola de 2019 en </w:t>
      </w:r>
      <w:proofErr w:type="spellStart"/>
      <w:r>
        <w:rPr>
          <w:rStyle w:val="normaltextrun"/>
          <w:color w:val="000000"/>
          <w:sz w:val="32"/>
          <w:szCs w:val="32"/>
        </w:rPr>
        <w:t>RDCongo</w:t>
      </w:r>
      <w:proofErr w:type="spellEnd"/>
    </w:p>
    <w:p w14:paraId="060C13A2" w14:textId="77777777" w:rsidR="00177353" w:rsidRDefault="00177353" w:rsidP="00177353">
      <w:pPr>
        <w:jc w:val="center"/>
      </w:pPr>
    </w:p>
    <w:p w14:paraId="1859F3C3" w14:textId="77777777" w:rsidR="00177353" w:rsidRDefault="00177353" w:rsidP="00177353">
      <w:pPr>
        <w:jc w:val="center"/>
        <w:rPr>
          <w:sz w:val="24"/>
          <w:szCs w:val="24"/>
        </w:rPr>
      </w:pPr>
      <w:r>
        <w:rPr>
          <w:sz w:val="24"/>
          <w:szCs w:val="24"/>
        </w:rPr>
        <w:t>Résumé de la présentation</w:t>
      </w:r>
    </w:p>
    <w:p w14:paraId="4DE9455F" w14:textId="77777777" w:rsidR="00177353" w:rsidRDefault="00177353" w:rsidP="00177353">
      <w:pPr>
        <w:jc w:val="both"/>
      </w:pPr>
    </w:p>
    <w:p w14:paraId="09173CEF" w14:textId="77777777" w:rsidR="00177353" w:rsidRDefault="00177353" w:rsidP="00177353">
      <w:pPr>
        <w:pStyle w:val="paragraph"/>
        <w:spacing w:before="0" w:beforeAutospacing="0" w:after="0" w:afterAutospacing="0" w:line="276" w:lineRule="auto"/>
        <w:jc w:val="both"/>
        <w:textAlignment w:val="baseline"/>
        <w:rPr>
          <w:rStyle w:val="normaltextrun"/>
        </w:rPr>
      </w:pPr>
      <w:r>
        <w:rPr>
          <w:rStyle w:val="normaltextrun"/>
          <w:color w:val="000000"/>
        </w:rPr>
        <w:t xml:space="preserve">           La gestion de la communication durant une crise sanitaire constitue un réel défi, d’autant plus que le monopole de diffusion d’information ne revient plus qu’aux formes d’autorités énonciatives traditionnelles (Ministère de la santé, Présidence de la république, experts </w:t>
      </w:r>
      <w:proofErr w:type="gramStart"/>
      <w:r>
        <w:rPr>
          <w:rStyle w:val="normaltextrun"/>
          <w:color w:val="000000"/>
        </w:rPr>
        <w:t>médicaux,…</w:t>
      </w:r>
      <w:proofErr w:type="gramEnd"/>
      <w:r>
        <w:rPr>
          <w:rStyle w:val="normaltextrun"/>
          <w:color w:val="000000"/>
        </w:rPr>
        <w:t>), et que plusieurs autres acteurs apparaissent dans le nouvel espace public constitué par les réseaux sociaux.</w:t>
      </w:r>
      <w:r>
        <w:rPr>
          <w:rStyle w:val="eop"/>
        </w:rPr>
        <w:t> </w:t>
      </w:r>
      <w:r>
        <w:rPr>
          <w:rStyle w:val="normaltextrun"/>
          <w:color w:val="000000"/>
        </w:rPr>
        <w:t xml:space="preserve">Dans un contexte aussi tendu que celui d’une épidémie, </w:t>
      </w:r>
      <w:r>
        <w:rPr>
          <w:rStyle w:val="normaltextrun"/>
        </w:rPr>
        <w:t xml:space="preserve">une mauvaise information communiquée sur les réseaux sociaux peut engendrer des risques extrêmement graves pour la population. </w:t>
      </w:r>
      <w:r>
        <w:rPr>
          <w:rStyle w:val="normaltextrun"/>
          <w:color w:val="000000"/>
        </w:rPr>
        <w:t>Il est donc important de questionner la manière dont cette nouvelle forme d’autorité et de légitimité se manifeste socialement sur les réseaux sociaux, durant la gestion d’une épidémie.</w:t>
      </w:r>
    </w:p>
    <w:p w14:paraId="5B89541F" w14:textId="77777777" w:rsidR="00177353" w:rsidRDefault="00177353" w:rsidP="00177353">
      <w:pPr>
        <w:jc w:val="both"/>
        <w:rPr>
          <w:rStyle w:val="normaltextrun"/>
          <w:rFonts w:ascii="Times New Roman" w:eastAsia="Times New Roman" w:hAnsi="Times New Roman" w:cs="Times New Roman"/>
          <w:sz w:val="24"/>
          <w:szCs w:val="24"/>
          <w:lang w:eastAsia="fr-FR"/>
        </w:rPr>
      </w:pPr>
      <w:r>
        <w:rPr>
          <w:rStyle w:val="normaltextrun"/>
          <w:rFonts w:ascii="Times New Roman" w:eastAsia="Times New Roman" w:hAnsi="Times New Roman" w:cs="Times New Roman"/>
          <w:sz w:val="24"/>
          <w:szCs w:val="24"/>
          <w:lang w:eastAsia="fr-FR"/>
        </w:rPr>
        <w:tab/>
        <w:t>Notre cadre théorique repose sur les questions d’autorité et de légitimité du discours. Dans une démarche méthodologique impliquant à la fois des analyses quantitatives et qualitatives, nous avons choisi comme cas d'étude les publications portant sur Ebola durant la dernière épidémie de 2019 en RDC, sur Twitter et Facebook.</w:t>
      </w:r>
    </w:p>
    <w:p w14:paraId="3E6D050D" w14:textId="77777777" w:rsidR="00177353" w:rsidRDefault="00177353" w:rsidP="00177353">
      <w:pPr>
        <w:pStyle w:val="paragraph"/>
        <w:spacing w:before="0" w:beforeAutospacing="0" w:after="0" w:afterAutospacing="0" w:line="276" w:lineRule="auto"/>
        <w:ind w:firstLine="720"/>
        <w:jc w:val="both"/>
        <w:textAlignment w:val="baseline"/>
        <w:rPr>
          <w:rStyle w:val="normaltextrun"/>
          <w:color w:val="000000"/>
        </w:rPr>
      </w:pPr>
      <w:r>
        <w:rPr>
          <w:rStyle w:val="normaltextrun"/>
          <w:color w:val="000000"/>
        </w:rPr>
        <w:t>Nous observons dans les pratiques que des acteurs non classiques de la communication sur Ebola (contrairement à ceux impliqués officiellement), se sont révélés être également très présents, et suivis par la population sur les réseaux sociaux. Les publications d’artistes musiciens, d’acteurs politiques ou d’autorités religieuses en sont des exemples qui révèlent parfois des risques.</w:t>
      </w:r>
    </w:p>
    <w:p w14:paraId="77678AC0" w14:textId="77777777" w:rsidR="00177353" w:rsidRDefault="00177353" w:rsidP="00177353">
      <w:pPr>
        <w:jc w:val="both"/>
        <w:rPr>
          <w:rStyle w:val="normaltextrun"/>
          <w:rFonts w:ascii="Times New Roman" w:eastAsia="Times New Roman" w:hAnsi="Times New Roman" w:cs="Times New Roman"/>
          <w:color w:val="000000"/>
          <w:sz w:val="24"/>
          <w:szCs w:val="24"/>
          <w:lang w:eastAsia="fr-FR"/>
        </w:rPr>
      </w:pPr>
    </w:p>
    <w:p w14:paraId="5A42EF72" w14:textId="77777777" w:rsidR="00177353" w:rsidRDefault="00177353" w:rsidP="00177353">
      <w:pPr>
        <w:jc w:val="both"/>
        <w:rPr>
          <w:rStyle w:val="normaltextrun"/>
          <w:rFonts w:ascii="Times New Roman" w:eastAsia="Times New Roman" w:hAnsi="Times New Roman" w:cs="Times New Roman"/>
          <w:color w:val="000000"/>
          <w:sz w:val="24"/>
          <w:szCs w:val="24"/>
          <w:lang w:eastAsia="fr-FR"/>
        </w:rPr>
      </w:pPr>
    </w:p>
    <w:p w14:paraId="6FC28578" w14:textId="38E246E2" w:rsidR="00177353" w:rsidRDefault="00177353" w:rsidP="00E92556">
      <w:pPr>
        <w:pStyle w:val="paragraph"/>
        <w:spacing w:before="0" w:beforeAutospacing="0" w:after="0" w:afterAutospacing="0" w:line="276" w:lineRule="auto"/>
        <w:jc w:val="both"/>
        <w:textAlignment w:val="baseline"/>
        <w:rPr>
          <w:rStyle w:val="normaltextrun"/>
          <w:rFonts w:asciiTheme="minorHAnsi" w:hAnsiTheme="minorHAnsi" w:cstheme="minorHAnsi"/>
          <w:color w:val="000000"/>
        </w:rPr>
      </w:pPr>
    </w:p>
    <w:p w14:paraId="5BC621AB" w14:textId="5B068798" w:rsidR="00177353" w:rsidRDefault="00177353" w:rsidP="00E92556">
      <w:pPr>
        <w:pStyle w:val="paragraph"/>
        <w:spacing w:before="0" w:beforeAutospacing="0" w:after="0" w:afterAutospacing="0" w:line="276" w:lineRule="auto"/>
        <w:jc w:val="both"/>
        <w:textAlignment w:val="baseline"/>
        <w:rPr>
          <w:rStyle w:val="normaltextrun"/>
          <w:rFonts w:asciiTheme="minorHAnsi" w:hAnsiTheme="minorHAnsi" w:cstheme="minorHAnsi"/>
          <w:color w:val="000000"/>
        </w:rPr>
      </w:pPr>
    </w:p>
    <w:p w14:paraId="248CB055" w14:textId="445565C0" w:rsidR="00177353" w:rsidRDefault="00177353" w:rsidP="00E92556">
      <w:pPr>
        <w:pStyle w:val="paragraph"/>
        <w:spacing w:before="0" w:beforeAutospacing="0" w:after="0" w:afterAutospacing="0" w:line="276" w:lineRule="auto"/>
        <w:jc w:val="both"/>
        <w:textAlignment w:val="baseline"/>
        <w:rPr>
          <w:rStyle w:val="normaltextrun"/>
          <w:rFonts w:asciiTheme="minorHAnsi" w:hAnsiTheme="minorHAnsi" w:cstheme="minorHAnsi"/>
          <w:color w:val="000000"/>
        </w:rPr>
      </w:pPr>
    </w:p>
    <w:p w14:paraId="1B2D4B6C" w14:textId="33B32B74" w:rsidR="00177353" w:rsidRDefault="00177353" w:rsidP="00E92556">
      <w:pPr>
        <w:pStyle w:val="paragraph"/>
        <w:spacing w:before="0" w:beforeAutospacing="0" w:after="0" w:afterAutospacing="0" w:line="276" w:lineRule="auto"/>
        <w:jc w:val="both"/>
        <w:textAlignment w:val="baseline"/>
        <w:rPr>
          <w:rStyle w:val="normaltextrun"/>
          <w:rFonts w:asciiTheme="minorHAnsi" w:hAnsiTheme="minorHAnsi" w:cstheme="minorHAnsi"/>
          <w:color w:val="000000"/>
        </w:rPr>
      </w:pPr>
    </w:p>
    <w:p w14:paraId="7B96C3F9" w14:textId="61E9288F" w:rsidR="00177353" w:rsidRDefault="00177353" w:rsidP="00E92556">
      <w:pPr>
        <w:pStyle w:val="paragraph"/>
        <w:spacing w:before="0" w:beforeAutospacing="0" w:after="0" w:afterAutospacing="0" w:line="276" w:lineRule="auto"/>
        <w:jc w:val="both"/>
        <w:textAlignment w:val="baseline"/>
        <w:rPr>
          <w:rStyle w:val="normaltextrun"/>
          <w:rFonts w:asciiTheme="minorHAnsi" w:hAnsiTheme="minorHAnsi" w:cstheme="minorHAnsi"/>
          <w:color w:val="000000"/>
        </w:rPr>
      </w:pPr>
    </w:p>
    <w:p w14:paraId="48C5CE97" w14:textId="67934C1F" w:rsidR="00177353" w:rsidRDefault="00177353" w:rsidP="00E92556">
      <w:pPr>
        <w:pStyle w:val="paragraph"/>
        <w:spacing w:before="0" w:beforeAutospacing="0" w:after="0" w:afterAutospacing="0" w:line="276" w:lineRule="auto"/>
        <w:jc w:val="both"/>
        <w:textAlignment w:val="baseline"/>
        <w:rPr>
          <w:rStyle w:val="normaltextrun"/>
          <w:rFonts w:asciiTheme="minorHAnsi" w:hAnsiTheme="minorHAnsi" w:cstheme="minorHAnsi"/>
          <w:color w:val="000000"/>
        </w:rPr>
      </w:pPr>
    </w:p>
    <w:p w14:paraId="18DC363A" w14:textId="5319174D" w:rsidR="00177353" w:rsidRDefault="00177353" w:rsidP="00E92556">
      <w:pPr>
        <w:pStyle w:val="paragraph"/>
        <w:spacing w:before="0" w:beforeAutospacing="0" w:after="0" w:afterAutospacing="0" w:line="276" w:lineRule="auto"/>
        <w:jc w:val="both"/>
        <w:textAlignment w:val="baseline"/>
        <w:rPr>
          <w:rStyle w:val="normaltextrun"/>
          <w:rFonts w:asciiTheme="minorHAnsi" w:hAnsiTheme="minorHAnsi" w:cstheme="minorHAnsi"/>
          <w:color w:val="000000"/>
        </w:rPr>
      </w:pPr>
    </w:p>
    <w:p w14:paraId="049FC2B6" w14:textId="77777777" w:rsidR="00177353" w:rsidRDefault="00177353" w:rsidP="00E92556">
      <w:pPr>
        <w:pStyle w:val="paragraph"/>
        <w:spacing w:before="0" w:beforeAutospacing="0" w:after="0" w:afterAutospacing="0" w:line="276" w:lineRule="auto"/>
        <w:jc w:val="both"/>
        <w:textAlignment w:val="baseline"/>
        <w:rPr>
          <w:rStyle w:val="normaltextrun"/>
          <w:rFonts w:asciiTheme="minorHAnsi" w:hAnsiTheme="minorHAnsi" w:cstheme="minorHAnsi"/>
          <w:color w:val="000000"/>
        </w:rPr>
      </w:pPr>
    </w:p>
    <w:p w14:paraId="25AB3F15" w14:textId="77777777" w:rsidR="00177353" w:rsidRDefault="00177353" w:rsidP="00E92556">
      <w:pPr>
        <w:pStyle w:val="paragraph"/>
        <w:spacing w:before="0" w:beforeAutospacing="0" w:after="0" w:afterAutospacing="0" w:line="276" w:lineRule="auto"/>
        <w:jc w:val="both"/>
        <w:textAlignment w:val="baseline"/>
        <w:rPr>
          <w:rStyle w:val="normaltextrun"/>
          <w:rFonts w:asciiTheme="minorHAnsi" w:hAnsiTheme="minorHAnsi" w:cstheme="minorHAnsi"/>
          <w:color w:val="000000"/>
        </w:rPr>
      </w:pPr>
    </w:p>
    <w:p w14:paraId="4F0566B1" w14:textId="77777777" w:rsidR="00177353" w:rsidRDefault="00177353" w:rsidP="00E92556">
      <w:pPr>
        <w:pStyle w:val="paragraph"/>
        <w:spacing w:before="0" w:beforeAutospacing="0" w:after="0" w:afterAutospacing="0" w:line="276" w:lineRule="auto"/>
        <w:jc w:val="both"/>
        <w:textAlignment w:val="baseline"/>
        <w:rPr>
          <w:rStyle w:val="normaltextrun"/>
          <w:rFonts w:asciiTheme="minorHAnsi" w:hAnsiTheme="minorHAnsi" w:cstheme="minorHAnsi"/>
          <w:color w:val="000000"/>
        </w:rPr>
      </w:pPr>
    </w:p>
    <w:p w14:paraId="4BA38EA3" w14:textId="359FD043" w:rsidR="0053309B" w:rsidRPr="00F7051C" w:rsidRDefault="0053309B" w:rsidP="00E92556">
      <w:pPr>
        <w:pStyle w:val="paragraph"/>
        <w:spacing w:before="0" w:beforeAutospacing="0" w:after="0" w:afterAutospacing="0" w:line="276" w:lineRule="auto"/>
        <w:jc w:val="both"/>
        <w:textAlignment w:val="baseline"/>
        <w:rPr>
          <w:rStyle w:val="eop"/>
          <w:rFonts w:asciiTheme="minorHAnsi" w:hAnsiTheme="minorHAnsi" w:cstheme="minorHAnsi"/>
        </w:rPr>
      </w:pPr>
      <w:r w:rsidRPr="00F7051C">
        <w:rPr>
          <w:rStyle w:val="normaltextrun"/>
          <w:rFonts w:asciiTheme="minorHAnsi" w:hAnsiTheme="minorHAnsi" w:cstheme="minorHAnsi"/>
          <w:color w:val="000000"/>
        </w:rPr>
        <w:lastRenderedPageBreak/>
        <w:tab/>
      </w:r>
      <w:r w:rsidR="004C1068" w:rsidRPr="00F7051C">
        <w:rPr>
          <w:rStyle w:val="normaltextrun"/>
          <w:rFonts w:asciiTheme="minorHAnsi" w:hAnsiTheme="minorHAnsi" w:cstheme="minorHAnsi"/>
          <w:color w:val="000000"/>
        </w:rPr>
        <w:t xml:space="preserve">La gestion de la communication </w:t>
      </w:r>
      <w:r w:rsidR="003D40D5" w:rsidRPr="00F7051C">
        <w:rPr>
          <w:rStyle w:val="normaltextrun"/>
          <w:rFonts w:asciiTheme="minorHAnsi" w:hAnsiTheme="minorHAnsi" w:cstheme="minorHAnsi"/>
          <w:color w:val="000000"/>
        </w:rPr>
        <w:t>durant une crise sanitaire</w:t>
      </w:r>
      <w:r w:rsidR="000F1962">
        <w:rPr>
          <w:rStyle w:val="normaltextrun"/>
          <w:rFonts w:asciiTheme="minorHAnsi" w:hAnsiTheme="minorHAnsi" w:cstheme="minorHAnsi"/>
          <w:color w:val="000000"/>
        </w:rPr>
        <w:t xml:space="preserve"> constitue</w:t>
      </w:r>
      <w:r w:rsidR="004C1068" w:rsidRPr="00F7051C">
        <w:rPr>
          <w:rStyle w:val="normaltextrun"/>
          <w:rFonts w:asciiTheme="minorHAnsi" w:hAnsiTheme="minorHAnsi" w:cstheme="minorHAnsi"/>
          <w:color w:val="000000"/>
        </w:rPr>
        <w:t xml:space="preserve"> un réel défi</w:t>
      </w:r>
      <w:r w:rsidR="003D40D5" w:rsidRPr="00F7051C">
        <w:rPr>
          <w:rStyle w:val="normaltextrun"/>
          <w:rFonts w:asciiTheme="minorHAnsi" w:hAnsiTheme="minorHAnsi" w:cstheme="minorHAnsi"/>
          <w:color w:val="000000"/>
        </w:rPr>
        <w:t xml:space="preserve"> </w:t>
      </w:r>
      <w:r w:rsidR="003D40D5" w:rsidRPr="00F7051C">
        <w:rPr>
          <w:rStyle w:val="normaltextrun"/>
          <w:rFonts w:asciiTheme="minorHAnsi" w:hAnsiTheme="minorHAnsi" w:cstheme="minorHAnsi"/>
          <w:color w:val="000000"/>
        </w:rPr>
        <w:fldChar w:fldCharType="begin"/>
      </w:r>
      <w:r w:rsidR="003D40D5" w:rsidRPr="00F7051C">
        <w:rPr>
          <w:rStyle w:val="normaltextrun"/>
          <w:rFonts w:asciiTheme="minorHAnsi" w:hAnsiTheme="minorHAnsi" w:cstheme="minorHAnsi"/>
          <w:color w:val="000000"/>
        </w:rPr>
        <w:instrText xml:space="preserve"> ADDIN ZOTERO_ITEM CSL_CITATION {"citationID":"jXv1516I","properties":{"formattedCitation":"(Ollivier-Yaniv, 2015)","plainCitation":"(Ollivier-Yaniv, 2015)","noteIndex":0},"citationItems":[{"id":1715,"uris":["http://zotero.org/users/3162888/items/K44J988Y"],"uri":["http://zotero.org/users/3162888/items/K44J988Y"],"itemData":{"id":1715,"type":"article-journal","title":"La communication publique sanitaire à l’épreuve des controverses","container-title":"Hermes, La Revue","page":"69-80","volume":"n° 73","issue":"3","source":"www.cairn.info","abstract":"À partir d’une conception intégrative de la communication et des médiations dans l’action publique, l’article interroge les transformations du travail de gouvernement sous l’emprise des controverses, autrement dit de la critique ou de la contestation publiques, dans des arènes diversifiées, des modalités de l’action publique française en matière de santé. L’analyse de la spécialisation de la « communication de crise » et du développement interministériel de la « gestion de crise » permet de mettre en évidence comment et pourquoi les acteurs publics se dotent progressivement d’instruments renouvelés. L’article souligne également les limites de ce phénomène : la contradiction temporelle entre la complexité des circuits de validation de la communication institutionnelle et la réactivité consubstantielle au fonctionnement des réseaux sociaux ; les difficultés d’élaboration de discours unifiés compte tenu de la complexité des sujets et de l’instabilité des savoirs scientifiques ; les frottements, et parfois même l’irréductibilité, entre les socialisations administratives, politiques mais aussi scientifiques, médicales et communicationnelles des acteurs impliqués dans l’identification et le traitement des controverses. Dans la saisie et le traitement des controverses par les acteurs publics, les principes et les compétences caractéristiques de la fonction communication apparaissent en définitive subordonnés aux décisions politiques et aux savoirs biomédicaux.","ISSN":"0767-9513","language":"fr","author":[{"family":"Ollivier-Yaniv","given":"Caroline"}],"issued":{"date-parts":[["2015",12,11]]}}}],"schema":"https://github.com/citation-style-language/schema/raw/master/csl-citation.json"} </w:instrText>
      </w:r>
      <w:r w:rsidR="003D40D5" w:rsidRPr="00F7051C">
        <w:rPr>
          <w:rStyle w:val="normaltextrun"/>
          <w:rFonts w:asciiTheme="minorHAnsi" w:hAnsiTheme="minorHAnsi" w:cstheme="minorHAnsi"/>
          <w:color w:val="000000"/>
        </w:rPr>
        <w:fldChar w:fldCharType="separate"/>
      </w:r>
      <w:r w:rsidR="003D40D5" w:rsidRPr="00F7051C">
        <w:rPr>
          <w:rFonts w:asciiTheme="minorHAnsi" w:hAnsiTheme="minorHAnsi" w:cstheme="minorHAnsi"/>
        </w:rPr>
        <w:t>(Ollivier-Yaniv, 2015)</w:t>
      </w:r>
      <w:r w:rsidR="003D40D5" w:rsidRPr="00F7051C">
        <w:rPr>
          <w:rStyle w:val="normaltextrun"/>
          <w:rFonts w:asciiTheme="minorHAnsi" w:hAnsiTheme="minorHAnsi" w:cstheme="minorHAnsi"/>
          <w:color w:val="000000"/>
        </w:rPr>
        <w:fldChar w:fldCharType="end"/>
      </w:r>
      <w:r w:rsidR="003D40D5" w:rsidRPr="00F7051C">
        <w:rPr>
          <w:rStyle w:val="normaltextrun"/>
          <w:rFonts w:asciiTheme="minorHAnsi" w:hAnsiTheme="minorHAnsi" w:cstheme="minorHAnsi"/>
          <w:color w:val="000000"/>
        </w:rPr>
        <w:t xml:space="preserve"> </w:t>
      </w:r>
      <w:r w:rsidRPr="00F7051C">
        <w:rPr>
          <w:rStyle w:val="normaltextrun"/>
          <w:rFonts w:asciiTheme="minorHAnsi" w:hAnsiTheme="minorHAnsi" w:cstheme="minorHAnsi"/>
          <w:color w:val="000000"/>
        </w:rPr>
        <w:t>,</w:t>
      </w:r>
      <w:r w:rsidR="004C1068" w:rsidRPr="00F7051C">
        <w:rPr>
          <w:rStyle w:val="normaltextrun"/>
          <w:rFonts w:asciiTheme="minorHAnsi" w:hAnsiTheme="minorHAnsi" w:cstheme="minorHAnsi"/>
          <w:color w:val="000000"/>
        </w:rPr>
        <w:t>d’autant plus que le monopole d</w:t>
      </w:r>
      <w:r w:rsidRPr="00F7051C">
        <w:rPr>
          <w:rStyle w:val="normaltextrun"/>
          <w:rFonts w:asciiTheme="minorHAnsi" w:hAnsiTheme="minorHAnsi" w:cstheme="minorHAnsi"/>
          <w:color w:val="000000"/>
        </w:rPr>
        <w:t>e diffusion d’information</w:t>
      </w:r>
      <w:r w:rsidR="004C1068" w:rsidRPr="00F7051C">
        <w:rPr>
          <w:rStyle w:val="normaltextrun"/>
          <w:rFonts w:asciiTheme="minorHAnsi" w:hAnsiTheme="minorHAnsi" w:cstheme="minorHAnsi"/>
          <w:color w:val="000000"/>
        </w:rPr>
        <w:t xml:space="preserve"> </w:t>
      </w:r>
      <w:r w:rsidR="00CE45A4">
        <w:rPr>
          <w:rStyle w:val="normaltextrun"/>
          <w:rFonts w:asciiTheme="minorHAnsi" w:hAnsiTheme="minorHAnsi" w:cstheme="minorHAnsi"/>
          <w:color w:val="000000"/>
        </w:rPr>
        <w:t xml:space="preserve">ne revient plus qu’aux </w:t>
      </w:r>
      <w:r w:rsidR="004C1068" w:rsidRPr="00F7051C">
        <w:rPr>
          <w:rStyle w:val="normaltextrun"/>
          <w:rFonts w:asciiTheme="minorHAnsi" w:hAnsiTheme="minorHAnsi" w:cstheme="minorHAnsi"/>
          <w:color w:val="000000"/>
        </w:rPr>
        <w:t>formes d’autorité</w:t>
      </w:r>
      <w:r w:rsidR="00CE45A4">
        <w:rPr>
          <w:rStyle w:val="normaltextrun"/>
          <w:rFonts w:asciiTheme="minorHAnsi" w:hAnsiTheme="minorHAnsi" w:cstheme="minorHAnsi"/>
          <w:color w:val="000000"/>
        </w:rPr>
        <w:t>s</w:t>
      </w:r>
      <w:r w:rsidR="004C1068" w:rsidRPr="00F7051C">
        <w:rPr>
          <w:rStyle w:val="normaltextrun"/>
          <w:rFonts w:asciiTheme="minorHAnsi" w:hAnsiTheme="minorHAnsi" w:cstheme="minorHAnsi"/>
          <w:color w:val="000000"/>
        </w:rPr>
        <w:t xml:space="preserve"> énonciatives traditionnelles </w:t>
      </w:r>
      <w:r w:rsidRPr="00F7051C">
        <w:rPr>
          <w:rStyle w:val="normaltextrun"/>
          <w:rFonts w:asciiTheme="minorHAnsi" w:hAnsiTheme="minorHAnsi" w:cstheme="minorHAnsi"/>
          <w:color w:val="000000"/>
        </w:rPr>
        <w:t>(Ministère de la santé, Présidence de la république, experts médicaux,…)</w:t>
      </w:r>
      <w:r w:rsidR="00CE45A4">
        <w:rPr>
          <w:rStyle w:val="normaltextrun"/>
          <w:rFonts w:asciiTheme="minorHAnsi" w:hAnsiTheme="minorHAnsi" w:cstheme="minorHAnsi"/>
          <w:color w:val="000000"/>
        </w:rPr>
        <w:t>,</w:t>
      </w:r>
      <w:r w:rsidRPr="00F7051C">
        <w:rPr>
          <w:rStyle w:val="normaltextrun"/>
          <w:rFonts w:asciiTheme="minorHAnsi" w:hAnsiTheme="minorHAnsi" w:cstheme="minorHAnsi"/>
          <w:color w:val="000000"/>
        </w:rPr>
        <w:t xml:space="preserve"> </w:t>
      </w:r>
      <w:r w:rsidR="00CE45A4">
        <w:rPr>
          <w:rStyle w:val="normaltextrun"/>
          <w:rFonts w:asciiTheme="minorHAnsi" w:hAnsiTheme="minorHAnsi" w:cstheme="minorHAnsi"/>
          <w:color w:val="000000"/>
        </w:rPr>
        <w:t xml:space="preserve">et que plusieurs autres acteurs apparaissent dans </w:t>
      </w:r>
      <w:r w:rsidR="00404946" w:rsidRPr="00F7051C">
        <w:rPr>
          <w:rStyle w:val="normaltextrun"/>
          <w:rFonts w:asciiTheme="minorHAnsi" w:hAnsiTheme="minorHAnsi" w:cstheme="minorHAnsi"/>
          <w:color w:val="000000"/>
        </w:rPr>
        <w:t>l</w:t>
      </w:r>
      <w:r w:rsidR="004C1068" w:rsidRPr="00F7051C">
        <w:rPr>
          <w:rStyle w:val="normaltextrun"/>
          <w:rFonts w:asciiTheme="minorHAnsi" w:hAnsiTheme="minorHAnsi" w:cstheme="minorHAnsi"/>
          <w:color w:val="000000"/>
        </w:rPr>
        <w:t xml:space="preserve">e nouvel espace </w:t>
      </w:r>
      <w:r w:rsidR="003D40D5" w:rsidRPr="00F7051C">
        <w:rPr>
          <w:rStyle w:val="normaltextrun"/>
          <w:rFonts w:asciiTheme="minorHAnsi" w:hAnsiTheme="minorHAnsi" w:cstheme="minorHAnsi"/>
          <w:color w:val="000000"/>
        </w:rPr>
        <w:t>public</w:t>
      </w:r>
      <w:r w:rsidR="000F1962">
        <w:rPr>
          <w:rStyle w:val="normaltextrun"/>
          <w:rFonts w:asciiTheme="minorHAnsi" w:hAnsiTheme="minorHAnsi" w:cstheme="minorHAnsi"/>
          <w:color w:val="000000"/>
        </w:rPr>
        <w:t xml:space="preserve"> </w:t>
      </w:r>
      <w:r w:rsidRPr="00F7051C">
        <w:rPr>
          <w:rStyle w:val="normaltextrun"/>
          <w:rFonts w:asciiTheme="minorHAnsi" w:hAnsiTheme="minorHAnsi" w:cstheme="minorHAnsi"/>
          <w:color w:val="000000"/>
        </w:rPr>
        <w:t xml:space="preserve">constitué </w:t>
      </w:r>
      <w:r w:rsidR="00CE45A4">
        <w:rPr>
          <w:rStyle w:val="normaltextrun"/>
          <w:rFonts w:asciiTheme="minorHAnsi" w:hAnsiTheme="minorHAnsi" w:cstheme="minorHAnsi"/>
          <w:color w:val="000000"/>
        </w:rPr>
        <w:t>par les</w:t>
      </w:r>
      <w:r w:rsidR="004C1068" w:rsidRPr="00F7051C">
        <w:rPr>
          <w:rStyle w:val="normaltextrun"/>
          <w:rFonts w:asciiTheme="minorHAnsi" w:hAnsiTheme="minorHAnsi" w:cstheme="minorHAnsi"/>
          <w:color w:val="000000"/>
        </w:rPr>
        <w:t xml:space="preserve"> réseaux sociaux</w:t>
      </w:r>
      <w:r w:rsidR="000F1962" w:rsidRPr="00F7051C">
        <w:rPr>
          <w:rStyle w:val="normaltextrun"/>
          <w:rFonts w:asciiTheme="minorHAnsi" w:hAnsiTheme="minorHAnsi" w:cstheme="minorHAnsi"/>
          <w:color w:val="000000"/>
        </w:rPr>
        <w:t xml:space="preserve"> </w:t>
      </w:r>
      <w:r w:rsidR="000F1962" w:rsidRPr="00F7051C">
        <w:rPr>
          <w:rStyle w:val="normaltextrun"/>
          <w:rFonts w:asciiTheme="minorHAnsi" w:hAnsiTheme="minorHAnsi" w:cstheme="minorHAnsi"/>
          <w:color w:val="000000"/>
        </w:rPr>
        <w:fldChar w:fldCharType="begin"/>
      </w:r>
      <w:r w:rsidR="000F1962" w:rsidRPr="00F7051C">
        <w:rPr>
          <w:rStyle w:val="normaltextrun"/>
          <w:rFonts w:asciiTheme="minorHAnsi" w:hAnsiTheme="minorHAnsi" w:cstheme="minorHAnsi"/>
          <w:color w:val="000000"/>
        </w:rPr>
        <w:instrText xml:space="preserve"> ADDIN ZOTERO_ITEM CSL_CITATION {"citationID":"AniJla3X","properties":{"formattedCitation":"(Romeyer, 2010)","plainCitation":"(Romeyer, 2010)","noteIndex":0},"citationItems":[{"id":1718,"uris":["http://zotero.org/users/3162888/items/LKA7YCDG"],"uri":["http://zotero.org/users/3162888/items/LKA7YCDG"],"itemData":{"id":1718,"type":"book","title":"Introduction : santé et espace public","publisher":"Presses de l’EHESP","source":"www.cairn.info","URL":"https://www.cairn.info/la-sante-dans-l-espace-public--9782810900336-page-5.htm?contenu=resume","ISBN":"978-2-8109-0033-6","title-short":"Introduction","language":"fr","author":[{"family":"Romeyer","given":"Hélène"}],"issued":{"date-parts":[["2010"]]},"accessed":{"date-parts":[["2019",8,27]]}}}],"schema":"https://github.com/citation-style-language/schema/raw/master/csl-citation.json"} </w:instrText>
      </w:r>
      <w:r w:rsidR="000F1962" w:rsidRPr="00F7051C">
        <w:rPr>
          <w:rStyle w:val="normaltextrun"/>
          <w:rFonts w:asciiTheme="minorHAnsi" w:hAnsiTheme="minorHAnsi" w:cstheme="minorHAnsi"/>
          <w:color w:val="000000"/>
        </w:rPr>
        <w:fldChar w:fldCharType="separate"/>
      </w:r>
      <w:r w:rsidR="000F1962" w:rsidRPr="00F7051C">
        <w:rPr>
          <w:rFonts w:asciiTheme="minorHAnsi" w:hAnsiTheme="minorHAnsi" w:cstheme="minorHAnsi"/>
        </w:rPr>
        <w:t>(Romeyer, 2010)</w:t>
      </w:r>
      <w:r w:rsidR="000F1962" w:rsidRPr="00F7051C">
        <w:rPr>
          <w:rStyle w:val="normaltextrun"/>
          <w:rFonts w:asciiTheme="minorHAnsi" w:hAnsiTheme="minorHAnsi" w:cstheme="minorHAnsi"/>
          <w:color w:val="000000"/>
        </w:rPr>
        <w:fldChar w:fldCharType="end"/>
      </w:r>
      <w:r w:rsidR="004C1068" w:rsidRPr="00F7051C">
        <w:rPr>
          <w:rStyle w:val="normaltextrun"/>
          <w:rFonts w:asciiTheme="minorHAnsi" w:hAnsiTheme="minorHAnsi" w:cstheme="minorHAnsi"/>
          <w:color w:val="000000"/>
        </w:rPr>
        <w:t>.</w:t>
      </w:r>
      <w:r w:rsidR="004C1068" w:rsidRPr="00F7051C">
        <w:rPr>
          <w:rStyle w:val="eop"/>
          <w:rFonts w:asciiTheme="minorHAnsi" w:hAnsiTheme="minorHAnsi" w:cstheme="minorHAnsi"/>
        </w:rPr>
        <w:t> </w:t>
      </w:r>
    </w:p>
    <w:p w14:paraId="37D0B4D5" w14:textId="08C7849C" w:rsidR="0053309B" w:rsidRDefault="0053309B" w:rsidP="00E92556">
      <w:pPr>
        <w:pStyle w:val="paragraph"/>
        <w:spacing w:before="0" w:beforeAutospacing="0" w:after="0" w:afterAutospacing="0" w:line="276" w:lineRule="auto"/>
        <w:jc w:val="both"/>
        <w:textAlignment w:val="baseline"/>
        <w:rPr>
          <w:rStyle w:val="normaltextrun"/>
          <w:rFonts w:asciiTheme="minorHAnsi" w:hAnsiTheme="minorHAnsi" w:cstheme="minorHAnsi"/>
        </w:rPr>
      </w:pPr>
      <w:r w:rsidRPr="00F7051C">
        <w:rPr>
          <w:rStyle w:val="normaltextrun"/>
          <w:rFonts w:asciiTheme="minorHAnsi" w:hAnsiTheme="minorHAnsi" w:cstheme="minorHAnsi"/>
          <w:color w:val="000000"/>
        </w:rPr>
        <w:tab/>
      </w:r>
      <w:r w:rsidR="004C1068" w:rsidRPr="00F7051C">
        <w:rPr>
          <w:rStyle w:val="normaltextrun"/>
          <w:rFonts w:asciiTheme="minorHAnsi" w:hAnsiTheme="minorHAnsi" w:cstheme="minorHAnsi"/>
          <w:color w:val="000000"/>
        </w:rPr>
        <w:t>En effet, la diversité de médias numériques, bien que révolutionnant le mode de communication de différents acteurs</w:t>
      </w:r>
      <w:r w:rsidR="003D40D5" w:rsidRPr="00F7051C">
        <w:rPr>
          <w:rStyle w:val="normaltextrun"/>
          <w:rFonts w:asciiTheme="minorHAnsi" w:hAnsiTheme="minorHAnsi" w:cstheme="minorHAnsi"/>
          <w:color w:val="000000"/>
        </w:rPr>
        <w:t xml:space="preserve"> </w:t>
      </w:r>
      <w:r w:rsidR="005D1919" w:rsidRPr="00F7051C">
        <w:rPr>
          <w:rStyle w:val="normaltextrun"/>
          <w:rFonts w:asciiTheme="minorHAnsi" w:hAnsiTheme="minorHAnsi" w:cstheme="minorHAnsi"/>
          <w:color w:val="000000"/>
        </w:rPr>
        <w:fldChar w:fldCharType="begin"/>
      </w:r>
      <w:r w:rsidR="002372EC">
        <w:rPr>
          <w:rStyle w:val="normaltextrun"/>
          <w:rFonts w:asciiTheme="minorHAnsi" w:hAnsiTheme="minorHAnsi" w:cstheme="minorHAnsi"/>
          <w:color w:val="000000"/>
        </w:rPr>
        <w:instrText xml:space="preserve"> ADDIN ZOTERO_ITEM CSL_CITATION {"citationID":"HBDnn5Jz","properties":{"formattedCitation":"(Ch\\uc0\\u233{}neau-Loquay, 2010; El Mehdi, 2011; Kiyindou, 2009; Loukou, 2012; Rieder &amp; Smyrnaios, 2012)","plainCitation":"(Chéneau-Loquay, 2010; El Mehdi, 2011; Kiyindou, 2009; Loukou, 2012; Rieder &amp; Smyrnaios, 2012)","noteIndex":0},"citationItems":[{"id":777,"uris":["http://zotero.org/users/3162888/items/97ZAIWZ2"],"uri":["http://zotero.org/users/3162888/items/97ZAIWZ2"],"itemData":{"id":777,"type":"article-journal","title":"L'Afrique au seuil de la révolution des télécommunications: Les grandes tendances de la diffusion des TIC","container-title":"Afrique contemporaine","page":"93","volume":"234","issue":"2","source":"Crossref","DOI":"10.3917/afco.234.0093","ISSN":"0002-0478, 1782-138X","title-short":"L'Afrique au seuil de la révolution des télécommunications","language":"fr","author":[{"family":"Chéneau-Loquay","given":"Annie"}],"issued":{"date-parts":[["2010"]]}}},{"id":286,"uris":["http://zotero.org/users/3162888/items/PG4RW6FC"],"uri":["http://zotero.org/users/3162888/items/PG4RW6FC"],"itemData":{"id":286,"type":"article-journal","title":"Gouvernance et TIC : cas des pays d'Afrique","container-title":"Recherches en Sciences de Gestion","page":"63","volume":"86","issue":"5","source":"CrossRef","DOI":"10.3917/resg.086.0063","ISSN":"2259-6372, 2271-2836","title-short":"Gouvernance et TIC","language":"fr","author":[{"family":"El Mehdi","given":"Imen Khanchel"}],"issued":{"date-parts":[["2011"]]}}},{"id":463,"uris":["http://zotero.org/users/3162888/items/4GGR5LYZ"],"uri":["http://zotero.org/users/3162888/items/4GGR5LYZ"],"itemData":{"id":463,"type":"article-journal","title":"Technologies de l'information et de la communication et expression culturelle africaine","container-title":"Présence Africaine","page":"41","volume":"179-180","issue":"1","source":"CrossRef","DOI":"10.3917/presa.179.0041","ISSN":"0032-7638, 2271-197X","language":"fr","author":[{"family":"Kiyindou","given":"Alain"}],"issued":{"date-parts":[["2009"]]}}},{"id":38,"uris":["http://zotero.org/users/3162888/items/VRJST78Q"],"uri":["http://zotero.org/users/3162888/items/VRJST78Q"],"itemData":{"id":38,"type":"article-journal","title":"« Les TIC au service du développement en Afrique ». Simple slogan, illusion ou réalité ?","container-title":"tic&amp;société","issue":"Vol. 5, n°2-3","source":"ticetsociete.revues.org","abstract":"La problématique du développement par les TIC continue d’alimenter des controverses. En dépit du contexte actuel marqué par l’utilisation intensive de l’information dans de nombreuses activités, l’apport des TIC dans le développement de l’Afrique reste encore contesté. Par rapport à ce continent, ces outils sont considérés par leurs détracteurs comme un luxe improductif au regard des priorités classiques de développement.  Tout en reconnaissant la pertinence de ces arguments, la présente étude vise cependant à en relever les faiblesses et à démontrer, à travers le raisonnement théorique et des exemples pratiques, que les TIC sont aujourd’hui un facteur décisif de développement en Afrique, voire un préalable à la réalisation de celui-ci. L’étude s’appuie également sur la riche littérature portant sur la problématique des TIC au service du développement.","URL":"https://ticetsociete.revues.org/1047","DOI":"10.4000/ticetsociete.1047","language":"fr","author":[{"family":"Loukou","given":"Alain François"}],"issued":{"date-parts":[["2012",6,21]]},"accessed":{"date-parts":[["2016",6,10]]}}},{"id":1725,"uris":["http://zotero.org/users/3162888/items/CWEIDVTA"],"uri":["http://zotero.org/users/3162888/items/CWEIDVTA"],"itemData":{"id":1725,"type":"article-journal","title":"Pluralisme et infomédiation sociale de l'actualité : le cas de Twitter","container-title":"Reseaux","page":"105-139","volume":"n° 176","issue":"6","source":"www.cairn.info","abstract":"&lt;titre&gt;R&amp;#233;sum&amp;#233;&lt;/titre&gt;La question de l&amp;#8217;infom&amp;#233;diation sociale, ph&amp;#233;nom&amp;#232;ne d&amp;#8217;imbrication entre plateformes num&amp;#233;riques et ensembles sociaux, est d&amp;#233;battue depuis plusieurs ann&amp;#233;es. La pr&amp;#233;sente &amp;#233;tude contribue &amp;#224; ce d&amp;#233;bat par l&amp;#8217;analyse d&amp;#8217;un large &amp;#233;chantillon d&amp;#8217;utilisateurs francophones sur Twitter, se focalisant sur le partage et la discussion de l&amp;#8217;actualit&amp;#233;. Bien que soit observ&amp;#233;e la &amp;#171; g&amp;#233;om&amp;#233;trie variable &amp;#187; d&amp;#8217;une communication transversale &amp;#224; plusieurs &amp;#233;tages, en ce qui concerne les sujets les plus partag&amp;#233;s et comment&amp;#233;s, l&amp;#8217;agenda observable sur cette plate-forme refl&amp;#232;te en grande partie l&amp;#8217;agenda m&amp;#233;diatique plus large. A la diff&amp;#233;rence des &amp;#233;tudes portant sur les &amp;#201;tats-Unis, nous ne discernons aucune polarisation politique mais plut&amp;#244;t un mainstream, dont l&amp;#8217;h&amp;#233;g&amp;#233;monie est pourtant loin d&amp;#8217;&amp;#234;tre totale.","ISSN":"0751-7971","title-short":"Pluralisme et infomédiation sociale de l'actualité","language":"fr","author":[{"family":"Rieder","given":"Bernhard"},{"family":"Smyrnaios","given":"Nikos"}],"issued":{"date-parts":[["2012"]]}}}],"schema":"https://github.com/citation-style-language/schema/raw/master/csl-citation.json"} </w:instrText>
      </w:r>
      <w:r w:rsidR="005D1919" w:rsidRPr="00F7051C">
        <w:rPr>
          <w:rStyle w:val="normaltextrun"/>
          <w:rFonts w:asciiTheme="minorHAnsi" w:hAnsiTheme="minorHAnsi" w:cstheme="minorHAnsi"/>
          <w:color w:val="000000"/>
        </w:rPr>
        <w:fldChar w:fldCharType="separate"/>
      </w:r>
      <w:r w:rsidR="002372EC" w:rsidRPr="002372EC">
        <w:rPr>
          <w:rFonts w:ascii="Calibri" w:hAnsi="Calibri" w:cs="Calibri"/>
        </w:rPr>
        <w:t>(Chéneau-Loquay, 2010; El Mehdi, 2011; Kiyindou, 2009; Loukou, 2012; Rieder &amp; Smyrnaios, 2012)</w:t>
      </w:r>
      <w:r w:rsidR="005D1919" w:rsidRPr="00F7051C">
        <w:rPr>
          <w:rStyle w:val="normaltextrun"/>
          <w:rFonts w:asciiTheme="minorHAnsi" w:hAnsiTheme="minorHAnsi" w:cstheme="minorHAnsi"/>
          <w:color w:val="000000"/>
        </w:rPr>
        <w:fldChar w:fldCharType="end"/>
      </w:r>
      <w:r w:rsidR="004C1068" w:rsidRPr="00F7051C">
        <w:rPr>
          <w:rStyle w:val="normaltextrun"/>
          <w:rFonts w:asciiTheme="minorHAnsi" w:hAnsiTheme="minorHAnsi" w:cstheme="minorHAnsi"/>
          <w:color w:val="000000"/>
        </w:rPr>
        <w:t>, soulève aussi la problématique d</w:t>
      </w:r>
      <w:r w:rsidR="0090486D" w:rsidRPr="00F7051C">
        <w:rPr>
          <w:rStyle w:val="normaltextrun"/>
          <w:rFonts w:asciiTheme="minorHAnsi" w:hAnsiTheme="minorHAnsi" w:cstheme="minorHAnsi"/>
          <w:color w:val="000000"/>
        </w:rPr>
        <w:t>’autorité</w:t>
      </w:r>
      <w:r w:rsidR="004C1068" w:rsidRPr="00F7051C">
        <w:rPr>
          <w:rStyle w:val="normaltextrun"/>
          <w:rFonts w:asciiTheme="minorHAnsi" w:hAnsiTheme="minorHAnsi" w:cstheme="minorHAnsi"/>
          <w:color w:val="000000"/>
        </w:rPr>
        <w:t xml:space="preserve"> de certains d’entre eux</w:t>
      </w:r>
      <w:r w:rsidR="003D40D5" w:rsidRPr="00F7051C">
        <w:rPr>
          <w:rStyle w:val="normaltextrun"/>
          <w:rFonts w:asciiTheme="minorHAnsi" w:hAnsiTheme="minorHAnsi" w:cstheme="minorHAnsi"/>
          <w:color w:val="000000"/>
        </w:rPr>
        <w:t xml:space="preserve"> </w:t>
      </w:r>
      <w:r w:rsidR="005D1919" w:rsidRPr="00F7051C">
        <w:rPr>
          <w:rStyle w:val="normaltextrun"/>
          <w:rFonts w:asciiTheme="minorHAnsi" w:hAnsiTheme="minorHAnsi" w:cstheme="minorHAnsi"/>
          <w:color w:val="000000"/>
        </w:rPr>
        <w:fldChar w:fldCharType="begin"/>
      </w:r>
      <w:r w:rsidR="002372EC">
        <w:rPr>
          <w:rStyle w:val="normaltextrun"/>
          <w:rFonts w:asciiTheme="minorHAnsi" w:hAnsiTheme="minorHAnsi" w:cstheme="minorHAnsi"/>
          <w:color w:val="000000"/>
        </w:rPr>
        <w:instrText xml:space="preserve"> ADDIN ZOTERO_ITEM CSL_CITATION {"citationID":"LkV43G8O","properties":{"formattedCitation":"(Boustany, Broudoux, &amp; Chartron, 2013; Nisrine, 2012; Richaud, 2017)","plainCitation":"(Boustany, Broudoux, &amp; Chartron, 2013; Nisrine, 2012; Richaud, 2017)","noteIndex":0},"citationItems":[{"id":1711,"uris":["http://zotero.org/users/3162888/items/I969CBWH"],"uri":["http://zotero.org/users/3162888/items/I969CBWH"],"itemData":{"id":1711,"type":"book","title":"Introduction. Diversification des médiations informationnelles","publisher":"De Boeck Supérieur","source":"www.cairn.info","URL":"https://www.cairn.info/la-mediation-numerique-renouvellement--9782804182274-page-7.htm","ISBN":"978-2-8041-8227-4","language":"fr","author":[{"family":"Boustany","given":"Joumana"},{"family":"Broudoux","given":"Évelyne"},{"family":"Chartron","given":"Ghislaine"}],"issued":{"date-parts":[["2013"]]},"accessed":{"date-parts":[["2019",8,27]]}}},{"id":1723,"uris":["http://zotero.org/users/3162888/items/U7VFG43N"],"uri":["http://zotero.org/users/3162888/items/U7VFG43N"],"itemData":{"id":1723,"type":"thesis","title":"Réseaux sociaux numériques : essai de catégorisation et de cartographie des controverses","publisher":"Rennes 2","abstract":"2012 THESE / UNIVERSIT2 RENNES 2 pour obtenir le titre de DOCTEUR DE (L’Université Rennes 2) Mention : Sciences de l’Information et de la Communication","URL":"https://www.etudier.com/dissertations/Intitulé-De-La-Thèse-Réseaux/618498.html","title-short":"Intitulé de la thèse","language":"fr","author":[{"family":"Nisrine","given":"Zammar"}],"issued":{"date-parts":[["2012"]]},"accessed":{"date-parts":[["2019",8,27]]}}},{"id":1720,"uris":["http://zotero.org/users/3162888/items/IRVL5MEF"],"uri":["http://zotero.org/users/3162888/items/IRVL5MEF"],"itemData":{"id":1720,"type":"article-journal","title":"« Les réseaux sociaux : nouveaux espaces de contestation et de reconstruction de la politique ? »","container-title":"Les Nouveaux Cahiers du Conseil constitutionnel","page":"29-44","volume":"N° 57","issue":"4","source":"www.cairn.info","ISSN":"2112-2679","title-short":"« Les réseaux sociaux","language":"fr","author":[{"family":"Richaud","given":"Coralie"}],"issued":{"date-parts":[["2017",11,14]]}}}],"schema":"https://github.com/citation-style-language/schema/raw/master/csl-citation.json"} </w:instrText>
      </w:r>
      <w:r w:rsidR="005D1919" w:rsidRPr="00F7051C">
        <w:rPr>
          <w:rStyle w:val="normaltextrun"/>
          <w:rFonts w:asciiTheme="minorHAnsi" w:hAnsiTheme="minorHAnsi" w:cstheme="minorHAnsi"/>
          <w:color w:val="000000"/>
        </w:rPr>
        <w:fldChar w:fldCharType="separate"/>
      </w:r>
      <w:r w:rsidR="002372EC" w:rsidRPr="002372EC">
        <w:rPr>
          <w:rFonts w:ascii="Calibri" w:hAnsi="Calibri" w:cs="Calibri"/>
        </w:rPr>
        <w:t>(Boustany, Broudoux, &amp; Chartron, 2013; Nisrine, 2012; Richaud, 2017)</w:t>
      </w:r>
      <w:r w:rsidR="005D1919" w:rsidRPr="00F7051C">
        <w:rPr>
          <w:rStyle w:val="normaltextrun"/>
          <w:rFonts w:asciiTheme="minorHAnsi" w:hAnsiTheme="minorHAnsi" w:cstheme="minorHAnsi"/>
          <w:color w:val="000000"/>
        </w:rPr>
        <w:fldChar w:fldCharType="end"/>
      </w:r>
      <w:r w:rsidR="004C1068" w:rsidRPr="00F7051C">
        <w:rPr>
          <w:rStyle w:val="normaltextrun"/>
          <w:rFonts w:asciiTheme="minorHAnsi" w:hAnsiTheme="minorHAnsi" w:cstheme="minorHAnsi"/>
          <w:color w:val="000000"/>
        </w:rPr>
        <w:t>.</w:t>
      </w:r>
      <w:r w:rsidR="00CE45A4">
        <w:rPr>
          <w:rStyle w:val="normaltextrun"/>
          <w:rFonts w:asciiTheme="minorHAnsi" w:hAnsiTheme="minorHAnsi" w:cstheme="minorHAnsi"/>
          <w:color w:val="000000"/>
        </w:rPr>
        <w:t xml:space="preserve"> D</w:t>
      </w:r>
      <w:r w:rsidRPr="00F7051C">
        <w:rPr>
          <w:rStyle w:val="normaltextrun"/>
          <w:rFonts w:asciiTheme="minorHAnsi" w:hAnsiTheme="minorHAnsi" w:cstheme="minorHAnsi"/>
          <w:color w:val="000000"/>
        </w:rPr>
        <w:t xml:space="preserve">ans un </w:t>
      </w:r>
      <w:r w:rsidR="00441ABF">
        <w:rPr>
          <w:rStyle w:val="normaltextrun"/>
          <w:rFonts w:asciiTheme="minorHAnsi" w:hAnsiTheme="minorHAnsi" w:cstheme="minorHAnsi"/>
          <w:color w:val="000000"/>
        </w:rPr>
        <w:t xml:space="preserve">contexte aussi tendu que celui d’une </w:t>
      </w:r>
      <w:r w:rsidR="000F1962">
        <w:rPr>
          <w:rStyle w:val="normaltextrun"/>
          <w:rFonts w:asciiTheme="minorHAnsi" w:hAnsiTheme="minorHAnsi" w:cstheme="minorHAnsi"/>
          <w:color w:val="000000"/>
        </w:rPr>
        <w:t>épidémie</w:t>
      </w:r>
      <w:r w:rsidRPr="00F7051C">
        <w:rPr>
          <w:rStyle w:val="normaltextrun"/>
          <w:rFonts w:asciiTheme="minorHAnsi" w:hAnsiTheme="minorHAnsi" w:cstheme="minorHAnsi"/>
          <w:color w:val="000000"/>
        </w:rPr>
        <w:t xml:space="preserve">, </w:t>
      </w:r>
      <w:r w:rsidR="000F1962">
        <w:rPr>
          <w:rStyle w:val="normaltextrun"/>
          <w:rFonts w:asciiTheme="minorHAnsi" w:hAnsiTheme="minorHAnsi" w:cstheme="minorHAnsi"/>
        </w:rPr>
        <w:t xml:space="preserve">une mauvaise information communiquée sur </w:t>
      </w:r>
      <w:r w:rsidR="000F1962" w:rsidRPr="00F7051C">
        <w:rPr>
          <w:rStyle w:val="normaltextrun"/>
          <w:rFonts w:asciiTheme="minorHAnsi" w:hAnsiTheme="minorHAnsi" w:cstheme="minorHAnsi"/>
        </w:rPr>
        <w:t xml:space="preserve">les réseaux sociaux </w:t>
      </w:r>
      <w:r w:rsidR="000F1962">
        <w:rPr>
          <w:rStyle w:val="normaltextrun"/>
          <w:rFonts w:asciiTheme="minorHAnsi" w:hAnsiTheme="minorHAnsi" w:cstheme="minorHAnsi"/>
        </w:rPr>
        <w:t xml:space="preserve">peut engendrer des </w:t>
      </w:r>
      <w:r w:rsidRPr="00F7051C">
        <w:rPr>
          <w:rStyle w:val="normaltextrun"/>
          <w:rFonts w:asciiTheme="minorHAnsi" w:hAnsiTheme="minorHAnsi" w:cstheme="minorHAnsi"/>
        </w:rPr>
        <w:t>risques</w:t>
      </w:r>
      <w:r w:rsidR="00CE45A4">
        <w:rPr>
          <w:rStyle w:val="normaltextrun"/>
          <w:rFonts w:asciiTheme="minorHAnsi" w:hAnsiTheme="minorHAnsi" w:cstheme="minorHAnsi"/>
        </w:rPr>
        <w:t xml:space="preserve"> extrêmement </w:t>
      </w:r>
      <w:r w:rsidR="000F1962">
        <w:rPr>
          <w:rStyle w:val="normaltextrun"/>
          <w:rFonts w:asciiTheme="minorHAnsi" w:hAnsiTheme="minorHAnsi" w:cstheme="minorHAnsi"/>
        </w:rPr>
        <w:t>graves pour la population.</w:t>
      </w:r>
    </w:p>
    <w:p w14:paraId="6B9C53EB" w14:textId="77777777" w:rsidR="00CE45A4" w:rsidRPr="00F7051C" w:rsidRDefault="00CE45A4" w:rsidP="00E92556">
      <w:pPr>
        <w:pStyle w:val="paragraph"/>
        <w:spacing w:before="0" w:beforeAutospacing="0" w:after="0" w:afterAutospacing="0" w:line="276" w:lineRule="auto"/>
        <w:jc w:val="both"/>
        <w:textAlignment w:val="baseline"/>
        <w:rPr>
          <w:rStyle w:val="normaltextrun"/>
          <w:rFonts w:asciiTheme="minorHAnsi" w:hAnsiTheme="minorHAnsi" w:cstheme="minorHAnsi"/>
        </w:rPr>
      </w:pPr>
    </w:p>
    <w:p w14:paraId="57F685DC" w14:textId="67790776" w:rsidR="00CE45A4" w:rsidRPr="000F1962" w:rsidRDefault="00CE45A4" w:rsidP="00CE45A4">
      <w:pPr>
        <w:pStyle w:val="paragraph"/>
        <w:spacing w:before="0" w:beforeAutospacing="0" w:after="0" w:afterAutospacing="0" w:line="276" w:lineRule="auto"/>
        <w:jc w:val="both"/>
        <w:textAlignment w:val="baseline"/>
        <w:rPr>
          <w:rStyle w:val="normaltextrun"/>
          <w:rFonts w:asciiTheme="minorHAnsi" w:hAnsiTheme="minorHAnsi" w:cstheme="minorHAnsi"/>
        </w:rPr>
      </w:pPr>
      <w:r>
        <w:rPr>
          <w:rStyle w:val="normaltextrun"/>
          <w:rFonts w:asciiTheme="minorHAnsi" w:hAnsiTheme="minorHAnsi" w:cstheme="minorHAnsi"/>
        </w:rPr>
        <w:tab/>
      </w:r>
      <w:r w:rsidR="0053309B" w:rsidRPr="00F7051C">
        <w:rPr>
          <w:rStyle w:val="normaltextrun"/>
          <w:rFonts w:asciiTheme="minorHAnsi" w:hAnsiTheme="minorHAnsi" w:cstheme="minorHAnsi"/>
        </w:rPr>
        <w:t xml:space="preserve">Il est donc important </w:t>
      </w:r>
      <w:r w:rsidR="003D40D5" w:rsidRPr="00F7051C">
        <w:rPr>
          <w:rStyle w:val="normaltextrun"/>
          <w:rFonts w:asciiTheme="minorHAnsi" w:hAnsiTheme="minorHAnsi" w:cstheme="minorHAnsi"/>
        </w:rPr>
        <w:t>de questionner</w:t>
      </w:r>
      <w:r w:rsidR="0053309B" w:rsidRPr="00F7051C">
        <w:rPr>
          <w:rStyle w:val="normaltextrun"/>
          <w:rFonts w:asciiTheme="minorHAnsi" w:hAnsiTheme="minorHAnsi" w:cstheme="minorHAnsi"/>
        </w:rPr>
        <w:t xml:space="preserve"> la manière dont cette nouvelle forme </w:t>
      </w:r>
      <w:r w:rsidR="003D40D5" w:rsidRPr="00F7051C">
        <w:rPr>
          <w:rStyle w:val="normaltextrun"/>
          <w:rFonts w:asciiTheme="minorHAnsi" w:hAnsiTheme="minorHAnsi" w:cstheme="minorHAnsi"/>
        </w:rPr>
        <w:t xml:space="preserve">d’autorité et de légitimité </w:t>
      </w:r>
      <w:r w:rsidR="003D40D5" w:rsidRPr="00F7051C">
        <w:rPr>
          <w:rStyle w:val="normaltextrun"/>
          <w:rFonts w:asciiTheme="minorHAnsi" w:hAnsiTheme="minorHAnsi" w:cstheme="minorHAnsi"/>
        </w:rPr>
        <w:fldChar w:fldCharType="begin"/>
      </w:r>
      <w:r w:rsidR="003D40D5" w:rsidRPr="00F7051C">
        <w:rPr>
          <w:rStyle w:val="normaltextrun"/>
          <w:rFonts w:asciiTheme="minorHAnsi" w:hAnsiTheme="minorHAnsi" w:cstheme="minorHAnsi"/>
        </w:rPr>
        <w:instrText xml:space="preserve"> ADDIN ZOTERO_ITEM CSL_CITATION {"citationID":"g3mdfCf8","properties":{"formattedCitation":"(Ollivier-Yaniv, 2015)","plainCitation":"(Ollivier-Yaniv, 2015)","noteIndex":0},"citationItems":[{"id":1715,"uris":["http://zotero.org/users/3162888/items/K44J988Y"],"uri":["http://zotero.org/users/3162888/items/K44J988Y"],"itemData":{"id":1715,"type":"article-journal","title":"La communication publique sanitaire à l’épreuve des controverses","container-title":"Hermes, La Revue","page":"69-80","volume":"n° 73","issue":"3","source":"www.cairn.info","abstract":"À partir d’une conception intégrative de la communication et des médiations dans l’action publique, l’article interroge les transformations du travail de gouvernement sous l’emprise des controverses, autrement dit de la critique ou de la contestation publiques, dans des arènes diversifiées, des modalités de l’action publique française en matière de santé. L’analyse de la spécialisation de la « communication de crise » et du développement interministériel de la « gestion de crise » permet de mettre en évidence comment et pourquoi les acteurs publics se dotent progressivement d’instruments renouvelés. L’article souligne également les limites de ce phénomène : la contradiction temporelle entre la complexité des circuits de validation de la communication institutionnelle et la réactivité consubstantielle au fonctionnement des réseaux sociaux ; les difficultés d’élaboration de discours unifiés compte tenu de la complexité des sujets et de l’instabilité des savoirs scientifiques ; les frottements, et parfois même l’irréductibilité, entre les socialisations administratives, politiques mais aussi scientifiques, médicales et communicationnelles des acteurs impliqués dans l’identification et le traitement des controverses. Dans la saisie et le traitement des controverses par les acteurs publics, les principes et les compétences caractéristiques de la fonction communication apparaissent en définitive subordonnés aux décisions politiques et aux savoirs biomédicaux.","ISSN":"0767-9513","language":"fr","author":[{"family":"Ollivier-Yaniv","given":"Caroline"}],"issued":{"date-parts":[["2015",12,11]]}}}],"schema":"https://github.com/citation-style-language/schema/raw/master/csl-citation.json"} </w:instrText>
      </w:r>
      <w:r w:rsidR="003D40D5" w:rsidRPr="00F7051C">
        <w:rPr>
          <w:rStyle w:val="normaltextrun"/>
          <w:rFonts w:asciiTheme="minorHAnsi" w:hAnsiTheme="minorHAnsi" w:cstheme="minorHAnsi"/>
        </w:rPr>
        <w:fldChar w:fldCharType="separate"/>
      </w:r>
      <w:r w:rsidR="003D40D5" w:rsidRPr="00F7051C">
        <w:rPr>
          <w:rFonts w:asciiTheme="minorHAnsi" w:hAnsiTheme="minorHAnsi" w:cstheme="minorHAnsi"/>
        </w:rPr>
        <w:t>(Ollivier-Yaniv, 2015)</w:t>
      </w:r>
      <w:r w:rsidR="003D40D5" w:rsidRPr="00F7051C">
        <w:rPr>
          <w:rStyle w:val="normaltextrun"/>
          <w:rFonts w:asciiTheme="minorHAnsi" w:hAnsiTheme="minorHAnsi" w:cstheme="minorHAnsi"/>
        </w:rPr>
        <w:fldChar w:fldCharType="end"/>
      </w:r>
      <w:r w:rsidR="0053309B" w:rsidRPr="00F7051C">
        <w:rPr>
          <w:rStyle w:val="normaltextrun"/>
          <w:rFonts w:asciiTheme="minorHAnsi" w:hAnsiTheme="minorHAnsi" w:cstheme="minorHAnsi"/>
        </w:rPr>
        <w:t xml:space="preserve"> </w:t>
      </w:r>
      <w:r>
        <w:rPr>
          <w:rStyle w:val="normaltextrun"/>
          <w:rFonts w:asciiTheme="minorHAnsi" w:hAnsiTheme="minorHAnsi" w:cstheme="minorHAnsi"/>
        </w:rPr>
        <w:t>se manifeste socialement sur les réseaux sociaux,</w:t>
      </w:r>
      <w:r w:rsidR="00404946" w:rsidRPr="00F7051C">
        <w:rPr>
          <w:rStyle w:val="normaltextrun"/>
          <w:rFonts w:asciiTheme="minorHAnsi" w:hAnsiTheme="minorHAnsi" w:cstheme="minorHAnsi"/>
        </w:rPr>
        <w:t xml:space="preserve"> durant</w:t>
      </w:r>
      <w:r>
        <w:rPr>
          <w:rStyle w:val="normaltextrun"/>
          <w:rFonts w:asciiTheme="minorHAnsi" w:hAnsiTheme="minorHAnsi" w:cstheme="minorHAnsi"/>
        </w:rPr>
        <w:t xml:space="preserve"> la gestion d’</w:t>
      </w:r>
      <w:r w:rsidR="00404946" w:rsidRPr="00F7051C">
        <w:rPr>
          <w:rStyle w:val="normaltextrun"/>
          <w:rFonts w:asciiTheme="minorHAnsi" w:hAnsiTheme="minorHAnsi" w:cstheme="minorHAnsi"/>
        </w:rPr>
        <w:t>une épidémie</w:t>
      </w:r>
      <w:r w:rsidR="0053309B" w:rsidRPr="00F7051C">
        <w:rPr>
          <w:rStyle w:val="normaltextrun"/>
          <w:rFonts w:asciiTheme="minorHAnsi" w:hAnsiTheme="minorHAnsi" w:cstheme="minorHAnsi"/>
        </w:rPr>
        <w:t>.</w:t>
      </w:r>
      <w:r>
        <w:rPr>
          <w:rStyle w:val="normaltextrun"/>
          <w:rFonts w:asciiTheme="minorHAnsi" w:hAnsiTheme="minorHAnsi" w:cstheme="minorHAnsi"/>
        </w:rPr>
        <w:t xml:space="preserve"> </w:t>
      </w:r>
      <w:r w:rsidR="000F1962">
        <w:rPr>
          <w:rStyle w:val="normaltextrun"/>
          <w:rFonts w:asciiTheme="minorHAnsi" w:hAnsiTheme="minorHAnsi" w:cstheme="minorHAnsi"/>
        </w:rPr>
        <w:t xml:space="preserve">Quels acteurs mobilisent le public, et qu’est ce qui fait leur autorité et leur légitimité dans ce genre ce contexte ? </w:t>
      </w:r>
      <w:r w:rsidRPr="00F7051C">
        <w:rPr>
          <w:rStyle w:val="normaltextrun"/>
          <w:rFonts w:asciiTheme="minorHAnsi" w:hAnsiTheme="minorHAnsi" w:cstheme="minorHAnsi"/>
        </w:rPr>
        <w:t xml:space="preserve">Ainsi donc, cette étude propose de comprendre </w:t>
      </w:r>
      <w:r w:rsidRPr="00F7051C">
        <w:rPr>
          <w:rStyle w:val="normaltextrun"/>
          <w:rFonts w:asciiTheme="minorHAnsi" w:hAnsiTheme="minorHAnsi" w:cstheme="minorHAnsi"/>
          <w:color w:val="000000"/>
        </w:rPr>
        <w:t>et d’analyser comment les réseaux sociaux permettent</w:t>
      </w:r>
      <w:r>
        <w:rPr>
          <w:rStyle w:val="normaltextrun"/>
          <w:rFonts w:asciiTheme="minorHAnsi" w:hAnsiTheme="minorHAnsi" w:cstheme="minorHAnsi"/>
          <w:color w:val="000000"/>
        </w:rPr>
        <w:t xml:space="preserve"> socialement,</w:t>
      </w:r>
      <w:r w:rsidRPr="00F7051C">
        <w:rPr>
          <w:rStyle w:val="normaltextrun"/>
          <w:rFonts w:asciiTheme="minorHAnsi" w:hAnsiTheme="minorHAnsi" w:cstheme="minorHAnsi"/>
          <w:color w:val="000000"/>
        </w:rPr>
        <w:t xml:space="preserve"> l’émergence de nouvelles formes d’autorité et de légitimité d’acteurs et de discours. </w:t>
      </w:r>
    </w:p>
    <w:p w14:paraId="3C146020" w14:textId="1E350CC9" w:rsidR="00CE45A4" w:rsidRPr="00F7051C" w:rsidRDefault="000F1962" w:rsidP="00CE45A4">
      <w:pPr>
        <w:pStyle w:val="paragraph"/>
        <w:spacing w:before="0" w:beforeAutospacing="0" w:after="0" w:afterAutospacing="0" w:line="276" w:lineRule="auto"/>
        <w:jc w:val="both"/>
        <w:textAlignment w:val="baseline"/>
        <w:rPr>
          <w:rStyle w:val="eop"/>
          <w:rFonts w:asciiTheme="minorHAnsi" w:hAnsiTheme="minorHAnsi" w:cstheme="minorHAnsi"/>
        </w:rPr>
      </w:pPr>
      <w:r>
        <w:rPr>
          <w:rStyle w:val="normaltextrun"/>
          <w:rFonts w:asciiTheme="minorHAnsi" w:hAnsiTheme="minorHAnsi" w:cstheme="minorHAnsi"/>
          <w:color w:val="000000"/>
        </w:rPr>
        <w:tab/>
        <w:t xml:space="preserve">C’est à travers le cas de </w:t>
      </w:r>
      <w:r w:rsidR="00CE45A4" w:rsidRPr="00F7051C">
        <w:rPr>
          <w:rStyle w:val="normaltextrun"/>
          <w:rFonts w:asciiTheme="minorHAnsi" w:hAnsiTheme="minorHAnsi" w:cstheme="minorHAnsi"/>
          <w:color w:val="000000"/>
        </w:rPr>
        <w:t xml:space="preserve">la communication sur l'épidémie </w:t>
      </w:r>
      <w:r w:rsidR="00CE45A4">
        <w:rPr>
          <w:rStyle w:val="normaltextrun"/>
          <w:rFonts w:asciiTheme="minorHAnsi" w:hAnsiTheme="minorHAnsi" w:cstheme="minorHAnsi"/>
          <w:color w:val="000000"/>
        </w:rPr>
        <w:t>d’</w:t>
      </w:r>
      <w:r w:rsidR="00CE45A4" w:rsidRPr="00F7051C">
        <w:rPr>
          <w:rStyle w:val="normaltextrun"/>
          <w:rFonts w:asciiTheme="minorHAnsi" w:hAnsiTheme="minorHAnsi" w:cstheme="minorHAnsi"/>
          <w:color w:val="000000"/>
        </w:rPr>
        <w:t xml:space="preserve">Ebola </w:t>
      </w:r>
      <w:r w:rsidR="00CE45A4">
        <w:rPr>
          <w:rStyle w:val="normaltextrun"/>
          <w:rFonts w:asciiTheme="minorHAnsi" w:hAnsiTheme="minorHAnsi" w:cstheme="minorHAnsi"/>
          <w:color w:val="000000"/>
        </w:rPr>
        <w:t xml:space="preserve">de 2019 </w:t>
      </w:r>
      <w:r w:rsidR="00CE45A4" w:rsidRPr="00F7051C">
        <w:rPr>
          <w:rStyle w:val="normaltextrun"/>
          <w:rFonts w:asciiTheme="minorHAnsi" w:hAnsiTheme="minorHAnsi" w:cstheme="minorHAnsi"/>
          <w:color w:val="000000"/>
        </w:rPr>
        <w:t>en République Démocratique du Congo (RDC</w:t>
      </w:r>
      <w:r>
        <w:rPr>
          <w:rStyle w:val="normaltextrun"/>
          <w:rFonts w:asciiTheme="minorHAnsi" w:hAnsiTheme="minorHAnsi" w:cstheme="minorHAnsi"/>
          <w:color w:val="000000"/>
        </w:rPr>
        <w:t>), que nous analysons ce phénomène.</w:t>
      </w:r>
    </w:p>
    <w:p w14:paraId="6F9F38D8" w14:textId="77777777" w:rsidR="002D595C" w:rsidRPr="00F7051C" w:rsidRDefault="002D595C" w:rsidP="00E92556">
      <w:pPr>
        <w:pStyle w:val="paragraph"/>
        <w:spacing w:before="0" w:beforeAutospacing="0" w:after="0" w:afterAutospacing="0" w:line="276" w:lineRule="auto"/>
        <w:jc w:val="both"/>
        <w:textAlignment w:val="baseline"/>
        <w:rPr>
          <w:rStyle w:val="normaltextrun"/>
          <w:rFonts w:asciiTheme="minorHAnsi" w:hAnsiTheme="minorHAnsi" w:cstheme="minorHAnsi"/>
        </w:rPr>
      </w:pPr>
    </w:p>
    <w:p w14:paraId="69627EF5" w14:textId="3126E387" w:rsidR="002D595C" w:rsidRPr="00F7051C" w:rsidRDefault="002D595C" w:rsidP="00E92556">
      <w:pPr>
        <w:autoSpaceDE w:val="0"/>
        <w:autoSpaceDN w:val="0"/>
        <w:adjustRightInd w:val="0"/>
        <w:spacing w:after="0" w:line="276" w:lineRule="auto"/>
        <w:jc w:val="both"/>
        <w:rPr>
          <w:rFonts w:cstheme="minorHAnsi"/>
          <w:sz w:val="24"/>
          <w:szCs w:val="24"/>
        </w:rPr>
      </w:pPr>
      <w:r w:rsidRPr="00F7051C">
        <w:rPr>
          <w:rStyle w:val="eop"/>
          <w:rFonts w:cstheme="minorHAnsi"/>
          <w:sz w:val="24"/>
          <w:szCs w:val="24"/>
        </w:rPr>
        <w:tab/>
      </w:r>
      <w:r w:rsidR="003D40D5" w:rsidRPr="00F7051C">
        <w:rPr>
          <w:rStyle w:val="eop"/>
          <w:rFonts w:cstheme="minorHAnsi"/>
          <w:sz w:val="24"/>
          <w:szCs w:val="24"/>
        </w:rPr>
        <w:t xml:space="preserve">Notre cadre théorique repose sur les questions d’autorité </w:t>
      </w:r>
      <w:r w:rsidR="002372EC">
        <w:rPr>
          <w:rStyle w:val="eop"/>
          <w:rFonts w:cstheme="minorHAnsi"/>
          <w:sz w:val="24"/>
          <w:szCs w:val="24"/>
        </w:rPr>
        <w:fldChar w:fldCharType="begin"/>
      </w:r>
      <w:r w:rsidR="002372EC">
        <w:rPr>
          <w:rStyle w:val="eop"/>
          <w:rFonts w:cstheme="minorHAnsi"/>
          <w:sz w:val="24"/>
          <w:szCs w:val="24"/>
        </w:rPr>
        <w:instrText xml:space="preserve"> ADDIN ZOTERO_ITEM CSL_CITATION {"citationID":"ZeUTgf5s","properties":{"formattedCitation":"(Coenen-Huther, 2005)","plainCitation":"(Coenen-Huther, 2005)","noteIndex":0},"citationItems":[{"id":1728,"uris":["http://zotero.org/users/3162888/items/ZE49GUHM"],"uri":["http://zotero.org/users/3162888/items/ZE49GUHM"],"itemData":{"id":1728,"type":"article-journal","title":"Pouvoir, autorité, légitimité. En marge d’un livre récent d’Alain Renaut","container-title":"Revue européenne des sciences sociales. European Journal of Social Sciences","page":"135-145","issue":"XLIII-131","source":"journals.openedition.org","abstract":"Dans un essai récent, La fin de l’autorité (2004), Alain Renaut poursuit une réflexion amorcée de longue date sur les choix de valeurs qui s’imposent aux sociétés démocratiques. Il reprend l’examen critique des problèmes que rencontrent l’action éducative et la relation adultes-enfants, déjà étudiés en détail dans La libération des enfants (2002). Ici, Renaut élargit considérablement le débat en situant ces problèmes dans un contexte de fragilisation généralisée de toutes les formes de pouvoi...","DOI":"10.4000/ress.471","ISSN":"0048-8046","language":"fr","author":[{"family":"Coenen-Huther","given":"Jacques"}],"issued":{"date-parts":[["2005",2,1]]}}}],"schema":"https://github.com/citation-style-language/schema/raw/master/csl-citation.json"} </w:instrText>
      </w:r>
      <w:r w:rsidR="002372EC">
        <w:rPr>
          <w:rStyle w:val="eop"/>
          <w:rFonts w:cstheme="minorHAnsi"/>
          <w:sz w:val="24"/>
          <w:szCs w:val="24"/>
        </w:rPr>
        <w:fldChar w:fldCharType="separate"/>
      </w:r>
      <w:r w:rsidR="002372EC" w:rsidRPr="002372EC">
        <w:rPr>
          <w:rFonts w:ascii="Calibri" w:hAnsi="Calibri" w:cs="Calibri"/>
          <w:sz w:val="24"/>
        </w:rPr>
        <w:t>(Coenen-Huther, 2005)</w:t>
      </w:r>
      <w:r w:rsidR="002372EC">
        <w:rPr>
          <w:rStyle w:val="eop"/>
          <w:rFonts w:cstheme="minorHAnsi"/>
          <w:sz w:val="24"/>
          <w:szCs w:val="24"/>
        </w:rPr>
        <w:fldChar w:fldCharType="end"/>
      </w:r>
      <w:r w:rsidR="002372EC">
        <w:rPr>
          <w:rStyle w:val="eop"/>
          <w:rFonts w:cstheme="minorHAnsi"/>
          <w:sz w:val="24"/>
          <w:szCs w:val="24"/>
        </w:rPr>
        <w:t xml:space="preserve"> </w:t>
      </w:r>
      <w:r w:rsidR="003D40D5" w:rsidRPr="00F7051C">
        <w:rPr>
          <w:rStyle w:val="eop"/>
          <w:rFonts w:cstheme="minorHAnsi"/>
          <w:sz w:val="24"/>
          <w:szCs w:val="24"/>
        </w:rPr>
        <w:t>et de légitimité du discours. A ce propos,</w:t>
      </w:r>
      <w:r w:rsidRPr="00F7051C">
        <w:rPr>
          <w:rStyle w:val="eop"/>
          <w:rFonts w:cstheme="minorHAnsi"/>
          <w:sz w:val="24"/>
          <w:szCs w:val="24"/>
        </w:rPr>
        <w:t xml:space="preserve"> </w:t>
      </w:r>
      <w:r w:rsidRPr="00F7051C">
        <w:rPr>
          <w:rFonts w:cstheme="minorHAnsi"/>
          <w:sz w:val="24"/>
          <w:szCs w:val="24"/>
        </w:rPr>
        <w:fldChar w:fldCharType="begin"/>
      </w:r>
      <w:r w:rsidRPr="00F7051C">
        <w:rPr>
          <w:rFonts w:cstheme="minorHAnsi"/>
          <w:sz w:val="24"/>
          <w:szCs w:val="24"/>
        </w:rPr>
        <w:instrText xml:space="preserve"> ADDIN ZOTERO_ITEM CSL_CITATION {"citationID":"apn1ljfue9","properties":{"formattedCitation":"\\uldash{(Oger, 2013)}","plainCitation":"(Oger, 2013)","dontUpdate":true,"noteIndex":0},"citationItems":[{"id":1670,"uris":["http://zotero.org/users/3162888/items/IRRMPUP3"],"uri":["http://zotero.org/users/3162888/items/IRRMPUP3"],"itemData":{"id":1670,"type":"article","title":"Fondements et formes de l’autorité en discours, Dossier d’habilitation à diriger des recherches en sciences de l’information et de la communication","publisher":"Université Paris-Sorbonne (CELSA)","author":[{"family":"Oger","given":"Claire"}],"issued":{"date-parts":[["2013",12,2]]}}}],"schema":"https://github.com/citation-style-language/schema/raw/master/csl-citation.json"} </w:instrText>
      </w:r>
      <w:r w:rsidRPr="00F7051C">
        <w:rPr>
          <w:rFonts w:cstheme="minorHAnsi"/>
          <w:sz w:val="24"/>
          <w:szCs w:val="24"/>
        </w:rPr>
        <w:fldChar w:fldCharType="separate"/>
      </w:r>
      <w:r w:rsidRPr="00F7051C">
        <w:rPr>
          <w:rFonts w:cstheme="minorHAnsi"/>
          <w:sz w:val="24"/>
          <w:szCs w:val="24"/>
          <w:u w:val="dash"/>
        </w:rPr>
        <w:t>Oger (2013)</w:t>
      </w:r>
      <w:r w:rsidRPr="00F7051C">
        <w:rPr>
          <w:rFonts w:cstheme="minorHAnsi"/>
          <w:sz w:val="24"/>
          <w:szCs w:val="24"/>
        </w:rPr>
        <w:fldChar w:fldCharType="end"/>
      </w:r>
      <w:r w:rsidRPr="00F7051C">
        <w:rPr>
          <w:rFonts w:cstheme="minorHAnsi"/>
          <w:sz w:val="24"/>
          <w:szCs w:val="24"/>
        </w:rPr>
        <w:t xml:space="preserve"> définit les discours d’autorité comme « ceux qui ont de grandes </w:t>
      </w:r>
      <w:r w:rsidRPr="00F7051C">
        <w:rPr>
          <w:rFonts w:cstheme="minorHAnsi"/>
          <w:i/>
          <w:iCs/>
          <w:sz w:val="24"/>
          <w:szCs w:val="24"/>
        </w:rPr>
        <w:t xml:space="preserve">chances </w:t>
      </w:r>
      <w:r w:rsidRPr="00F7051C">
        <w:rPr>
          <w:rFonts w:cstheme="minorHAnsi"/>
          <w:sz w:val="24"/>
          <w:szCs w:val="24"/>
        </w:rPr>
        <w:t xml:space="preserve">d'être obéis, crus, ou suivis d'effet ». Il s’agit également de ceux qui « se prétendent dotés d'un </w:t>
      </w:r>
      <w:r w:rsidRPr="00F7051C">
        <w:rPr>
          <w:rFonts w:cstheme="minorHAnsi"/>
          <w:i/>
          <w:iCs/>
          <w:sz w:val="24"/>
          <w:szCs w:val="24"/>
        </w:rPr>
        <w:t xml:space="preserve">surcroît </w:t>
      </w:r>
      <w:r w:rsidRPr="00F7051C">
        <w:rPr>
          <w:rFonts w:cstheme="minorHAnsi"/>
          <w:sz w:val="24"/>
          <w:szCs w:val="24"/>
        </w:rPr>
        <w:t xml:space="preserve">de légitimité, </w:t>
      </w:r>
      <w:r w:rsidRPr="00F7051C">
        <w:rPr>
          <w:rFonts w:cstheme="minorHAnsi"/>
          <w:i/>
          <w:iCs/>
          <w:sz w:val="24"/>
          <w:szCs w:val="24"/>
        </w:rPr>
        <w:t xml:space="preserve">garants </w:t>
      </w:r>
      <w:r w:rsidRPr="00F7051C">
        <w:rPr>
          <w:rFonts w:cstheme="minorHAnsi"/>
          <w:sz w:val="24"/>
          <w:szCs w:val="24"/>
        </w:rPr>
        <w:t xml:space="preserve">d'une crédibilité supérieure ». </w:t>
      </w:r>
      <w:r w:rsidRPr="00F7051C">
        <w:rPr>
          <w:rFonts w:cstheme="minorHAnsi"/>
          <w:sz w:val="24"/>
          <w:szCs w:val="24"/>
        </w:rPr>
        <w:fldChar w:fldCharType="begin"/>
      </w:r>
      <w:r w:rsidRPr="00F7051C">
        <w:rPr>
          <w:rFonts w:cstheme="minorHAnsi"/>
          <w:sz w:val="24"/>
          <w:szCs w:val="24"/>
        </w:rPr>
        <w:instrText xml:space="preserve"> ADDIN ZOTERO_ITEM CSL_CITATION {"citationID":"Cx0GsRVT","properties":{"formattedCitation":"(Eraly, 2015)","plainCitation":"(Eraly, 2015)","noteIndex":0},"citationItems":[{"id":1713,"uris":["http://zotero.org/users/3162888/items/ZVMFMHJ7"],"uri":["http://zotero.org/users/3162888/items/ZVMFMHJ7"],"itemData":{"id":1713,"type":"book","title":"Autorité et légitimité","publisher":"ERES","source":"www.cairn.info","abstract":"Les formes d’autorité varient à l’infini selon les sociétés et les époques. Qu’est-ce donc que l’autorité ? demandait Hannah Arendt voici un demi-siècle. Alain Eraly avance sur cette question un point de vue renouvelé. Si l’on réduit l’autorité à une relation d’obéissance, on perd de vue sa fonction première : celle d’inscrire la vie sociale dans l’imaginaire d’une communauté et ainsi de construire un « nous », une identité commune. On a coutume d’associer la crise de l’autorité au grand mouvement d’émancipation des individus propre à notre modernité, or, l’auteur soutient qu’en réalité, cette crise renvoie d’abord à une crise du collectif.","URL":"https://www.cairn.info/autorite-et-legitimite--9782749249209.htm","ISBN":"978-2-7492-4920-9","note":"DOI: 10.3917/eres.eraly.2015.01","language":"fr","author":[{"family":"Eraly","given":"Alain"}],"issued":{"date-parts":[["2015"]]},"accessed":{"date-parts":[["2019",8,27]]}}}],"schema":"https://github.com/citation-style-language/schema/raw/master/csl-citation.json"} </w:instrText>
      </w:r>
      <w:r w:rsidRPr="00F7051C">
        <w:rPr>
          <w:rFonts w:cstheme="minorHAnsi"/>
          <w:sz w:val="24"/>
          <w:szCs w:val="24"/>
        </w:rPr>
        <w:fldChar w:fldCharType="separate"/>
      </w:r>
      <w:r w:rsidRPr="00F7051C">
        <w:rPr>
          <w:rFonts w:cstheme="minorHAnsi"/>
          <w:sz w:val="24"/>
          <w:szCs w:val="24"/>
        </w:rPr>
        <w:t>Eraly (2015)</w:t>
      </w:r>
      <w:r w:rsidRPr="00F7051C">
        <w:rPr>
          <w:rFonts w:cstheme="minorHAnsi"/>
          <w:sz w:val="24"/>
          <w:szCs w:val="24"/>
        </w:rPr>
        <w:fldChar w:fldCharType="end"/>
      </w:r>
      <w:r w:rsidRPr="00F7051C">
        <w:rPr>
          <w:rFonts w:cstheme="minorHAnsi"/>
          <w:sz w:val="24"/>
          <w:szCs w:val="24"/>
        </w:rPr>
        <w:t>pour sa part, conçoit l’autorité comme un processus plutôt qu’un état.</w:t>
      </w:r>
    </w:p>
    <w:p w14:paraId="06EDAF3D" w14:textId="0C318079" w:rsidR="002D595C" w:rsidRPr="00F7051C" w:rsidRDefault="000F1962" w:rsidP="007C467E">
      <w:pPr>
        <w:spacing w:line="276" w:lineRule="auto"/>
        <w:jc w:val="both"/>
        <w:rPr>
          <w:rFonts w:cstheme="minorHAnsi"/>
          <w:sz w:val="24"/>
          <w:szCs w:val="24"/>
        </w:rPr>
      </w:pPr>
      <w:r>
        <w:rPr>
          <w:rFonts w:cstheme="minorHAnsi"/>
          <w:sz w:val="24"/>
          <w:szCs w:val="24"/>
        </w:rPr>
        <w:tab/>
      </w:r>
      <w:r w:rsidR="002D595C" w:rsidRPr="00F7051C">
        <w:rPr>
          <w:rFonts w:cstheme="minorHAnsi"/>
          <w:sz w:val="24"/>
          <w:szCs w:val="24"/>
        </w:rPr>
        <w:t xml:space="preserve">Il existe </w:t>
      </w:r>
      <w:r w:rsidR="002372EC">
        <w:rPr>
          <w:rFonts w:cstheme="minorHAnsi"/>
          <w:sz w:val="24"/>
          <w:szCs w:val="24"/>
        </w:rPr>
        <w:t xml:space="preserve">donc </w:t>
      </w:r>
      <w:r w:rsidR="002D595C" w:rsidRPr="00F7051C">
        <w:rPr>
          <w:rFonts w:cstheme="minorHAnsi"/>
          <w:sz w:val="24"/>
          <w:szCs w:val="24"/>
        </w:rPr>
        <w:t xml:space="preserve">un lien étroit entre l’autorité et la légitimité </w:t>
      </w:r>
      <w:r w:rsidR="00F7051C" w:rsidRPr="00F7051C">
        <w:rPr>
          <w:rFonts w:cstheme="minorHAnsi"/>
          <w:color w:val="333333"/>
          <w:sz w:val="24"/>
          <w:szCs w:val="24"/>
          <w:shd w:val="clear" w:color="auto" w:fill="FFFFFF"/>
        </w:rPr>
        <w:fldChar w:fldCharType="begin"/>
      </w:r>
      <w:r w:rsidR="00F7051C" w:rsidRPr="00F7051C">
        <w:rPr>
          <w:rFonts w:cstheme="minorHAnsi"/>
          <w:color w:val="333333"/>
          <w:sz w:val="24"/>
          <w:szCs w:val="24"/>
          <w:shd w:val="clear" w:color="auto" w:fill="FFFFFF"/>
        </w:rPr>
        <w:instrText xml:space="preserve"> ADDIN ZOTERO_ITEM CSL_CITATION {"citationID":"gLlNEJsh","properties":{"formattedCitation":"(Charaudeau, 2004)","plainCitation":"(Charaudeau, 2004)","noteIndex":0},"citationItems":[{"id":1569,"uris":["http://zotero.org/users/3162888/items/VEUSCBBG"],"uri":["http://zotero.org/users/3162888/items/VEUSCBBG"],"itemData":{"id":1569,"type":"article-journal","title":"Comment le langage se noue à l’action dans un modèle socio-communicationnel du discours. De l’action au pouvoir","container-title":"Cahiers de linguistique française","collection-title":"Les modèles du discours face au concept d’action","issue":"26","URL":"http://www.patrick-charaudeau.com/Comment-le-langage-se-noue-a-l,90.html","author":[{"family":"Charaudeau","given":"Patrick"}],"issued":{"date-parts":[["2004"]]},"accessed":{"date-parts":[["2019",7,21]]}}}],"schema":"https://github.com/citation-style-language/schema/raw/master/csl-citation.json"} </w:instrText>
      </w:r>
      <w:r w:rsidR="00F7051C" w:rsidRPr="00F7051C">
        <w:rPr>
          <w:rFonts w:cstheme="minorHAnsi"/>
          <w:color w:val="333333"/>
          <w:sz w:val="24"/>
          <w:szCs w:val="24"/>
          <w:shd w:val="clear" w:color="auto" w:fill="FFFFFF"/>
        </w:rPr>
        <w:fldChar w:fldCharType="separate"/>
      </w:r>
      <w:r w:rsidR="00F7051C" w:rsidRPr="00F7051C">
        <w:rPr>
          <w:rFonts w:cstheme="minorHAnsi"/>
          <w:sz w:val="24"/>
          <w:szCs w:val="24"/>
        </w:rPr>
        <w:t>(Charaudeau, 2004)</w:t>
      </w:r>
      <w:r w:rsidR="00F7051C" w:rsidRPr="00F7051C">
        <w:rPr>
          <w:rFonts w:cstheme="minorHAnsi"/>
          <w:color w:val="333333"/>
          <w:sz w:val="24"/>
          <w:szCs w:val="24"/>
          <w:shd w:val="clear" w:color="auto" w:fill="FFFFFF"/>
        </w:rPr>
        <w:fldChar w:fldCharType="end"/>
      </w:r>
      <w:r w:rsidR="00F7051C" w:rsidRPr="00F7051C">
        <w:rPr>
          <w:rFonts w:cstheme="minorHAnsi"/>
          <w:color w:val="333333"/>
          <w:sz w:val="24"/>
          <w:szCs w:val="24"/>
          <w:shd w:val="clear" w:color="auto" w:fill="FFFFFF"/>
        </w:rPr>
        <w:t xml:space="preserve"> </w:t>
      </w:r>
      <w:r w:rsidR="002D595C" w:rsidRPr="00F7051C">
        <w:rPr>
          <w:rFonts w:cstheme="minorHAnsi"/>
          <w:sz w:val="24"/>
          <w:szCs w:val="24"/>
        </w:rPr>
        <w:t xml:space="preserve">puisqu’analyser l’autorité du discours consiste à comprendre le contexte dans lequel le discours est tenu pour légitime et efficace </w:t>
      </w:r>
      <w:r w:rsidR="002D595C" w:rsidRPr="00F7051C">
        <w:rPr>
          <w:rFonts w:cstheme="minorHAnsi"/>
          <w:sz w:val="24"/>
          <w:szCs w:val="24"/>
        </w:rPr>
        <w:fldChar w:fldCharType="begin"/>
      </w:r>
      <w:r w:rsidR="002D595C" w:rsidRPr="00F7051C">
        <w:rPr>
          <w:rFonts w:cstheme="minorHAnsi"/>
          <w:sz w:val="24"/>
          <w:szCs w:val="24"/>
        </w:rPr>
        <w:instrText xml:space="preserve"> ADDIN ZOTERO_ITEM CSL_CITATION {"citationID":"G26KjxKv","properties":{"formattedCitation":"(Maingueneau, 2009)","plainCitation":"(Maingueneau, 2009)","noteIndex":0},"citationItems":[{"id":1537,"uris":["http://zotero.org/users/3162888/items/JYI5YQKE"],"uri":["http://zotero.org/users/3162888/items/JYI5YQKE"],"itemData":{"id":1537,"type":"book","title":"Les termes clés de l'analyse du discours","edition":"du Seuil","ISBN":"978-2-7578-1322-5","author":[{"family":"Maingueneau","given":"Dominique"}],"issued":{"date-parts":[["2009"]]}}}],"schema":"https://github.com/citation-style-language/schema/raw/master/csl-citation.json"} </w:instrText>
      </w:r>
      <w:r w:rsidR="002D595C" w:rsidRPr="00F7051C">
        <w:rPr>
          <w:rFonts w:cstheme="minorHAnsi"/>
          <w:sz w:val="24"/>
          <w:szCs w:val="24"/>
        </w:rPr>
        <w:fldChar w:fldCharType="separate"/>
      </w:r>
      <w:r w:rsidR="002D595C" w:rsidRPr="00F7051C">
        <w:rPr>
          <w:rFonts w:cstheme="minorHAnsi"/>
          <w:sz w:val="24"/>
          <w:szCs w:val="24"/>
        </w:rPr>
        <w:t>(Maingueneau, 2009)</w:t>
      </w:r>
      <w:r w:rsidR="002D595C" w:rsidRPr="00F7051C">
        <w:rPr>
          <w:rFonts w:cstheme="minorHAnsi"/>
          <w:sz w:val="24"/>
          <w:szCs w:val="24"/>
        </w:rPr>
        <w:fldChar w:fldCharType="end"/>
      </w:r>
      <w:r w:rsidR="002D595C" w:rsidRPr="00F7051C">
        <w:rPr>
          <w:rFonts w:cstheme="minorHAnsi"/>
          <w:sz w:val="24"/>
          <w:szCs w:val="24"/>
        </w:rPr>
        <w:t xml:space="preserve">. </w:t>
      </w:r>
      <w:r w:rsidR="00E92556">
        <w:rPr>
          <w:rFonts w:cstheme="minorHAnsi"/>
          <w:sz w:val="24"/>
          <w:szCs w:val="24"/>
        </w:rPr>
        <w:t xml:space="preserve">Malgré tout, </w:t>
      </w:r>
      <w:r w:rsidR="00E92556" w:rsidRPr="00F7051C">
        <w:rPr>
          <w:rFonts w:cstheme="minorHAnsi"/>
          <w:sz w:val="24"/>
          <w:szCs w:val="24"/>
        </w:rPr>
        <w:t xml:space="preserve">un discours bâti autour de l’argument d’autorité n’a de sens que s’il est prononcé par quelqu’un jouissant de l’autorité nécessaire pour émettre un tel propos sans jamais avoir à le justifier (est-il fondé, pertinent ?) ni à se justifier (suis-je autorisé à le prononcer ?) » </w:t>
      </w:r>
      <w:r w:rsidR="00E92556" w:rsidRPr="00F7051C">
        <w:rPr>
          <w:rFonts w:cstheme="minorHAnsi"/>
          <w:sz w:val="24"/>
          <w:szCs w:val="24"/>
        </w:rPr>
        <w:fldChar w:fldCharType="begin"/>
      </w:r>
      <w:r w:rsidR="00E92556" w:rsidRPr="00F7051C">
        <w:rPr>
          <w:rFonts w:cstheme="minorHAnsi"/>
          <w:sz w:val="24"/>
          <w:szCs w:val="24"/>
        </w:rPr>
        <w:instrText xml:space="preserve"> ADDIN ZOTERO_ITEM CSL_CITATION {"citationID":"nKGIS943","properties":{"formattedCitation":"(Siroux, 2008, p. 21\\uc0\\u8209{}22)","plainCitation":"(Siroux, 2008, p. 21</w:instrText>
      </w:r>
      <w:r w:rsidR="00E92556" w:rsidRPr="00F7051C">
        <w:rPr>
          <w:rFonts w:ascii="Cambria Math" w:hAnsi="Cambria Math" w:cs="Cambria Math"/>
          <w:sz w:val="24"/>
          <w:szCs w:val="24"/>
        </w:rPr>
        <w:instrText>‑</w:instrText>
      </w:r>
      <w:r w:rsidR="00E92556" w:rsidRPr="00F7051C">
        <w:rPr>
          <w:rFonts w:cstheme="minorHAnsi"/>
          <w:sz w:val="24"/>
          <w:szCs w:val="24"/>
        </w:rPr>
        <w:instrText xml:space="preserve">22)","noteIndex":0},"citationItems":[{"id":381,"uris":["http://zotero.org/users/3162888/items/BRUN8XUV"],"uri":["http://zotero.org/users/3162888/items/BRUN8XUV"],"itemData":{"id":381,"type":"article-journal","title":"La dépolitisation du discours au sein des rapports annuels de l’Organisation mondiale du commerce","container-title":"Mots. Les langages du politique","page":"13-23","issue":"88","source":"mots.revues.org","abstract":"Cet article consiste en une analyse du discours produit par l’Organisation mondiale du commerce (OMC) dans la partie introductive de ses rapports annuels. Il met en lumière quelques-uns des procédés discursifs (technicisation du discours, absence d’acteurs identifiés, lexique flou et positivement connoté, etc.) par lesquels l’OMC parvient à présenter comme neutre et dépolitisé un discours pourtant éminemment politique et normatif. Il s’achève par une réflexion sur les processus de légitimation du discours en procédant à une mobilisation croisée des concepts de Pierre Bourdieu et de John L. Austin.","DOI":"10.4000/mots.14223","ISSN":"0243-6450","language":"fr","author":[{"family":"Siroux","given":"Jean-Louis"}],"issued":{"date-parts":[["2008",11,1]]}},"locator":"21-22"}],"schema":"https://github.com/citation-style-language/schema/raw/master/csl-citation.json"} </w:instrText>
      </w:r>
      <w:r w:rsidR="00E92556" w:rsidRPr="00F7051C">
        <w:rPr>
          <w:rFonts w:cstheme="minorHAnsi"/>
          <w:sz w:val="24"/>
          <w:szCs w:val="24"/>
        </w:rPr>
        <w:fldChar w:fldCharType="separate"/>
      </w:r>
      <w:r w:rsidR="00E92556" w:rsidRPr="00F7051C">
        <w:rPr>
          <w:rFonts w:cstheme="minorHAnsi"/>
          <w:sz w:val="24"/>
          <w:szCs w:val="24"/>
        </w:rPr>
        <w:t>(Siroux, 2008, p. 21</w:t>
      </w:r>
      <w:r w:rsidR="00E92556" w:rsidRPr="00F7051C">
        <w:rPr>
          <w:rFonts w:ascii="Cambria Math" w:hAnsi="Cambria Math" w:cs="Cambria Math"/>
          <w:sz w:val="24"/>
          <w:szCs w:val="24"/>
        </w:rPr>
        <w:t>‑</w:t>
      </w:r>
      <w:r w:rsidR="00E92556" w:rsidRPr="00F7051C">
        <w:rPr>
          <w:rFonts w:cstheme="minorHAnsi"/>
          <w:sz w:val="24"/>
          <w:szCs w:val="24"/>
        </w:rPr>
        <w:t>22)</w:t>
      </w:r>
      <w:r w:rsidR="00E92556" w:rsidRPr="00F7051C">
        <w:rPr>
          <w:rFonts w:cstheme="minorHAnsi"/>
          <w:sz w:val="24"/>
          <w:szCs w:val="24"/>
        </w:rPr>
        <w:fldChar w:fldCharType="end"/>
      </w:r>
      <w:r w:rsidR="00E92556" w:rsidRPr="00F7051C">
        <w:rPr>
          <w:rFonts w:cstheme="minorHAnsi"/>
          <w:sz w:val="24"/>
          <w:szCs w:val="24"/>
        </w:rPr>
        <w:t>.</w:t>
      </w:r>
      <w:r w:rsidR="00E92556">
        <w:rPr>
          <w:rFonts w:cstheme="minorHAnsi"/>
          <w:sz w:val="24"/>
          <w:szCs w:val="24"/>
        </w:rPr>
        <w:t xml:space="preserve"> C’est en ce sens que nous analyserons également le lien entre l’autorité des individus et leur « popularité » sur les réseaux sociaux.</w:t>
      </w:r>
      <w:r w:rsidR="002372EC">
        <w:rPr>
          <w:rFonts w:cstheme="minorHAnsi"/>
          <w:sz w:val="24"/>
          <w:szCs w:val="24"/>
        </w:rPr>
        <w:t xml:space="preserve"> La légitimité permettrait de différencier le pouvoir de l’autorité, cette dernière étant considérée comme un pouvoir légitime</w:t>
      </w:r>
      <w:r w:rsidR="002372EC" w:rsidRPr="002372EC">
        <w:rPr>
          <w:rFonts w:cstheme="minorHAnsi"/>
          <w:sz w:val="24"/>
          <w:szCs w:val="24"/>
        </w:rPr>
        <w:t xml:space="preserve"> </w:t>
      </w:r>
      <w:r w:rsidR="002372EC">
        <w:rPr>
          <w:rFonts w:cstheme="minorHAnsi"/>
          <w:sz w:val="24"/>
          <w:szCs w:val="24"/>
        </w:rPr>
        <w:t>(</w:t>
      </w:r>
      <w:r w:rsidR="002372EC">
        <w:rPr>
          <w:rFonts w:cstheme="minorHAnsi"/>
          <w:sz w:val="24"/>
          <w:szCs w:val="24"/>
        </w:rPr>
        <w:fldChar w:fldCharType="begin"/>
      </w:r>
      <w:r w:rsidR="002372EC">
        <w:rPr>
          <w:rFonts w:cstheme="minorHAnsi"/>
          <w:sz w:val="24"/>
          <w:szCs w:val="24"/>
        </w:rPr>
        <w:instrText xml:space="preserve"> ADDIN ZOTERO_ITEM CSL_CITATION {"citationID":"kHijqpIE","properties":{"formattedCitation":"(Charmettant, 2012)","plainCitation":"(Charmettant, 2012)","noteIndex":0},"citationItems":[{"id":1731,"uris":["http://zotero.org/users/3162888/items/5Q4WRZ8Q"],"uri":["http://zotero.org/users/3162888/items/5Q4WRZ8Q"],"itemData":{"id":1731,"type":"article-journal","title":"Distinguer l'autorité du pouvoir par la légitimité","container-title":"Cahiers d'economie Politique / Papers in Political Economy","page":"37-73","volume":"n° 62","issue":"1","source":"www.cairn.info","abstract":"&lt;titre&gt;R&amp;#233;sum&amp;#233;&lt;/titre&gt;L&amp;#8217;&amp;#233;conomie des contrats a renouvel&amp;#233; l&amp;#8217;approche &amp;#233;conomique standard de la relation d&amp;#8217;emploi en introduisant les notions de &amp;#171;&amp;#160;hi&amp;#233;rarchie&amp;#160;&amp;#187; et de &amp;#171;&amp;#160;pouvoir&amp;#160;&amp;#187;, &amp;#233;ludant toutefois la distinction, classique chez Max Weber, entre &amp;#171;&amp;#160;autorit&amp;#233;&amp;#160;&amp;#187; et &amp;#171;&amp;#160;pouvoir&amp;#160;&amp;#187;. La dimension de l&amp;#233;gitimit&amp;#233; est &amp;#233;vacu&amp;#233;e &amp;#8211; ou rationalis&amp;#233;e &amp;#8211;, ce qui appauvrit grandement les analyses contractualistes. S&amp;#8217;inspirant de l&amp;#8217;&amp;#233;conomie des conventions, cet article vise &amp;#224; montrer l&amp;#8217;int&amp;#233;r&amp;#234;t de la prise en compte de cette distinction. Elle apporte un enrichissement de l&amp;#8217;analyse de la relation d&amp;#8217;emploi et une heuristique des &amp;#233;volutions actuelles, consid&amp;#233;r&amp;#233;es en termes de &amp;#171;&amp;#160;d&amp;#233;sinstitutionnalisation&amp;#160;&amp;#187; de l&amp;#8217;autorit&amp;#233;.Classification du JEL&amp;#160;: B52, J01, J50","ISSN":"0154-8344","language":"fr","author":[{"family":"Charmettant","given":"Hervé"}],"issued":{"date-parts":[["2012",10,10]]}}}],"schema":"https://github.com/citation-style-language/schema/raw/master/csl-citation.json"} </w:instrText>
      </w:r>
      <w:r w:rsidR="002372EC">
        <w:rPr>
          <w:rFonts w:cstheme="minorHAnsi"/>
          <w:sz w:val="24"/>
          <w:szCs w:val="24"/>
        </w:rPr>
        <w:fldChar w:fldCharType="separate"/>
      </w:r>
      <w:r w:rsidR="002372EC" w:rsidRPr="000F1B74">
        <w:rPr>
          <w:rFonts w:ascii="Calibri" w:hAnsi="Calibri" w:cs="Calibri"/>
          <w:sz w:val="24"/>
        </w:rPr>
        <w:t>Charmettant, 2012)</w:t>
      </w:r>
      <w:r w:rsidR="002372EC">
        <w:rPr>
          <w:rFonts w:cstheme="minorHAnsi"/>
          <w:sz w:val="24"/>
          <w:szCs w:val="24"/>
        </w:rPr>
        <w:fldChar w:fldCharType="end"/>
      </w:r>
      <w:r w:rsidR="002372EC">
        <w:rPr>
          <w:rFonts w:cstheme="minorHAnsi"/>
          <w:sz w:val="24"/>
          <w:szCs w:val="24"/>
        </w:rPr>
        <w:t>.</w:t>
      </w:r>
    </w:p>
    <w:p w14:paraId="56659481" w14:textId="794AEE8F" w:rsidR="001C7AAA" w:rsidRPr="00F7051C" w:rsidRDefault="00BB5C11" w:rsidP="00E92556">
      <w:pPr>
        <w:pStyle w:val="paragraph"/>
        <w:spacing w:before="0" w:beforeAutospacing="0" w:after="0" w:afterAutospacing="0" w:line="276" w:lineRule="auto"/>
        <w:ind w:firstLine="720"/>
        <w:jc w:val="both"/>
        <w:textAlignment w:val="baseline"/>
        <w:rPr>
          <w:rFonts w:asciiTheme="minorHAnsi" w:hAnsiTheme="minorHAnsi" w:cstheme="minorHAnsi"/>
        </w:rPr>
      </w:pPr>
      <w:proofErr w:type="gramStart"/>
      <w:r>
        <w:rPr>
          <w:rStyle w:val="normaltextrun"/>
          <w:rFonts w:asciiTheme="minorHAnsi" w:hAnsiTheme="minorHAnsi" w:cstheme="minorHAnsi"/>
        </w:rPr>
        <w:lastRenderedPageBreak/>
        <w:t>Suite à</w:t>
      </w:r>
      <w:proofErr w:type="gramEnd"/>
      <w:r>
        <w:rPr>
          <w:rStyle w:val="normaltextrun"/>
          <w:rFonts w:asciiTheme="minorHAnsi" w:hAnsiTheme="minorHAnsi" w:cstheme="minorHAnsi"/>
        </w:rPr>
        <w:t xml:space="preserve"> plusieurs épidémies</w:t>
      </w:r>
      <w:r w:rsidR="006B0300" w:rsidRPr="00177353">
        <w:rPr>
          <w:rStyle w:val="Appelnotedebasdep"/>
        </w:rPr>
        <w:footnoteReference w:id="1"/>
      </w:r>
      <w:r w:rsidR="006B0300">
        <w:rPr>
          <w:rStyle w:val="normaltextrun"/>
          <w:rFonts w:asciiTheme="minorHAnsi" w:hAnsiTheme="minorHAnsi" w:cstheme="minorHAnsi"/>
        </w:rPr>
        <w:t>, l</w:t>
      </w:r>
      <w:r w:rsidR="00441ABF">
        <w:rPr>
          <w:rStyle w:val="normaltextrun"/>
          <w:rFonts w:asciiTheme="minorHAnsi" w:hAnsiTheme="minorHAnsi" w:cstheme="minorHAnsi"/>
        </w:rPr>
        <w:t>a</w:t>
      </w:r>
      <w:r w:rsidR="001C7AAA" w:rsidRPr="00F7051C">
        <w:rPr>
          <w:rStyle w:val="normaltextrun"/>
          <w:rFonts w:asciiTheme="minorHAnsi" w:hAnsiTheme="minorHAnsi" w:cstheme="minorHAnsi"/>
        </w:rPr>
        <w:t xml:space="preserve"> RDC </w:t>
      </w:r>
      <w:r w:rsidR="00441ABF">
        <w:rPr>
          <w:rStyle w:val="normaltextrun"/>
          <w:rFonts w:asciiTheme="minorHAnsi" w:hAnsiTheme="minorHAnsi" w:cstheme="minorHAnsi"/>
        </w:rPr>
        <w:t>a</w:t>
      </w:r>
      <w:r w:rsidR="001C7AAA" w:rsidRPr="00F7051C">
        <w:rPr>
          <w:rStyle w:val="normaltextrun"/>
          <w:rFonts w:asciiTheme="minorHAnsi" w:hAnsiTheme="minorHAnsi" w:cstheme="minorHAnsi"/>
        </w:rPr>
        <w:t xml:space="preserve"> développ</w:t>
      </w:r>
      <w:r w:rsidR="00441ABF">
        <w:rPr>
          <w:rStyle w:val="normaltextrun"/>
          <w:rFonts w:asciiTheme="minorHAnsi" w:hAnsiTheme="minorHAnsi" w:cstheme="minorHAnsi"/>
        </w:rPr>
        <w:t>é</w:t>
      </w:r>
      <w:r w:rsidR="001C7AAA" w:rsidRPr="00F7051C">
        <w:rPr>
          <w:rStyle w:val="normaltextrun"/>
          <w:rFonts w:asciiTheme="minorHAnsi" w:hAnsiTheme="minorHAnsi" w:cstheme="minorHAnsi"/>
        </w:rPr>
        <w:t xml:space="preserve"> une expertise dans ce domaine </w:t>
      </w:r>
      <w:r w:rsidR="00441ABF">
        <w:rPr>
          <w:rStyle w:val="normaltextrun"/>
          <w:rFonts w:asciiTheme="minorHAnsi" w:hAnsiTheme="minorHAnsi" w:cstheme="minorHAnsi"/>
        </w:rPr>
        <w:t>notamment avec</w:t>
      </w:r>
      <w:r w:rsidR="001C7AAA" w:rsidRPr="00F7051C">
        <w:rPr>
          <w:rStyle w:val="normaltextrun"/>
          <w:rFonts w:asciiTheme="minorHAnsi" w:hAnsiTheme="minorHAnsi" w:cstheme="minorHAnsi"/>
        </w:rPr>
        <w:t xml:space="preserve"> le Professeur Docteur Jean-Jacques </w:t>
      </w:r>
      <w:proofErr w:type="spellStart"/>
      <w:r w:rsidR="001C7AAA" w:rsidRPr="00F7051C">
        <w:rPr>
          <w:rStyle w:val="spellingerror"/>
          <w:rFonts w:asciiTheme="minorHAnsi" w:hAnsiTheme="minorHAnsi" w:cstheme="minorHAnsi"/>
        </w:rPr>
        <w:t>Muyembe</w:t>
      </w:r>
      <w:proofErr w:type="spellEnd"/>
      <w:r w:rsidR="00441ABF">
        <w:rPr>
          <w:rStyle w:val="spellingerror"/>
          <w:rFonts w:asciiTheme="minorHAnsi" w:hAnsiTheme="minorHAnsi" w:cstheme="minorHAnsi"/>
        </w:rPr>
        <w:t xml:space="preserve"> </w:t>
      </w:r>
      <w:r w:rsidR="00441ABF" w:rsidRPr="00177353">
        <w:rPr>
          <w:rStyle w:val="Appelnotedebasdep"/>
        </w:rPr>
        <w:footnoteReference w:id="2"/>
      </w:r>
      <w:r w:rsidR="001C7AAA" w:rsidRPr="00F7051C">
        <w:rPr>
          <w:rStyle w:val="normaltextrun"/>
          <w:rFonts w:asciiTheme="minorHAnsi" w:hAnsiTheme="minorHAnsi" w:cstheme="minorHAnsi"/>
        </w:rPr>
        <w:t>. Ce dernier</w:t>
      </w:r>
      <w:r>
        <w:rPr>
          <w:rStyle w:val="normaltextrun"/>
          <w:rFonts w:asciiTheme="minorHAnsi" w:hAnsiTheme="minorHAnsi" w:cstheme="minorHAnsi"/>
        </w:rPr>
        <w:t xml:space="preserve"> identifie la communication comme un des défis majeur dans la lutte contre Ebola</w:t>
      </w:r>
      <w:r w:rsidR="00441ABF" w:rsidRPr="00177353">
        <w:rPr>
          <w:rStyle w:val="Appelnotedebasdep"/>
        </w:rPr>
        <w:footnoteReference w:id="3"/>
      </w:r>
      <w:r w:rsidR="001C7AAA" w:rsidRPr="00F7051C">
        <w:rPr>
          <w:rStyle w:val="normaltextrun"/>
          <w:rFonts w:asciiTheme="minorHAnsi" w:hAnsiTheme="minorHAnsi" w:cstheme="minorHAnsi"/>
        </w:rPr>
        <w:t>.  </w:t>
      </w:r>
      <w:r w:rsidR="001C7AAA" w:rsidRPr="00F7051C">
        <w:rPr>
          <w:rStyle w:val="eop"/>
          <w:rFonts w:asciiTheme="minorHAnsi" w:hAnsiTheme="minorHAnsi" w:cstheme="minorHAnsi"/>
        </w:rPr>
        <w:t> </w:t>
      </w:r>
    </w:p>
    <w:p w14:paraId="6EACBE51" w14:textId="77777777" w:rsidR="00114D07" w:rsidRPr="00F7051C" w:rsidRDefault="00114D07" w:rsidP="00E92556">
      <w:pPr>
        <w:pStyle w:val="paragraph"/>
        <w:spacing w:before="0" w:beforeAutospacing="0" w:after="0" w:afterAutospacing="0" w:line="276" w:lineRule="auto"/>
        <w:ind w:firstLine="720"/>
        <w:jc w:val="both"/>
        <w:textAlignment w:val="baseline"/>
        <w:rPr>
          <w:rFonts w:asciiTheme="minorHAnsi" w:hAnsiTheme="minorHAnsi" w:cstheme="minorHAnsi"/>
        </w:rPr>
      </w:pPr>
    </w:p>
    <w:p w14:paraId="124953C9" w14:textId="3A826FC8" w:rsidR="00B414A0" w:rsidRPr="00BB5C11" w:rsidRDefault="002D595C" w:rsidP="00BB5C11">
      <w:pPr>
        <w:spacing w:line="276" w:lineRule="auto"/>
        <w:jc w:val="both"/>
        <w:rPr>
          <w:rStyle w:val="normaltextrun"/>
          <w:rFonts w:cstheme="minorHAnsi"/>
          <w:sz w:val="24"/>
          <w:szCs w:val="24"/>
        </w:rPr>
      </w:pPr>
      <w:r w:rsidRPr="00F7051C">
        <w:rPr>
          <w:rStyle w:val="normaltextrun"/>
          <w:rFonts w:cstheme="minorHAnsi"/>
          <w:color w:val="000000"/>
          <w:sz w:val="24"/>
          <w:szCs w:val="24"/>
        </w:rPr>
        <w:tab/>
      </w:r>
      <w:r w:rsidR="001C7AAA" w:rsidRPr="00F7051C">
        <w:rPr>
          <w:rStyle w:val="normaltextrun"/>
          <w:rFonts w:cstheme="minorHAnsi"/>
          <w:color w:val="000000"/>
          <w:sz w:val="24"/>
          <w:szCs w:val="24"/>
        </w:rPr>
        <w:t>Dans notre démarche</w:t>
      </w:r>
      <w:r w:rsidR="00B414A0" w:rsidRPr="00F7051C">
        <w:rPr>
          <w:rStyle w:val="normaltextrun"/>
          <w:rFonts w:cstheme="minorHAnsi"/>
          <w:color w:val="000000"/>
          <w:sz w:val="24"/>
          <w:szCs w:val="24"/>
        </w:rPr>
        <w:t xml:space="preserve"> méthodologique</w:t>
      </w:r>
      <w:r w:rsidR="001C7AAA" w:rsidRPr="00F7051C">
        <w:rPr>
          <w:rStyle w:val="normaltextrun"/>
          <w:rFonts w:cstheme="minorHAnsi"/>
          <w:color w:val="000000"/>
          <w:sz w:val="24"/>
          <w:szCs w:val="24"/>
        </w:rPr>
        <w:t xml:space="preserve">, nous avons choisi comme cas d'étude les publications </w:t>
      </w:r>
      <w:r w:rsidR="00B414A0" w:rsidRPr="00F7051C">
        <w:rPr>
          <w:rStyle w:val="normaltextrun"/>
          <w:rFonts w:cstheme="minorHAnsi"/>
          <w:color w:val="000000"/>
          <w:sz w:val="24"/>
          <w:szCs w:val="24"/>
        </w:rPr>
        <w:t xml:space="preserve">portant sur Ebola durant la dernière épidémie de 2019 en </w:t>
      </w:r>
      <w:r w:rsidR="00BB5C11">
        <w:rPr>
          <w:rStyle w:val="normaltextrun"/>
          <w:rFonts w:cstheme="minorHAnsi"/>
          <w:color w:val="000000"/>
          <w:sz w:val="24"/>
          <w:szCs w:val="24"/>
        </w:rPr>
        <w:t>RDC</w:t>
      </w:r>
      <w:r w:rsidR="00B414A0" w:rsidRPr="00F7051C">
        <w:rPr>
          <w:rStyle w:val="normaltextrun"/>
          <w:rFonts w:cstheme="minorHAnsi"/>
          <w:color w:val="000000"/>
          <w:sz w:val="24"/>
          <w:szCs w:val="24"/>
        </w:rPr>
        <w:t xml:space="preserve">, </w:t>
      </w:r>
      <w:r w:rsidR="001C7AAA" w:rsidRPr="00F7051C">
        <w:rPr>
          <w:rStyle w:val="normaltextrun"/>
          <w:rFonts w:cstheme="minorHAnsi"/>
          <w:color w:val="000000"/>
          <w:sz w:val="24"/>
          <w:szCs w:val="24"/>
        </w:rPr>
        <w:t>sur Twitter</w:t>
      </w:r>
      <w:r w:rsidR="00B414A0" w:rsidRPr="00F7051C">
        <w:rPr>
          <w:rStyle w:val="normaltextrun"/>
          <w:rFonts w:cstheme="minorHAnsi"/>
          <w:color w:val="000000"/>
          <w:sz w:val="24"/>
          <w:szCs w:val="24"/>
        </w:rPr>
        <w:t xml:space="preserve"> et</w:t>
      </w:r>
      <w:r w:rsidR="001C7AAA" w:rsidRPr="00F7051C">
        <w:rPr>
          <w:rStyle w:val="normaltextrun"/>
          <w:rFonts w:cstheme="minorHAnsi"/>
          <w:color w:val="000000"/>
          <w:sz w:val="24"/>
          <w:szCs w:val="24"/>
        </w:rPr>
        <w:t xml:space="preserve"> Facebook. </w:t>
      </w:r>
      <w:r w:rsidR="003D40D5" w:rsidRPr="00F7051C">
        <w:rPr>
          <w:rStyle w:val="normaltextrun"/>
          <w:rFonts w:cstheme="minorHAnsi"/>
          <w:color w:val="000000"/>
          <w:sz w:val="24"/>
          <w:szCs w:val="24"/>
        </w:rPr>
        <w:t xml:space="preserve">Comme le disent </w:t>
      </w:r>
      <w:r w:rsidR="003D40D5" w:rsidRPr="00F7051C">
        <w:rPr>
          <w:rFonts w:cstheme="minorHAnsi"/>
          <w:color w:val="000000"/>
          <w:sz w:val="24"/>
          <w:szCs w:val="24"/>
          <w:shd w:val="clear" w:color="auto" w:fill="FFFFFF"/>
        </w:rPr>
        <w:t> </w:t>
      </w:r>
      <w:r w:rsidR="003D40D5" w:rsidRPr="00F7051C">
        <w:rPr>
          <w:rFonts w:cstheme="minorHAnsi"/>
          <w:color w:val="000000"/>
          <w:sz w:val="24"/>
          <w:szCs w:val="24"/>
          <w:shd w:val="clear" w:color="auto" w:fill="FFFFFF"/>
        </w:rPr>
        <w:fldChar w:fldCharType="begin"/>
      </w:r>
      <w:r w:rsidR="003D40D5" w:rsidRPr="00F7051C">
        <w:rPr>
          <w:rFonts w:cstheme="minorHAnsi"/>
          <w:color w:val="000000"/>
          <w:sz w:val="24"/>
          <w:szCs w:val="24"/>
          <w:shd w:val="clear" w:color="auto" w:fill="FFFFFF"/>
        </w:rPr>
        <w:instrText xml:space="preserve"> ADDIN ZOTERO_ITEM CSL_CITATION {"citationID":"VmiYamBD","properties":{"formattedCitation":"(Clavier &amp; Romeyer, 2008)","plainCitation":"(Clavier &amp; Romeyer, 2008)","noteIndex":0},"citationItems":[{"id":1498,"uris":["http://zotero.org/users/3162888/items/NBCZTMF3"],"uri":["http://zotero.org/users/3162888/items/NBCZTMF3"],"itemData":{"id":1498,"type":"speech","title":"Travailler sur les discours en SIC : le cas des discours sur le cancer","genre":"Communication","event":"Congrès de la SFSIC","URL":"http://www.sfsic.org/congres_2008/spip.php?article85","author":[{"family":"Clavier","given":"Viviane"},{"family":"Romeyer","given":"Hélène"}],"issued":{"date-parts":[["2008"]]},"accessed":{"date-parts":[["2019",6,4]]}}}],"schema":"https://github.com/citation-style-language/schema/raw/master/csl-citation.json"} </w:instrText>
      </w:r>
      <w:r w:rsidR="003D40D5" w:rsidRPr="00F7051C">
        <w:rPr>
          <w:rFonts w:cstheme="minorHAnsi"/>
          <w:color w:val="000000"/>
          <w:sz w:val="24"/>
          <w:szCs w:val="24"/>
          <w:shd w:val="clear" w:color="auto" w:fill="FFFFFF"/>
        </w:rPr>
        <w:fldChar w:fldCharType="separate"/>
      </w:r>
      <w:r w:rsidR="003D40D5" w:rsidRPr="00F7051C">
        <w:rPr>
          <w:rFonts w:cstheme="minorHAnsi"/>
          <w:sz w:val="24"/>
          <w:szCs w:val="24"/>
        </w:rPr>
        <w:t>Clavier et Romeyer (2008)</w:t>
      </w:r>
      <w:r w:rsidR="003D40D5" w:rsidRPr="00F7051C">
        <w:rPr>
          <w:rFonts w:cstheme="minorHAnsi"/>
          <w:color w:val="000000"/>
          <w:sz w:val="24"/>
          <w:szCs w:val="24"/>
          <w:shd w:val="clear" w:color="auto" w:fill="FFFFFF"/>
        </w:rPr>
        <w:fldChar w:fldCharType="end"/>
      </w:r>
      <w:r w:rsidR="0095674A" w:rsidRPr="00F7051C">
        <w:rPr>
          <w:rFonts w:cstheme="minorHAnsi"/>
          <w:color w:val="000000"/>
          <w:sz w:val="24"/>
          <w:szCs w:val="24"/>
          <w:shd w:val="clear" w:color="auto" w:fill="FFFFFF"/>
        </w:rPr>
        <w:t xml:space="preserve"> analyser les </w:t>
      </w:r>
      <w:r w:rsidR="003D40D5" w:rsidRPr="00F7051C">
        <w:rPr>
          <w:rFonts w:cstheme="minorHAnsi"/>
          <w:color w:val="000000"/>
          <w:sz w:val="24"/>
          <w:szCs w:val="24"/>
          <w:shd w:val="clear" w:color="auto" w:fill="FFFFFF"/>
        </w:rPr>
        <w:t xml:space="preserve">discours </w:t>
      </w:r>
      <w:r w:rsidR="0095674A" w:rsidRPr="00F7051C">
        <w:rPr>
          <w:rFonts w:cstheme="minorHAnsi"/>
          <w:color w:val="000000"/>
          <w:sz w:val="24"/>
          <w:szCs w:val="24"/>
          <w:shd w:val="clear" w:color="auto" w:fill="FFFFFF"/>
        </w:rPr>
        <w:t xml:space="preserve">en SIC </w:t>
      </w:r>
      <w:r w:rsidR="003D40D5" w:rsidRPr="00F7051C">
        <w:rPr>
          <w:rFonts w:cstheme="minorHAnsi"/>
          <w:color w:val="000000"/>
          <w:sz w:val="24"/>
          <w:szCs w:val="24"/>
          <w:shd w:val="clear" w:color="auto" w:fill="FFFFFF"/>
        </w:rPr>
        <w:t>suppose à la fois un travail sur l’énonciation (son contexte et son auteur), une démarche d’analyse linguistique des énoncés, une démarche d’analyse sociologique des énoncé</w:t>
      </w:r>
      <w:r w:rsidR="00BB5C11">
        <w:rPr>
          <w:rFonts w:cstheme="minorHAnsi"/>
          <w:color w:val="000000"/>
          <w:sz w:val="24"/>
          <w:szCs w:val="24"/>
          <w:shd w:val="clear" w:color="auto" w:fill="FFFFFF"/>
        </w:rPr>
        <w:t>s</w:t>
      </w:r>
      <w:r w:rsidR="0095674A" w:rsidRPr="00F7051C">
        <w:rPr>
          <w:rFonts w:cstheme="minorHAnsi"/>
          <w:color w:val="000000"/>
          <w:sz w:val="24"/>
          <w:szCs w:val="24"/>
          <w:shd w:val="clear" w:color="auto" w:fill="FFFFFF"/>
        </w:rPr>
        <w:t xml:space="preserve">. </w:t>
      </w:r>
    </w:p>
    <w:p w14:paraId="2B4356B5" w14:textId="65459C1A" w:rsidR="00B414A0" w:rsidRPr="00F7051C" w:rsidRDefault="001C7AAA" w:rsidP="00E92556">
      <w:pPr>
        <w:pStyle w:val="paragraph"/>
        <w:spacing w:before="0" w:beforeAutospacing="0" w:after="0" w:afterAutospacing="0" w:line="276" w:lineRule="auto"/>
        <w:ind w:firstLine="720"/>
        <w:jc w:val="both"/>
        <w:textAlignment w:val="baseline"/>
        <w:rPr>
          <w:rStyle w:val="normaltextrun"/>
          <w:rFonts w:asciiTheme="minorHAnsi" w:hAnsiTheme="minorHAnsi" w:cstheme="minorHAnsi"/>
          <w:color w:val="000000"/>
        </w:rPr>
      </w:pPr>
      <w:r w:rsidRPr="00F7051C">
        <w:rPr>
          <w:rStyle w:val="normaltextrun"/>
          <w:rFonts w:asciiTheme="minorHAnsi" w:hAnsiTheme="minorHAnsi" w:cstheme="minorHAnsi"/>
          <w:color w:val="000000"/>
        </w:rPr>
        <w:t xml:space="preserve">A partir </w:t>
      </w:r>
      <w:r w:rsidR="00137D4F" w:rsidRPr="00F7051C">
        <w:rPr>
          <w:rStyle w:val="normaltextrun"/>
          <w:rFonts w:asciiTheme="minorHAnsi" w:hAnsiTheme="minorHAnsi" w:cstheme="minorHAnsi"/>
          <w:color w:val="000000"/>
        </w:rPr>
        <w:t>de l’Hashtag EBOLA</w:t>
      </w:r>
      <w:r w:rsidRPr="00F7051C">
        <w:rPr>
          <w:rStyle w:val="normaltextrun"/>
          <w:rFonts w:asciiTheme="minorHAnsi" w:hAnsiTheme="minorHAnsi" w:cstheme="minorHAnsi"/>
          <w:color w:val="000000"/>
        </w:rPr>
        <w:t xml:space="preserve">, nous avons identifié des publications d'acteurs ayant le plus grands nombre </w:t>
      </w:r>
      <w:r w:rsidR="00173143" w:rsidRPr="00F7051C">
        <w:rPr>
          <w:rStyle w:val="normaltextrun"/>
          <w:rFonts w:asciiTheme="minorHAnsi" w:hAnsiTheme="minorHAnsi" w:cstheme="minorHAnsi"/>
          <w:color w:val="000000"/>
        </w:rPr>
        <w:t>d’interactions.</w:t>
      </w:r>
    </w:p>
    <w:p w14:paraId="3344BBC5" w14:textId="7F13EC32" w:rsidR="00B414A0" w:rsidRPr="00F7051C" w:rsidRDefault="001C7AAA" w:rsidP="00E92556">
      <w:pPr>
        <w:pStyle w:val="paragraph"/>
        <w:spacing w:before="0" w:beforeAutospacing="0" w:after="0" w:afterAutospacing="0" w:line="276" w:lineRule="auto"/>
        <w:ind w:firstLine="720"/>
        <w:jc w:val="both"/>
        <w:textAlignment w:val="baseline"/>
        <w:rPr>
          <w:rStyle w:val="normaltextrun"/>
          <w:rFonts w:asciiTheme="minorHAnsi" w:hAnsiTheme="minorHAnsi" w:cstheme="minorHAnsi"/>
          <w:color w:val="000000"/>
        </w:rPr>
      </w:pPr>
      <w:r w:rsidRPr="00F7051C">
        <w:rPr>
          <w:rStyle w:val="normaltextrun"/>
          <w:rFonts w:asciiTheme="minorHAnsi" w:hAnsiTheme="minorHAnsi" w:cstheme="minorHAnsi"/>
          <w:color w:val="000000"/>
        </w:rPr>
        <w:t xml:space="preserve">Ensuite, nous avons </w:t>
      </w:r>
      <w:r w:rsidR="00B414A0" w:rsidRPr="00F7051C">
        <w:rPr>
          <w:rStyle w:val="normaltextrun"/>
          <w:rFonts w:asciiTheme="minorHAnsi" w:hAnsiTheme="minorHAnsi" w:cstheme="minorHAnsi"/>
          <w:color w:val="000000"/>
        </w:rPr>
        <w:t>catégorisé</w:t>
      </w:r>
      <w:r w:rsidRPr="00F7051C">
        <w:rPr>
          <w:rStyle w:val="normaltextrun"/>
          <w:rFonts w:asciiTheme="minorHAnsi" w:hAnsiTheme="minorHAnsi" w:cstheme="minorHAnsi"/>
          <w:color w:val="000000"/>
        </w:rPr>
        <w:t xml:space="preserve"> les acteurs et pages les plus pertinents</w:t>
      </w:r>
      <w:r w:rsidR="00C62B6C">
        <w:rPr>
          <w:rStyle w:val="normaltextrun"/>
          <w:rFonts w:asciiTheme="minorHAnsi" w:hAnsiTheme="minorHAnsi" w:cstheme="minorHAnsi"/>
          <w:color w:val="000000"/>
        </w:rPr>
        <w:t xml:space="preserve"> (nombre de</w:t>
      </w:r>
      <w:r w:rsidRPr="00F7051C">
        <w:rPr>
          <w:rStyle w:val="normaltextrun"/>
          <w:rFonts w:asciiTheme="minorHAnsi" w:hAnsiTheme="minorHAnsi" w:cstheme="minorHAnsi"/>
          <w:color w:val="000000"/>
        </w:rPr>
        <w:t xml:space="preserve"> </w:t>
      </w:r>
      <w:r w:rsidR="00C62B6C">
        <w:rPr>
          <w:rStyle w:val="normaltextrun"/>
          <w:rFonts w:asciiTheme="minorHAnsi" w:hAnsiTheme="minorHAnsi" w:cstheme="minorHAnsi"/>
          <w:color w:val="000000"/>
        </w:rPr>
        <w:t>like et retweet</w:t>
      </w:r>
      <w:r w:rsidR="00C62B6C" w:rsidRPr="00F7051C">
        <w:rPr>
          <w:rStyle w:val="normaltextrun"/>
          <w:rFonts w:asciiTheme="minorHAnsi" w:hAnsiTheme="minorHAnsi" w:cstheme="minorHAnsi"/>
          <w:color w:val="000000"/>
        </w:rPr>
        <w:t xml:space="preserve"> </w:t>
      </w:r>
      <w:r w:rsidR="003809ED">
        <w:rPr>
          <w:rStyle w:val="normaltextrun"/>
          <w:rFonts w:asciiTheme="minorHAnsi" w:hAnsiTheme="minorHAnsi" w:cstheme="minorHAnsi"/>
          <w:color w:val="000000"/>
        </w:rPr>
        <w:t xml:space="preserve">sur les post </w:t>
      </w:r>
      <w:r w:rsidR="00C62B6C" w:rsidRPr="00F7051C">
        <w:rPr>
          <w:rStyle w:val="normaltextrun"/>
          <w:rFonts w:asciiTheme="minorHAnsi" w:hAnsiTheme="minorHAnsi" w:cstheme="minorHAnsi"/>
          <w:color w:val="000000"/>
        </w:rPr>
        <w:t xml:space="preserve">pour Twitter, et de like </w:t>
      </w:r>
      <w:r w:rsidR="003809ED">
        <w:rPr>
          <w:rStyle w:val="normaltextrun"/>
          <w:rFonts w:asciiTheme="minorHAnsi" w:hAnsiTheme="minorHAnsi" w:cstheme="minorHAnsi"/>
          <w:color w:val="000000"/>
        </w:rPr>
        <w:t xml:space="preserve">des pages </w:t>
      </w:r>
      <w:r w:rsidR="00C62B6C" w:rsidRPr="00F7051C">
        <w:rPr>
          <w:rStyle w:val="normaltextrun"/>
          <w:rFonts w:asciiTheme="minorHAnsi" w:hAnsiTheme="minorHAnsi" w:cstheme="minorHAnsi"/>
          <w:color w:val="000000"/>
        </w:rPr>
        <w:t>pour Facebook</w:t>
      </w:r>
      <w:r w:rsidR="00C62B6C">
        <w:rPr>
          <w:rStyle w:val="normaltextrun"/>
          <w:rFonts w:asciiTheme="minorHAnsi" w:hAnsiTheme="minorHAnsi" w:cstheme="minorHAnsi"/>
          <w:color w:val="000000"/>
        </w:rPr>
        <w:t>)</w:t>
      </w:r>
      <w:r w:rsidR="003809ED">
        <w:rPr>
          <w:rStyle w:val="normaltextrun"/>
          <w:rFonts w:asciiTheme="minorHAnsi" w:hAnsiTheme="minorHAnsi" w:cstheme="minorHAnsi"/>
          <w:color w:val="000000"/>
        </w:rPr>
        <w:t xml:space="preserve"> </w:t>
      </w:r>
      <w:r w:rsidRPr="00F7051C">
        <w:rPr>
          <w:rStyle w:val="normaltextrun"/>
          <w:rFonts w:asciiTheme="minorHAnsi" w:hAnsiTheme="minorHAnsi" w:cstheme="minorHAnsi"/>
          <w:color w:val="000000"/>
        </w:rPr>
        <w:t>selon qu’ils sont classiques</w:t>
      </w:r>
      <w:r w:rsidR="00B414A0" w:rsidRPr="00F7051C">
        <w:rPr>
          <w:rStyle w:val="normaltextrun"/>
          <w:rFonts w:asciiTheme="minorHAnsi" w:hAnsiTheme="minorHAnsi" w:cstheme="minorHAnsi"/>
          <w:color w:val="000000"/>
        </w:rPr>
        <w:t>,</w:t>
      </w:r>
      <w:r w:rsidRPr="00F7051C">
        <w:rPr>
          <w:rStyle w:val="normaltextrun"/>
          <w:rFonts w:asciiTheme="minorHAnsi" w:hAnsiTheme="minorHAnsi" w:cstheme="minorHAnsi"/>
          <w:color w:val="000000"/>
        </w:rPr>
        <w:t xml:space="preserve"> c’est à dire </w:t>
      </w:r>
      <w:r w:rsidR="00B414A0" w:rsidRPr="00F7051C">
        <w:rPr>
          <w:rStyle w:val="normaltextrun"/>
          <w:rFonts w:asciiTheme="minorHAnsi" w:hAnsiTheme="minorHAnsi" w:cstheme="minorHAnsi"/>
          <w:color w:val="000000"/>
        </w:rPr>
        <w:t xml:space="preserve">les acteurs </w:t>
      </w:r>
      <w:r w:rsidRPr="00F7051C">
        <w:rPr>
          <w:rStyle w:val="normaltextrun"/>
          <w:rFonts w:asciiTheme="minorHAnsi" w:hAnsiTheme="minorHAnsi" w:cstheme="minorHAnsi"/>
          <w:color w:val="000000"/>
        </w:rPr>
        <w:t xml:space="preserve">clés </w:t>
      </w:r>
      <w:r w:rsidR="00B414A0" w:rsidRPr="00F7051C">
        <w:rPr>
          <w:rStyle w:val="normaltextrun"/>
          <w:rFonts w:asciiTheme="minorHAnsi" w:hAnsiTheme="minorHAnsi" w:cstheme="minorHAnsi"/>
          <w:color w:val="000000"/>
        </w:rPr>
        <w:t xml:space="preserve">officiels </w:t>
      </w:r>
      <w:r w:rsidRPr="00F7051C">
        <w:rPr>
          <w:rStyle w:val="normaltextrun"/>
          <w:rFonts w:asciiTheme="minorHAnsi" w:hAnsiTheme="minorHAnsi" w:cstheme="minorHAnsi"/>
          <w:color w:val="000000"/>
        </w:rPr>
        <w:t>dans la gestion d'une épidémie</w:t>
      </w:r>
      <w:r w:rsidR="00B414A0" w:rsidRPr="00F7051C">
        <w:rPr>
          <w:rStyle w:val="normaltextrun"/>
          <w:rFonts w:asciiTheme="minorHAnsi" w:hAnsiTheme="minorHAnsi" w:cstheme="minorHAnsi"/>
          <w:color w:val="000000"/>
        </w:rPr>
        <w:t> ;</w:t>
      </w:r>
      <w:r w:rsidRPr="00F7051C">
        <w:rPr>
          <w:rStyle w:val="normaltextrun"/>
          <w:rFonts w:asciiTheme="minorHAnsi" w:hAnsiTheme="minorHAnsi" w:cstheme="minorHAnsi"/>
          <w:color w:val="000000"/>
        </w:rPr>
        <w:t xml:space="preserve"> ou</w:t>
      </w:r>
      <w:r w:rsidR="00B414A0" w:rsidRPr="00F7051C">
        <w:rPr>
          <w:rStyle w:val="normaltextrun"/>
          <w:rFonts w:asciiTheme="minorHAnsi" w:hAnsiTheme="minorHAnsi" w:cstheme="minorHAnsi"/>
          <w:color w:val="000000"/>
        </w:rPr>
        <w:t xml:space="preserve"> qu’il s’agisse</w:t>
      </w:r>
      <w:r w:rsidRPr="00F7051C">
        <w:rPr>
          <w:rStyle w:val="normaltextrun"/>
          <w:rFonts w:asciiTheme="minorHAnsi" w:hAnsiTheme="minorHAnsi" w:cstheme="minorHAnsi"/>
          <w:color w:val="000000"/>
        </w:rPr>
        <w:t xml:space="preserve"> </w:t>
      </w:r>
      <w:r w:rsidR="00B414A0" w:rsidRPr="00F7051C">
        <w:rPr>
          <w:rStyle w:val="normaltextrun"/>
          <w:rFonts w:asciiTheme="minorHAnsi" w:hAnsiTheme="minorHAnsi" w:cstheme="minorHAnsi"/>
          <w:color w:val="000000"/>
        </w:rPr>
        <w:t>d’</w:t>
      </w:r>
      <w:r w:rsidRPr="00F7051C">
        <w:rPr>
          <w:rStyle w:val="normaltextrun"/>
          <w:rFonts w:asciiTheme="minorHAnsi" w:hAnsiTheme="minorHAnsi" w:cstheme="minorHAnsi"/>
          <w:color w:val="000000"/>
        </w:rPr>
        <w:t>acteurs sociaux engagés de manière ponctuelle</w:t>
      </w:r>
      <w:r w:rsidR="00C62B6C">
        <w:rPr>
          <w:rStyle w:val="normaltextrun"/>
          <w:rFonts w:asciiTheme="minorHAnsi" w:hAnsiTheme="minorHAnsi" w:cstheme="minorHAnsi"/>
          <w:color w:val="000000"/>
        </w:rPr>
        <w:t>.</w:t>
      </w:r>
      <w:r w:rsidRPr="00F7051C">
        <w:rPr>
          <w:rStyle w:val="normaltextrun"/>
          <w:rFonts w:asciiTheme="minorHAnsi" w:hAnsiTheme="minorHAnsi" w:cstheme="minorHAnsi"/>
          <w:color w:val="000000"/>
        </w:rPr>
        <w:t xml:space="preserve"> </w:t>
      </w:r>
    </w:p>
    <w:p w14:paraId="03A469C9" w14:textId="25CE0633" w:rsidR="001C7AAA" w:rsidRPr="00F7051C" w:rsidRDefault="001C7AAA" w:rsidP="00E92556">
      <w:pPr>
        <w:pStyle w:val="paragraph"/>
        <w:spacing w:before="0" w:beforeAutospacing="0" w:after="0" w:afterAutospacing="0" w:line="276" w:lineRule="auto"/>
        <w:ind w:firstLine="720"/>
        <w:jc w:val="both"/>
        <w:textAlignment w:val="baseline"/>
        <w:rPr>
          <w:rFonts w:asciiTheme="minorHAnsi" w:hAnsiTheme="minorHAnsi" w:cstheme="minorHAnsi"/>
          <w:color w:val="000000"/>
        </w:rPr>
      </w:pPr>
      <w:r w:rsidRPr="00F7051C">
        <w:rPr>
          <w:rStyle w:val="normaltextrun"/>
          <w:rFonts w:asciiTheme="minorHAnsi" w:hAnsiTheme="minorHAnsi" w:cstheme="minorHAnsi"/>
          <w:color w:val="000000"/>
        </w:rPr>
        <w:t xml:space="preserve"> </w:t>
      </w:r>
      <w:r w:rsidR="003809ED">
        <w:rPr>
          <w:rStyle w:val="normaltextrun"/>
          <w:rFonts w:asciiTheme="minorHAnsi" w:hAnsiTheme="minorHAnsi" w:cstheme="minorHAnsi"/>
          <w:color w:val="000000"/>
        </w:rPr>
        <w:t>Dans</w:t>
      </w:r>
      <w:r w:rsidR="00137D4F" w:rsidRPr="00F7051C">
        <w:rPr>
          <w:rStyle w:val="normaltextrun"/>
          <w:rFonts w:asciiTheme="minorHAnsi" w:hAnsiTheme="minorHAnsi" w:cstheme="minorHAnsi"/>
          <w:color w:val="000000"/>
        </w:rPr>
        <w:t xml:space="preserve"> une démarche à la fois quantitative et qualitative</w:t>
      </w:r>
      <w:r w:rsidR="002D595C" w:rsidRPr="00F7051C">
        <w:rPr>
          <w:rStyle w:val="normaltextrun"/>
          <w:rFonts w:asciiTheme="minorHAnsi" w:hAnsiTheme="minorHAnsi" w:cstheme="minorHAnsi"/>
          <w:color w:val="000000"/>
        </w:rPr>
        <w:t xml:space="preserve">, </w:t>
      </w:r>
      <w:r w:rsidRPr="00F7051C">
        <w:rPr>
          <w:rStyle w:val="normaltextrun"/>
          <w:rFonts w:asciiTheme="minorHAnsi" w:hAnsiTheme="minorHAnsi" w:cstheme="minorHAnsi"/>
          <w:color w:val="000000"/>
        </w:rPr>
        <w:t>nous avons pu analyser</w:t>
      </w:r>
      <w:r w:rsidR="00114D07" w:rsidRPr="00F7051C">
        <w:rPr>
          <w:rStyle w:val="normaltextrun"/>
          <w:rFonts w:asciiTheme="minorHAnsi" w:hAnsiTheme="minorHAnsi" w:cstheme="minorHAnsi"/>
          <w:color w:val="000000"/>
        </w:rPr>
        <w:t xml:space="preserve"> </w:t>
      </w:r>
      <w:r w:rsidRPr="00F7051C">
        <w:rPr>
          <w:rStyle w:val="normaltextrun"/>
          <w:rFonts w:asciiTheme="minorHAnsi" w:hAnsiTheme="minorHAnsi" w:cstheme="minorHAnsi"/>
          <w:color w:val="000000"/>
        </w:rPr>
        <w:t>le</w:t>
      </w:r>
      <w:r w:rsidR="00C62B6C">
        <w:rPr>
          <w:rStyle w:val="normaltextrun"/>
          <w:rFonts w:asciiTheme="minorHAnsi" w:hAnsiTheme="minorHAnsi" w:cstheme="minorHAnsi"/>
          <w:color w:val="000000"/>
        </w:rPr>
        <w:t xml:space="preserve">s </w:t>
      </w:r>
      <w:r w:rsidRPr="00F7051C">
        <w:rPr>
          <w:rStyle w:val="normaltextrun"/>
          <w:rFonts w:asciiTheme="minorHAnsi" w:hAnsiTheme="minorHAnsi" w:cstheme="minorHAnsi"/>
          <w:color w:val="000000"/>
        </w:rPr>
        <w:t>contenu</w:t>
      </w:r>
      <w:r w:rsidR="00C62B6C">
        <w:rPr>
          <w:rStyle w:val="normaltextrun"/>
          <w:rFonts w:asciiTheme="minorHAnsi" w:hAnsiTheme="minorHAnsi" w:cstheme="minorHAnsi"/>
          <w:color w:val="000000"/>
        </w:rPr>
        <w:t>s</w:t>
      </w:r>
      <w:r w:rsidRPr="00F7051C">
        <w:rPr>
          <w:rStyle w:val="normaltextrun"/>
          <w:rFonts w:asciiTheme="minorHAnsi" w:hAnsiTheme="minorHAnsi" w:cstheme="minorHAnsi"/>
          <w:color w:val="000000"/>
        </w:rPr>
        <w:t xml:space="preserve"> posté</w:t>
      </w:r>
      <w:r w:rsidR="00C62B6C">
        <w:rPr>
          <w:rStyle w:val="normaltextrun"/>
          <w:rFonts w:asciiTheme="minorHAnsi" w:hAnsiTheme="minorHAnsi" w:cstheme="minorHAnsi"/>
          <w:color w:val="000000"/>
        </w:rPr>
        <w:t>s</w:t>
      </w:r>
      <w:r w:rsidRPr="00F7051C">
        <w:rPr>
          <w:rStyle w:val="normaltextrun"/>
          <w:rFonts w:asciiTheme="minorHAnsi" w:hAnsiTheme="minorHAnsi" w:cstheme="minorHAnsi"/>
          <w:color w:val="000000"/>
        </w:rPr>
        <w:t xml:space="preserve"> (thèmes, sujets)</w:t>
      </w:r>
      <w:r w:rsidR="00C62B6C">
        <w:rPr>
          <w:rStyle w:val="normaltextrun"/>
          <w:rFonts w:asciiTheme="minorHAnsi" w:hAnsiTheme="minorHAnsi" w:cstheme="minorHAnsi"/>
          <w:color w:val="000000"/>
        </w:rPr>
        <w:t>,</w:t>
      </w:r>
      <w:r w:rsidR="00B414A0" w:rsidRPr="00F7051C">
        <w:rPr>
          <w:rStyle w:val="normaltextrun"/>
          <w:rFonts w:asciiTheme="minorHAnsi" w:hAnsiTheme="minorHAnsi" w:cstheme="minorHAnsi"/>
          <w:color w:val="000000"/>
        </w:rPr>
        <w:t xml:space="preserve"> </w:t>
      </w:r>
      <w:r w:rsidRPr="00F7051C">
        <w:rPr>
          <w:rStyle w:val="normaltextrun"/>
          <w:rFonts w:asciiTheme="minorHAnsi" w:hAnsiTheme="minorHAnsi" w:cstheme="minorHAnsi"/>
          <w:color w:val="000000"/>
        </w:rPr>
        <w:t>ainsi que les interactions</w:t>
      </w:r>
      <w:r w:rsidR="003809ED">
        <w:rPr>
          <w:rStyle w:val="normaltextrun"/>
          <w:rFonts w:asciiTheme="minorHAnsi" w:hAnsiTheme="minorHAnsi" w:cstheme="minorHAnsi"/>
          <w:color w:val="000000"/>
        </w:rPr>
        <w:t xml:space="preserve"> (like, retweet</w:t>
      </w:r>
      <w:r w:rsidR="007C467E">
        <w:rPr>
          <w:rStyle w:val="normaltextrun"/>
          <w:rFonts w:asciiTheme="minorHAnsi" w:hAnsiTheme="minorHAnsi" w:cstheme="minorHAnsi"/>
          <w:color w:val="000000"/>
        </w:rPr>
        <w:t>s</w:t>
      </w:r>
      <w:r w:rsidR="003809ED">
        <w:rPr>
          <w:rStyle w:val="normaltextrun"/>
          <w:rFonts w:asciiTheme="minorHAnsi" w:hAnsiTheme="minorHAnsi" w:cstheme="minorHAnsi"/>
          <w:color w:val="000000"/>
        </w:rPr>
        <w:t>, commentaires)</w:t>
      </w:r>
      <w:r w:rsidRPr="00F7051C">
        <w:rPr>
          <w:rStyle w:val="normaltextrun"/>
          <w:rFonts w:asciiTheme="minorHAnsi" w:hAnsiTheme="minorHAnsi" w:cstheme="minorHAnsi"/>
          <w:color w:val="000000"/>
        </w:rPr>
        <w:t xml:space="preserve"> avec les abonnés.</w:t>
      </w:r>
      <w:r w:rsidRPr="00F7051C">
        <w:rPr>
          <w:rStyle w:val="eop"/>
          <w:rFonts w:asciiTheme="minorHAnsi" w:hAnsiTheme="minorHAnsi" w:cstheme="minorHAnsi"/>
        </w:rPr>
        <w:t> </w:t>
      </w:r>
      <w:r w:rsidR="00B414A0" w:rsidRPr="00F7051C">
        <w:rPr>
          <w:rStyle w:val="eop"/>
          <w:rFonts w:asciiTheme="minorHAnsi" w:hAnsiTheme="minorHAnsi" w:cstheme="minorHAnsi"/>
        </w:rPr>
        <w:t>Cette étape permet de comparer les publications entre les deux catégories d’acteurs</w:t>
      </w:r>
      <w:r w:rsidR="00114D07" w:rsidRPr="00F7051C">
        <w:rPr>
          <w:rStyle w:val="eop"/>
          <w:rFonts w:asciiTheme="minorHAnsi" w:hAnsiTheme="minorHAnsi" w:cstheme="minorHAnsi"/>
        </w:rPr>
        <w:t xml:space="preserve">, </w:t>
      </w:r>
      <w:r w:rsidR="0095674A" w:rsidRPr="00F7051C">
        <w:rPr>
          <w:rStyle w:val="eop"/>
          <w:rFonts w:asciiTheme="minorHAnsi" w:hAnsiTheme="minorHAnsi" w:cstheme="minorHAnsi"/>
        </w:rPr>
        <w:t xml:space="preserve">les conditions sociales de constitution de leur autorité, </w:t>
      </w:r>
      <w:r w:rsidR="00114D07" w:rsidRPr="00F7051C">
        <w:rPr>
          <w:rStyle w:val="eop"/>
          <w:rFonts w:asciiTheme="minorHAnsi" w:hAnsiTheme="minorHAnsi" w:cstheme="minorHAnsi"/>
        </w:rPr>
        <w:t>et ainsi comprendre dans cette perspective la dynamique de légitimité sur les réseaux sociaux.</w:t>
      </w:r>
    </w:p>
    <w:p w14:paraId="36B245CC" w14:textId="3A59459B" w:rsidR="00173143" w:rsidRPr="00F7051C" w:rsidRDefault="00173143" w:rsidP="00E92556">
      <w:pPr>
        <w:pStyle w:val="paragraph"/>
        <w:spacing w:before="0" w:beforeAutospacing="0" w:after="0" w:afterAutospacing="0" w:line="276" w:lineRule="auto"/>
        <w:ind w:firstLine="720"/>
        <w:jc w:val="both"/>
        <w:textAlignment w:val="baseline"/>
        <w:rPr>
          <w:rFonts w:asciiTheme="minorHAnsi" w:hAnsiTheme="minorHAnsi" w:cstheme="minorHAnsi"/>
        </w:rPr>
      </w:pPr>
    </w:p>
    <w:p w14:paraId="1369A777" w14:textId="136E08F9" w:rsidR="00B414A0" w:rsidRPr="00F7051C" w:rsidRDefault="002372EC" w:rsidP="007A4C5E">
      <w:pPr>
        <w:pStyle w:val="paragraph"/>
        <w:spacing w:before="0" w:beforeAutospacing="0" w:after="0" w:afterAutospacing="0" w:line="276" w:lineRule="auto"/>
        <w:ind w:firstLine="720"/>
        <w:jc w:val="both"/>
        <w:textAlignment w:val="baseline"/>
        <w:rPr>
          <w:rFonts w:asciiTheme="minorHAnsi" w:hAnsiTheme="minorHAnsi" w:cstheme="minorHAnsi"/>
          <w:color w:val="000000"/>
        </w:rPr>
      </w:pPr>
      <w:r>
        <w:rPr>
          <w:rStyle w:val="normaltextrun"/>
          <w:rFonts w:asciiTheme="minorHAnsi" w:hAnsiTheme="minorHAnsi" w:cstheme="minorHAnsi"/>
          <w:color w:val="000000"/>
        </w:rPr>
        <w:t>Nous</w:t>
      </w:r>
      <w:r w:rsidR="00B414A0" w:rsidRPr="00F7051C">
        <w:rPr>
          <w:rStyle w:val="normaltextrun"/>
          <w:rFonts w:asciiTheme="minorHAnsi" w:hAnsiTheme="minorHAnsi" w:cstheme="minorHAnsi"/>
          <w:color w:val="000000"/>
        </w:rPr>
        <w:t xml:space="preserve"> </w:t>
      </w:r>
      <w:r w:rsidR="00DF0A23">
        <w:rPr>
          <w:rStyle w:val="normaltextrun"/>
          <w:rFonts w:asciiTheme="minorHAnsi" w:hAnsiTheme="minorHAnsi" w:cstheme="minorHAnsi"/>
          <w:color w:val="000000"/>
        </w:rPr>
        <w:t>observons dans les pratiques</w:t>
      </w:r>
      <w:r w:rsidR="00B414A0" w:rsidRPr="00F7051C">
        <w:rPr>
          <w:rStyle w:val="normaltextrun"/>
          <w:rFonts w:asciiTheme="minorHAnsi" w:hAnsiTheme="minorHAnsi" w:cstheme="minorHAnsi"/>
          <w:color w:val="000000"/>
        </w:rPr>
        <w:t xml:space="preserve"> </w:t>
      </w:r>
      <w:r>
        <w:rPr>
          <w:rStyle w:val="normaltextrun"/>
          <w:rFonts w:asciiTheme="minorHAnsi" w:hAnsiTheme="minorHAnsi" w:cstheme="minorHAnsi"/>
          <w:color w:val="000000"/>
        </w:rPr>
        <w:t>que</w:t>
      </w:r>
      <w:r w:rsidR="00B414A0" w:rsidRPr="00F7051C">
        <w:rPr>
          <w:rStyle w:val="normaltextrun"/>
          <w:rFonts w:asciiTheme="minorHAnsi" w:hAnsiTheme="minorHAnsi" w:cstheme="minorHAnsi"/>
          <w:color w:val="000000"/>
        </w:rPr>
        <w:t xml:space="preserve"> </w:t>
      </w:r>
      <w:r w:rsidR="000F1B74">
        <w:rPr>
          <w:rStyle w:val="normaltextrun"/>
          <w:rFonts w:asciiTheme="minorHAnsi" w:hAnsiTheme="minorHAnsi" w:cstheme="minorHAnsi"/>
          <w:color w:val="000000"/>
        </w:rPr>
        <w:t>des acteurs non classiques</w:t>
      </w:r>
      <w:r w:rsidR="00524332">
        <w:rPr>
          <w:rStyle w:val="normaltextrun"/>
          <w:rFonts w:asciiTheme="minorHAnsi" w:hAnsiTheme="minorHAnsi" w:cstheme="minorHAnsi"/>
          <w:color w:val="000000"/>
        </w:rPr>
        <w:t xml:space="preserve"> de la communication sur Ebola (</w:t>
      </w:r>
      <w:r w:rsidR="00A25EF2">
        <w:rPr>
          <w:rStyle w:val="normaltextrun"/>
          <w:rFonts w:asciiTheme="minorHAnsi" w:hAnsiTheme="minorHAnsi" w:cstheme="minorHAnsi"/>
          <w:color w:val="000000"/>
        </w:rPr>
        <w:t xml:space="preserve">contrairement à </w:t>
      </w:r>
      <w:r w:rsidR="00524332">
        <w:rPr>
          <w:rStyle w:val="normaltextrun"/>
          <w:rFonts w:asciiTheme="minorHAnsi" w:hAnsiTheme="minorHAnsi" w:cstheme="minorHAnsi"/>
          <w:color w:val="000000"/>
        </w:rPr>
        <w:t>ceux</w:t>
      </w:r>
      <w:r w:rsidR="000F1B74">
        <w:rPr>
          <w:rStyle w:val="normaltextrun"/>
          <w:rFonts w:asciiTheme="minorHAnsi" w:hAnsiTheme="minorHAnsi" w:cstheme="minorHAnsi"/>
          <w:color w:val="000000"/>
        </w:rPr>
        <w:t xml:space="preserve"> </w:t>
      </w:r>
      <w:r w:rsidR="00A25EF2">
        <w:rPr>
          <w:rStyle w:val="normaltextrun"/>
          <w:rFonts w:asciiTheme="minorHAnsi" w:hAnsiTheme="minorHAnsi" w:cstheme="minorHAnsi"/>
          <w:color w:val="000000"/>
        </w:rPr>
        <w:t>impliqués</w:t>
      </w:r>
      <w:r w:rsidR="00524332">
        <w:rPr>
          <w:rStyle w:val="normaltextrun"/>
          <w:rFonts w:asciiTheme="minorHAnsi" w:hAnsiTheme="minorHAnsi" w:cstheme="minorHAnsi"/>
          <w:color w:val="000000"/>
        </w:rPr>
        <w:t xml:space="preserve"> officiellement</w:t>
      </w:r>
      <w:r w:rsidR="00A25EF2" w:rsidRPr="00177353">
        <w:rPr>
          <w:rStyle w:val="Appelnotedebasdep"/>
        </w:rPr>
        <w:footnoteReference w:id="4"/>
      </w:r>
      <w:r w:rsidR="00524332">
        <w:rPr>
          <w:rStyle w:val="normaltextrun"/>
          <w:rFonts w:asciiTheme="minorHAnsi" w:hAnsiTheme="minorHAnsi" w:cstheme="minorHAnsi"/>
          <w:color w:val="000000"/>
        </w:rPr>
        <w:t>)</w:t>
      </w:r>
      <w:r w:rsidR="000F1B74">
        <w:rPr>
          <w:rStyle w:val="normaltextrun"/>
          <w:rFonts w:asciiTheme="minorHAnsi" w:hAnsiTheme="minorHAnsi" w:cstheme="minorHAnsi"/>
          <w:color w:val="000000"/>
        </w:rPr>
        <w:t xml:space="preserve">, se sont révélés être </w:t>
      </w:r>
      <w:r>
        <w:rPr>
          <w:rStyle w:val="normaltextrun"/>
          <w:rFonts w:asciiTheme="minorHAnsi" w:hAnsiTheme="minorHAnsi" w:cstheme="minorHAnsi"/>
          <w:color w:val="000000"/>
        </w:rPr>
        <w:t xml:space="preserve">également </w:t>
      </w:r>
      <w:r w:rsidR="000F1B74">
        <w:rPr>
          <w:rStyle w:val="normaltextrun"/>
          <w:rFonts w:asciiTheme="minorHAnsi" w:hAnsiTheme="minorHAnsi" w:cstheme="minorHAnsi"/>
          <w:color w:val="000000"/>
        </w:rPr>
        <w:t>très présents</w:t>
      </w:r>
      <w:r>
        <w:rPr>
          <w:rStyle w:val="normaltextrun"/>
          <w:rFonts w:asciiTheme="minorHAnsi" w:hAnsiTheme="minorHAnsi" w:cstheme="minorHAnsi"/>
          <w:color w:val="000000"/>
        </w:rPr>
        <w:t>,</w:t>
      </w:r>
      <w:r w:rsidR="000F1B74">
        <w:rPr>
          <w:rStyle w:val="normaltextrun"/>
          <w:rFonts w:asciiTheme="minorHAnsi" w:hAnsiTheme="minorHAnsi" w:cstheme="minorHAnsi"/>
          <w:color w:val="000000"/>
        </w:rPr>
        <w:t xml:space="preserve"> et suivis par la population</w:t>
      </w:r>
      <w:r w:rsidR="0085760F">
        <w:rPr>
          <w:rStyle w:val="normaltextrun"/>
          <w:rFonts w:asciiTheme="minorHAnsi" w:hAnsiTheme="minorHAnsi" w:cstheme="minorHAnsi"/>
          <w:color w:val="000000"/>
        </w:rPr>
        <w:t xml:space="preserve"> sur les réseaux sociaux. L</w:t>
      </w:r>
      <w:r w:rsidR="00B414A0" w:rsidRPr="00F7051C">
        <w:rPr>
          <w:rStyle w:val="normaltextrun"/>
          <w:rFonts w:asciiTheme="minorHAnsi" w:hAnsiTheme="minorHAnsi" w:cstheme="minorHAnsi"/>
          <w:color w:val="000000"/>
        </w:rPr>
        <w:t xml:space="preserve">es publications </w:t>
      </w:r>
      <w:r w:rsidR="007A4C5E">
        <w:rPr>
          <w:rStyle w:val="normaltextrun"/>
          <w:rFonts w:asciiTheme="minorHAnsi" w:hAnsiTheme="minorHAnsi" w:cstheme="minorHAnsi"/>
          <w:color w:val="000000"/>
        </w:rPr>
        <w:t>d’</w:t>
      </w:r>
      <w:r w:rsidR="00B414A0" w:rsidRPr="00F7051C">
        <w:rPr>
          <w:rStyle w:val="normaltextrun"/>
          <w:rFonts w:asciiTheme="minorHAnsi" w:hAnsiTheme="minorHAnsi" w:cstheme="minorHAnsi"/>
          <w:color w:val="000000"/>
        </w:rPr>
        <w:t>artistes musiciens</w:t>
      </w:r>
      <w:r w:rsidR="007A4C5E">
        <w:rPr>
          <w:rStyle w:val="normaltextrun"/>
          <w:rFonts w:asciiTheme="minorHAnsi" w:hAnsiTheme="minorHAnsi" w:cstheme="minorHAnsi"/>
          <w:color w:val="000000"/>
        </w:rPr>
        <w:t>, d’</w:t>
      </w:r>
      <w:r w:rsidR="00B414A0" w:rsidRPr="00F7051C">
        <w:rPr>
          <w:rStyle w:val="normaltextrun"/>
          <w:rFonts w:asciiTheme="minorHAnsi" w:hAnsiTheme="minorHAnsi" w:cstheme="minorHAnsi"/>
          <w:color w:val="000000"/>
        </w:rPr>
        <w:t>acteurs politiques</w:t>
      </w:r>
      <w:r w:rsidR="007A4C5E">
        <w:rPr>
          <w:rStyle w:val="normaltextrun"/>
          <w:rFonts w:asciiTheme="minorHAnsi" w:hAnsiTheme="minorHAnsi" w:cstheme="minorHAnsi"/>
          <w:color w:val="000000"/>
        </w:rPr>
        <w:t xml:space="preserve"> ou d’autorités religieuses</w:t>
      </w:r>
      <w:r w:rsidR="007A4C5E" w:rsidRPr="00177353">
        <w:rPr>
          <w:rStyle w:val="Appelnotedebasdep"/>
        </w:rPr>
        <w:footnoteReference w:id="5"/>
      </w:r>
      <w:r w:rsidR="007A4C5E">
        <w:rPr>
          <w:rStyle w:val="normaltextrun"/>
          <w:rFonts w:asciiTheme="minorHAnsi" w:hAnsiTheme="minorHAnsi" w:cstheme="minorHAnsi"/>
          <w:color w:val="000000"/>
        </w:rPr>
        <w:t xml:space="preserve"> </w:t>
      </w:r>
      <w:r w:rsidR="000F1B74">
        <w:rPr>
          <w:rStyle w:val="normaltextrun"/>
          <w:rFonts w:asciiTheme="minorHAnsi" w:hAnsiTheme="minorHAnsi" w:cstheme="minorHAnsi"/>
          <w:color w:val="000000"/>
        </w:rPr>
        <w:t>en sont des exemples</w:t>
      </w:r>
      <w:r w:rsidR="00524332">
        <w:rPr>
          <w:rStyle w:val="normaltextrun"/>
          <w:rFonts w:asciiTheme="minorHAnsi" w:hAnsiTheme="minorHAnsi" w:cstheme="minorHAnsi"/>
          <w:color w:val="000000"/>
        </w:rPr>
        <w:t xml:space="preserve"> qui </w:t>
      </w:r>
      <w:r w:rsidR="00A25EF2">
        <w:rPr>
          <w:rStyle w:val="normaltextrun"/>
          <w:rFonts w:asciiTheme="minorHAnsi" w:hAnsiTheme="minorHAnsi" w:cstheme="minorHAnsi"/>
          <w:color w:val="000000"/>
        </w:rPr>
        <w:t>révèlent</w:t>
      </w:r>
      <w:r w:rsidR="00524332">
        <w:rPr>
          <w:rStyle w:val="normaltextrun"/>
          <w:rFonts w:asciiTheme="minorHAnsi" w:hAnsiTheme="minorHAnsi" w:cstheme="minorHAnsi"/>
          <w:color w:val="000000"/>
        </w:rPr>
        <w:t xml:space="preserve"> parfois des risques</w:t>
      </w:r>
      <w:r w:rsidR="0085760F">
        <w:rPr>
          <w:rStyle w:val="normaltextrun"/>
          <w:rFonts w:asciiTheme="minorHAnsi" w:hAnsiTheme="minorHAnsi" w:cstheme="minorHAnsi"/>
          <w:color w:val="000000"/>
        </w:rPr>
        <w:t>.</w:t>
      </w:r>
    </w:p>
    <w:p w14:paraId="5FD23355" w14:textId="77777777" w:rsidR="007C467E" w:rsidRDefault="007C467E" w:rsidP="00F0416F">
      <w:pPr>
        <w:tabs>
          <w:tab w:val="left" w:pos="5130"/>
        </w:tabs>
        <w:spacing w:line="276" w:lineRule="auto"/>
        <w:jc w:val="both"/>
        <w:rPr>
          <w:rFonts w:cstheme="minorHAnsi"/>
          <w:sz w:val="24"/>
          <w:szCs w:val="24"/>
        </w:rPr>
      </w:pPr>
    </w:p>
    <w:p w14:paraId="38E487F5" w14:textId="324083A4" w:rsidR="007C467E" w:rsidRDefault="007C467E" w:rsidP="00F0416F">
      <w:pPr>
        <w:tabs>
          <w:tab w:val="left" w:pos="5130"/>
        </w:tabs>
        <w:spacing w:line="276" w:lineRule="auto"/>
        <w:jc w:val="both"/>
        <w:rPr>
          <w:rFonts w:cstheme="minorHAnsi"/>
          <w:sz w:val="24"/>
          <w:szCs w:val="24"/>
        </w:rPr>
      </w:pPr>
    </w:p>
    <w:p w14:paraId="700708E9" w14:textId="4D5F3429" w:rsidR="007C467E" w:rsidRDefault="007C467E" w:rsidP="00F0416F">
      <w:pPr>
        <w:tabs>
          <w:tab w:val="left" w:pos="5130"/>
        </w:tabs>
        <w:spacing w:line="276" w:lineRule="auto"/>
        <w:jc w:val="both"/>
        <w:rPr>
          <w:rFonts w:cstheme="minorHAnsi"/>
          <w:sz w:val="24"/>
          <w:szCs w:val="24"/>
        </w:rPr>
      </w:pPr>
    </w:p>
    <w:p w14:paraId="5860DA7E" w14:textId="16AAE633" w:rsidR="007C467E" w:rsidRDefault="007C467E" w:rsidP="00F0416F">
      <w:pPr>
        <w:tabs>
          <w:tab w:val="left" w:pos="5130"/>
        </w:tabs>
        <w:spacing w:line="276" w:lineRule="auto"/>
        <w:jc w:val="both"/>
        <w:rPr>
          <w:rFonts w:cstheme="minorHAnsi"/>
          <w:sz w:val="24"/>
          <w:szCs w:val="24"/>
        </w:rPr>
      </w:pPr>
    </w:p>
    <w:p w14:paraId="33305495" w14:textId="15B1498C" w:rsidR="001C7AAA" w:rsidRPr="00F7051C" w:rsidRDefault="007C467E" w:rsidP="00F0416F">
      <w:pPr>
        <w:tabs>
          <w:tab w:val="left" w:pos="5130"/>
        </w:tabs>
        <w:spacing w:line="276" w:lineRule="auto"/>
        <w:jc w:val="both"/>
        <w:rPr>
          <w:rFonts w:cstheme="minorHAnsi"/>
          <w:sz w:val="24"/>
          <w:szCs w:val="24"/>
        </w:rPr>
      </w:pPr>
      <w:r>
        <w:rPr>
          <w:rFonts w:cstheme="minorHAnsi"/>
          <w:sz w:val="24"/>
          <w:szCs w:val="24"/>
        </w:rPr>
        <w:lastRenderedPageBreak/>
        <w:t>Bibliographie</w:t>
      </w:r>
      <w:r w:rsidR="00F0416F">
        <w:rPr>
          <w:rFonts w:cstheme="minorHAnsi"/>
          <w:sz w:val="24"/>
          <w:szCs w:val="24"/>
        </w:rPr>
        <w:tab/>
      </w:r>
    </w:p>
    <w:p w14:paraId="681F22F7" w14:textId="77777777" w:rsidR="007C467E" w:rsidRPr="007C467E" w:rsidRDefault="007C467E" w:rsidP="007C467E">
      <w:pPr>
        <w:pStyle w:val="Bibliographie"/>
        <w:spacing w:line="276" w:lineRule="auto"/>
        <w:ind w:left="284" w:hanging="284"/>
        <w:jc w:val="both"/>
        <w:rPr>
          <w:rFonts w:ascii="Calibri" w:hAnsi="Calibri" w:cs="Calibri"/>
          <w:sz w:val="24"/>
        </w:rPr>
      </w:pPr>
      <w:r>
        <w:rPr>
          <w:rFonts w:cstheme="minorHAnsi"/>
        </w:rPr>
        <w:fldChar w:fldCharType="begin"/>
      </w:r>
      <w:r w:rsidRPr="007C467E">
        <w:rPr>
          <w:rFonts w:cstheme="minorHAnsi"/>
        </w:rPr>
        <w:instrText xml:space="preserve"> ADDIN ZOTERO_BIBL {"uncited":[],"omitted":[],"custom":[]} CSL_BIBLIOGRAPHY </w:instrText>
      </w:r>
      <w:r>
        <w:rPr>
          <w:rFonts w:cstheme="minorHAnsi"/>
        </w:rPr>
        <w:fldChar w:fldCharType="separate"/>
      </w:r>
      <w:r w:rsidRPr="007C467E">
        <w:rPr>
          <w:rFonts w:ascii="Calibri" w:hAnsi="Calibri" w:cs="Calibri"/>
          <w:sz w:val="24"/>
        </w:rPr>
        <w:t xml:space="preserve">Boustany, J., Broudoux, É., &amp; Chartron, G. (2013). </w:t>
      </w:r>
      <w:r w:rsidRPr="007C467E">
        <w:rPr>
          <w:rFonts w:ascii="Calibri" w:hAnsi="Calibri" w:cs="Calibri"/>
          <w:i/>
          <w:iCs/>
          <w:sz w:val="24"/>
        </w:rPr>
        <w:t>Introduction. Diversification des médiations informationnelles</w:t>
      </w:r>
      <w:r w:rsidRPr="007C467E">
        <w:rPr>
          <w:rFonts w:ascii="Calibri" w:hAnsi="Calibri" w:cs="Calibri"/>
          <w:sz w:val="24"/>
        </w:rPr>
        <w:t>. Consulté à l’adresse https://www.cairn.info/la-mediation-numerique-renouvellement--9782804182274-page-7.htm</w:t>
      </w:r>
    </w:p>
    <w:p w14:paraId="0D8D3FBD" w14:textId="77777777" w:rsidR="007C467E" w:rsidRPr="007C467E" w:rsidRDefault="007C467E" w:rsidP="007C467E">
      <w:pPr>
        <w:pStyle w:val="Bibliographie"/>
        <w:spacing w:line="276" w:lineRule="auto"/>
        <w:ind w:left="284" w:hanging="284"/>
        <w:jc w:val="both"/>
        <w:rPr>
          <w:rFonts w:ascii="Calibri" w:hAnsi="Calibri" w:cs="Calibri"/>
          <w:sz w:val="24"/>
        </w:rPr>
      </w:pPr>
      <w:r w:rsidRPr="007C467E">
        <w:rPr>
          <w:rFonts w:ascii="Calibri" w:hAnsi="Calibri" w:cs="Calibri"/>
          <w:sz w:val="24"/>
        </w:rPr>
        <w:t xml:space="preserve">Charaudeau, P. (2004). Comment le langage se noue à l’action dans un modèle socio-communicationnel du discours. De l’action au pouvoir. </w:t>
      </w:r>
      <w:r w:rsidRPr="007C467E">
        <w:rPr>
          <w:rFonts w:ascii="Calibri" w:hAnsi="Calibri" w:cs="Calibri"/>
          <w:i/>
          <w:iCs/>
          <w:sz w:val="24"/>
        </w:rPr>
        <w:t>Cahiers de linguistique française</w:t>
      </w:r>
      <w:r w:rsidRPr="007C467E">
        <w:rPr>
          <w:rFonts w:ascii="Calibri" w:hAnsi="Calibri" w:cs="Calibri"/>
          <w:sz w:val="24"/>
        </w:rPr>
        <w:t>, (26). Consulté à l’adresse http://www.patrick-charaudeau.com/Comment-le-langage-se-noue-a-l,90.html</w:t>
      </w:r>
    </w:p>
    <w:p w14:paraId="7ED2FF9C" w14:textId="77777777" w:rsidR="007C467E" w:rsidRPr="007C467E" w:rsidRDefault="007C467E" w:rsidP="007C467E">
      <w:pPr>
        <w:pStyle w:val="Bibliographie"/>
        <w:spacing w:line="276" w:lineRule="auto"/>
        <w:ind w:left="284" w:hanging="284"/>
        <w:jc w:val="both"/>
        <w:rPr>
          <w:rFonts w:ascii="Calibri" w:hAnsi="Calibri" w:cs="Calibri"/>
          <w:sz w:val="24"/>
        </w:rPr>
      </w:pPr>
      <w:r w:rsidRPr="007C467E">
        <w:rPr>
          <w:rFonts w:ascii="Calibri" w:hAnsi="Calibri" w:cs="Calibri"/>
          <w:sz w:val="24"/>
        </w:rPr>
        <w:t xml:space="preserve">Charmettant, H. (2012). Distinguer l’autorité du pouvoir par la légitimité. </w:t>
      </w:r>
      <w:r w:rsidRPr="007C467E">
        <w:rPr>
          <w:rFonts w:ascii="Calibri" w:hAnsi="Calibri" w:cs="Calibri"/>
          <w:i/>
          <w:iCs/>
          <w:sz w:val="24"/>
        </w:rPr>
        <w:t>Cahiers d’economie Politique / Papers in Political Economy</w:t>
      </w:r>
      <w:r w:rsidRPr="007C467E">
        <w:rPr>
          <w:rFonts w:ascii="Calibri" w:hAnsi="Calibri" w:cs="Calibri"/>
          <w:sz w:val="24"/>
        </w:rPr>
        <w:t xml:space="preserve">, </w:t>
      </w:r>
      <w:r w:rsidRPr="007C467E">
        <w:rPr>
          <w:rFonts w:ascii="Calibri" w:hAnsi="Calibri" w:cs="Calibri"/>
          <w:i/>
          <w:iCs/>
          <w:sz w:val="24"/>
        </w:rPr>
        <w:t>n° 62</w:t>
      </w:r>
      <w:r w:rsidRPr="007C467E">
        <w:rPr>
          <w:rFonts w:ascii="Calibri" w:hAnsi="Calibri" w:cs="Calibri"/>
          <w:sz w:val="24"/>
        </w:rPr>
        <w:t>(1), 37</w:t>
      </w:r>
      <w:r w:rsidRPr="007C467E">
        <w:rPr>
          <w:rFonts w:ascii="Cambria Math" w:hAnsi="Cambria Math" w:cs="Cambria Math"/>
          <w:sz w:val="24"/>
        </w:rPr>
        <w:t>‑</w:t>
      </w:r>
      <w:r w:rsidRPr="007C467E">
        <w:rPr>
          <w:rFonts w:ascii="Calibri" w:hAnsi="Calibri" w:cs="Calibri"/>
          <w:sz w:val="24"/>
        </w:rPr>
        <w:t>73.</w:t>
      </w:r>
    </w:p>
    <w:p w14:paraId="7FA50E96" w14:textId="77777777" w:rsidR="007C467E" w:rsidRPr="007C467E" w:rsidRDefault="007C467E" w:rsidP="007C467E">
      <w:pPr>
        <w:pStyle w:val="Bibliographie"/>
        <w:spacing w:line="276" w:lineRule="auto"/>
        <w:ind w:left="284" w:hanging="284"/>
        <w:jc w:val="both"/>
        <w:rPr>
          <w:rFonts w:ascii="Calibri" w:hAnsi="Calibri" w:cs="Calibri"/>
          <w:sz w:val="24"/>
        </w:rPr>
      </w:pPr>
      <w:r w:rsidRPr="007C467E">
        <w:rPr>
          <w:rFonts w:ascii="Calibri" w:hAnsi="Calibri" w:cs="Calibri"/>
          <w:sz w:val="24"/>
        </w:rPr>
        <w:t xml:space="preserve">Chéneau-Loquay, A. (2010). L’Afrique au seuil de la révolution des télécommunications : Les grandes tendances de la diffusion des TIC. </w:t>
      </w:r>
      <w:r w:rsidRPr="007C467E">
        <w:rPr>
          <w:rFonts w:ascii="Calibri" w:hAnsi="Calibri" w:cs="Calibri"/>
          <w:i/>
          <w:iCs/>
          <w:sz w:val="24"/>
        </w:rPr>
        <w:t>Afrique contemporaine</w:t>
      </w:r>
      <w:r w:rsidRPr="007C467E">
        <w:rPr>
          <w:rFonts w:ascii="Calibri" w:hAnsi="Calibri" w:cs="Calibri"/>
          <w:sz w:val="24"/>
        </w:rPr>
        <w:t xml:space="preserve">, </w:t>
      </w:r>
      <w:r w:rsidRPr="007C467E">
        <w:rPr>
          <w:rFonts w:ascii="Calibri" w:hAnsi="Calibri" w:cs="Calibri"/>
          <w:i/>
          <w:iCs/>
          <w:sz w:val="24"/>
        </w:rPr>
        <w:t>234</w:t>
      </w:r>
      <w:r w:rsidRPr="007C467E">
        <w:rPr>
          <w:rFonts w:ascii="Calibri" w:hAnsi="Calibri" w:cs="Calibri"/>
          <w:sz w:val="24"/>
        </w:rPr>
        <w:t>(2), 93. https://doi.org/10.3917/afco.234.0093</w:t>
      </w:r>
    </w:p>
    <w:p w14:paraId="7A2D87B3" w14:textId="77777777" w:rsidR="007C467E" w:rsidRPr="007C467E" w:rsidRDefault="007C467E" w:rsidP="007C467E">
      <w:pPr>
        <w:pStyle w:val="Bibliographie"/>
        <w:spacing w:line="276" w:lineRule="auto"/>
        <w:ind w:left="284" w:hanging="284"/>
        <w:jc w:val="both"/>
        <w:rPr>
          <w:rFonts w:ascii="Calibri" w:hAnsi="Calibri" w:cs="Calibri"/>
          <w:sz w:val="24"/>
        </w:rPr>
      </w:pPr>
      <w:r w:rsidRPr="007C467E">
        <w:rPr>
          <w:rFonts w:ascii="Calibri" w:hAnsi="Calibri" w:cs="Calibri"/>
          <w:sz w:val="24"/>
        </w:rPr>
        <w:t xml:space="preserve">Clavier, V., &amp; Romeyer, H. (2008). </w:t>
      </w:r>
      <w:r w:rsidRPr="007C467E">
        <w:rPr>
          <w:rFonts w:ascii="Calibri" w:hAnsi="Calibri" w:cs="Calibri"/>
          <w:i/>
          <w:iCs/>
          <w:sz w:val="24"/>
        </w:rPr>
        <w:t>Travailler sur les discours en SIC : le cas des discours sur le cancer</w:t>
      </w:r>
      <w:r w:rsidRPr="007C467E">
        <w:rPr>
          <w:rFonts w:ascii="Calibri" w:hAnsi="Calibri" w:cs="Calibri"/>
          <w:sz w:val="24"/>
        </w:rPr>
        <w:t>. Communication présenté à Congrès de la SFSIC. Consulté à l’adresse http://www.sfsic.org/congres_2008/spip.php?article85</w:t>
      </w:r>
    </w:p>
    <w:p w14:paraId="3FBBDDEE" w14:textId="77777777" w:rsidR="007C467E" w:rsidRPr="007C467E" w:rsidRDefault="007C467E" w:rsidP="007C467E">
      <w:pPr>
        <w:pStyle w:val="Bibliographie"/>
        <w:spacing w:line="276" w:lineRule="auto"/>
        <w:ind w:left="284" w:hanging="284"/>
        <w:jc w:val="both"/>
        <w:rPr>
          <w:rFonts w:ascii="Calibri" w:hAnsi="Calibri" w:cs="Calibri"/>
          <w:sz w:val="24"/>
        </w:rPr>
      </w:pPr>
      <w:r w:rsidRPr="007C467E">
        <w:rPr>
          <w:rFonts w:ascii="Calibri" w:hAnsi="Calibri" w:cs="Calibri"/>
          <w:sz w:val="24"/>
        </w:rPr>
        <w:t xml:space="preserve">Coenen-Huther, J. (2005). Pouvoir, autorité, légitimité. En marge d’un livre récent d’Alain Renaut. </w:t>
      </w:r>
      <w:r w:rsidRPr="007C467E">
        <w:rPr>
          <w:rFonts w:ascii="Calibri" w:hAnsi="Calibri" w:cs="Calibri"/>
          <w:i/>
          <w:iCs/>
          <w:sz w:val="24"/>
        </w:rPr>
        <w:t>Revue européenne des sciences sociales. European Journal of Social Sciences</w:t>
      </w:r>
      <w:r w:rsidRPr="007C467E">
        <w:rPr>
          <w:rFonts w:ascii="Calibri" w:hAnsi="Calibri" w:cs="Calibri"/>
          <w:sz w:val="24"/>
        </w:rPr>
        <w:t>, (XLIII</w:t>
      </w:r>
      <w:r w:rsidRPr="007C467E">
        <w:rPr>
          <w:rFonts w:ascii="Cambria Math" w:hAnsi="Cambria Math" w:cs="Cambria Math"/>
          <w:sz w:val="24"/>
        </w:rPr>
        <w:t>‑</w:t>
      </w:r>
      <w:r w:rsidRPr="007C467E">
        <w:rPr>
          <w:rFonts w:ascii="Calibri" w:hAnsi="Calibri" w:cs="Calibri"/>
          <w:sz w:val="24"/>
        </w:rPr>
        <w:t>131), 135</w:t>
      </w:r>
      <w:r w:rsidRPr="007C467E">
        <w:rPr>
          <w:rFonts w:ascii="Cambria Math" w:hAnsi="Cambria Math" w:cs="Cambria Math"/>
          <w:sz w:val="24"/>
        </w:rPr>
        <w:t>‑</w:t>
      </w:r>
      <w:r w:rsidRPr="007C467E">
        <w:rPr>
          <w:rFonts w:ascii="Calibri" w:hAnsi="Calibri" w:cs="Calibri"/>
          <w:sz w:val="24"/>
        </w:rPr>
        <w:t>145. https://doi.org/10.4000/ress.471</w:t>
      </w:r>
    </w:p>
    <w:p w14:paraId="253DCFB3" w14:textId="77777777" w:rsidR="007C467E" w:rsidRPr="007C467E" w:rsidRDefault="007C467E" w:rsidP="007C467E">
      <w:pPr>
        <w:pStyle w:val="Bibliographie"/>
        <w:spacing w:line="276" w:lineRule="auto"/>
        <w:ind w:left="284" w:hanging="284"/>
        <w:jc w:val="both"/>
        <w:rPr>
          <w:rFonts w:ascii="Calibri" w:hAnsi="Calibri" w:cs="Calibri"/>
          <w:sz w:val="24"/>
        </w:rPr>
      </w:pPr>
      <w:r w:rsidRPr="007C467E">
        <w:rPr>
          <w:rFonts w:ascii="Calibri" w:hAnsi="Calibri" w:cs="Calibri"/>
          <w:sz w:val="24"/>
        </w:rPr>
        <w:t xml:space="preserve">El Mehdi, I. K. (2011). Gouvernance et TIC : Cas des pays d’Afrique. </w:t>
      </w:r>
      <w:r w:rsidRPr="007C467E">
        <w:rPr>
          <w:rFonts w:ascii="Calibri" w:hAnsi="Calibri" w:cs="Calibri"/>
          <w:i/>
          <w:iCs/>
          <w:sz w:val="24"/>
        </w:rPr>
        <w:t>Recherches en Sciences de Gestion</w:t>
      </w:r>
      <w:r w:rsidRPr="007C467E">
        <w:rPr>
          <w:rFonts w:ascii="Calibri" w:hAnsi="Calibri" w:cs="Calibri"/>
          <w:sz w:val="24"/>
        </w:rPr>
        <w:t xml:space="preserve">, </w:t>
      </w:r>
      <w:r w:rsidRPr="007C467E">
        <w:rPr>
          <w:rFonts w:ascii="Calibri" w:hAnsi="Calibri" w:cs="Calibri"/>
          <w:i/>
          <w:iCs/>
          <w:sz w:val="24"/>
        </w:rPr>
        <w:t>86</w:t>
      </w:r>
      <w:r w:rsidRPr="007C467E">
        <w:rPr>
          <w:rFonts w:ascii="Calibri" w:hAnsi="Calibri" w:cs="Calibri"/>
          <w:sz w:val="24"/>
        </w:rPr>
        <w:t>(5), 63. https://doi.org/10.3917/resg.086.0063</w:t>
      </w:r>
    </w:p>
    <w:p w14:paraId="4F55D081" w14:textId="77777777" w:rsidR="007C467E" w:rsidRPr="007C467E" w:rsidRDefault="007C467E" w:rsidP="007C467E">
      <w:pPr>
        <w:pStyle w:val="Bibliographie"/>
        <w:spacing w:line="276" w:lineRule="auto"/>
        <w:ind w:left="284" w:hanging="284"/>
        <w:jc w:val="both"/>
        <w:rPr>
          <w:rFonts w:ascii="Calibri" w:hAnsi="Calibri" w:cs="Calibri"/>
          <w:sz w:val="24"/>
        </w:rPr>
      </w:pPr>
      <w:r w:rsidRPr="007C467E">
        <w:rPr>
          <w:rFonts w:ascii="Calibri" w:hAnsi="Calibri" w:cs="Calibri"/>
          <w:sz w:val="24"/>
        </w:rPr>
        <w:t xml:space="preserve">Eraly, A. (2015). </w:t>
      </w:r>
      <w:r w:rsidRPr="007C467E">
        <w:rPr>
          <w:rFonts w:ascii="Calibri" w:hAnsi="Calibri" w:cs="Calibri"/>
          <w:i/>
          <w:iCs/>
          <w:sz w:val="24"/>
        </w:rPr>
        <w:t>Autorité et légitimité</w:t>
      </w:r>
      <w:r w:rsidRPr="007C467E">
        <w:rPr>
          <w:rFonts w:ascii="Calibri" w:hAnsi="Calibri" w:cs="Calibri"/>
          <w:sz w:val="24"/>
        </w:rPr>
        <w:t>. https://doi.org/10.3917/eres.eraly.2015.01</w:t>
      </w:r>
    </w:p>
    <w:p w14:paraId="2A2CD3D5" w14:textId="77777777" w:rsidR="007C467E" w:rsidRPr="007C467E" w:rsidRDefault="007C467E" w:rsidP="007C467E">
      <w:pPr>
        <w:pStyle w:val="Bibliographie"/>
        <w:spacing w:line="276" w:lineRule="auto"/>
        <w:ind w:left="284" w:hanging="284"/>
        <w:jc w:val="both"/>
        <w:rPr>
          <w:rFonts w:ascii="Calibri" w:hAnsi="Calibri" w:cs="Calibri"/>
          <w:sz w:val="24"/>
        </w:rPr>
      </w:pPr>
      <w:r w:rsidRPr="007C467E">
        <w:rPr>
          <w:rFonts w:ascii="Calibri" w:hAnsi="Calibri" w:cs="Calibri"/>
          <w:sz w:val="24"/>
        </w:rPr>
        <w:t xml:space="preserve">Kiyindou, A. (2009). Technologies de l’information et de la communication et expression culturelle africaine. </w:t>
      </w:r>
      <w:r w:rsidRPr="007C467E">
        <w:rPr>
          <w:rFonts w:ascii="Calibri" w:hAnsi="Calibri" w:cs="Calibri"/>
          <w:i/>
          <w:iCs/>
          <w:sz w:val="24"/>
        </w:rPr>
        <w:t>Présence Africaine</w:t>
      </w:r>
      <w:r w:rsidRPr="007C467E">
        <w:rPr>
          <w:rFonts w:ascii="Calibri" w:hAnsi="Calibri" w:cs="Calibri"/>
          <w:sz w:val="24"/>
        </w:rPr>
        <w:t xml:space="preserve">, </w:t>
      </w:r>
      <w:r w:rsidRPr="007C467E">
        <w:rPr>
          <w:rFonts w:ascii="Calibri" w:hAnsi="Calibri" w:cs="Calibri"/>
          <w:i/>
          <w:iCs/>
          <w:sz w:val="24"/>
        </w:rPr>
        <w:t>179</w:t>
      </w:r>
      <w:r w:rsidRPr="007C467E">
        <w:rPr>
          <w:rFonts w:ascii="Cambria Math" w:hAnsi="Cambria Math" w:cs="Cambria Math"/>
          <w:i/>
          <w:iCs/>
          <w:sz w:val="24"/>
        </w:rPr>
        <w:t>‑</w:t>
      </w:r>
      <w:r w:rsidRPr="007C467E">
        <w:rPr>
          <w:rFonts w:ascii="Calibri" w:hAnsi="Calibri" w:cs="Calibri"/>
          <w:i/>
          <w:iCs/>
          <w:sz w:val="24"/>
        </w:rPr>
        <w:t>180</w:t>
      </w:r>
      <w:r w:rsidRPr="007C467E">
        <w:rPr>
          <w:rFonts w:ascii="Calibri" w:hAnsi="Calibri" w:cs="Calibri"/>
          <w:sz w:val="24"/>
        </w:rPr>
        <w:t>(1), 41. https://doi.org/10.3917/presa.179.0041</w:t>
      </w:r>
    </w:p>
    <w:p w14:paraId="14C76C98" w14:textId="77777777" w:rsidR="007C467E" w:rsidRPr="007C467E" w:rsidRDefault="007C467E" w:rsidP="007C467E">
      <w:pPr>
        <w:pStyle w:val="Bibliographie"/>
        <w:spacing w:line="276" w:lineRule="auto"/>
        <w:ind w:left="284" w:hanging="284"/>
        <w:jc w:val="both"/>
        <w:rPr>
          <w:rFonts w:ascii="Calibri" w:hAnsi="Calibri" w:cs="Calibri"/>
          <w:sz w:val="24"/>
        </w:rPr>
      </w:pPr>
      <w:r w:rsidRPr="007C467E">
        <w:rPr>
          <w:rFonts w:ascii="Calibri" w:hAnsi="Calibri" w:cs="Calibri"/>
          <w:sz w:val="24"/>
        </w:rPr>
        <w:t xml:space="preserve">Loukou, A. F. (2012). « Les TIC au service du développement en Afrique ». Simple slogan, illusion ou réalité ? </w:t>
      </w:r>
      <w:r w:rsidRPr="007C467E">
        <w:rPr>
          <w:rFonts w:ascii="Calibri" w:hAnsi="Calibri" w:cs="Calibri"/>
          <w:i/>
          <w:iCs/>
          <w:sz w:val="24"/>
        </w:rPr>
        <w:t>tic&amp;société</w:t>
      </w:r>
      <w:r w:rsidRPr="007C467E">
        <w:rPr>
          <w:rFonts w:ascii="Calibri" w:hAnsi="Calibri" w:cs="Calibri"/>
          <w:sz w:val="24"/>
        </w:rPr>
        <w:t>, (Vol. 5, n°2-3). https://doi.org/10.4000/ticetsociete.1047</w:t>
      </w:r>
    </w:p>
    <w:p w14:paraId="419DD15F" w14:textId="77777777" w:rsidR="007C467E" w:rsidRPr="007C467E" w:rsidRDefault="007C467E" w:rsidP="007C467E">
      <w:pPr>
        <w:pStyle w:val="Bibliographie"/>
        <w:spacing w:line="276" w:lineRule="auto"/>
        <w:ind w:left="284" w:hanging="284"/>
        <w:jc w:val="both"/>
        <w:rPr>
          <w:rFonts w:ascii="Calibri" w:hAnsi="Calibri" w:cs="Calibri"/>
          <w:sz w:val="24"/>
        </w:rPr>
      </w:pPr>
      <w:r w:rsidRPr="007C467E">
        <w:rPr>
          <w:rFonts w:ascii="Calibri" w:hAnsi="Calibri" w:cs="Calibri"/>
          <w:sz w:val="24"/>
        </w:rPr>
        <w:t xml:space="preserve">Maingueneau, D. (2009). </w:t>
      </w:r>
      <w:r w:rsidRPr="007C467E">
        <w:rPr>
          <w:rFonts w:ascii="Calibri" w:hAnsi="Calibri" w:cs="Calibri"/>
          <w:i/>
          <w:iCs/>
          <w:sz w:val="24"/>
        </w:rPr>
        <w:t>Les termes clés de l’analyse du discours</w:t>
      </w:r>
      <w:r w:rsidRPr="007C467E">
        <w:rPr>
          <w:rFonts w:ascii="Calibri" w:hAnsi="Calibri" w:cs="Calibri"/>
          <w:sz w:val="24"/>
        </w:rPr>
        <w:t xml:space="preserve"> (du Seuil).</w:t>
      </w:r>
    </w:p>
    <w:p w14:paraId="5E75EE4B" w14:textId="77777777" w:rsidR="007C467E" w:rsidRPr="007C467E" w:rsidRDefault="007C467E" w:rsidP="007C467E">
      <w:pPr>
        <w:pStyle w:val="Bibliographie"/>
        <w:spacing w:line="276" w:lineRule="auto"/>
        <w:ind w:left="284" w:hanging="284"/>
        <w:jc w:val="both"/>
        <w:rPr>
          <w:rFonts w:ascii="Calibri" w:hAnsi="Calibri" w:cs="Calibri"/>
          <w:sz w:val="24"/>
        </w:rPr>
      </w:pPr>
      <w:r w:rsidRPr="007C467E">
        <w:rPr>
          <w:rFonts w:ascii="Calibri" w:hAnsi="Calibri" w:cs="Calibri"/>
          <w:sz w:val="24"/>
        </w:rPr>
        <w:t xml:space="preserve">Nisrine, Z. (2012). </w:t>
      </w:r>
      <w:r w:rsidRPr="007C467E">
        <w:rPr>
          <w:rFonts w:ascii="Calibri" w:hAnsi="Calibri" w:cs="Calibri"/>
          <w:i/>
          <w:iCs/>
          <w:sz w:val="24"/>
        </w:rPr>
        <w:t>Réseaux sociaux numériques : Essai de catégorisation et de cartographie des controverses</w:t>
      </w:r>
      <w:r w:rsidRPr="007C467E">
        <w:rPr>
          <w:rFonts w:ascii="Calibri" w:hAnsi="Calibri" w:cs="Calibri"/>
          <w:sz w:val="24"/>
        </w:rPr>
        <w:t xml:space="preserve"> (Rennes 2). Consulté à l’adresse https://www.etudier.com/dissertations/Intitulé-De-La-Thèse-Réseaux/618498.html</w:t>
      </w:r>
    </w:p>
    <w:p w14:paraId="6D43A9B5" w14:textId="77777777" w:rsidR="007C467E" w:rsidRPr="007C467E" w:rsidRDefault="007C467E" w:rsidP="007C467E">
      <w:pPr>
        <w:pStyle w:val="Bibliographie"/>
        <w:spacing w:line="276" w:lineRule="auto"/>
        <w:ind w:left="284" w:hanging="284"/>
        <w:jc w:val="both"/>
        <w:rPr>
          <w:rFonts w:ascii="Calibri" w:hAnsi="Calibri" w:cs="Calibri"/>
          <w:sz w:val="24"/>
        </w:rPr>
      </w:pPr>
      <w:r w:rsidRPr="007C467E">
        <w:rPr>
          <w:rFonts w:ascii="Calibri" w:hAnsi="Calibri" w:cs="Calibri"/>
          <w:sz w:val="24"/>
        </w:rPr>
        <w:t xml:space="preserve">Oger, C. (2013, décembre 2). </w:t>
      </w:r>
      <w:r w:rsidRPr="007C467E">
        <w:rPr>
          <w:rFonts w:ascii="Calibri" w:hAnsi="Calibri" w:cs="Calibri"/>
          <w:i/>
          <w:iCs/>
          <w:sz w:val="24"/>
        </w:rPr>
        <w:t>Fondements et formes de l’autorité en discours, Dossier d’habilitation à diriger des recherches en sciences de l’information et de la communication</w:t>
      </w:r>
      <w:r w:rsidRPr="007C467E">
        <w:rPr>
          <w:rFonts w:ascii="Calibri" w:hAnsi="Calibri" w:cs="Calibri"/>
          <w:sz w:val="24"/>
        </w:rPr>
        <w:t>. Université Paris-Sorbonne (CELSA).</w:t>
      </w:r>
    </w:p>
    <w:p w14:paraId="57D26543" w14:textId="77777777" w:rsidR="007C467E" w:rsidRPr="007C467E" w:rsidRDefault="007C467E" w:rsidP="007C467E">
      <w:pPr>
        <w:pStyle w:val="Bibliographie"/>
        <w:spacing w:line="276" w:lineRule="auto"/>
        <w:ind w:left="284" w:hanging="284"/>
        <w:jc w:val="both"/>
        <w:rPr>
          <w:rFonts w:ascii="Calibri" w:hAnsi="Calibri" w:cs="Calibri"/>
          <w:sz w:val="24"/>
        </w:rPr>
      </w:pPr>
      <w:r w:rsidRPr="007C467E">
        <w:rPr>
          <w:rFonts w:ascii="Calibri" w:hAnsi="Calibri" w:cs="Calibri"/>
          <w:sz w:val="24"/>
        </w:rPr>
        <w:t xml:space="preserve">Ollivier-Yaniv, C. (2015). La communication publique sanitaire à l’épreuve des controverses. </w:t>
      </w:r>
      <w:r w:rsidRPr="007C467E">
        <w:rPr>
          <w:rFonts w:ascii="Calibri" w:hAnsi="Calibri" w:cs="Calibri"/>
          <w:i/>
          <w:iCs/>
          <w:sz w:val="24"/>
        </w:rPr>
        <w:t>Hermes, La Revue</w:t>
      </w:r>
      <w:r w:rsidRPr="007C467E">
        <w:rPr>
          <w:rFonts w:ascii="Calibri" w:hAnsi="Calibri" w:cs="Calibri"/>
          <w:sz w:val="24"/>
        </w:rPr>
        <w:t xml:space="preserve">, </w:t>
      </w:r>
      <w:r w:rsidRPr="007C467E">
        <w:rPr>
          <w:rFonts w:ascii="Calibri" w:hAnsi="Calibri" w:cs="Calibri"/>
          <w:i/>
          <w:iCs/>
          <w:sz w:val="24"/>
        </w:rPr>
        <w:t>n° 73</w:t>
      </w:r>
      <w:r w:rsidRPr="007C467E">
        <w:rPr>
          <w:rFonts w:ascii="Calibri" w:hAnsi="Calibri" w:cs="Calibri"/>
          <w:sz w:val="24"/>
        </w:rPr>
        <w:t>(3), 69</w:t>
      </w:r>
      <w:r w:rsidRPr="007C467E">
        <w:rPr>
          <w:rFonts w:ascii="Cambria Math" w:hAnsi="Cambria Math" w:cs="Cambria Math"/>
          <w:sz w:val="24"/>
        </w:rPr>
        <w:t>‑</w:t>
      </w:r>
      <w:r w:rsidRPr="007C467E">
        <w:rPr>
          <w:rFonts w:ascii="Calibri" w:hAnsi="Calibri" w:cs="Calibri"/>
          <w:sz w:val="24"/>
        </w:rPr>
        <w:t>80.</w:t>
      </w:r>
    </w:p>
    <w:p w14:paraId="3D839362" w14:textId="77777777" w:rsidR="007C467E" w:rsidRPr="007C467E" w:rsidRDefault="007C467E" w:rsidP="007C467E">
      <w:pPr>
        <w:pStyle w:val="Bibliographie"/>
        <w:spacing w:line="276" w:lineRule="auto"/>
        <w:ind w:left="284" w:hanging="284"/>
        <w:jc w:val="both"/>
        <w:rPr>
          <w:rFonts w:ascii="Calibri" w:hAnsi="Calibri" w:cs="Calibri"/>
          <w:sz w:val="24"/>
        </w:rPr>
      </w:pPr>
      <w:r w:rsidRPr="007C467E">
        <w:rPr>
          <w:rFonts w:ascii="Calibri" w:hAnsi="Calibri" w:cs="Calibri"/>
          <w:sz w:val="24"/>
        </w:rPr>
        <w:t xml:space="preserve">Richaud, C. (2017). « Les réseaux sociaux : Nouveaux espaces de contestation et de reconstruction de la politique ? ». </w:t>
      </w:r>
      <w:r w:rsidRPr="007C467E">
        <w:rPr>
          <w:rFonts w:ascii="Calibri" w:hAnsi="Calibri" w:cs="Calibri"/>
          <w:i/>
          <w:iCs/>
          <w:sz w:val="24"/>
        </w:rPr>
        <w:t>Les Nouveaux Cahiers du Conseil constitutionnel</w:t>
      </w:r>
      <w:r w:rsidRPr="007C467E">
        <w:rPr>
          <w:rFonts w:ascii="Calibri" w:hAnsi="Calibri" w:cs="Calibri"/>
          <w:sz w:val="24"/>
        </w:rPr>
        <w:t xml:space="preserve">, </w:t>
      </w:r>
      <w:r w:rsidRPr="007C467E">
        <w:rPr>
          <w:rFonts w:ascii="Calibri" w:hAnsi="Calibri" w:cs="Calibri"/>
          <w:i/>
          <w:iCs/>
          <w:sz w:val="24"/>
        </w:rPr>
        <w:t>N° 57</w:t>
      </w:r>
      <w:r w:rsidRPr="007C467E">
        <w:rPr>
          <w:rFonts w:ascii="Calibri" w:hAnsi="Calibri" w:cs="Calibri"/>
          <w:sz w:val="24"/>
        </w:rPr>
        <w:t>(4), 29</w:t>
      </w:r>
      <w:r w:rsidRPr="007C467E">
        <w:rPr>
          <w:rFonts w:ascii="Cambria Math" w:hAnsi="Cambria Math" w:cs="Cambria Math"/>
          <w:sz w:val="24"/>
        </w:rPr>
        <w:t>‑</w:t>
      </w:r>
      <w:r w:rsidRPr="007C467E">
        <w:rPr>
          <w:rFonts w:ascii="Calibri" w:hAnsi="Calibri" w:cs="Calibri"/>
          <w:sz w:val="24"/>
        </w:rPr>
        <w:t>44.</w:t>
      </w:r>
    </w:p>
    <w:p w14:paraId="7BB9DA7C" w14:textId="77777777" w:rsidR="007C467E" w:rsidRPr="007C467E" w:rsidRDefault="007C467E" w:rsidP="007C467E">
      <w:pPr>
        <w:pStyle w:val="Bibliographie"/>
        <w:spacing w:line="276" w:lineRule="auto"/>
        <w:ind w:left="284" w:hanging="284"/>
        <w:jc w:val="both"/>
        <w:rPr>
          <w:rFonts w:ascii="Calibri" w:hAnsi="Calibri" w:cs="Calibri"/>
          <w:sz w:val="24"/>
        </w:rPr>
      </w:pPr>
      <w:r w:rsidRPr="007C467E">
        <w:rPr>
          <w:rFonts w:ascii="Calibri" w:hAnsi="Calibri" w:cs="Calibri"/>
          <w:sz w:val="24"/>
        </w:rPr>
        <w:t xml:space="preserve">Rieder, B., &amp; Smyrnaios, N. (2012). Pluralisme et infomédiation sociale de l’actualité : Le cas de Twitter. </w:t>
      </w:r>
      <w:r w:rsidRPr="007C467E">
        <w:rPr>
          <w:rFonts w:ascii="Calibri" w:hAnsi="Calibri" w:cs="Calibri"/>
          <w:i/>
          <w:iCs/>
          <w:sz w:val="24"/>
        </w:rPr>
        <w:t>Reseaux</w:t>
      </w:r>
      <w:r w:rsidRPr="007C467E">
        <w:rPr>
          <w:rFonts w:ascii="Calibri" w:hAnsi="Calibri" w:cs="Calibri"/>
          <w:sz w:val="24"/>
        </w:rPr>
        <w:t xml:space="preserve">, </w:t>
      </w:r>
      <w:r w:rsidRPr="007C467E">
        <w:rPr>
          <w:rFonts w:ascii="Calibri" w:hAnsi="Calibri" w:cs="Calibri"/>
          <w:i/>
          <w:iCs/>
          <w:sz w:val="24"/>
        </w:rPr>
        <w:t>n° 176</w:t>
      </w:r>
      <w:r w:rsidRPr="007C467E">
        <w:rPr>
          <w:rFonts w:ascii="Calibri" w:hAnsi="Calibri" w:cs="Calibri"/>
          <w:sz w:val="24"/>
        </w:rPr>
        <w:t>(6), 105</w:t>
      </w:r>
      <w:r w:rsidRPr="007C467E">
        <w:rPr>
          <w:rFonts w:ascii="Cambria Math" w:hAnsi="Cambria Math" w:cs="Cambria Math"/>
          <w:sz w:val="24"/>
        </w:rPr>
        <w:t>‑</w:t>
      </w:r>
      <w:r w:rsidRPr="007C467E">
        <w:rPr>
          <w:rFonts w:ascii="Calibri" w:hAnsi="Calibri" w:cs="Calibri"/>
          <w:sz w:val="24"/>
        </w:rPr>
        <w:t>139.</w:t>
      </w:r>
    </w:p>
    <w:p w14:paraId="23FFB69E" w14:textId="77777777" w:rsidR="007C467E" w:rsidRPr="007C467E" w:rsidRDefault="007C467E" w:rsidP="007C467E">
      <w:pPr>
        <w:pStyle w:val="Bibliographie"/>
        <w:spacing w:line="276" w:lineRule="auto"/>
        <w:ind w:left="284" w:hanging="284"/>
        <w:jc w:val="both"/>
        <w:rPr>
          <w:rFonts w:ascii="Calibri" w:hAnsi="Calibri" w:cs="Calibri"/>
          <w:sz w:val="24"/>
        </w:rPr>
      </w:pPr>
      <w:r w:rsidRPr="007C467E">
        <w:rPr>
          <w:rFonts w:ascii="Calibri" w:hAnsi="Calibri" w:cs="Calibri"/>
          <w:sz w:val="24"/>
        </w:rPr>
        <w:lastRenderedPageBreak/>
        <w:t xml:space="preserve">Romeyer, H. (2010). </w:t>
      </w:r>
      <w:r w:rsidRPr="007C467E">
        <w:rPr>
          <w:rFonts w:ascii="Calibri" w:hAnsi="Calibri" w:cs="Calibri"/>
          <w:i/>
          <w:iCs/>
          <w:sz w:val="24"/>
        </w:rPr>
        <w:t>Introduction : Santé et espace public</w:t>
      </w:r>
      <w:r w:rsidRPr="007C467E">
        <w:rPr>
          <w:rFonts w:ascii="Calibri" w:hAnsi="Calibri" w:cs="Calibri"/>
          <w:sz w:val="24"/>
        </w:rPr>
        <w:t>. Consulté à l’adresse https://www.cairn.info/la-sante-dans-l-espace-public--9782810900336-page-5.htm?contenu=resume</w:t>
      </w:r>
    </w:p>
    <w:p w14:paraId="240D90B6" w14:textId="77777777" w:rsidR="007C467E" w:rsidRPr="007C467E" w:rsidRDefault="007C467E" w:rsidP="007C467E">
      <w:pPr>
        <w:pStyle w:val="Bibliographie"/>
        <w:spacing w:line="276" w:lineRule="auto"/>
        <w:ind w:left="284" w:hanging="284"/>
        <w:jc w:val="both"/>
        <w:rPr>
          <w:rFonts w:ascii="Calibri" w:hAnsi="Calibri" w:cs="Calibri"/>
          <w:sz w:val="24"/>
        </w:rPr>
      </w:pPr>
      <w:r w:rsidRPr="007C467E">
        <w:rPr>
          <w:rFonts w:ascii="Calibri" w:hAnsi="Calibri" w:cs="Calibri"/>
          <w:sz w:val="24"/>
        </w:rPr>
        <w:t xml:space="preserve">Siroux, J.-L. (2008). La dépolitisation du discours au sein des rapports annuels de l’Organisation mondiale du commerce. </w:t>
      </w:r>
      <w:r w:rsidRPr="007C467E">
        <w:rPr>
          <w:rFonts w:ascii="Calibri" w:hAnsi="Calibri" w:cs="Calibri"/>
          <w:i/>
          <w:iCs/>
          <w:sz w:val="24"/>
        </w:rPr>
        <w:t>Mots. Les langages du politique</w:t>
      </w:r>
      <w:r w:rsidRPr="007C467E">
        <w:rPr>
          <w:rFonts w:ascii="Calibri" w:hAnsi="Calibri" w:cs="Calibri"/>
          <w:sz w:val="24"/>
        </w:rPr>
        <w:t>, (88), 13</w:t>
      </w:r>
      <w:r w:rsidRPr="007C467E">
        <w:rPr>
          <w:rFonts w:ascii="Cambria Math" w:hAnsi="Cambria Math" w:cs="Cambria Math"/>
          <w:sz w:val="24"/>
        </w:rPr>
        <w:t>‑</w:t>
      </w:r>
      <w:r w:rsidRPr="007C467E">
        <w:rPr>
          <w:rFonts w:ascii="Calibri" w:hAnsi="Calibri" w:cs="Calibri"/>
          <w:sz w:val="24"/>
        </w:rPr>
        <w:t>23. https://doi.org/10.4000/mots.14223</w:t>
      </w:r>
    </w:p>
    <w:p w14:paraId="623EC394" w14:textId="29AEFCBA" w:rsidR="000F1B74" w:rsidRDefault="007C467E" w:rsidP="007C467E">
      <w:pPr>
        <w:spacing w:line="276" w:lineRule="auto"/>
        <w:ind w:left="284" w:hanging="284"/>
        <w:jc w:val="both"/>
        <w:rPr>
          <w:rFonts w:cstheme="minorHAnsi"/>
          <w:sz w:val="24"/>
          <w:szCs w:val="24"/>
        </w:rPr>
      </w:pPr>
      <w:r>
        <w:rPr>
          <w:rFonts w:cstheme="minorHAnsi"/>
          <w:sz w:val="24"/>
          <w:szCs w:val="24"/>
        </w:rPr>
        <w:fldChar w:fldCharType="end"/>
      </w:r>
    </w:p>
    <w:sectPr w:rsidR="000F1B7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CC41B6" w14:textId="77777777" w:rsidR="00CC5008" w:rsidRDefault="00CC5008" w:rsidP="004B75A0">
      <w:pPr>
        <w:spacing w:after="0" w:line="240" w:lineRule="auto"/>
      </w:pPr>
      <w:r>
        <w:separator/>
      </w:r>
    </w:p>
  </w:endnote>
  <w:endnote w:type="continuationSeparator" w:id="0">
    <w:p w14:paraId="78D2562B" w14:textId="77777777" w:rsidR="00CC5008" w:rsidRDefault="00CC5008" w:rsidP="004B7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BCFBD8" w14:textId="77777777" w:rsidR="00CC5008" w:rsidRDefault="00CC5008" w:rsidP="004B75A0">
      <w:pPr>
        <w:spacing w:after="0" w:line="240" w:lineRule="auto"/>
      </w:pPr>
      <w:r>
        <w:separator/>
      </w:r>
    </w:p>
  </w:footnote>
  <w:footnote w:type="continuationSeparator" w:id="0">
    <w:p w14:paraId="2C14491E" w14:textId="77777777" w:rsidR="00CC5008" w:rsidRDefault="00CC5008" w:rsidP="004B75A0">
      <w:pPr>
        <w:spacing w:after="0" w:line="240" w:lineRule="auto"/>
      </w:pPr>
      <w:r>
        <w:continuationSeparator/>
      </w:r>
    </w:p>
  </w:footnote>
  <w:footnote w:id="1">
    <w:p w14:paraId="3D97CCA3" w14:textId="3948EC65" w:rsidR="006B0300" w:rsidRDefault="006B0300">
      <w:pPr>
        <w:pStyle w:val="Notedebasdepage"/>
      </w:pPr>
      <w:r w:rsidRPr="00177353">
        <w:rPr>
          <w:rStyle w:val="Appelnotedebasdep"/>
        </w:rPr>
        <w:footnoteRef/>
      </w:r>
      <w:r>
        <w:t xml:space="preserve"> </w:t>
      </w:r>
      <w:hyperlink r:id="rId1" w:history="1">
        <w:r w:rsidRPr="006D06BA">
          <w:rPr>
            <w:rStyle w:val="Lienhypertexte"/>
            <w:rFonts w:ascii="Calibri" w:hAnsi="Calibri" w:cs="Calibri"/>
            <w:shd w:val="clear" w:color="auto" w:fill="FFFFFF"/>
            <w:lang w:val="en-US"/>
          </w:rPr>
          <w:t>https://www.who.int/fr/news-room/fact-sheets/detail/ebola-virus-disease</w:t>
        </w:r>
      </w:hyperlink>
      <w:r>
        <w:rPr>
          <w:rStyle w:val="eop"/>
          <w:rFonts w:ascii="Calibri" w:hAnsi="Calibri" w:cs="Calibri"/>
          <w:color w:val="000000"/>
          <w:shd w:val="clear" w:color="auto" w:fill="FFFFFF"/>
        </w:rPr>
        <w:t> </w:t>
      </w:r>
    </w:p>
  </w:footnote>
  <w:footnote w:id="2">
    <w:p w14:paraId="647ABFB2" w14:textId="5E719DAA" w:rsidR="00441ABF" w:rsidRDefault="00441ABF">
      <w:pPr>
        <w:pStyle w:val="Notedebasdepage"/>
      </w:pPr>
      <w:r w:rsidRPr="00177353">
        <w:rPr>
          <w:rStyle w:val="Appelnotedebasdep"/>
        </w:rPr>
        <w:footnoteRef/>
      </w:r>
      <w:r w:rsidRPr="00441ABF">
        <w:rPr>
          <w:sz w:val="16"/>
          <w:szCs w:val="16"/>
        </w:rPr>
        <w:t xml:space="preserve"> </w:t>
      </w:r>
      <w:r w:rsidRPr="00441ABF">
        <w:rPr>
          <w:rStyle w:val="normaltextrun"/>
          <w:rFonts w:cstheme="minorHAnsi"/>
        </w:rPr>
        <w:t>Un des premiers médecins à avoir découvert ce virus</w:t>
      </w:r>
    </w:p>
  </w:footnote>
  <w:footnote w:id="3">
    <w:p w14:paraId="1FDE977F" w14:textId="53DE9DAB" w:rsidR="00441ABF" w:rsidRDefault="00441ABF">
      <w:pPr>
        <w:pStyle w:val="Notedebasdepage"/>
      </w:pPr>
      <w:r w:rsidRPr="00177353">
        <w:rPr>
          <w:rStyle w:val="Appelnotedebasdep"/>
        </w:rPr>
        <w:footnoteRef/>
      </w:r>
      <w:r>
        <w:t xml:space="preserve"> Communication du Docteur </w:t>
      </w:r>
      <w:proofErr w:type="spellStart"/>
      <w:r>
        <w:t>Muyembe</w:t>
      </w:r>
      <w:proofErr w:type="spellEnd"/>
      <w:r>
        <w:t xml:space="preserve"> lors du </w:t>
      </w:r>
      <w:r w:rsidR="00A547FF">
        <w:t>9</w:t>
      </w:r>
      <w:r w:rsidR="00A547FF" w:rsidRPr="00A547FF">
        <w:rPr>
          <w:vertAlign w:val="superscript"/>
        </w:rPr>
        <w:t>ème</w:t>
      </w:r>
      <w:r w:rsidR="00A547FF">
        <w:t xml:space="preserve"> </w:t>
      </w:r>
      <w:r w:rsidRPr="00441ABF">
        <w:rPr>
          <w:i/>
          <w:iCs/>
        </w:rPr>
        <w:t>Congrès international sur la pathologie infectieuse et parasitaire</w:t>
      </w:r>
      <w:r>
        <w:t>, organisé par l’Université de Lubumbashi et l’INRB (Institut National de Recherche Biomédicale), du 20-23 juin 2018 à Lubumbashi, RDC.</w:t>
      </w:r>
    </w:p>
  </w:footnote>
  <w:footnote w:id="4">
    <w:p w14:paraId="7F5AF9A4" w14:textId="6BD09091" w:rsidR="00A25EF2" w:rsidRPr="007C467E" w:rsidRDefault="00A25EF2" w:rsidP="007C467E">
      <w:pPr>
        <w:pStyle w:val="NormalWeb"/>
        <w:shd w:val="clear" w:color="auto" w:fill="FFFFFF"/>
        <w:spacing w:before="0" w:beforeAutospacing="0" w:after="0" w:afterAutospacing="0"/>
        <w:jc w:val="both"/>
        <w:rPr>
          <w:color w:val="201F1E"/>
          <w:sz w:val="20"/>
          <w:szCs w:val="20"/>
        </w:rPr>
      </w:pPr>
      <w:r w:rsidRPr="00177353">
        <w:rPr>
          <w:rStyle w:val="Appelnotedebasdep"/>
        </w:rPr>
        <w:footnoteRef/>
      </w:r>
      <w:r w:rsidRPr="00A25EF2">
        <w:rPr>
          <w:sz w:val="20"/>
          <w:szCs w:val="20"/>
        </w:rPr>
        <w:t xml:space="preserve"> Les acteurs officiels sont : Le </w:t>
      </w:r>
      <w:r w:rsidRPr="00A25EF2">
        <w:rPr>
          <w:color w:val="000000"/>
          <w:sz w:val="20"/>
          <w:szCs w:val="20"/>
          <w:shd w:val="clear" w:color="auto" w:fill="FFFFFF"/>
        </w:rPr>
        <w:t xml:space="preserve">Comité national de coordination dirigé par le </w:t>
      </w:r>
      <w:r>
        <w:rPr>
          <w:color w:val="000000"/>
          <w:sz w:val="20"/>
          <w:szCs w:val="20"/>
          <w:shd w:val="clear" w:color="auto" w:fill="FFFFFF"/>
        </w:rPr>
        <w:t>M</w:t>
      </w:r>
      <w:r w:rsidRPr="00A25EF2">
        <w:rPr>
          <w:color w:val="000000"/>
          <w:sz w:val="20"/>
          <w:szCs w:val="20"/>
          <w:shd w:val="clear" w:color="auto" w:fill="FFFFFF"/>
        </w:rPr>
        <w:t xml:space="preserve">inistre de la </w:t>
      </w:r>
      <w:proofErr w:type="gramStart"/>
      <w:r w:rsidRPr="00A25EF2">
        <w:rPr>
          <w:color w:val="000000"/>
          <w:sz w:val="20"/>
          <w:szCs w:val="20"/>
          <w:shd w:val="clear" w:color="auto" w:fill="FFFFFF"/>
        </w:rPr>
        <w:t>santé;</w:t>
      </w:r>
      <w:proofErr w:type="gramEnd"/>
      <w:r w:rsidRPr="00A25EF2">
        <w:rPr>
          <w:color w:val="000000"/>
          <w:sz w:val="20"/>
          <w:szCs w:val="20"/>
          <w:shd w:val="clear" w:color="auto" w:fill="FFFFFF"/>
        </w:rPr>
        <w:t xml:space="preserve"> </w:t>
      </w:r>
      <w:r w:rsidRPr="00A25EF2">
        <w:rPr>
          <w:color w:val="000000"/>
          <w:sz w:val="20"/>
          <w:szCs w:val="20"/>
          <w:bdr w:val="none" w:sz="0" w:space="0" w:color="auto" w:frame="1"/>
        </w:rPr>
        <w:t>Le comité provincial de coordination dirigé par le ministre provincial de la santé ou le gouverneur </w:t>
      </w:r>
      <w:r w:rsidRPr="00A25EF2">
        <w:rPr>
          <w:color w:val="201F1E"/>
          <w:sz w:val="20"/>
          <w:szCs w:val="20"/>
        </w:rPr>
        <w:t xml:space="preserve">; </w:t>
      </w:r>
      <w:r w:rsidRPr="00A25EF2">
        <w:rPr>
          <w:color w:val="000000"/>
          <w:sz w:val="20"/>
          <w:szCs w:val="20"/>
          <w:bdr w:val="none" w:sz="0" w:space="0" w:color="auto" w:frame="1"/>
        </w:rPr>
        <w:t>Le comité international de coordination technique et scientifique</w:t>
      </w:r>
    </w:p>
  </w:footnote>
  <w:footnote w:id="5">
    <w:p w14:paraId="2C03D352" w14:textId="29CEAE15" w:rsidR="007C467E" w:rsidRPr="007C467E" w:rsidRDefault="007A4C5E">
      <w:pPr>
        <w:pStyle w:val="Notedebasdepage"/>
        <w:rPr>
          <w:rFonts w:cstheme="minorHAnsi"/>
        </w:rPr>
      </w:pPr>
      <w:r w:rsidRPr="00177353">
        <w:rPr>
          <w:rStyle w:val="Appelnotedebasdep"/>
        </w:rPr>
        <w:footnoteRef/>
      </w:r>
      <w:r>
        <w:t xml:space="preserve"> </w:t>
      </w:r>
      <w:r w:rsidRPr="007A4C5E">
        <w:rPr>
          <w:rStyle w:val="normaltextrun"/>
          <w:rFonts w:cstheme="minorHAnsi"/>
          <w:color w:val="000000"/>
        </w:rPr>
        <w:t>Principalement des leaders des églises dites de réveil, qui</w:t>
      </w:r>
      <w:r w:rsidRPr="007A4C5E">
        <w:rPr>
          <w:rStyle w:val="normaltextrun"/>
          <w:rFonts w:cstheme="minorHAnsi"/>
          <w:color w:val="333333"/>
        </w:rPr>
        <w:t> </w:t>
      </w:r>
      <w:r w:rsidRPr="007A4C5E">
        <w:rPr>
          <w:rStyle w:val="normaltextrun"/>
          <w:rFonts w:cstheme="minorHAnsi"/>
        </w:rPr>
        <w:t>vont parfois jusqu’à réfuter publiquement la présence de la maladie, poussant leurs fidèles à s’opposer aux mesures établies par les autorités sanitaires.</w:t>
      </w:r>
      <w:r w:rsidRPr="007A4C5E">
        <w:rPr>
          <w:rStyle w:val="eop"/>
          <w:rFonts w:cstheme="minorHAnsi"/>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9934907"/>
      <w:docPartObj>
        <w:docPartGallery w:val="Page Numbers (Top of Page)"/>
        <w:docPartUnique/>
      </w:docPartObj>
    </w:sdtPr>
    <w:sdtEndPr/>
    <w:sdtContent>
      <w:p w14:paraId="7A452B53" w14:textId="5F22D1F2" w:rsidR="00814DB4" w:rsidRDefault="00814DB4">
        <w:pPr>
          <w:pStyle w:val="En-tte"/>
          <w:jc w:val="right"/>
        </w:pPr>
        <w:r>
          <w:fldChar w:fldCharType="begin"/>
        </w:r>
        <w:r>
          <w:instrText>PAGE   \* MERGEFORMAT</w:instrText>
        </w:r>
        <w:r>
          <w:fldChar w:fldCharType="separate"/>
        </w:r>
        <w:r>
          <w:t>2</w:t>
        </w:r>
        <w:r>
          <w:fldChar w:fldCharType="end"/>
        </w:r>
      </w:p>
    </w:sdtContent>
  </w:sdt>
  <w:p w14:paraId="118EDA3B" w14:textId="77777777" w:rsidR="00814DB4" w:rsidRDefault="00814DB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84281"/>
    <w:multiLevelType w:val="multilevel"/>
    <w:tmpl w:val="447CD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A5E3F"/>
    <w:multiLevelType w:val="multilevel"/>
    <w:tmpl w:val="D448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C1046C"/>
    <w:multiLevelType w:val="multilevel"/>
    <w:tmpl w:val="B3E4D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126F8"/>
    <w:multiLevelType w:val="multilevel"/>
    <w:tmpl w:val="5222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B559D0"/>
    <w:multiLevelType w:val="multilevel"/>
    <w:tmpl w:val="AC08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951829"/>
    <w:multiLevelType w:val="multilevel"/>
    <w:tmpl w:val="475AB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155578"/>
    <w:multiLevelType w:val="multilevel"/>
    <w:tmpl w:val="61D6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5B513D"/>
    <w:multiLevelType w:val="multilevel"/>
    <w:tmpl w:val="9886F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B065C7"/>
    <w:multiLevelType w:val="multilevel"/>
    <w:tmpl w:val="9A26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E63DF2"/>
    <w:multiLevelType w:val="multilevel"/>
    <w:tmpl w:val="427CE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1D1235"/>
    <w:multiLevelType w:val="multilevel"/>
    <w:tmpl w:val="719C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1"/>
  </w:num>
  <w:num w:numId="4">
    <w:abstractNumId w:val="6"/>
  </w:num>
  <w:num w:numId="5">
    <w:abstractNumId w:val="5"/>
  </w:num>
  <w:num w:numId="6">
    <w:abstractNumId w:val="3"/>
  </w:num>
  <w:num w:numId="7">
    <w:abstractNumId w:val="8"/>
  </w:num>
  <w:num w:numId="8">
    <w:abstractNumId w:val="10"/>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AAA"/>
    <w:rsid w:val="000C6C24"/>
    <w:rsid w:val="000F1962"/>
    <w:rsid w:val="000F1B74"/>
    <w:rsid w:val="00114D07"/>
    <w:rsid w:val="00137D4F"/>
    <w:rsid w:val="00173143"/>
    <w:rsid w:val="00177353"/>
    <w:rsid w:val="001C7AAA"/>
    <w:rsid w:val="002372EC"/>
    <w:rsid w:val="002424BE"/>
    <w:rsid w:val="002D595C"/>
    <w:rsid w:val="003809ED"/>
    <w:rsid w:val="003D40D5"/>
    <w:rsid w:val="00404946"/>
    <w:rsid w:val="00441ABF"/>
    <w:rsid w:val="004B75A0"/>
    <w:rsid w:val="004C1068"/>
    <w:rsid w:val="00524332"/>
    <w:rsid w:val="00530071"/>
    <w:rsid w:val="0053309B"/>
    <w:rsid w:val="005C49A9"/>
    <w:rsid w:val="005D1919"/>
    <w:rsid w:val="006B0300"/>
    <w:rsid w:val="006E7909"/>
    <w:rsid w:val="006F3F73"/>
    <w:rsid w:val="007A4C5E"/>
    <w:rsid w:val="007C467E"/>
    <w:rsid w:val="00814DB4"/>
    <w:rsid w:val="0085760F"/>
    <w:rsid w:val="0087153D"/>
    <w:rsid w:val="008F01CD"/>
    <w:rsid w:val="0090459A"/>
    <w:rsid w:val="0090486D"/>
    <w:rsid w:val="0095674A"/>
    <w:rsid w:val="009E3EEA"/>
    <w:rsid w:val="00A11AB2"/>
    <w:rsid w:val="00A25EF2"/>
    <w:rsid w:val="00A547FF"/>
    <w:rsid w:val="00AB2F0C"/>
    <w:rsid w:val="00B414A0"/>
    <w:rsid w:val="00B777D0"/>
    <w:rsid w:val="00BB5C11"/>
    <w:rsid w:val="00BE17C8"/>
    <w:rsid w:val="00C62B6C"/>
    <w:rsid w:val="00C953F2"/>
    <w:rsid w:val="00CC5008"/>
    <w:rsid w:val="00CE45A4"/>
    <w:rsid w:val="00D24366"/>
    <w:rsid w:val="00DF0A23"/>
    <w:rsid w:val="00E92556"/>
    <w:rsid w:val="00EA4A2F"/>
    <w:rsid w:val="00EB3CB0"/>
    <w:rsid w:val="00F0416F"/>
    <w:rsid w:val="00F60E0E"/>
    <w:rsid w:val="00F7051C"/>
    <w:rsid w:val="00F819AD"/>
    <w:rsid w:val="00FC1F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CDF4E"/>
  <w15:chartTrackingRefBased/>
  <w15:docId w15:val="{731C5886-3B87-488E-B916-B1AF16B49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uiPriority w:val="99"/>
    <w:rsid w:val="001C7AA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1C7AAA"/>
  </w:style>
  <w:style w:type="character" w:customStyle="1" w:styleId="scxw145234071">
    <w:name w:val="scxw145234071"/>
    <w:basedOn w:val="Policepardfaut"/>
    <w:rsid w:val="001C7AAA"/>
  </w:style>
  <w:style w:type="character" w:customStyle="1" w:styleId="eop">
    <w:name w:val="eop"/>
    <w:basedOn w:val="Policepardfaut"/>
    <w:rsid w:val="001C7AAA"/>
  </w:style>
  <w:style w:type="character" w:customStyle="1" w:styleId="spellingerror">
    <w:name w:val="spellingerror"/>
    <w:basedOn w:val="Policepardfaut"/>
    <w:rsid w:val="001C7AAA"/>
  </w:style>
  <w:style w:type="paragraph" w:styleId="Notedebasdepage">
    <w:name w:val="footnote text"/>
    <w:basedOn w:val="Normal"/>
    <w:link w:val="NotedebasdepageCar"/>
    <w:uiPriority w:val="99"/>
    <w:semiHidden/>
    <w:unhideWhenUsed/>
    <w:rsid w:val="004B75A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B75A0"/>
    <w:rPr>
      <w:sz w:val="20"/>
      <w:szCs w:val="20"/>
    </w:rPr>
  </w:style>
  <w:style w:type="character" w:styleId="Appelnotedebasdep">
    <w:name w:val="footnote reference"/>
    <w:basedOn w:val="Policepardfaut"/>
    <w:uiPriority w:val="99"/>
    <w:semiHidden/>
    <w:unhideWhenUsed/>
    <w:rsid w:val="004B75A0"/>
    <w:rPr>
      <w:vertAlign w:val="superscript"/>
    </w:rPr>
  </w:style>
  <w:style w:type="character" w:customStyle="1" w:styleId="scxw255740642">
    <w:name w:val="scxw255740642"/>
    <w:basedOn w:val="Policepardfaut"/>
    <w:rsid w:val="004B75A0"/>
  </w:style>
  <w:style w:type="character" w:styleId="Lienhypertexte">
    <w:name w:val="Hyperlink"/>
    <w:basedOn w:val="Policepardfaut"/>
    <w:uiPriority w:val="99"/>
    <w:unhideWhenUsed/>
    <w:rsid w:val="004B75A0"/>
    <w:rPr>
      <w:color w:val="0563C1" w:themeColor="hyperlink"/>
      <w:u w:val="single"/>
    </w:rPr>
  </w:style>
  <w:style w:type="character" w:styleId="Mentionnonrsolue">
    <w:name w:val="Unresolved Mention"/>
    <w:basedOn w:val="Policepardfaut"/>
    <w:uiPriority w:val="99"/>
    <w:semiHidden/>
    <w:unhideWhenUsed/>
    <w:rsid w:val="004B75A0"/>
    <w:rPr>
      <w:color w:val="605E5C"/>
      <w:shd w:val="clear" w:color="auto" w:fill="E1DFDD"/>
    </w:rPr>
  </w:style>
  <w:style w:type="paragraph" w:styleId="Paragraphedeliste">
    <w:name w:val="List Paragraph"/>
    <w:basedOn w:val="Normal"/>
    <w:uiPriority w:val="34"/>
    <w:qFormat/>
    <w:rsid w:val="00137D4F"/>
    <w:pPr>
      <w:ind w:left="720"/>
      <w:contextualSpacing/>
    </w:pPr>
  </w:style>
  <w:style w:type="character" w:styleId="Marquedecommentaire">
    <w:name w:val="annotation reference"/>
    <w:basedOn w:val="Policepardfaut"/>
    <w:uiPriority w:val="99"/>
    <w:semiHidden/>
    <w:unhideWhenUsed/>
    <w:rsid w:val="0090486D"/>
    <w:rPr>
      <w:sz w:val="16"/>
      <w:szCs w:val="16"/>
    </w:rPr>
  </w:style>
  <w:style w:type="paragraph" w:styleId="Commentaire">
    <w:name w:val="annotation text"/>
    <w:basedOn w:val="Normal"/>
    <w:link w:val="CommentaireCar"/>
    <w:uiPriority w:val="99"/>
    <w:semiHidden/>
    <w:unhideWhenUsed/>
    <w:rsid w:val="0090486D"/>
    <w:pPr>
      <w:spacing w:line="240" w:lineRule="auto"/>
    </w:pPr>
    <w:rPr>
      <w:sz w:val="20"/>
      <w:szCs w:val="20"/>
    </w:rPr>
  </w:style>
  <w:style w:type="character" w:customStyle="1" w:styleId="CommentaireCar">
    <w:name w:val="Commentaire Car"/>
    <w:basedOn w:val="Policepardfaut"/>
    <w:link w:val="Commentaire"/>
    <w:uiPriority w:val="99"/>
    <w:semiHidden/>
    <w:rsid w:val="0090486D"/>
    <w:rPr>
      <w:sz w:val="20"/>
      <w:szCs w:val="20"/>
    </w:rPr>
  </w:style>
  <w:style w:type="paragraph" w:styleId="Objetducommentaire">
    <w:name w:val="annotation subject"/>
    <w:basedOn w:val="Commentaire"/>
    <w:next w:val="Commentaire"/>
    <w:link w:val="ObjetducommentaireCar"/>
    <w:uiPriority w:val="99"/>
    <w:semiHidden/>
    <w:unhideWhenUsed/>
    <w:rsid w:val="0090486D"/>
    <w:rPr>
      <w:b/>
      <w:bCs/>
    </w:rPr>
  </w:style>
  <w:style w:type="character" w:customStyle="1" w:styleId="ObjetducommentaireCar">
    <w:name w:val="Objet du commentaire Car"/>
    <w:basedOn w:val="CommentaireCar"/>
    <w:link w:val="Objetducommentaire"/>
    <w:uiPriority w:val="99"/>
    <w:semiHidden/>
    <w:rsid w:val="0090486D"/>
    <w:rPr>
      <w:b/>
      <w:bCs/>
      <w:sz w:val="20"/>
      <w:szCs w:val="20"/>
    </w:rPr>
  </w:style>
  <w:style w:type="paragraph" w:styleId="Textedebulles">
    <w:name w:val="Balloon Text"/>
    <w:basedOn w:val="Normal"/>
    <w:link w:val="TextedebullesCar"/>
    <w:uiPriority w:val="99"/>
    <w:semiHidden/>
    <w:unhideWhenUsed/>
    <w:rsid w:val="0090486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486D"/>
    <w:rPr>
      <w:rFonts w:ascii="Segoe UI" w:hAnsi="Segoe UI" w:cs="Segoe UI"/>
      <w:sz w:val="18"/>
      <w:szCs w:val="18"/>
    </w:rPr>
  </w:style>
  <w:style w:type="paragraph" w:styleId="NormalWeb">
    <w:name w:val="Normal (Web)"/>
    <w:basedOn w:val="Normal"/>
    <w:uiPriority w:val="99"/>
    <w:unhideWhenUsed/>
    <w:rsid w:val="00A25EF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ibliographie">
    <w:name w:val="Bibliography"/>
    <w:basedOn w:val="Normal"/>
    <w:next w:val="Normal"/>
    <w:uiPriority w:val="37"/>
    <w:unhideWhenUsed/>
    <w:rsid w:val="007C467E"/>
    <w:pPr>
      <w:spacing w:after="0" w:line="480" w:lineRule="auto"/>
      <w:ind w:left="720" w:hanging="720"/>
    </w:pPr>
  </w:style>
  <w:style w:type="paragraph" w:styleId="En-tte">
    <w:name w:val="header"/>
    <w:basedOn w:val="Normal"/>
    <w:link w:val="En-tteCar"/>
    <w:uiPriority w:val="99"/>
    <w:unhideWhenUsed/>
    <w:rsid w:val="00814DB4"/>
    <w:pPr>
      <w:tabs>
        <w:tab w:val="center" w:pos="4536"/>
        <w:tab w:val="right" w:pos="9072"/>
      </w:tabs>
      <w:spacing w:after="0" w:line="240" w:lineRule="auto"/>
    </w:pPr>
  </w:style>
  <w:style w:type="character" w:customStyle="1" w:styleId="En-tteCar">
    <w:name w:val="En-tête Car"/>
    <w:basedOn w:val="Policepardfaut"/>
    <w:link w:val="En-tte"/>
    <w:uiPriority w:val="99"/>
    <w:rsid w:val="00814DB4"/>
  </w:style>
  <w:style w:type="paragraph" w:styleId="Pieddepage">
    <w:name w:val="footer"/>
    <w:basedOn w:val="Normal"/>
    <w:link w:val="PieddepageCar"/>
    <w:uiPriority w:val="99"/>
    <w:unhideWhenUsed/>
    <w:rsid w:val="00814DB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4DB4"/>
  </w:style>
  <w:style w:type="character" w:styleId="Appeldenotedefin">
    <w:name w:val="endnote reference"/>
    <w:basedOn w:val="Policepardfaut"/>
    <w:uiPriority w:val="99"/>
    <w:semiHidden/>
    <w:unhideWhenUsed/>
    <w:rsid w:val="001773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269160">
      <w:bodyDiv w:val="1"/>
      <w:marLeft w:val="0"/>
      <w:marRight w:val="0"/>
      <w:marTop w:val="0"/>
      <w:marBottom w:val="0"/>
      <w:divBdr>
        <w:top w:val="none" w:sz="0" w:space="0" w:color="auto"/>
        <w:left w:val="none" w:sz="0" w:space="0" w:color="auto"/>
        <w:bottom w:val="none" w:sz="0" w:space="0" w:color="auto"/>
        <w:right w:val="none" w:sz="0" w:space="0" w:color="auto"/>
      </w:divBdr>
      <w:divsChild>
        <w:div w:id="1505632959">
          <w:marLeft w:val="0"/>
          <w:marRight w:val="0"/>
          <w:marTop w:val="0"/>
          <w:marBottom w:val="0"/>
          <w:divBdr>
            <w:top w:val="none" w:sz="0" w:space="0" w:color="auto"/>
            <w:left w:val="none" w:sz="0" w:space="0" w:color="auto"/>
            <w:bottom w:val="none" w:sz="0" w:space="0" w:color="auto"/>
            <w:right w:val="none" w:sz="0" w:space="0" w:color="auto"/>
          </w:divBdr>
        </w:div>
        <w:div w:id="2102094318">
          <w:marLeft w:val="0"/>
          <w:marRight w:val="0"/>
          <w:marTop w:val="0"/>
          <w:marBottom w:val="0"/>
          <w:divBdr>
            <w:top w:val="none" w:sz="0" w:space="0" w:color="auto"/>
            <w:left w:val="none" w:sz="0" w:space="0" w:color="auto"/>
            <w:bottom w:val="none" w:sz="0" w:space="0" w:color="auto"/>
            <w:right w:val="none" w:sz="0" w:space="0" w:color="auto"/>
          </w:divBdr>
        </w:div>
        <w:div w:id="805048254">
          <w:marLeft w:val="0"/>
          <w:marRight w:val="0"/>
          <w:marTop w:val="0"/>
          <w:marBottom w:val="0"/>
          <w:divBdr>
            <w:top w:val="none" w:sz="0" w:space="0" w:color="auto"/>
            <w:left w:val="none" w:sz="0" w:space="0" w:color="auto"/>
            <w:bottom w:val="none" w:sz="0" w:space="0" w:color="auto"/>
            <w:right w:val="none" w:sz="0" w:space="0" w:color="auto"/>
          </w:divBdr>
        </w:div>
        <w:div w:id="2005350814">
          <w:marLeft w:val="0"/>
          <w:marRight w:val="0"/>
          <w:marTop w:val="0"/>
          <w:marBottom w:val="0"/>
          <w:divBdr>
            <w:top w:val="none" w:sz="0" w:space="0" w:color="auto"/>
            <w:left w:val="none" w:sz="0" w:space="0" w:color="auto"/>
            <w:bottom w:val="none" w:sz="0" w:space="0" w:color="auto"/>
            <w:right w:val="none" w:sz="0" w:space="0" w:color="auto"/>
          </w:divBdr>
        </w:div>
        <w:div w:id="345207567">
          <w:marLeft w:val="0"/>
          <w:marRight w:val="0"/>
          <w:marTop w:val="0"/>
          <w:marBottom w:val="0"/>
          <w:divBdr>
            <w:top w:val="none" w:sz="0" w:space="0" w:color="auto"/>
            <w:left w:val="none" w:sz="0" w:space="0" w:color="auto"/>
            <w:bottom w:val="none" w:sz="0" w:space="0" w:color="auto"/>
            <w:right w:val="none" w:sz="0" w:space="0" w:color="auto"/>
          </w:divBdr>
          <w:divsChild>
            <w:div w:id="1441875590">
              <w:marLeft w:val="0"/>
              <w:marRight w:val="0"/>
              <w:marTop w:val="0"/>
              <w:marBottom w:val="0"/>
              <w:divBdr>
                <w:top w:val="none" w:sz="0" w:space="0" w:color="auto"/>
                <w:left w:val="none" w:sz="0" w:space="0" w:color="auto"/>
                <w:bottom w:val="none" w:sz="0" w:space="0" w:color="auto"/>
                <w:right w:val="none" w:sz="0" w:space="0" w:color="auto"/>
              </w:divBdr>
            </w:div>
          </w:divsChild>
        </w:div>
        <w:div w:id="982732601">
          <w:marLeft w:val="0"/>
          <w:marRight w:val="0"/>
          <w:marTop w:val="0"/>
          <w:marBottom w:val="0"/>
          <w:divBdr>
            <w:top w:val="none" w:sz="0" w:space="0" w:color="auto"/>
            <w:left w:val="none" w:sz="0" w:space="0" w:color="auto"/>
            <w:bottom w:val="none" w:sz="0" w:space="0" w:color="auto"/>
            <w:right w:val="none" w:sz="0" w:space="0" w:color="auto"/>
          </w:divBdr>
        </w:div>
        <w:div w:id="1405491159">
          <w:marLeft w:val="0"/>
          <w:marRight w:val="0"/>
          <w:marTop w:val="0"/>
          <w:marBottom w:val="0"/>
          <w:divBdr>
            <w:top w:val="none" w:sz="0" w:space="0" w:color="auto"/>
            <w:left w:val="none" w:sz="0" w:space="0" w:color="auto"/>
            <w:bottom w:val="none" w:sz="0" w:space="0" w:color="auto"/>
            <w:right w:val="none" w:sz="0" w:space="0" w:color="auto"/>
          </w:divBdr>
        </w:div>
        <w:div w:id="109786747">
          <w:marLeft w:val="0"/>
          <w:marRight w:val="0"/>
          <w:marTop w:val="0"/>
          <w:marBottom w:val="0"/>
          <w:divBdr>
            <w:top w:val="none" w:sz="0" w:space="0" w:color="auto"/>
            <w:left w:val="none" w:sz="0" w:space="0" w:color="auto"/>
            <w:bottom w:val="none" w:sz="0" w:space="0" w:color="auto"/>
            <w:right w:val="none" w:sz="0" w:space="0" w:color="auto"/>
          </w:divBdr>
          <w:divsChild>
            <w:div w:id="638456722">
              <w:marLeft w:val="0"/>
              <w:marRight w:val="0"/>
              <w:marTop w:val="0"/>
              <w:marBottom w:val="0"/>
              <w:divBdr>
                <w:top w:val="none" w:sz="0" w:space="0" w:color="auto"/>
                <w:left w:val="none" w:sz="0" w:space="0" w:color="auto"/>
                <w:bottom w:val="none" w:sz="0" w:space="0" w:color="auto"/>
                <w:right w:val="none" w:sz="0" w:space="0" w:color="auto"/>
              </w:divBdr>
            </w:div>
            <w:div w:id="1118186798">
              <w:marLeft w:val="0"/>
              <w:marRight w:val="0"/>
              <w:marTop w:val="0"/>
              <w:marBottom w:val="0"/>
              <w:divBdr>
                <w:top w:val="none" w:sz="0" w:space="0" w:color="auto"/>
                <w:left w:val="none" w:sz="0" w:space="0" w:color="auto"/>
                <w:bottom w:val="none" w:sz="0" w:space="0" w:color="auto"/>
                <w:right w:val="none" w:sz="0" w:space="0" w:color="auto"/>
              </w:divBdr>
            </w:div>
            <w:div w:id="818306806">
              <w:marLeft w:val="0"/>
              <w:marRight w:val="0"/>
              <w:marTop w:val="0"/>
              <w:marBottom w:val="0"/>
              <w:divBdr>
                <w:top w:val="none" w:sz="0" w:space="0" w:color="auto"/>
                <w:left w:val="none" w:sz="0" w:space="0" w:color="auto"/>
                <w:bottom w:val="none" w:sz="0" w:space="0" w:color="auto"/>
                <w:right w:val="none" w:sz="0" w:space="0" w:color="auto"/>
              </w:divBdr>
              <w:divsChild>
                <w:div w:id="1698659201">
                  <w:marLeft w:val="0"/>
                  <w:marRight w:val="0"/>
                  <w:marTop w:val="0"/>
                  <w:marBottom w:val="0"/>
                  <w:divBdr>
                    <w:top w:val="none" w:sz="0" w:space="0" w:color="auto"/>
                    <w:left w:val="none" w:sz="0" w:space="0" w:color="auto"/>
                    <w:bottom w:val="none" w:sz="0" w:space="0" w:color="auto"/>
                    <w:right w:val="none" w:sz="0" w:space="0" w:color="auto"/>
                  </w:divBdr>
                </w:div>
              </w:divsChild>
            </w:div>
            <w:div w:id="953751792">
              <w:marLeft w:val="0"/>
              <w:marRight w:val="0"/>
              <w:marTop w:val="0"/>
              <w:marBottom w:val="0"/>
              <w:divBdr>
                <w:top w:val="none" w:sz="0" w:space="0" w:color="auto"/>
                <w:left w:val="none" w:sz="0" w:space="0" w:color="auto"/>
                <w:bottom w:val="none" w:sz="0" w:space="0" w:color="auto"/>
                <w:right w:val="none" w:sz="0" w:space="0" w:color="auto"/>
              </w:divBdr>
            </w:div>
            <w:div w:id="1030834386">
              <w:marLeft w:val="0"/>
              <w:marRight w:val="0"/>
              <w:marTop w:val="0"/>
              <w:marBottom w:val="0"/>
              <w:divBdr>
                <w:top w:val="none" w:sz="0" w:space="0" w:color="auto"/>
                <w:left w:val="none" w:sz="0" w:space="0" w:color="auto"/>
                <w:bottom w:val="none" w:sz="0" w:space="0" w:color="auto"/>
                <w:right w:val="none" w:sz="0" w:space="0" w:color="auto"/>
              </w:divBdr>
            </w:div>
            <w:div w:id="1042897973">
              <w:marLeft w:val="0"/>
              <w:marRight w:val="0"/>
              <w:marTop w:val="0"/>
              <w:marBottom w:val="0"/>
              <w:divBdr>
                <w:top w:val="none" w:sz="0" w:space="0" w:color="auto"/>
                <w:left w:val="none" w:sz="0" w:space="0" w:color="auto"/>
                <w:bottom w:val="none" w:sz="0" w:space="0" w:color="auto"/>
                <w:right w:val="none" w:sz="0" w:space="0" w:color="auto"/>
              </w:divBdr>
              <w:divsChild>
                <w:div w:id="2091341550">
                  <w:marLeft w:val="0"/>
                  <w:marRight w:val="0"/>
                  <w:marTop w:val="0"/>
                  <w:marBottom w:val="0"/>
                  <w:divBdr>
                    <w:top w:val="none" w:sz="0" w:space="0" w:color="auto"/>
                    <w:left w:val="none" w:sz="0" w:space="0" w:color="auto"/>
                    <w:bottom w:val="none" w:sz="0" w:space="0" w:color="auto"/>
                    <w:right w:val="none" w:sz="0" w:space="0" w:color="auto"/>
                  </w:divBdr>
                </w:div>
                <w:div w:id="54298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262513">
      <w:bodyDiv w:val="1"/>
      <w:marLeft w:val="0"/>
      <w:marRight w:val="0"/>
      <w:marTop w:val="0"/>
      <w:marBottom w:val="0"/>
      <w:divBdr>
        <w:top w:val="none" w:sz="0" w:space="0" w:color="auto"/>
        <w:left w:val="none" w:sz="0" w:space="0" w:color="auto"/>
        <w:bottom w:val="none" w:sz="0" w:space="0" w:color="auto"/>
        <w:right w:val="none" w:sz="0" w:space="0" w:color="auto"/>
      </w:divBdr>
      <w:divsChild>
        <w:div w:id="596448768">
          <w:marLeft w:val="0"/>
          <w:marRight w:val="0"/>
          <w:marTop w:val="0"/>
          <w:marBottom w:val="0"/>
          <w:divBdr>
            <w:top w:val="none" w:sz="0" w:space="0" w:color="auto"/>
            <w:left w:val="none" w:sz="0" w:space="0" w:color="auto"/>
            <w:bottom w:val="none" w:sz="0" w:space="0" w:color="auto"/>
            <w:right w:val="none" w:sz="0" w:space="0" w:color="auto"/>
          </w:divBdr>
        </w:div>
        <w:div w:id="132909550">
          <w:marLeft w:val="0"/>
          <w:marRight w:val="0"/>
          <w:marTop w:val="0"/>
          <w:marBottom w:val="0"/>
          <w:divBdr>
            <w:top w:val="none" w:sz="0" w:space="0" w:color="auto"/>
            <w:left w:val="none" w:sz="0" w:space="0" w:color="auto"/>
            <w:bottom w:val="none" w:sz="0" w:space="0" w:color="auto"/>
            <w:right w:val="none" w:sz="0" w:space="0" w:color="auto"/>
          </w:divBdr>
        </w:div>
        <w:div w:id="64303729">
          <w:marLeft w:val="0"/>
          <w:marRight w:val="0"/>
          <w:marTop w:val="0"/>
          <w:marBottom w:val="0"/>
          <w:divBdr>
            <w:top w:val="none" w:sz="0" w:space="0" w:color="auto"/>
            <w:left w:val="none" w:sz="0" w:space="0" w:color="auto"/>
            <w:bottom w:val="none" w:sz="0" w:space="0" w:color="auto"/>
            <w:right w:val="none" w:sz="0" w:space="0" w:color="auto"/>
          </w:divBdr>
        </w:div>
        <w:div w:id="790130781">
          <w:marLeft w:val="0"/>
          <w:marRight w:val="0"/>
          <w:marTop w:val="0"/>
          <w:marBottom w:val="0"/>
          <w:divBdr>
            <w:top w:val="none" w:sz="0" w:space="0" w:color="auto"/>
            <w:left w:val="none" w:sz="0" w:space="0" w:color="auto"/>
            <w:bottom w:val="none" w:sz="0" w:space="0" w:color="auto"/>
            <w:right w:val="none" w:sz="0" w:space="0" w:color="auto"/>
          </w:divBdr>
        </w:div>
        <w:div w:id="966131735">
          <w:marLeft w:val="0"/>
          <w:marRight w:val="0"/>
          <w:marTop w:val="0"/>
          <w:marBottom w:val="0"/>
          <w:divBdr>
            <w:top w:val="none" w:sz="0" w:space="0" w:color="auto"/>
            <w:left w:val="none" w:sz="0" w:space="0" w:color="auto"/>
            <w:bottom w:val="none" w:sz="0" w:space="0" w:color="auto"/>
            <w:right w:val="none" w:sz="0" w:space="0" w:color="auto"/>
          </w:divBdr>
        </w:div>
        <w:div w:id="78528869">
          <w:marLeft w:val="0"/>
          <w:marRight w:val="0"/>
          <w:marTop w:val="0"/>
          <w:marBottom w:val="0"/>
          <w:divBdr>
            <w:top w:val="none" w:sz="0" w:space="0" w:color="auto"/>
            <w:left w:val="none" w:sz="0" w:space="0" w:color="auto"/>
            <w:bottom w:val="none" w:sz="0" w:space="0" w:color="auto"/>
            <w:right w:val="none" w:sz="0" w:space="0" w:color="auto"/>
          </w:divBdr>
        </w:div>
        <w:div w:id="1818837194">
          <w:marLeft w:val="0"/>
          <w:marRight w:val="0"/>
          <w:marTop w:val="0"/>
          <w:marBottom w:val="0"/>
          <w:divBdr>
            <w:top w:val="none" w:sz="0" w:space="0" w:color="auto"/>
            <w:left w:val="none" w:sz="0" w:space="0" w:color="auto"/>
            <w:bottom w:val="none" w:sz="0" w:space="0" w:color="auto"/>
            <w:right w:val="none" w:sz="0" w:space="0" w:color="auto"/>
          </w:divBdr>
        </w:div>
      </w:divsChild>
    </w:div>
    <w:div w:id="1011685680">
      <w:bodyDiv w:val="1"/>
      <w:marLeft w:val="0"/>
      <w:marRight w:val="0"/>
      <w:marTop w:val="0"/>
      <w:marBottom w:val="0"/>
      <w:divBdr>
        <w:top w:val="none" w:sz="0" w:space="0" w:color="auto"/>
        <w:left w:val="none" w:sz="0" w:space="0" w:color="auto"/>
        <w:bottom w:val="none" w:sz="0" w:space="0" w:color="auto"/>
        <w:right w:val="none" w:sz="0" w:space="0" w:color="auto"/>
      </w:divBdr>
    </w:div>
    <w:div w:id="1602639058">
      <w:bodyDiv w:val="1"/>
      <w:marLeft w:val="0"/>
      <w:marRight w:val="0"/>
      <w:marTop w:val="0"/>
      <w:marBottom w:val="0"/>
      <w:divBdr>
        <w:top w:val="none" w:sz="0" w:space="0" w:color="auto"/>
        <w:left w:val="none" w:sz="0" w:space="0" w:color="auto"/>
        <w:bottom w:val="none" w:sz="0" w:space="0" w:color="auto"/>
        <w:right w:val="none" w:sz="0" w:space="0" w:color="auto"/>
      </w:divBdr>
      <w:divsChild>
        <w:div w:id="1617055658">
          <w:marLeft w:val="0"/>
          <w:marRight w:val="0"/>
          <w:marTop w:val="0"/>
          <w:marBottom w:val="0"/>
          <w:divBdr>
            <w:top w:val="none" w:sz="0" w:space="0" w:color="auto"/>
            <w:left w:val="none" w:sz="0" w:space="0" w:color="auto"/>
            <w:bottom w:val="none" w:sz="0" w:space="0" w:color="auto"/>
            <w:right w:val="none" w:sz="0" w:space="0" w:color="auto"/>
          </w:divBdr>
        </w:div>
        <w:div w:id="1294409403">
          <w:marLeft w:val="0"/>
          <w:marRight w:val="0"/>
          <w:marTop w:val="0"/>
          <w:marBottom w:val="0"/>
          <w:divBdr>
            <w:top w:val="none" w:sz="0" w:space="0" w:color="auto"/>
            <w:left w:val="none" w:sz="0" w:space="0" w:color="auto"/>
            <w:bottom w:val="none" w:sz="0" w:space="0" w:color="auto"/>
            <w:right w:val="none" w:sz="0" w:space="0" w:color="auto"/>
          </w:divBdr>
        </w:div>
        <w:div w:id="1977442852">
          <w:marLeft w:val="0"/>
          <w:marRight w:val="0"/>
          <w:marTop w:val="0"/>
          <w:marBottom w:val="0"/>
          <w:divBdr>
            <w:top w:val="none" w:sz="0" w:space="0" w:color="auto"/>
            <w:left w:val="none" w:sz="0" w:space="0" w:color="auto"/>
            <w:bottom w:val="none" w:sz="0" w:space="0" w:color="auto"/>
            <w:right w:val="none" w:sz="0" w:space="0" w:color="auto"/>
          </w:divBdr>
        </w:div>
        <w:div w:id="428357563">
          <w:marLeft w:val="0"/>
          <w:marRight w:val="0"/>
          <w:marTop w:val="0"/>
          <w:marBottom w:val="0"/>
          <w:divBdr>
            <w:top w:val="none" w:sz="0" w:space="0" w:color="auto"/>
            <w:left w:val="none" w:sz="0" w:space="0" w:color="auto"/>
            <w:bottom w:val="none" w:sz="0" w:space="0" w:color="auto"/>
            <w:right w:val="none" w:sz="0" w:space="0" w:color="auto"/>
          </w:divBdr>
        </w:div>
        <w:div w:id="288165120">
          <w:marLeft w:val="0"/>
          <w:marRight w:val="0"/>
          <w:marTop w:val="0"/>
          <w:marBottom w:val="0"/>
          <w:divBdr>
            <w:top w:val="none" w:sz="0" w:space="0" w:color="auto"/>
            <w:left w:val="none" w:sz="0" w:space="0" w:color="auto"/>
            <w:bottom w:val="none" w:sz="0" w:space="0" w:color="auto"/>
            <w:right w:val="none" w:sz="0" w:space="0" w:color="auto"/>
          </w:divBdr>
        </w:div>
        <w:div w:id="1181553938">
          <w:marLeft w:val="0"/>
          <w:marRight w:val="0"/>
          <w:marTop w:val="0"/>
          <w:marBottom w:val="0"/>
          <w:divBdr>
            <w:top w:val="none" w:sz="0" w:space="0" w:color="auto"/>
            <w:left w:val="none" w:sz="0" w:space="0" w:color="auto"/>
            <w:bottom w:val="none" w:sz="0" w:space="0" w:color="auto"/>
            <w:right w:val="none" w:sz="0" w:space="0" w:color="auto"/>
          </w:divBdr>
        </w:div>
        <w:div w:id="1653293483">
          <w:marLeft w:val="0"/>
          <w:marRight w:val="0"/>
          <w:marTop w:val="0"/>
          <w:marBottom w:val="0"/>
          <w:divBdr>
            <w:top w:val="none" w:sz="0" w:space="0" w:color="auto"/>
            <w:left w:val="none" w:sz="0" w:space="0" w:color="auto"/>
            <w:bottom w:val="none" w:sz="0" w:space="0" w:color="auto"/>
            <w:right w:val="none" w:sz="0" w:space="0" w:color="auto"/>
          </w:divBdr>
        </w:div>
        <w:div w:id="1516260667">
          <w:marLeft w:val="0"/>
          <w:marRight w:val="0"/>
          <w:marTop w:val="0"/>
          <w:marBottom w:val="0"/>
          <w:divBdr>
            <w:top w:val="none" w:sz="0" w:space="0" w:color="auto"/>
            <w:left w:val="none" w:sz="0" w:space="0" w:color="auto"/>
            <w:bottom w:val="none" w:sz="0" w:space="0" w:color="auto"/>
            <w:right w:val="none" w:sz="0" w:space="0" w:color="auto"/>
          </w:divBdr>
        </w:div>
        <w:div w:id="31003277">
          <w:marLeft w:val="0"/>
          <w:marRight w:val="0"/>
          <w:marTop w:val="0"/>
          <w:marBottom w:val="0"/>
          <w:divBdr>
            <w:top w:val="none" w:sz="0" w:space="0" w:color="auto"/>
            <w:left w:val="none" w:sz="0" w:space="0" w:color="auto"/>
            <w:bottom w:val="none" w:sz="0" w:space="0" w:color="auto"/>
            <w:right w:val="none" w:sz="0" w:space="0" w:color="auto"/>
          </w:divBdr>
        </w:div>
        <w:div w:id="1059787918">
          <w:marLeft w:val="0"/>
          <w:marRight w:val="0"/>
          <w:marTop w:val="0"/>
          <w:marBottom w:val="0"/>
          <w:divBdr>
            <w:top w:val="none" w:sz="0" w:space="0" w:color="auto"/>
            <w:left w:val="none" w:sz="0" w:space="0" w:color="auto"/>
            <w:bottom w:val="none" w:sz="0" w:space="0" w:color="auto"/>
            <w:right w:val="none" w:sz="0" w:space="0" w:color="auto"/>
          </w:divBdr>
        </w:div>
        <w:div w:id="570233895">
          <w:marLeft w:val="0"/>
          <w:marRight w:val="0"/>
          <w:marTop w:val="0"/>
          <w:marBottom w:val="0"/>
          <w:divBdr>
            <w:top w:val="none" w:sz="0" w:space="0" w:color="auto"/>
            <w:left w:val="none" w:sz="0" w:space="0" w:color="auto"/>
            <w:bottom w:val="none" w:sz="0" w:space="0" w:color="auto"/>
            <w:right w:val="none" w:sz="0" w:space="0" w:color="auto"/>
          </w:divBdr>
        </w:div>
        <w:div w:id="832337159">
          <w:marLeft w:val="0"/>
          <w:marRight w:val="0"/>
          <w:marTop w:val="0"/>
          <w:marBottom w:val="0"/>
          <w:divBdr>
            <w:top w:val="none" w:sz="0" w:space="0" w:color="auto"/>
            <w:left w:val="none" w:sz="0" w:space="0" w:color="auto"/>
            <w:bottom w:val="none" w:sz="0" w:space="0" w:color="auto"/>
            <w:right w:val="none" w:sz="0" w:space="0" w:color="auto"/>
          </w:divBdr>
        </w:div>
        <w:div w:id="696387596">
          <w:marLeft w:val="0"/>
          <w:marRight w:val="0"/>
          <w:marTop w:val="0"/>
          <w:marBottom w:val="0"/>
          <w:divBdr>
            <w:top w:val="none" w:sz="0" w:space="0" w:color="auto"/>
            <w:left w:val="none" w:sz="0" w:space="0" w:color="auto"/>
            <w:bottom w:val="none" w:sz="0" w:space="0" w:color="auto"/>
            <w:right w:val="none" w:sz="0" w:space="0" w:color="auto"/>
          </w:divBdr>
        </w:div>
        <w:div w:id="1191338310">
          <w:marLeft w:val="0"/>
          <w:marRight w:val="0"/>
          <w:marTop w:val="0"/>
          <w:marBottom w:val="0"/>
          <w:divBdr>
            <w:top w:val="none" w:sz="0" w:space="0" w:color="auto"/>
            <w:left w:val="none" w:sz="0" w:space="0" w:color="auto"/>
            <w:bottom w:val="none" w:sz="0" w:space="0" w:color="auto"/>
            <w:right w:val="none" w:sz="0" w:space="0" w:color="auto"/>
          </w:divBdr>
        </w:div>
      </w:divsChild>
    </w:div>
    <w:div w:id="2053533361">
      <w:bodyDiv w:val="1"/>
      <w:marLeft w:val="0"/>
      <w:marRight w:val="0"/>
      <w:marTop w:val="0"/>
      <w:marBottom w:val="0"/>
      <w:divBdr>
        <w:top w:val="none" w:sz="0" w:space="0" w:color="auto"/>
        <w:left w:val="none" w:sz="0" w:space="0" w:color="auto"/>
        <w:bottom w:val="none" w:sz="0" w:space="0" w:color="auto"/>
        <w:right w:val="none" w:sz="0" w:space="0" w:color="auto"/>
      </w:divBdr>
    </w:div>
    <w:div w:id="2112847191">
      <w:bodyDiv w:val="1"/>
      <w:marLeft w:val="0"/>
      <w:marRight w:val="0"/>
      <w:marTop w:val="0"/>
      <w:marBottom w:val="0"/>
      <w:divBdr>
        <w:top w:val="none" w:sz="0" w:space="0" w:color="auto"/>
        <w:left w:val="none" w:sz="0" w:space="0" w:color="auto"/>
        <w:bottom w:val="none" w:sz="0" w:space="0" w:color="auto"/>
        <w:right w:val="none" w:sz="0" w:space="0" w:color="auto"/>
      </w:divBdr>
      <w:divsChild>
        <w:div w:id="856850147">
          <w:marLeft w:val="0"/>
          <w:marRight w:val="0"/>
          <w:marTop w:val="0"/>
          <w:marBottom w:val="0"/>
          <w:divBdr>
            <w:top w:val="none" w:sz="0" w:space="0" w:color="auto"/>
            <w:left w:val="none" w:sz="0" w:space="0" w:color="auto"/>
            <w:bottom w:val="none" w:sz="0" w:space="0" w:color="auto"/>
            <w:right w:val="none" w:sz="0" w:space="0" w:color="auto"/>
          </w:divBdr>
        </w:div>
        <w:div w:id="1608925210">
          <w:marLeft w:val="0"/>
          <w:marRight w:val="0"/>
          <w:marTop w:val="0"/>
          <w:marBottom w:val="0"/>
          <w:divBdr>
            <w:top w:val="none" w:sz="0" w:space="0" w:color="auto"/>
            <w:left w:val="none" w:sz="0" w:space="0" w:color="auto"/>
            <w:bottom w:val="none" w:sz="0" w:space="0" w:color="auto"/>
            <w:right w:val="none" w:sz="0" w:space="0" w:color="auto"/>
          </w:divBdr>
        </w:div>
        <w:div w:id="495144672">
          <w:marLeft w:val="0"/>
          <w:marRight w:val="0"/>
          <w:marTop w:val="0"/>
          <w:marBottom w:val="0"/>
          <w:divBdr>
            <w:top w:val="none" w:sz="0" w:space="0" w:color="auto"/>
            <w:left w:val="none" w:sz="0" w:space="0" w:color="auto"/>
            <w:bottom w:val="none" w:sz="0" w:space="0" w:color="auto"/>
            <w:right w:val="none" w:sz="0" w:space="0" w:color="auto"/>
          </w:divBdr>
        </w:div>
        <w:div w:id="1977844">
          <w:marLeft w:val="0"/>
          <w:marRight w:val="0"/>
          <w:marTop w:val="0"/>
          <w:marBottom w:val="0"/>
          <w:divBdr>
            <w:top w:val="none" w:sz="0" w:space="0" w:color="auto"/>
            <w:left w:val="none" w:sz="0" w:space="0" w:color="auto"/>
            <w:bottom w:val="none" w:sz="0" w:space="0" w:color="auto"/>
            <w:right w:val="none" w:sz="0" w:space="0" w:color="auto"/>
          </w:divBdr>
        </w:div>
        <w:div w:id="1826430982">
          <w:marLeft w:val="0"/>
          <w:marRight w:val="0"/>
          <w:marTop w:val="0"/>
          <w:marBottom w:val="0"/>
          <w:divBdr>
            <w:top w:val="none" w:sz="0" w:space="0" w:color="auto"/>
            <w:left w:val="none" w:sz="0" w:space="0" w:color="auto"/>
            <w:bottom w:val="none" w:sz="0" w:space="0" w:color="auto"/>
            <w:right w:val="none" w:sz="0" w:space="0" w:color="auto"/>
          </w:divBdr>
        </w:div>
        <w:div w:id="1131630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who.int/fr/news-room/fact-sheets/detail/ebola-virus-diseas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F6501-8477-4564-A9A4-05726DC71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4952</Words>
  <Characters>27237</Characters>
  <Application>Microsoft Office Word</Application>
  <DocSecurity>0</DocSecurity>
  <Lines>226</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Christelle Sukadi</dc:creator>
  <cp:keywords/>
  <dc:description/>
  <cp:lastModifiedBy>Christelle</cp:lastModifiedBy>
  <cp:revision>2</cp:revision>
  <dcterms:created xsi:type="dcterms:W3CDTF">2021-02-03T21:40:00Z</dcterms:created>
  <dcterms:modified xsi:type="dcterms:W3CDTF">2021-02-03T21:40:00Z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id="VQ3VIZWk"/&gt;&lt;style id="http://www.zotero.org/styles/apa" locale="fr-FR" hasBibliography="1" bibliographyStyleHasBeenSet="1"/&gt;&lt;prefs&gt;&lt;pref name="fieldType" value="Field"/&gt;&lt;/prefs&gt;&lt;/data&gt;</vt:lpwstr>
  </property>
</Properties>
</file>