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D27C0C" w14:textId="77777777" w:rsidR="00AD05F6" w:rsidRPr="00AD05F6" w:rsidRDefault="00AD05F6" w:rsidP="00AD05F6">
      <w:pPr>
        <w:spacing w:before="100" w:beforeAutospacing="1" w:after="100" w:afterAutospacing="1" w:line="276" w:lineRule="auto"/>
        <w:jc w:val="center"/>
        <w:textAlignment w:val="baseline"/>
        <w:rPr>
          <w:rFonts w:ascii="Times New Roman" w:eastAsia="Times New Roman" w:hAnsi="Times New Roman" w:cs="Times New Roman"/>
          <w:b/>
          <w:sz w:val="24"/>
          <w:szCs w:val="24"/>
          <w:lang w:val="en-US"/>
        </w:rPr>
      </w:pPr>
      <w:r w:rsidRPr="00AD05F6">
        <w:rPr>
          <w:rFonts w:ascii="Times New Roman" w:eastAsia="Times New Roman" w:hAnsi="Times New Roman" w:cs="Times New Roman"/>
          <w:b/>
          <w:sz w:val="24"/>
          <w:szCs w:val="24"/>
          <w:lang w:val="en-US"/>
        </w:rPr>
        <w:t>EARLY FOURTEENTH-CENTURY CATALAN THEBES: EXCAVATING A BOTHROS BETWEEN THE ISMENION HILL AND THE ELEKTRA GATE</w:t>
      </w:r>
    </w:p>
    <w:p w14:paraId="0EEDD950" w14:textId="77777777" w:rsidR="00AD05F6" w:rsidRPr="00AD05F6" w:rsidRDefault="00AD05F6" w:rsidP="00AD05F6">
      <w:pPr>
        <w:spacing w:before="100" w:beforeAutospacing="1" w:after="100" w:afterAutospacing="1" w:line="276" w:lineRule="auto"/>
        <w:jc w:val="center"/>
        <w:textAlignment w:val="baseline"/>
        <w:rPr>
          <w:rFonts w:ascii="Times New Roman" w:eastAsia="Times New Roman" w:hAnsi="Times New Roman" w:cs="Times New Roman"/>
          <w:b/>
          <w:sz w:val="24"/>
          <w:szCs w:val="24"/>
          <w:lang w:val="en-US"/>
        </w:rPr>
      </w:pPr>
    </w:p>
    <w:p w14:paraId="55B69CC4" w14:textId="77777777" w:rsidR="00AD05F6" w:rsidRPr="00AD05F6" w:rsidRDefault="00AD05F6" w:rsidP="00AD05F6">
      <w:pPr>
        <w:spacing w:before="100" w:beforeAutospacing="1" w:after="100" w:afterAutospacing="1" w:line="276" w:lineRule="auto"/>
        <w:rPr>
          <w:rFonts w:ascii="Times New Roman" w:eastAsia="Times New Roman" w:hAnsi="Times New Roman" w:cs="Times New Roman"/>
          <w:sz w:val="24"/>
          <w:szCs w:val="24"/>
          <w:lang w:val="en-US"/>
        </w:rPr>
      </w:pPr>
      <w:r w:rsidRPr="00AD05F6">
        <w:rPr>
          <w:rFonts w:ascii="Times New Roman" w:eastAsia="Times New Roman" w:hAnsi="Times New Roman" w:cs="Times New Roman"/>
          <w:sz w:val="24"/>
          <w:szCs w:val="24"/>
          <w:lang w:val="en-US"/>
        </w:rPr>
        <w:t xml:space="preserve">The bothros presented here was revealed in early July 2011 in the low area to the northwest of the Ismenion hill, on a slight slope in what was then the eastern edge of the parking lot for the Thebes </w:t>
      </w:r>
      <w:r w:rsidRPr="00AD05F6">
        <w:rPr>
          <w:rFonts w:ascii="Times New Roman" w:eastAsia="Times New Roman" w:hAnsi="Times New Roman" w:cs="Times New Roman"/>
          <w:sz w:val="24"/>
          <w:szCs w:val="24"/>
          <w:lang w:val="el-GR"/>
        </w:rPr>
        <w:t>ΚΤΕΛ</w:t>
      </w:r>
      <w:r w:rsidRPr="00AD05F6">
        <w:rPr>
          <w:rFonts w:ascii="Times New Roman" w:eastAsia="Times New Roman" w:hAnsi="Times New Roman" w:cs="Times New Roman"/>
          <w:sz w:val="24"/>
          <w:szCs w:val="24"/>
          <w:lang w:val="en-US"/>
        </w:rPr>
        <w:t xml:space="preserve"> station just below the north-south road.  The pit was excavated under the auspices of the Thebes Synergasia Excavation Project, a Greek and American collaboration between the 9</w:t>
      </w:r>
      <w:r w:rsidRPr="00AD05F6">
        <w:rPr>
          <w:rFonts w:ascii="Times New Roman" w:eastAsia="Times New Roman" w:hAnsi="Times New Roman" w:cs="Times New Roman"/>
          <w:sz w:val="24"/>
          <w:szCs w:val="24"/>
          <w:vertAlign w:val="superscript"/>
          <w:lang w:val="en-US"/>
        </w:rPr>
        <w:t>th</w:t>
      </w:r>
      <w:r w:rsidRPr="00AD05F6">
        <w:rPr>
          <w:rFonts w:ascii="Times New Roman" w:eastAsia="Times New Roman" w:hAnsi="Times New Roman" w:cs="Times New Roman"/>
          <w:sz w:val="24"/>
          <w:szCs w:val="24"/>
          <w:lang w:val="en-US"/>
        </w:rPr>
        <w:t xml:space="preserve"> Ephorate of Prehistoric and Classical Antiquity, the 23</w:t>
      </w:r>
      <w:r w:rsidRPr="00AD05F6">
        <w:rPr>
          <w:rFonts w:ascii="Times New Roman" w:eastAsia="Times New Roman" w:hAnsi="Times New Roman" w:cs="Times New Roman"/>
          <w:sz w:val="24"/>
          <w:szCs w:val="24"/>
          <w:vertAlign w:val="superscript"/>
          <w:lang w:val="en-US"/>
        </w:rPr>
        <w:t>rd</w:t>
      </w:r>
      <w:r w:rsidRPr="00AD05F6">
        <w:rPr>
          <w:rFonts w:ascii="Times New Roman" w:eastAsia="Times New Roman" w:hAnsi="Times New Roman" w:cs="Times New Roman"/>
          <w:sz w:val="24"/>
          <w:szCs w:val="24"/>
          <w:lang w:val="en-US"/>
        </w:rPr>
        <w:t xml:space="preserve"> Ephorate of Byzantine Antiquity, and Professors Kevin Daly and Stephanie Larson of Bucknell University. This bothros is comparable to a number of the other pits from the top of the Ismenion hill itself, and since 2011 the synergasia has explored over ten such features in the area, but we present this bothros alone for two reasons: first, it is the only such feature from the parking lot so far discovered, </w:t>
      </w:r>
      <w:r w:rsidRPr="00AD05F6">
        <w:rPr>
          <w:rFonts w:ascii="Times New Roman" w:eastAsia="Cambria" w:hAnsi="Times New Roman" w:cs="Times New Roman"/>
          <w:sz w:val="24"/>
          <w:szCs w:val="24"/>
          <w:lang w:val="en-US"/>
        </w:rPr>
        <w:t xml:space="preserve">an area that comprised a neighborhood surrounded by houses and workshops during the late Byzantine, Frankish, and Catalan periods.  Second, the bothros’ contents speak to domestic waste coming from houses in the vicinity, and </w:t>
      </w:r>
      <w:r w:rsidRPr="00AD05F6">
        <w:rPr>
          <w:rFonts w:ascii="Times New Roman" w:eastAsia="Times New Roman" w:hAnsi="Times New Roman" w:cs="Times New Roman"/>
          <w:sz w:val="24"/>
          <w:szCs w:val="24"/>
          <w:lang w:val="en-US"/>
        </w:rPr>
        <w:t xml:space="preserve">its bottom layers offer a particularly clear deposit from </w:t>
      </w:r>
      <w:r w:rsidRPr="00AD05F6">
        <w:rPr>
          <w:rFonts w:ascii="Times New Roman" w:eastAsia="Cambria" w:hAnsi="Times New Roman" w:cs="Times New Roman"/>
          <w:sz w:val="24"/>
          <w:szCs w:val="24"/>
          <w:lang w:val="en-US"/>
        </w:rPr>
        <w:t xml:space="preserve">the late thirteenth to mid-fourteenth century. </w:t>
      </w:r>
      <w:r w:rsidRPr="00AD05F6">
        <w:rPr>
          <w:rFonts w:ascii="Times New Roman" w:eastAsia="Times New Roman" w:hAnsi="Times New Roman" w:cs="Times New Roman"/>
          <w:sz w:val="24"/>
          <w:szCs w:val="24"/>
          <w:lang w:val="en-US"/>
        </w:rPr>
        <w:t xml:space="preserve">The Ismenion bothros thus </w:t>
      </w:r>
      <w:r w:rsidRPr="00AD05F6">
        <w:rPr>
          <w:rFonts w:ascii="Times New Roman" w:eastAsia="Cambria" w:hAnsi="Times New Roman" w:cs="Times New Roman"/>
          <w:sz w:val="24"/>
          <w:szCs w:val="24"/>
          <w:lang w:val="en-US"/>
        </w:rPr>
        <w:t xml:space="preserve">illuminates patterns of spatial organization, domestic life, and waste management for </w:t>
      </w:r>
      <w:r w:rsidRPr="00AD05F6">
        <w:rPr>
          <w:rFonts w:ascii="Times New Roman" w:eastAsia="Times New Roman" w:hAnsi="Times New Roman" w:cs="Times New Roman"/>
          <w:sz w:val="24"/>
          <w:szCs w:val="24"/>
          <w:lang w:val="en-US"/>
        </w:rPr>
        <w:t xml:space="preserve">a relatively narrow period in the history of </w:t>
      </w:r>
      <w:r w:rsidRPr="00AD05F6">
        <w:rPr>
          <w:rFonts w:ascii="Times New Roman" w:eastAsia="Cambria" w:hAnsi="Times New Roman" w:cs="Times New Roman"/>
          <w:sz w:val="24"/>
          <w:szCs w:val="24"/>
          <w:lang w:val="en-US"/>
        </w:rPr>
        <w:t>late Byzantine Thebes</w:t>
      </w:r>
      <w:r w:rsidRPr="00AD05F6">
        <w:rPr>
          <w:rFonts w:ascii="Times New Roman" w:eastAsia="Times New Roman" w:hAnsi="Times New Roman" w:cs="Times New Roman"/>
          <w:sz w:val="24"/>
          <w:szCs w:val="24"/>
          <w:lang w:val="en-US"/>
        </w:rPr>
        <w:t>.</w:t>
      </w:r>
      <w:r w:rsidRPr="00AD05F6">
        <w:rPr>
          <w:rFonts w:ascii="Times New Roman" w:eastAsia="Times New Roman" w:hAnsi="Times New Roman" w:cs="Times New Roman"/>
          <w:sz w:val="24"/>
          <w:szCs w:val="24"/>
          <w:vertAlign w:val="superscript"/>
          <w:lang w:val="en-US"/>
        </w:rPr>
        <w:footnoteReference w:id="1"/>
      </w:r>
    </w:p>
    <w:p w14:paraId="1662A80F" w14:textId="77777777" w:rsidR="00D56A21" w:rsidRPr="00AD05F6" w:rsidRDefault="00D56A21">
      <w:pPr>
        <w:rPr>
          <w:lang w:val="en-US"/>
        </w:rPr>
      </w:pPr>
    </w:p>
    <w:sectPr w:rsidR="00D56A21" w:rsidRPr="00AD05F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CE5BAA" w14:textId="77777777" w:rsidR="009E54FB" w:rsidRDefault="009E54FB" w:rsidP="00AD05F6">
      <w:pPr>
        <w:spacing w:after="0" w:line="240" w:lineRule="auto"/>
      </w:pPr>
      <w:r>
        <w:separator/>
      </w:r>
    </w:p>
  </w:endnote>
  <w:endnote w:type="continuationSeparator" w:id="0">
    <w:p w14:paraId="14A50FA1" w14:textId="77777777" w:rsidR="009E54FB" w:rsidRDefault="009E54FB" w:rsidP="00AD0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AC7A5F" w14:textId="77777777" w:rsidR="009E54FB" w:rsidRDefault="009E54FB" w:rsidP="00AD05F6">
      <w:pPr>
        <w:spacing w:after="0" w:line="240" w:lineRule="auto"/>
      </w:pPr>
      <w:r>
        <w:separator/>
      </w:r>
    </w:p>
  </w:footnote>
  <w:footnote w:type="continuationSeparator" w:id="0">
    <w:p w14:paraId="750F123A" w14:textId="77777777" w:rsidR="009E54FB" w:rsidRDefault="009E54FB" w:rsidP="00AD05F6">
      <w:pPr>
        <w:spacing w:after="0" w:line="240" w:lineRule="auto"/>
      </w:pPr>
      <w:r>
        <w:continuationSeparator/>
      </w:r>
    </w:p>
  </w:footnote>
  <w:footnote w:id="1">
    <w:p w14:paraId="59A8E8B6" w14:textId="77777777" w:rsidR="00AD05F6" w:rsidRPr="00CF6E35" w:rsidRDefault="00AD05F6" w:rsidP="00AD05F6">
      <w:pPr>
        <w:pStyle w:val="Notedebasdepage"/>
        <w:rPr>
          <w:rFonts w:ascii="Times New Roman" w:hAnsi="Times New Roman" w:cs="Times New Roman"/>
        </w:rPr>
      </w:pPr>
      <w:r>
        <w:rPr>
          <w:rStyle w:val="Appelnotedebasdep"/>
        </w:rPr>
        <w:footnoteRef/>
      </w:r>
      <w:r>
        <w:t xml:space="preserve"> </w:t>
      </w:r>
      <w:r>
        <w:rPr>
          <w:rFonts w:ascii="Times New Roman" w:hAnsi="Times New Roman" w:cs="Times New Roman"/>
        </w:rPr>
        <w:t>Notes of thanks here.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6A21"/>
    <w:rsid w:val="009E54FB"/>
    <w:rsid w:val="00AD05F6"/>
    <w:rsid w:val="00D56A2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0B0059-FE0B-4830-8AEA-08BD3233D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AD05F6"/>
    <w:pPr>
      <w:spacing w:after="0" w:line="240" w:lineRule="auto"/>
    </w:pPr>
    <w:rPr>
      <w:sz w:val="20"/>
      <w:szCs w:val="20"/>
      <w:lang w:val="en-US"/>
    </w:rPr>
  </w:style>
  <w:style w:type="character" w:customStyle="1" w:styleId="NotedebasdepageCar">
    <w:name w:val="Note de bas de page Car"/>
    <w:basedOn w:val="Policepardfaut"/>
    <w:link w:val="Notedebasdepage"/>
    <w:uiPriority w:val="99"/>
    <w:rsid w:val="00AD05F6"/>
    <w:rPr>
      <w:sz w:val="20"/>
      <w:szCs w:val="20"/>
      <w:lang w:val="en-US"/>
    </w:rPr>
  </w:style>
  <w:style w:type="character" w:styleId="Appelnotedebasdep">
    <w:name w:val="footnote reference"/>
    <w:basedOn w:val="Policepardfaut"/>
    <w:uiPriority w:val="99"/>
    <w:unhideWhenUsed/>
    <w:rsid w:val="00AD05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1247</Characters>
  <Application>Microsoft Office Word</Application>
  <DocSecurity>0</DocSecurity>
  <Lines>10</Lines>
  <Paragraphs>2</Paragraphs>
  <ScaleCrop>false</ScaleCrop>
  <Company/>
  <LinksUpToDate>false</LinksUpToDate>
  <CharactersWithSpaces>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liard</dc:creator>
  <cp:keywords/>
  <dc:description/>
  <cp:lastModifiedBy>florence liard</cp:lastModifiedBy>
  <cp:revision>2</cp:revision>
  <dcterms:created xsi:type="dcterms:W3CDTF">2020-11-28T20:10:00Z</dcterms:created>
  <dcterms:modified xsi:type="dcterms:W3CDTF">2020-11-28T20:10:00Z</dcterms:modified>
</cp:coreProperties>
</file>