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0905" w:rsidRPr="005E0905" w:rsidRDefault="005E0905" w:rsidP="005E0905">
      <w:pPr>
        <w:ind w:firstLine="0"/>
        <w:jc w:val="left"/>
        <w:rPr>
          <w:rFonts w:ascii="EB Garamond" w:hAnsi="EB Garamond" w:cs="EB Garamond"/>
          <w:b/>
          <w:i/>
        </w:rPr>
      </w:pPr>
      <w:r w:rsidRPr="005E0905">
        <w:rPr>
          <w:rFonts w:ascii="EB Garamond" w:hAnsi="EB Garamond" w:cs="EB Garamond"/>
          <w:b/>
        </w:rPr>
        <w:t xml:space="preserve">Portraits of </w:t>
      </w:r>
      <w:proofErr w:type="gramStart"/>
      <w:r w:rsidRPr="005E0905">
        <w:rPr>
          <w:rFonts w:ascii="EB Garamond" w:hAnsi="EB Garamond" w:cs="EB Garamond"/>
          <w:b/>
        </w:rPr>
        <w:t>Rulers :</w:t>
      </w:r>
      <w:proofErr w:type="gramEnd"/>
      <w:r w:rsidRPr="005E0905">
        <w:rPr>
          <w:rFonts w:ascii="EB Garamond" w:hAnsi="EB Garamond" w:cs="EB Garamond"/>
          <w:b/>
        </w:rPr>
        <w:t xml:space="preserve"> The Prince’s and Citizen’s residence in Platina’s </w:t>
      </w:r>
      <w:r w:rsidRPr="005E0905">
        <w:rPr>
          <w:rFonts w:ascii="EB Garamond" w:hAnsi="EB Garamond" w:cs="EB Garamond"/>
          <w:b/>
          <w:i/>
        </w:rPr>
        <w:t xml:space="preserve">de </w:t>
      </w:r>
      <w:proofErr w:type="spellStart"/>
      <w:r w:rsidRPr="005E0905">
        <w:rPr>
          <w:rFonts w:ascii="EB Garamond" w:hAnsi="EB Garamond" w:cs="EB Garamond"/>
          <w:b/>
          <w:i/>
        </w:rPr>
        <w:t>principe</w:t>
      </w:r>
      <w:proofErr w:type="spellEnd"/>
      <w:r w:rsidRPr="005E0905">
        <w:rPr>
          <w:rFonts w:ascii="EB Garamond" w:hAnsi="EB Garamond" w:cs="EB Garamond"/>
          <w:b/>
          <w:i/>
        </w:rPr>
        <w:t xml:space="preserve"> </w:t>
      </w:r>
      <w:r w:rsidRPr="005E0905">
        <w:rPr>
          <w:rFonts w:ascii="EB Garamond" w:hAnsi="EB Garamond" w:cs="EB Garamond"/>
          <w:b/>
        </w:rPr>
        <w:t>(1471) and</w:t>
      </w:r>
      <w:r w:rsidRPr="005E0905">
        <w:rPr>
          <w:rFonts w:ascii="EB Garamond" w:hAnsi="EB Garamond" w:cs="EB Garamond"/>
          <w:b/>
          <w:i/>
        </w:rPr>
        <w:t xml:space="preserve"> de </w:t>
      </w:r>
      <w:proofErr w:type="spellStart"/>
      <w:r w:rsidRPr="005E0905">
        <w:rPr>
          <w:rFonts w:ascii="EB Garamond" w:hAnsi="EB Garamond" w:cs="EB Garamond"/>
          <w:b/>
          <w:i/>
        </w:rPr>
        <w:t>optimo</w:t>
      </w:r>
      <w:proofErr w:type="spellEnd"/>
      <w:r w:rsidRPr="005E0905">
        <w:rPr>
          <w:rFonts w:ascii="EB Garamond" w:hAnsi="EB Garamond" w:cs="EB Garamond"/>
          <w:b/>
          <w:i/>
        </w:rPr>
        <w:t xml:space="preserve"> </w:t>
      </w:r>
      <w:proofErr w:type="spellStart"/>
      <w:r w:rsidRPr="005E0905">
        <w:rPr>
          <w:rFonts w:ascii="EB Garamond" w:hAnsi="EB Garamond" w:cs="EB Garamond"/>
          <w:b/>
          <w:i/>
        </w:rPr>
        <w:t>cive</w:t>
      </w:r>
      <w:proofErr w:type="spellEnd"/>
      <w:r w:rsidRPr="005E0905">
        <w:rPr>
          <w:rFonts w:ascii="EB Garamond" w:hAnsi="EB Garamond" w:cs="EB Garamond"/>
          <w:b/>
          <w:i/>
        </w:rPr>
        <w:t xml:space="preserve"> </w:t>
      </w:r>
      <w:r w:rsidRPr="005E0905">
        <w:rPr>
          <w:rFonts w:ascii="EB Garamond" w:hAnsi="EB Garamond" w:cs="EB Garamond"/>
          <w:b/>
        </w:rPr>
        <w:t>(1474)</w:t>
      </w:r>
      <w:r w:rsidRPr="005E0905">
        <w:rPr>
          <w:rFonts w:ascii="EB Garamond" w:hAnsi="EB Garamond" w:cs="EB Garamond"/>
          <w:b/>
          <w:i/>
        </w:rPr>
        <w:t>.</w:t>
      </w:r>
    </w:p>
    <w:p w:rsidR="005E0905" w:rsidRDefault="005E0905" w:rsidP="005E0905">
      <w:pPr>
        <w:ind w:firstLine="0"/>
        <w:rPr>
          <w:rFonts w:ascii="EB Garamond" w:hAnsi="EB Garamond" w:cs="EB Garamond"/>
        </w:rPr>
      </w:pPr>
      <w:r w:rsidRPr="005E0905">
        <w:rPr>
          <w:rFonts w:ascii="EB Garamond" w:hAnsi="EB Garamond" w:cs="EB Garamond"/>
        </w:rPr>
        <w:t>D</w:t>
      </w:r>
      <w:r>
        <w:rPr>
          <w:rFonts w:ascii="EB Garamond" w:hAnsi="EB Garamond" w:cs="EB Garamond"/>
        </w:rPr>
        <w:t>uring the 1470s</w:t>
      </w:r>
      <w:r w:rsidRPr="005E0905">
        <w:rPr>
          <w:rFonts w:ascii="EB Garamond" w:hAnsi="EB Garamond" w:cs="EB Garamond"/>
        </w:rPr>
        <w:t xml:space="preserve">, Bartolomeo </w:t>
      </w:r>
      <w:proofErr w:type="spellStart"/>
      <w:r w:rsidRPr="005E0905">
        <w:rPr>
          <w:rFonts w:ascii="EB Garamond" w:hAnsi="EB Garamond" w:cs="EB Garamond"/>
        </w:rPr>
        <w:t>Sacchi</w:t>
      </w:r>
      <w:proofErr w:type="spellEnd"/>
      <w:r w:rsidRPr="005E0905">
        <w:rPr>
          <w:rFonts w:ascii="EB Garamond" w:hAnsi="EB Garamond" w:cs="EB Garamond"/>
        </w:rPr>
        <w:t xml:space="preserve">, better known as Platina, wrote two political advice books, each containing a description on the kind of residence a prince and a citizen should inhabit. Platina understood the residence of a ruler as a kind of portrait, one that should embody his socio-political </w:t>
      </w:r>
      <w:r>
        <w:rPr>
          <w:rFonts w:ascii="EB Garamond" w:hAnsi="EB Garamond" w:cs="EB Garamond"/>
        </w:rPr>
        <w:t>position with</w:t>
      </w:r>
      <w:r w:rsidRPr="005E0905">
        <w:rPr>
          <w:rFonts w:ascii="EB Garamond" w:hAnsi="EB Garamond" w:cs="EB Garamond"/>
        </w:rPr>
        <w:t xml:space="preserve">in the </w:t>
      </w:r>
      <w:r w:rsidRPr="005E0905">
        <w:rPr>
          <w:rFonts w:ascii="EB Garamond" w:hAnsi="EB Garamond" w:cs="EB Garamond"/>
          <w:i/>
        </w:rPr>
        <w:t>civitas</w:t>
      </w:r>
      <w:r w:rsidRPr="005E0905">
        <w:rPr>
          <w:rFonts w:ascii="EB Garamond" w:hAnsi="EB Garamond" w:cs="EB Garamond"/>
        </w:rPr>
        <w:t xml:space="preserve">, </w:t>
      </w:r>
      <w:r>
        <w:rPr>
          <w:rFonts w:ascii="EB Garamond" w:hAnsi="EB Garamond" w:cs="EB Garamond"/>
        </w:rPr>
        <w:t>and</w:t>
      </w:r>
      <w:r w:rsidRPr="005E0905">
        <w:rPr>
          <w:rFonts w:ascii="EB Garamond" w:hAnsi="EB Garamond" w:cs="EB Garamond"/>
        </w:rPr>
        <w:t xml:space="preserve"> that should correctly contribute to the </w:t>
      </w:r>
      <w:r>
        <w:rPr>
          <w:rFonts w:ascii="EB Garamond" w:hAnsi="EB Garamond" w:cs="EB Garamond"/>
        </w:rPr>
        <w:t>establishment</w:t>
      </w:r>
      <w:r w:rsidRPr="005E0905">
        <w:rPr>
          <w:rFonts w:ascii="EB Garamond" w:hAnsi="EB Garamond" w:cs="EB Garamond"/>
        </w:rPr>
        <w:t xml:space="preserve"> of his </w:t>
      </w:r>
      <w:r>
        <w:rPr>
          <w:rFonts w:ascii="EB Garamond" w:hAnsi="EB Garamond" w:cs="EB Garamond"/>
        </w:rPr>
        <w:t xml:space="preserve">manly and </w:t>
      </w:r>
      <w:r w:rsidR="00BA5EB6">
        <w:rPr>
          <w:rFonts w:ascii="EB Garamond" w:hAnsi="EB Garamond" w:cs="EB Garamond"/>
        </w:rPr>
        <w:t>virile</w:t>
      </w:r>
      <w:r>
        <w:rPr>
          <w:rFonts w:ascii="EB Garamond" w:hAnsi="EB Garamond" w:cs="EB Garamond"/>
        </w:rPr>
        <w:t xml:space="preserve"> </w:t>
      </w:r>
      <w:r w:rsidRPr="005E0905">
        <w:rPr>
          <w:rFonts w:ascii="EB Garamond" w:hAnsi="EB Garamond" w:cs="EB Garamond"/>
        </w:rPr>
        <w:t xml:space="preserve">character. This idea of the building as a signifier has direct implications </w:t>
      </w:r>
      <w:r w:rsidR="00BA5EB6">
        <w:rPr>
          <w:rFonts w:ascii="EB Garamond" w:hAnsi="EB Garamond" w:cs="EB Garamond"/>
        </w:rPr>
        <w:t>for</w:t>
      </w:r>
      <w:r w:rsidRPr="005E0905">
        <w:rPr>
          <w:rFonts w:ascii="EB Garamond" w:hAnsi="EB Garamond" w:cs="EB Garamond"/>
        </w:rPr>
        <w:t xml:space="preserve"> </w:t>
      </w:r>
      <w:r>
        <w:rPr>
          <w:rFonts w:ascii="EB Garamond" w:hAnsi="EB Garamond" w:cs="EB Garamond"/>
        </w:rPr>
        <w:t xml:space="preserve">its design, including its location in the city, its size, and its adornments. </w:t>
      </w:r>
      <w:r w:rsidRPr="005E0905">
        <w:rPr>
          <w:rFonts w:ascii="EB Garamond" w:hAnsi="EB Garamond" w:cs="EB Garamond"/>
        </w:rPr>
        <w:t xml:space="preserve">This paper </w:t>
      </w:r>
      <w:r>
        <w:rPr>
          <w:rFonts w:ascii="EB Garamond" w:hAnsi="EB Garamond" w:cs="EB Garamond"/>
        </w:rPr>
        <w:t xml:space="preserve">discusses </w:t>
      </w:r>
      <w:r w:rsidR="00DC0BB8">
        <w:rPr>
          <w:rFonts w:ascii="EB Garamond" w:hAnsi="EB Garamond" w:cs="EB Garamond"/>
        </w:rPr>
        <w:t xml:space="preserve">the architectural design theories presented in each work in comparison with one another, problematizing the fact that Platina found it appropriate to model his prescriptions for the residence of the ideal citizen on the one of the </w:t>
      </w:r>
      <w:proofErr w:type="gramStart"/>
      <w:r w:rsidR="00DC0BB8">
        <w:rPr>
          <w:rFonts w:ascii="EB Garamond" w:hAnsi="EB Garamond" w:cs="EB Garamond"/>
        </w:rPr>
        <w:t>prince</w:t>
      </w:r>
      <w:proofErr w:type="gramEnd"/>
      <w:r w:rsidR="00DC0BB8">
        <w:rPr>
          <w:rFonts w:ascii="EB Garamond" w:hAnsi="EB Garamond" w:cs="EB Garamond"/>
        </w:rPr>
        <w:t xml:space="preserve"> (</w:t>
      </w:r>
      <w:r w:rsidR="00DC0BB8" w:rsidRPr="00DC0BB8">
        <w:rPr>
          <w:rFonts w:ascii="EB Garamond" w:hAnsi="EB Garamond" w:cs="EB Garamond"/>
          <w:i/>
        </w:rPr>
        <w:t xml:space="preserve">de </w:t>
      </w:r>
      <w:proofErr w:type="spellStart"/>
      <w:r w:rsidR="00DC0BB8" w:rsidRPr="00DC0BB8">
        <w:rPr>
          <w:rFonts w:ascii="EB Garamond" w:hAnsi="EB Garamond" w:cs="EB Garamond"/>
          <w:i/>
        </w:rPr>
        <w:t>optimo</w:t>
      </w:r>
      <w:proofErr w:type="spellEnd"/>
      <w:r w:rsidR="00DC0BB8" w:rsidRPr="00DC0BB8">
        <w:rPr>
          <w:rFonts w:ascii="EB Garamond" w:hAnsi="EB Garamond" w:cs="EB Garamond"/>
          <w:i/>
        </w:rPr>
        <w:t xml:space="preserve"> </w:t>
      </w:r>
      <w:proofErr w:type="spellStart"/>
      <w:r w:rsidR="00DC0BB8" w:rsidRPr="00DC0BB8">
        <w:rPr>
          <w:rFonts w:ascii="EB Garamond" w:hAnsi="EB Garamond" w:cs="EB Garamond"/>
          <w:i/>
        </w:rPr>
        <w:t>cive</w:t>
      </w:r>
      <w:proofErr w:type="spellEnd"/>
      <w:r w:rsidR="00DC0BB8">
        <w:rPr>
          <w:rFonts w:ascii="EB Garamond" w:hAnsi="EB Garamond" w:cs="EB Garamond"/>
        </w:rPr>
        <w:t xml:space="preserve"> being largely modelled upon </w:t>
      </w:r>
      <w:r w:rsidR="00DC0BB8" w:rsidRPr="00DC0BB8">
        <w:rPr>
          <w:rFonts w:ascii="EB Garamond" w:hAnsi="EB Garamond" w:cs="EB Garamond"/>
          <w:i/>
        </w:rPr>
        <w:t xml:space="preserve">de </w:t>
      </w:r>
      <w:proofErr w:type="spellStart"/>
      <w:r w:rsidR="00DC0BB8" w:rsidRPr="00DC0BB8">
        <w:rPr>
          <w:rFonts w:ascii="EB Garamond" w:hAnsi="EB Garamond" w:cs="EB Garamond"/>
          <w:i/>
        </w:rPr>
        <w:t>principe</w:t>
      </w:r>
      <w:proofErr w:type="spellEnd"/>
      <w:r w:rsidR="00DC0BB8">
        <w:rPr>
          <w:rFonts w:ascii="EB Garamond" w:hAnsi="EB Garamond" w:cs="EB Garamond"/>
        </w:rPr>
        <w:t xml:space="preserve">). It argues that the inherent nature of the prince and citizen as rulers not only justifies Platina’s working procedure, but also his tendency to largely maintain what he had written for the prince in </w:t>
      </w:r>
      <w:r w:rsidR="00DC0BB8">
        <w:rPr>
          <w:rFonts w:ascii="EB Garamond" w:hAnsi="EB Garamond" w:cs="EB Garamond"/>
          <w:i/>
        </w:rPr>
        <w:t xml:space="preserve">de </w:t>
      </w:r>
      <w:proofErr w:type="spellStart"/>
      <w:r w:rsidR="00DC0BB8">
        <w:rPr>
          <w:rFonts w:ascii="EB Garamond" w:hAnsi="EB Garamond" w:cs="EB Garamond"/>
          <w:i/>
        </w:rPr>
        <w:t>optimo</w:t>
      </w:r>
      <w:proofErr w:type="spellEnd"/>
      <w:r w:rsidR="00DC0BB8">
        <w:rPr>
          <w:rFonts w:ascii="EB Garamond" w:hAnsi="EB Garamond" w:cs="EB Garamond"/>
          <w:i/>
        </w:rPr>
        <w:t xml:space="preserve"> </w:t>
      </w:r>
      <w:proofErr w:type="spellStart"/>
      <w:r w:rsidR="00DC0BB8">
        <w:rPr>
          <w:rFonts w:ascii="EB Garamond" w:hAnsi="EB Garamond" w:cs="EB Garamond"/>
          <w:i/>
        </w:rPr>
        <w:t>cive</w:t>
      </w:r>
      <w:proofErr w:type="spellEnd"/>
      <w:r w:rsidR="00DC0BB8">
        <w:rPr>
          <w:rFonts w:ascii="EB Garamond" w:hAnsi="EB Garamond" w:cs="EB Garamond"/>
        </w:rPr>
        <w:t>. It equally argues that the modifications made might be understood as a way of steering interpretation. For, while the building might be</w:t>
      </w:r>
      <w:r w:rsidR="00BA5EB6">
        <w:rPr>
          <w:rFonts w:ascii="EB Garamond" w:hAnsi="EB Garamond" w:cs="EB Garamond"/>
        </w:rPr>
        <w:t xml:space="preserve"> considered as</w:t>
      </w:r>
      <w:r w:rsidR="00DC0BB8">
        <w:rPr>
          <w:rFonts w:ascii="EB Garamond" w:hAnsi="EB Garamond" w:cs="EB Garamond"/>
        </w:rPr>
        <w:t xml:space="preserve"> a signifier, what i</w:t>
      </w:r>
      <w:r w:rsidR="00BA5EB6">
        <w:rPr>
          <w:rFonts w:ascii="EB Garamond" w:hAnsi="EB Garamond" w:cs="EB Garamond"/>
        </w:rPr>
        <w:t>t</w:t>
      </w:r>
      <w:r w:rsidR="00DC0BB8">
        <w:rPr>
          <w:rFonts w:ascii="EB Garamond" w:hAnsi="EB Garamond" w:cs="EB Garamond"/>
        </w:rPr>
        <w:t xml:space="preserve"> signifies for the beholder, is open for </w:t>
      </w:r>
      <w:r w:rsidR="00BA5EB6">
        <w:rPr>
          <w:rFonts w:ascii="EB Garamond" w:hAnsi="EB Garamond" w:cs="EB Garamond"/>
        </w:rPr>
        <w:t>contestation.</w:t>
      </w:r>
    </w:p>
    <w:p w:rsidR="00DC0BB8" w:rsidRDefault="00DC0BB8" w:rsidP="005E0905">
      <w:pPr>
        <w:ind w:firstLine="0"/>
        <w:rPr>
          <w:rFonts w:ascii="EB Garamond" w:hAnsi="EB Garamond" w:cs="EB Garamond"/>
        </w:rPr>
      </w:pPr>
    </w:p>
    <w:p w:rsidR="005E0905" w:rsidRPr="00F418BE" w:rsidRDefault="00DC0BB8" w:rsidP="00F418BE">
      <w:pPr>
        <w:ind w:firstLine="0"/>
        <w:rPr>
          <w:rFonts w:ascii="EB Garamond" w:hAnsi="EB Garamond" w:cs="EB Garamond"/>
        </w:rPr>
      </w:pPr>
      <w:r>
        <w:rPr>
          <w:rFonts w:ascii="EB Garamond" w:hAnsi="EB Garamond" w:cs="EB Garamond"/>
          <w:b/>
        </w:rPr>
        <w:t xml:space="preserve">Nele De Raedt </w:t>
      </w:r>
      <w:r>
        <w:rPr>
          <w:rFonts w:ascii="EB Garamond" w:hAnsi="EB Garamond" w:cs="EB Garamond"/>
        </w:rPr>
        <w:t xml:space="preserve">is Assistant Professor in History, Theory and Criticism of Architecture at the Faculty of Architecture, Architectural Engineering and Urbanism at </w:t>
      </w:r>
      <w:proofErr w:type="spellStart"/>
      <w:r>
        <w:rPr>
          <w:rFonts w:ascii="EB Garamond" w:hAnsi="EB Garamond" w:cs="EB Garamond"/>
        </w:rPr>
        <w:t>UCLouvain</w:t>
      </w:r>
      <w:proofErr w:type="spellEnd"/>
      <w:r>
        <w:rPr>
          <w:rFonts w:ascii="EB Garamond" w:hAnsi="EB Garamond" w:cs="EB Garamond"/>
        </w:rPr>
        <w:t xml:space="preserve">, Belgium. Her works concentrates on late-medieval and early modern discourses that </w:t>
      </w:r>
      <w:r w:rsidR="00BA5EB6">
        <w:rPr>
          <w:rFonts w:ascii="EB Garamond" w:hAnsi="EB Garamond" w:cs="EB Garamond"/>
        </w:rPr>
        <w:t>treat</w:t>
      </w:r>
      <w:r>
        <w:rPr>
          <w:rFonts w:ascii="EB Garamond" w:hAnsi="EB Garamond" w:cs="EB Garamond"/>
        </w:rPr>
        <w:t xml:space="preserve"> architectural patronage and design in relation to ethical and political questions. </w:t>
      </w:r>
      <w:r w:rsidR="00BA5EB6">
        <w:rPr>
          <w:rFonts w:ascii="EB Garamond" w:hAnsi="EB Garamond" w:cs="EB Garamond"/>
        </w:rPr>
        <w:t xml:space="preserve">She is particularly interested in the way architecture is conceived to contribute to authority and prestige, but also to the common good and social harmony. She recently received funding for a project that will study how political advice books, addressed to urban magistrates in late-medieval cities (1200-1600), created their own forms of architectural theory. </w:t>
      </w:r>
      <w:r>
        <w:rPr>
          <w:rFonts w:ascii="EB Garamond" w:hAnsi="EB Garamond" w:cs="EB Garamond"/>
        </w:rPr>
        <w:t xml:space="preserve">Recent articles include her work on Paolo </w:t>
      </w:r>
      <w:proofErr w:type="spellStart"/>
      <w:r>
        <w:rPr>
          <w:rFonts w:ascii="EB Garamond" w:hAnsi="EB Garamond" w:cs="EB Garamond"/>
        </w:rPr>
        <w:t>Cortesi’s</w:t>
      </w:r>
      <w:proofErr w:type="spellEnd"/>
      <w:r>
        <w:rPr>
          <w:rFonts w:ascii="EB Garamond" w:hAnsi="EB Garamond" w:cs="EB Garamond"/>
        </w:rPr>
        <w:t xml:space="preserve"> discussion of magnificence </w:t>
      </w:r>
      <w:r w:rsidR="00BA5EB6">
        <w:rPr>
          <w:rFonts w:ascii="EB Garamond" w:hAnsi="EB Garamond" w:cs="EB Garamond"/>
        </w:rPr>
        <w:t xml:space="preserve">in </w:t>
      </w:r>
      <w:r w:rsidR="00BA5EB6">
        <w:rPr>
          <w:rFonts w:ascii="EB Garamond" w:hAnsi="EB Garamond" w:cs="EB Garamond"/>
          <w:i/>
        </w:rPr>
        <w:t xml:space="preserve">de </w:t>
      </w:r>
      <w:proofErr w:type="spellStart"/>
      <w:r w:rsidR="00BA5EB6">
        <w:rPr>
          <w:rFonts w:ascii="EB Garamond" w:hAnsi="EB Garamond" w:cs="EB Garamond"/>
          <w:i/>
        </w:rPr>
        <w:t>cardinalatu</w:t>
      </w:r>
      <w:proofErr w:type="spellEnd"/>
      <w:r w:rsidR="00BA5EB6">
        <w:rPr>
          <w:rFonts w:ascii="EB Garamond" w:hAnsi="EB Garamond" w:cs="EB Garamond"/>
          <w:i/>
        </w:rPr>
        <w:t xml:space="preserve"> libri </w:t>
      </w:r>
      <w:proofErr w:type="spellStart"/>
      <w:r w:rsidR="00BA5EB6">
        <w:rPr>
          <w:rFonts w:ascii="EB Garamond" w:hAnsi="EB Garamond" w:cs="EB Garamond"/>
          <w:i/>
        </w:rPr>
        <w:t>tres</w:t>
      </w:r>
      <w:proofErr w:type="spellEnd"/>
      <w:r w:rsidR="00BA5EB6">
        <w:rPr>
          <w:rFonts w:ascii="EB Garamond" w:hAnsi="EB Garamond" w:cs="EB Garamond"/>
          <w:i/>
        </w:rPr>
        <w:t xml:space="preserve"> </w:t>
      </w:r>
      <w:r w:rsidR="00BA5EB6">
        <w:rPr>
          <w:rFonts w:ascii="EB Garamond" w:hAnsi="EB Garamond" w:cs="EB Garamond"/>
        </w:rPr>
        <w:t>(</w:t>
      </w:r>
      <w:r w:rsidRPr="00DC0BB8">
        <w:rPr>
          <w:rFonts w:ascii="EB Garamond" w:hAnsi="EB Garamond" w:cs="EB Garamond"/>
          <w:i/>
        </w:rPr>
        <w:t>Renaissance Quarterly</w:t>
      </w:r>
      <w:r w:rsidR="00BA5EB6">
        <w:rPr>
          <w:rFonts w:ascii="EB Garamond" w:hAnsi="EB Garamond" w:cs="EB Garamond"/>
        </w:rPr>
        <w:t xml:space="preserve">, </w:t>
      </w:r>
      <w:r>
        <w:rPr>
          <w:rFonts w:ascii="EB Garamond" w:hAnsi="EB Garamond" w:cs="EB Garamond"/>
        </w:rPr>
        <w:t>2023)</w:t>
      </w:r>
      <w:r w:rsidR="00BA5EB6">
        <w:rPr>
          <w:rFonts w:ascii="EB Garamond" w:hAnsi="EB Garamond" w:cs="EB Garamond"/>
        </w:rPr>
        <w:t xml:space="preserve"> and on house-destruction as a legal punishment in Renaissance Rome (</w:t>
      </w:r>
      <w:r w:rsidR="00BA5EB6" w:rsidRPr="00BA5EB6">
        <w:rPr>
          <w:rFonts w:ascii="EB Garamond" w:hAnsi="EB Garamond" w:cs="EB Garamond"/>
          <w:i/>
        </w:rPr>
        <w:t>Urban History</w:t>
      </w:r>
      <w:r w:rsidR="00BA5EB6">
        <w:rPr>
          <w:rFonts w:ascii="EB Garamond" w:hAnsi="EB Garamond" w:cs="EB Garamond"/>
        </w:rPr>
        <w:t>, 2022).</w:t>
      </w:r>
      <w:r>
        <w:rPr>
          <w:rFonts w:ascii="EB Garamond" w:hAnsi="EB Garamond" w:cs="EB Garamond"/>
        </w:rPr>
        <w:t xml:space="preserve"> </w:t>
      </w:r>
      <w:bookmarkStart w:id="0" w:name="_GoBack"/>
      <w:bookmarkEnd w:id="0"/>
    </w:p>
    <w:p w:rsidR="005E0905" w:rsidRPr="005E0905" w:rsidRDefault="005E0905" w:rsidP="005E0905">
      <w:pPr>
        <w:ind w:firstLine="0"/>
        <w:rPr>
          <w:rFonts w:ascii="EB Garamond" w:hAnsi="EB Garamond" w:cs="EB Garamond"/>
        </w:rPr>
      </w:pPr>
    </w:p>
    <w:sectPr w:rsidR="005E0905" w:rsidRPr="005E0905" w:rsidSect="00524C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altName w:val="Cambria"/>
    <w:panose1 w:val="02020404030301010803"/>
    <w:charset w:val="00"/>
    <w:family w:val="auto"/>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EB Garamond">
    <w:panose1 w:val="00000000000000000000"/>
    <w:charset w:val="00"/>
    <w:family w:val="auto"/>
    <w:pitch w:val="variable"/>
    <w:sig w:usb0="E00002FF" w:usb1="5201E4F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905"/>
    <w:rsid w:val="00524CC3"/>
    <w:rsid w:val="005E0905"/>
    <w:rsid w:val="006D39C7"/>
    <w:rsid w:val="00996FC4"/>
    <w:rsid w:val="00BA5EB6"/>
    <w:rsid w:val="00D6325B"/>
    <w:rsid w:val="00DC0BB8"/>
    <w:rsid w:val="00F418BE"/>
    <w:rsid w:val="00FE205A"/>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6B9A9"/>
  <w15:chartTrackingRefBased/>
  <w15:docId w15:val="{15438CEB-F6ED-4FC5-BCB2-FFF01FEF1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325B"/>
    <w:pPr>
      <w:spacing w:before="120" w:after="120" w:line="360" w:lineRule="auto"/>
      <w:ind w:left="142" w:firstLine="425"/>
      <w:jc w:val="both"/>
    </w:pPr>
    <w:rPr>
      <w:rFonts w:ascii="Garamond" w:hAnsi="Garamond"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392</Words>
  <Characters>1987</Characters>
  <Application>Microsoft Office Word</Application>
  <DocSecurity>0</DocSecurity>
  <Lines>33</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Nele De Raedt</dc:creator>
  <cp:keywords/>
  <dc:description/>
  <cp:lastModifiedBy>Nele De Raedt</cp:lastModifiedBy>
  <cp:revision>2</cp:revision>
  <dcterms:created xsi:type="dcterms:W3CDTF">2024-02-08T08:08:00Z</dcterms:created>
  <dcterms:modified xsi:type="dcterms:W3CDTF">2024-02-08T08:35:00Z</dcterms:modified>
</cp:coreProperties>
</file>