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7436FB" w14:textId="77777777" w:rsidR="00532376" w:rsidRDefault="00532376" w:rsidP="00532376">
      <w:pPr>
        <w:jc w:val="both"/>
        <w:rPr>
          <w:b/>
          <w:i/>
        </w:rPr>
      </w:pPr>
      <w:r w:rsidRPr="00532376">
        <w:rPr>
          <w:b/>
          <w:i/>
        </w:rPr>
        <w:t>Politiques publiques 4. Les pol</w:t>
      </w:r>
      <w:r>
        <w:rPr>
          <w:b/>
          <w:i/>
        </w:rPr>
        <w:t>itiques publiques dans la crise</w:t>
      </w:r>
    </w:p>
    <w:p w14:paraId="136E3731" w14:textId="77777777" w:rsidR="00532376" w:rsidRPr="00532376" w:rsidRDefault="00532376" w:rsidP="00532376">
      <w:pPr>
        <w:jc w:val="both"/>
        <w:rPr>
          <w:b/>
        </w:rPr>
      </w:pPr>
      <w:r>
        <w:rPr>
          <w:b/>
        </w:rPr>
        <w:t>D</w:t>
      </w:r>
      <w:r w:rsidRPr="00532376">
        <w:rPr>
          <w:b/>
        </w:rPr>
        <w:t xml:space="preserve">irigé par Patrick </w:t>
      </w:r>
      <w:proofErr w:type="spellStart"/>
      <w:r w:rsidRPr="00532376">
        <w:rPr>
          <w:b/>
        </w:rPr>
        <w:t>Hassenteufel</w:t>
      </w:r>
      <w:proofErr w:type="spellEnd"/>
      <w:r w:rsidRPr="00532376">
        <w:rPr>
          <w:b/>
        </w:rPr>
        <w:t xml:space="preserve"> et Sabine </w:t>
      </w:r>
      <w:proofErr w:type="spellStart"/>
      <w:r w:rsidRPr="00532376">
        <w:rPr>
          <w:b/>
        </w:rPr>
        <w:t>Saurugger</w:t>
      </w:r>
      <w:proofErr w:type="spellEnd"/>
      <w:r w:rsidRPr="00532376">
        <w:rPr>
          <w:b/>
        </w:rPr>
        <w:t>, à paraître aux Presses de Sciences Po</w:t>
      </w:r>
    </w:p>
    <w:p w14:paraId="06481DE2" w14:textId="77777777" w:rsidR="00532376" w:rsidRDefault="00532376" w:rsidP="00532376">
      <w:pPr>
        <w:jc w:val="both"/>
        <w:rPr>
          <w:b/>
        </w:rPr>
      </w:pPr>
    </w:p>
    <w:p w14:paraId="17AF1ABB" w14:textId="77777777" w:rsidR="00532376" w:rsidRPr="00532376" w:rsidRDefault="00532376" w:rsidP="00532376">
      <w:pPr>
        <w:jc w:val="both"/>
        <w:rPr>
          <w:b/>
        </w:rPr>
      </w:pPr>
      <w:r w:rsidRPr="00532376">
        <w:rPr>
          <w:b/>
        </w:rPr>
        <w:t>Chapitre 7</w:t>
      </w:r>
      <w:r>
        <w:rPr>
          <w:b/>
        </w:rPr>
        <w:t xml:space="preserve"> : </w:t>
      </w:r>
      <w:r w:rsidRPr="00532376">
        <w:rPr>
          <w:b/>
        </w:rPr>
        <w:t>La r</w:t>
      </w:r>
      <w:r w:rsidR="00B63987">
        <w:rPr>
          <w:b/>
        </w:rPr>
        <w:t>edéfinition des rapports centre-</w:t>
      </w:r>
      <w:r w:rsidRPr="00532376">
        <w:rPr>
          <w:b/>
        </w:rPr>
        <w:t>périphérie</w:t>
      </w:r>
      <w:r>
        <w:rPr>
          <w:b/>
        </w:rPr>
        <w:t>s dans la crise</w:t>
      </w:r>
      <w:r w:rsidRPr="00532376">
        <w:rPr>
          <w:b/>
        </w:rPr>
        <w:t xml:space="preserve"> </w:t>
      </w:r>
      <w:r>
        <w:rPr>
          <w:b/>
        </w:rPr>
        <w:t>- Comparaison européenne</w:t>
      </w:r>
    </w:p>
    <w:p w14:paraId="33A1312E" w14:textId="77777777" w:rsidR="007903D4" w:rsidRDefault="007903D4"/>
    <w:p w14:paraId="49E882DC" w14:textId="77777777" w:rsidR="00532376" w:rsidRDefault="00532376">
      <w:r>
        <w:t>Claire Dupuy</w:t>
      </w:r>
    </w:p>
    <w:p w14:paraId="77F100E5" w14:textId="775259B7" w:rsidR="0003561B" w:rsidRDefault="004B11B4">
      <w:proofErr w:type="spellStart"/>
      <w:r>
        <w:t>UCLouvain</w:t>
      </w:r>
      <w:proofErr w:type="spellEnd"/>
      <w:r>
        <w:t xml:space="preserve"> - </w:t>
      </w:r>
      <w:proofErr w:type="spellStart"/>
      <w:r>
        <w:t>Ispole</w:t>
      </w:r>
      <w:proofErr w:type="spellEnd"/>
    </w:p>
    <w:p w14:paraId="73BC3C43" w14:textId="77777777" w:rsidR="00532376" w:rsidRDefault="00532376"/>
    <w:p w14:paraId="1760C5E9" w14:textId="77777777" w:rsidR="00532376" w:rsidRDefault="00532376"/>
    <w:p w14:paraId="755F0E39" w14:textId="77777777" w:rsidR="00D12270" w:rsidRDefault="00D12270"/>
    <w:p w14:paraId="769540F3" w14:textId="270F18B3" w:rsidR="00324D72" w:rsidRDefault="004A2FB4" w:rsidP="0003561B">
      <w:pPr>
        <w:jc w:val="both"/>
      </w:pPr>
      <w:r>
        <w:tab/>
      </w:r>
      <w:r w:rsidR="00B456F0">
        <w:t>L</w:t>
      </w:r>
      <w:r w:rsidR="006D0E93">
        <w:t>e référendum</w:t>
      </w:r>
      <w:r w:rsidR="00D91799">
        <w:t xml:space="preserve"> sur l’indépendance de l</w:t>
      </w:r>
      <w:r w:rsidR="00B456F0">
        <w:t>’Ecosse et</w:t>
      </w:r>
      <w:r w:rsidR="00D91799">
        <w:t xml:space="preserve"> </w:t>
      </w:r>
      <w:r w:rsidR="006D0E93">
        <w:t xml:space="preserve">les </w:t>
      </w:r>
      <w:r w:rsidR="00665410">
        <w:t>récentes</w:t>
      </w:r>
      <w:r w:rsidR="006D0E93">
        <w:t xml:space="preserve"> élections régionales en</w:t>
      </w:r>
      <w:r w:rsidR="00B456F0">
        <w:t xml:space="preserve"> Catalogne ont récemment donné </w:t>
      </w:r>
      <w:r w:rsidR="00B61AE9">
        <w:t>aux</w:t>
      </w:r>
      <w:r w:rsidR="00B456F0">
        <w:t xml:space="preserve"> relations centre-périphéries une</w:t>
      </w:r>
      <w:r w:rsidR="00627B69">
        <w:t xml:space="preserve"> </w:t>
      </w:r>
      <w:r w:rsidR="00324D72">
        <w:t xml:space="preserve">forte </w:t>
      </w:r>
      <w:r w:rsidR="00627B69">
        <w:t>visibilité médiatique, alimentée par l’</w:t>
      </w:r>
      <w:r w:rsidR="00B456F0">
        <w:t xml:space="preserve">incertitude sur le résultat final du référendum </w:t>
      </w:r>
      <w:r w:rsidR="00D91799">
        <w:t>écossais</w:t>
      </w:r>
      <w:r w:rsidR="00B456F0">
        <w:t xml:space="preserve">, qui a duré jusqu’à sa </w:t>
      </w:r>
      <w:r w:rsidR="00D250B4">
        <w:t xml:space="preserve">tenue le 18 septembre 2014, et </w:t>
      </w:r>
      <w:r w:rsidR="006D0E93">
        <w:t xml:space="preserve">sur la réaction du </w:t>
      </w:r>
      <w:r w:rsidR="00B456F0">
        <w:t xml:space="preserve">gouvernement central espagnol </w:t>
      </w:r>
      <w:r w:rsidR="006D0E93">
        <w:t>face aux revendications indépendantistes du nouveau gouvernement catalan</w:t>
      </w:r>
      <w:r w:rsidR="00FB1677">
        <w:rPr>
          <w:rStyle w:val="Appelnotedebasdep"/>
        </w:rPr>
        <w:footnoteReference w:id="1"/>
      </w:r>
      <w:r w:rsidR="00CB326A">
        <w:t>.</w:t>
      </w:r>
      <w:r w:rsidR="00627B69">
        <w:t xml:space="preserve"> </w:t>
      </w:r>
      <w:r w:rsidR="00FB1677">
        <w:t>La question de la (ré</w:t>
      </w:r>
      <w:proofErr w:type="gramStart"/>
      <w:r w:rsidR="00FB1677">
        <w:t>)allocation</w:t>
      </w:r>
      <w:proofErr w:type="gramEnd"/>
      <w:r w:rsidR="00FB1677">
        <w:t xml:space="preserve"> du pouvoir politique entre le gouvernement central et les régions a ainsi été posée frontalement dans ces deux pays. </w:t>
      </w:r>
      <w:r w:rsidR="009B0AFC">
        <w:t>En p</w:t>
      </w:r>
      <w:r w:rsidR="008179C1">
        <w:t>arallèle,</w:t>
      </w:r>
      <w:r w:rsidR="00FB1677">
        <w:t xml:space="preserve"> à la faveur de </w:t>
      </w:r>
      <w:r w:rsidR="00AE5223">
        <w:t xml:space="preserve">la crise </w:t>
      </w:r>
      <w:r w:rsidR="00920B4D">
        <w:t xml:space="preserve">économique </w:t>
      </w:r>
      <w:r w:rsidR="00044489">
        <w:t xml:space="preserve">et </w:t>
      </w:r>
      <w:r w:rsidR="007916F6">
        <w:t>fiscale</w:t>
      </w:r>
      <w:r w:rsidR="00FB1677">
        <w:t xml:space="preserve"> qui affecte </w:t>
      </w:r>
      <w:r w:rsidR="007916F6">
        <w:t>les Etats européens</w:t>
      </w:r>
      <w:r w:rsidR="00FB1677">
        <w:t xml:space="preserve">, une autre dimension </w:t>
      </w:r>
      <w:r w:rsidR="007916F6">
        <w:t>centrale des relations centre-périphéries </w:t>
      </w:r>
      <w:r w:rsidR="00FB1677">
        <w:t>s’est trouvée</w:t>
      </w:r>
      <w:r w:rsidR="00D250B4">
        <w:t xml:space="preserve"> vivement</w:t>
      </w:r>
      <w:r w:rsidR="00FB1677">
        <w:t xml:space="preserve"> débattue</w:t>
      </w:r>
      <w:r w:rsidR="00001896">
        <w:t xml:space="preserve"> dans les pays européens</w:t>
      </w:r>
      <w:r w:rsidR="00D250B4">
        <w:t> </w:t>
      </w:r>
      <w:r w:rsidR="007916F6">
        <w:t xml:space="preserve">: l’allocation des ressources </w:t>
      </w:r>
      <w:r w:rsidR="00AE5223">
        <w:t xml:space="preserve">fiscales </w:t>
      </w:r>
      <w:r w:rsidR="00324D72">
        <w:t xml:space="preserve">et </w:t>
      </w:r>
      <w:r w:rsidR="007916F6">
        <w:t xml:space="preserve">budgétaires. </w:t>
      </w:r>
      <w:r w:rsidR="00FB1677">
        <w:t>En effet, d</w:t>
      </w:r>
      <w:r w:rsidR="00AE5223">
        <w:t>epuis 2009 et la signature des accords européens successifs visant à assurer la consolidation fiscale des Etats membres de la zone euro</w:t>
      </w:r>
      <w:r w:rsidR="003A3EDD">
        <w:rPr>
          <w:rStyle w:val="Appelnotedebasdep"/>
        </w:rPr>
        <w:footnoteReference w:id="2"/>
      </w:r>
      <w:r w:rsidR="00AE5223">
        <w:t xml:space="preserve">, </w:t>
      </w:r>
      <w:r w:rsidR="00D250B4">
        <w:t>ces derniers</w:t>
      </w:r>
      <w:r w:rsidR="00324D72">
        <w:t>, responsables devant les institutions européennes du respect de ces accords</w:t>
      </w:r>
      <w:r w:rsidR="0003561B">
        <w:t xml:space="preserve">, </w:t>
      </w:r>
      <w:r w:rsidR="00FB1677">
        <w:t xml:space="preserve">sont </w:t>
      </w:r>
      <w:r w:rsidR="00D250B4">
        <w:t xml:space="preserve">aussi </w:t>
      </w:r>
      <w:r w:rsidR="00FB1677">
        <w:t xml:space="preserve">devenus </w:t>
      </w:r>
      <w:r w:rsidR="00D250B4">
        <w:t>redevables</w:t>
      </w:r>
      <w:r w:rsidR="00FB1677">
        <w:t xml:space="preserve"> des efforts de consolidation entrepris par les gouvernements infranationaux, </w:t>
      </w:r>
      <w:r w:rsidR="00324D72">
        <w:t>considérés par la Commission européenne</w:t>
      </w:r>
      <w:r w:rsidR="00D250B4">
        <w:t xml:space="preserve"> à la fois</w:t>
      </w:r>
      <w:r w:rsidR="00324D72">
        <w:t xml:space="preserve"> comme une cause possible et une solution à la crise </w:t>
      </w:r>
      <w:r w:rsidR="00F918F7">
        <w:fldChar w:fldCharType="begin"/>
      </w:r>
      <w:r w:rsidR="00665410">
        <w:instrText xml:space="preserve"> ADDIN ZOTERO_ITEM CSL_CITATION {"citationID":"OF4mYmid","properties":{"formattedCitation":"(European Commission, 2013)","plainCitation":"(European Commission, 2013)","noteIndex":0},"citationItems":[{"id":940,"uris":["http://zotero.org/users/1894092/items/KVAVZNJU"],"uri":["http://zotero.org/users/1894092/items/KVAVZNJU"],"itemData":{"id":940,"type":"article-journal","title":"Fiscal Relations across Government Levels in Times of Crisis. Making Compatible Fiscal Decentralization and Budgetary Discipline","container-title":"European Economy - Economic Papers","volume":"501","author":[{"family":"European Commission","given":""}],"issued":{"date-parts":[["2013"]]}}}],"schema":"https://github.com/citation-style-language/schema/raw/master/csl-citation.json"} </w:instrText>
      </w:r>
      <w:r w:rsidR="00F918F7">
        <w:fldChar w:fldCharType="separate"/>
      </w:r>
      <w:r w:rsidR="00F918F7" w:rsidRPr="00F918F7">
        <w:t>(</w:t>
      </w:r>
      <w:proofErr w:type="spellStart"/>
      <w:r w:rsidR="00F918F7" w:rsidRPr="00F918F7">
        <w:t>European</w:t>
      </w:r>
      <w:proofErr w:type="spellEnd"/>
      <w:r w:rsidR="00F918F7" w:rsidRPr="00F918F7">
        <w:t xml:space="preserve"> Commission, 2013)</w:t>
      </w:r>
      <w:r w:rsidR="00F918F7">
        <w:fldChar w:fldCharType="end"/>
      </w:r>
      <w:r w:rsidR="00324D72">
        <w:t xml:space="preserve">. </w:t>
      </w:r>
      <w:r w:rsidR="00FB1677">
        <w:t>Les relations entre les gouvernements centraux et les gouvernements régionaux, sur lesquels ce ch</w:t>
      </w:r>
      <w:r w:rsidR="00920B4D">
        <w:t xml:space="preserve">apitre se </w:t>
      </w:r>
      <w:proofErr w:type="gramStart"/>
      <w:r w:rsidR="00920B4D">
        <w:t>concentre</w:t>
      </w:r>
      <w:proofErr w:type="gramEnd"/>
      <w:r w:rsidR="00920B4D">
        <w:t>, ont donc été</w:t>
      </w:r>
      <w:r w:rsidR="00FB1677">
        <w:t xml:space="preserve"> affectées par la crise économique et fiscale, non seulement sous l’angle de l’allocation des compétences de politique publique, mais aussi sous celui de l’allocation des ressources fiscales et budgétaires.</w:t>
      </w:r>
      <w:r w:rsidR="008140C0">
        <w:t xml:space="preserve"> </w:t>
      </w:r>
    </w:p>
    <w:p w14:paraId="56E9AB27" w14:textId="6736A0A0" w:rsidR="00E32360" w:rsidRDefault="005E045A" w:rsidP="00324D72">
      <w:pPr>
        <w:jc w:val="both"/>
      </w:pPr>
      <w:r>
        <w:tab/>
        <w:t>En prenant acte, l</w:t>
      </w:r>
      <w:r w:rsidR="00FB1677">
        <w:t>e chapitre examine les changements des relations centre-périphéries observés depuis 2</w:t>
      </w:r>
      <w:r w:rsidR="00D250B4">
        <w:t xml:space="preserve">007 </w:t>
      </w:r>
      <w:r w:rsidR="002F7D67">
        <w:t xml:space="preserve">dans trois pays européens, l’Allemagne, l’Espagne et le Royaume-Uni, </w:t>
      </w:r>
      <w:r w:rsidR="00D250B4">
        <w:t>et</w:t>
      </w:r>
      <w:r>
        <w:t xml:space="preserve"> </w:t>
      </w:r>
      <w:r w:rsidR="00221D1C">
        <w:t>s’interroge</w:t>
      </w:r>
      <w:r w:rsidR="00324D72">
        <w:t xml:space="preserve"> : </w:t>
      </w:r>
      <w:r w:rsidR="00FB1677">
        <w:t xml:space="preserve">la crise économique </w:t>
      </w:r>
      <w:r w:rsidR="00E32360">
        <w:t>et fiscale a-t-ell</w:t>
      </w:r>
      <w:r w:rsidR="008469C0">
        <w:t xml:space="preserve">e conduit à une recentralisation du pouvoir politique au profit des gouvernements centraux et aux dépends des gouvernements </w:t>
      </w:r>
      <w:r w:rsidR="00324D72">
        <w:t>régionaux</w:t>
      </w:r>
      <w:r w:rsidR="008469C0">
        <w:t> ?</w:t>
      </w:r>
      <w:r w:rsidR="00FB1677">
        <w:t xml:space="preserve"> </w:t>
      </w:r>
    </w:p>
    <w:p w14:paraId="5D57E131" w14:textId="2086A950" w:rsidR="008469C0" w:rsidRDefault="00FB1677" w:rsidP="00A16CB6">
      <w:pPr>
        <w:jc w:val="both"/>
      </w:pPr>
      <w:r>
        <w:tab/>
      </w:r>
      <w:r w:rsidR="0074521E">
        <w:t xml:space="preserve">La réponse à cette question n’est </w:t>
      </w:r>
      <w:r w:rsidR="0074521E">
        <w:rPr>
          <w:i/>
        </w:rPr>
        <w:t xml:space="preserve">a priori </w:t>
      </w:r>
      <w:r w:rsidR="0038534C">
        <w:t xml:space="preserve">pas </w:t>
      </w:r>
      <w:r w:rsidR="0074521E">
        <w:t>univoque. Au contraire, d</w:t>
      </w:r>
      <w:r w:rsidR="005E045A">
        <w:t>es</w:t>
      </w:r>
      <w:r>
        <w:t xml:space="preserve"> effets</w:t>
      </w:r>
      <w:r w:rsidR="00355EB1">
        <w:t xml:space="preserve"> distincts,</w:t>
      </w:r>
      <w:r w:rsidR="009B233D">
        <w:t xml:space="preserve"> </w:t>
      </w:r>
      <w:r>
        <w:t>potentiellement divergents</w:t>
      </w:r>
      <w:r w:rsidR="00355EB1">
        <w:t>,</w:t>
      </w:r>
      <w:r>
        <w:t xml:space="preserve"> sont </w:t>
      </w:r>
      <w:r w:rsidR="00F1498B">
        <w:t>à attendre de la crise</w:t>
      </w:r>
      <w:r>
        <w:t xml:space="preserve">. D’une part, </w:t>
      </w:r>
      <w:r w:rsidR="00426D14">
        <w:t>la littérature sur le fédéralis</w:t>
      </w:r>
      <w:r>
        <w:t xml:space="preserve">me fiscal appliquée à la crise </w:t>
      </w:r>
      <w:r w:rsidR="00F1498B">
        <w:t>suggère que cette dernière</w:t>
      </w:r>
      <w:r>
        <w:t xml:space="preserve"> renforce</w:t>
      </w:r>
      <w:r w:rsidR="00F1498B">
        <w:t>ra</w:t>
      </w:r>
      <w:r>
        <w:t xml:space="preserve"> les </w:t>
      </w:r>
      <w:r w:rsidR="00426D14">
        <w:t>difficultés de coordination ent</w:t>
      </w:r>
      <w:r w:rsidR="00F1498B">
        <w:t>re les échelons de gouvernement,</w:t>
      </w:r>
      <w:r>
        <w:t xml:space="preserve"> inhérentes à tout système fédéral</w:t>
      </w:r>
      <w:r w:rsidR="00F918F7">
        <w:t xml:space="preserve"> </w:t>
      </w:r>
      <w:r w:rsidR="00F918F7">
        <w:fldChar w:fldCharType="begin"/>
      </w:r>
      <w:r w:rsidR="00665410">
        <w:instrText xml:space="preserve"> ADDIN ZOTERO_ITEM CSL_CITATION {"citationID":"1ffgovc42l","properties":{"formattedCitation":"(Braun &amp; Trein, 2014)","plainCitation":"(Braun &amp; Trein, 2014)","noteIndex":0},"citationItems":[{"id":941,"uris":["http://zotero.org/users/1894092/items/N83SAB72"],"uri":["http://zotero.org/users/1894092/items/N83SAB72"],"itemData":{"id":941,"type":"article-journal","title":"Federal Dynamics in Times of Economic and Financial Crisis","container-title":"European Journal of Political Research","page":"803-821","volume":"53","issue":"4","author":[{"family":"Braun","given":"Dietmar"},{"family":"Trein","given":"Philipp"}],"issued":{"date-parts":[["2014"]]}}}],"schema":"https://github.com/citation-style-language/schema/raw/master/csl-citation.json"} </w:instrText>
      </w:r>
      <w:r w:rsidR="00F918F7">
        <w:fldChar w:fldCharType="separate"/>
      </w:r>
      <w:r w:rsidR="00F918F7" w:rsidRPr="00F918F7">
        <w:t xml:space="preserve">(Braun &amp; </w:t>
      </w:r>
      <w:proofErr w:type="spellStart"/>
      <w:r w:rsidR="00F918F7" w:rsidRPr="00F918F7">
        <w:t>Trein</w:t>
      </w:r>
      <w:proofErr w:type="spellEnd"/>
      <w:r w:rsidR="00F918F7" w:rsidRPr="00F918F7">
        <w:t>, 2014)</w:t>
      </w:r>
      <w:r w:rsidR="00F918F7">
        <w:fldChar w:fldCharType="end"/>
      </w:r>
      <w:r w:rsidR="00426D14">
        <w:t xml:space="preserve">. </w:t>
      </w:r>
      <w:r w:rsidR="00F41860">
        <w:t xml:space="preserve">Afin d’éviter d’augmenter les impôts ou de réduire les dépenses publiques en période d’austérité, </w:t>
      </w:r>
      <w:r w:rsidR="00F1498B">
        <w:t xml:space="preserve">il est possible en effet que </w:t>
      </w:r>
      <w:r w:rsidR="00F41860">
        <w:t>les gouvernements infranationaux</w:t>
      </w:r>
      <w:r w:rsidR="00F1498B">
        <w:t xml:space="preserve"> décident</w:t>
      </w:r>
      <w:r w:rsidR="00F41860">
        <w:t xml:space="preserve"> de repousser les coûts vers les autres gouvernements infranationaux (</w:t>
      </w:r>
      <w:proofErr w:type="spellStart"/>
      <w:r w:rsidR="00F41860">
        <w:rPr>
          <w:i/>
        </w:rPr>
        <w:t>cost</w:t>
      </w:r>
      <w:proofErr w:type="spellEnd"/>
      <w:r w:rsidR="00F41860">
        <w:rPr>
          <w:i/>
        </w:rPr>
        <w:t xml:space="preserve"> </w:t>
      </w:r>
      <w:proofErr w:type="spellStart"/>
      <w:r w:rsidR="00F41860">
        <w:rPr>
          <w:i/>
        </w:rPr>
        <w:t>shifting</w:t>
      </w:r>
      <w:proofErr w:type="spellEnd"/>
      <w:r w:rsidR="00F41860">
        <w:rPr>
          <w:i/>
        </w:rPr>
        <w:t>)</w:t>
      </w:r>
      <w:r w:rsidR="00F41860">
        <w:t>, par exemple en refusant de mettre en œuvre les mesures d’austérité, ou vers le gouvernement central, en demandant des transferts supplémentaires (</w:t>
      </w:r>
      <w:proofErr w:type="spellStart"/>
      <w:r w:rsidR="00F41860">
        <w:rPr>
          <w:i/>
        </w:rPr>
        <w:t>rent-seeking</w:t>
      </w:r>
      <w:proofErr w:type="spellEnd"/>
      <w:r w:rsidR="00F41860">
        <w:rPr>
          <w:i/>
        </w:rPr>
        <w:t xml:space="preserve">). </w:t>
      </w:r>
      <w:r w:rsidR="002D6193">
        <w:t>Ils pourr</w:t>
      </w:r>
      <w:r w:rsidR="00DE4599">
        <w:t>aient aussi</w:t>
      </w:r>
      <w:r w:rsidR="002D6193">
        <w:t xml:space="preserve"> décider</w:t>
      </w:r>
      <w:r w:rsidR="00F41860">
        <w:t xml:space="preserve"> de </w:t>
      </w:r>
      <w:r w:rsidR="00F41860">
        <w:lastRenderedPageBreak/>
        <w:t>continuer à dépenser et à emprunter, ce qui pèse</w:t>
      </w:r>
      <w:r w:rsidR="00F1498B">
        <w:t>ra</w:t>
      </w:r>
      <w:r w:rsidR="00F41860">
        <w:t xml:space="preserve"> sur les générations futures et indirectement sur le gouvernement central et les autres gouvernements infranationaux (</w:t>
      </w:r>
      <w:proofErr w:type="spellStart"/>
      <w:r w:rsidR="00F41860">
        <w:rPr>
          <w:i/>
        </w:rPr>
        <w:t>deficit</w:t>
      </w:r>
      <w:proofErr w:type="spellEnd"/>
      <w:r w:rsidR="00F41860">
        <w:rPr>
          <w:i/>
        </w:rPr>
        <w:t xml:space="preserve"> </w:t>
      </w:r>
      <w:proofErr w:type="spellStart"/>
      <w:r w:rsidR="00F41860">
        <w:rPr>
          <w:i/>
        </w:rPr>
        <w:t>making</w:t>
      </w:r>
      <w:proofErr w:type="spellEnd"/>
      <w:r w:rsidR="00F41860">
        <w:rPr>
          <w:i/>
        </w:rPr>
        <w:t xml:space="preserve">). </w:t>
      </w:r>
      <w:r w:rsidR="00F41860">
        <w:t>Une dernière alternative est le refus délibéré d’appliquer les politiques des gouvernements centraux (</w:t>
      </w:r>
      <w:proofErr w:type="spellStart"/>
      <w:r w:rsidR="00F41860">
        <w:rPr>
          <w:i/>
        </w:rPr>
        <w:t>shirking</w:t>
      </w:r>
      <w:proofErr w:type="spellEnd"/>
      <w:r w:rsidR="00F41860">
        <w:rPr>
          <w:i/>
        </w:rPr>
        <w:t>)</w:t>
      </w:r>
      <w:r w:rsidR="00426D14">
        <w:t xml:space="preserve">. Les institutions fédérales et les incitations qu’elles mettent en place, peuvent faire varier ces comportements </w:t>
      </w:r>
      <w:r w:rsidR="00F918F7">
        <w:fldChar w:fldCharType="begin"/>
      </w:r>
      <w:r w:rsidR="00665410">
        <w:instrText xml:space="preserve"> ADDIN ZOTERO_ITEM CSL_CITATION {"citationID":"1bvh69qv8q","properties":{"formattedCitation":"(Rodden, 2002)","plainCitation":"(Rodden, 2002)","noteIndex":0},"citationItems":[{"id":939,"uris":["http://zotero.org/users/1894092/items/U7BG64CW"],"uri":["http://zotero.org/users/1894092/items/U7BG64CW"],"itemData":{"id":939,"type":"article-journal","title":"The Dilemma of Fiscal Federalism: Grants and Fiscal Performance around the World","container-title":"American Journal of Political Science","page":"670-87","volume":"46","issue":"3","author":[{"family":"Rodden","given":"Jonathan"}],"issued":{"date-parts":[["2002"]]}}}],"schema":"https://github.com/citation-style-language/schema/raw/master/csl-citation.json"} </w:instrText>
      </w:r>
      <w:r w:rsidR="00F918F7">
        <w:fldChar w:fldCharType="separate"/>
      </w:r>
      <w:r w:rsidR="00F918F7" w:rsidRPr="00F918F7">
        <w:t>(</w:t>
      </w:r>
      <w:proofErr w:type="spellStart"/>
      <w:r w:rsidR="00F918F7" w:rsidRPr="00F918F7">
        <w:t>Rodden</w:t>
      </w:r>
      <w:proofErr w:type="spellEnd"/>
      <w:r w:rsidR="00F918F7" w:rsidRPr="00F918F7">
        <w:t>, 2002)</w:t>
      </w:r>
      <w:r w:rsidR="00F918F7">
        <w:fldChar w:fldCharType="end"/>
      </w:r>
      <w:r w:rsidR="00F41860">
        <w:t>. C’est le cas notamment du</w:t>
      </w:r>
      <w:r w:rsidR="00426D14">
        <w:t xml:space="preserve"> montant des transferts reçus par comparaison avec la base fiscale de la région</w:t>
      </w:r>
      <w:r w:rsidR="00F41860">
        <w:t xml:space="preserve"> (moins les ressources propres des régions sont importantes, moins elles sont incitées à faire des efforts de modération des dépenses)</w:t>
      </w:r>
      <w:r w:rsidR="00426D14">
        <w:t xml:space="preserve"> et </w:t>
      </w:r>
      <w:r w:rsidR="00F41860">
        <w:t xml:space="preserve">de </w:t>
      </w:r>
      <w:r w:rsidR="00426D14">
        <w:t xml:space="preserve">l’accès des régions à l’emprunt, limité ou illimité </w:t>
      </w:r>
      <w:r w:rsidR="00F41860">
        <w:t>(moins cet accès est limité, moins les efforts de consolidation fiscale à attendre seront importants)</w:t>
      </w:r>
      <w:r w:rsidR="009B233D">
        <w:t>. Empiriquement donc</w:t>
      </w:r>
      <w:r w:rsidR="00993F20">
        <w:t>, cette</w:t>
      </w:r>
      <w:r w:rsidR="009B233D">
        <w:t xml:space="preserve"> littérature soulève deux questions à traiter</w:t>
      </w:r>
      <w:r w:rsidR="00D65D6D">
        <w:t xml:space="preserve"> pour examiner l</w:t>
      </w:r>
      <w:r w:rsidR="00F1498B">
        <w:t>es effets</w:t>
      </w:r>
      <w:r w:rsidR="00D65D6D">
        <w:t xml:space="preserve"> de la crise</w:t>
      </w:r>
      <w:r w:rsidR="00F1498B">
        <w:t xml:space="preserve"> sur les relations centre-périphéries, envisagées sous l’angle budgétaire et fiscal</w:t>
      </w:r>
      <w:r w:rsidR="009B233D">
        <w:t xml:space="preserve"> : quels comportements les régions </w:t>
      </w:r>
      <w:proofErr w:type="spellStart"/>
      <w:r w:rsidR="009B233D">
        <w:t>ont-elles</w:t>
      </w:r>
      <w:proofErr w:type="spellEnd"/>
      <w:r w:rsidR="009B233D">
        <w:t xml:space="preserve"> adopté ? Quelles ont été les stratégies des gouvernements centraux face à ceux-ci ?</w:t>
      </w:r>
      <w:r w:rsidR="001B2468">
        <w:t xml:space="preserve"> </w:t>
      </w:r>
    </w:p>
    <w:p w14:paraId="4C754673" w14:textId="09DE97F6" w:rsidR="00804DF0" w:rsidRDefault="009B233D" w:rsidP="00804DF0">
      <w:pPr>
        <w:ind w:firstLine="708"/>
        <w:jc w:val="both"/>
      </w:pPr>
      <w:r>
        <w:t>D</w:t>
      </w:r>
      <w:r w:rsidR="004A2726">
        <w:t>’a</w:t>
      </w:r>
      <w:r>
        <w:t>u</w:t>
      </w:r>
      <w:r w:rsidR="004A2726">
        <w:t xml:space="preserve">tre part, </w:t>
      </w:r>
      <w:r>
        <w:t xml:space="preserve">la littérature </w:t>
      </w:r>
      <w:r w:rsidR="00F1498B">
        <w:t xml:space="preserve">de </w:t>
      </w:r>
      <w:r w:rsidR="00F1498B">
        <w:rPr>
          <w:i/>
        </w:rPr>
        <w:t xml:space="preserve">territorial </w:t>
      </w:r>
      <w:proofErr w:type="spellStart"/>
      <w:r w:rsidR="00F1498B">
        <w:rPr>
          <w:i/>
        </w:rPr>
        <w:t>politics</w:t>
      </w:r>
      <w:proofErr w:type="spellEnd"/>
      <w:r w:rsidR="00F1498B">
        <w:rPr>
          <w:i/>
        </w:rPr>
        <w:t>,</w:t>
      </w:r>
      <w:r w:rsidR="00F1498B">
        <w:t xml:space="preserve"> </w:t>
      </w:r>
      <w:r>
        <w:t>plus att</w:t>
      </w:r>
      <w:r w:rsidR="00DE4599">
        <w:t xml:space="preserve">entive aux dimensions politique et historique </w:t>
      </w:r>
      <w:r>
        <w:t xml:space="preserve">des relations </w:t>
      </w:r>
      <w:r w:rsidR="00F1498B">
        <w:t>centre-périphéries</w:t>
      </w:r>
      <w:r>
        <w:t xml:space="preserve">, </w:t>
      </w:r>
      <w:r w:rsidR="00F1498B">
        <w:t>insiste sur le fait</w:t>
      </w:r>
      <w:r w:rsidR="00E44CA9">
        <w:t xml:space="preserve"> que les arrangements fiscaux sont des outils de gestion de la diversité territoriale </w:t>
      </w:r>
      <w:r w:rsidR="00F918F7">
        <w:fldChar w:fldCharType="begin"/>
      </w:r>
      <w:r w:rsidR="00665410">
        <w:instrText xml:space="preserve"> ADDIN ZOTERO_ITEM CSL_CITATION {"citationID":"22k6nnkrdo","properties":{"formattedCitation":"(Rokkan &amp; al., 1987)","plainCitation":"(Rokkan &amp; al., 1987)","noteIndex":0},"citationItems":[{"id":640,"uris":["http://zotero.org/users/1894092/items/94PI9H2A"],"uri":["http://zotero.org/users/1894092/items/94PI9H2A"],"itemData":{"id":640,"type":"book","title":"Centre-Periphery Structures in Europe. An ISSC Workbook in Comparative Analysis","publisher":"Campus Verlag","publisher-place":"Frankfurt/ New York","event-place":"Frankfurt/ New York","author":[{"family":"Rokkan","given":"Stein"},{"family":"al.","given":"et"}],"issued":{"date-parts":[["1987"]]}}}],"schema":"https://github.com/citation-style-language/schema/raw/master/csl-citation.json"} </w:instrText>
      </w:r>
      <w:r w:rsidR="00F918F7">
        <w:fldChar w:fldCharType="separate"/>
      </w:r>
      <w:r w:rsidR="00F918F7" w:rsidRPr="00F918F7">
        <w:t>(</w:t>
      </w:r>
      <w:proofErr w:type="spellStart"/>
      <w:r w:rsidR="00F918F7" w:rsidRPr="00F918F7">
        <w:t>Rokkan</w:t>
      </w:r>
      <w:proofErr w:type="spellEnd"/>
      <w:r w:rsidR="00F918F7" w:rsidRPr="00F918F7">
        <w:t xml:space="preserve"> &amp; al., 1987)</w:t>
      </w:r>
      <w:r w:rsidR="00F918F7">
        <w:fldChar w:fldCharType="end"/>
      </w:r>
      <w:r w:rsidR="00044489">
        <w:t>,</w:t>
      </w:r>
      <w:r w:rsidR="00E44CA9">
        <w:t xml:space="preserve"> et donc d’intégration territoriale. En ce sens, les conflits d’allocation des ressources s</w:t>
      </w:r>
      <w:r w:rsidR="00263D1B">
        <w:t>ont aussi des conflits territori</w:t>
      </w:r>
      <w:r w:rsidR="00E44CA9">
        <w:t>aux</w:t>
      </w:r>
      <w:r w:rsidR="00F1498B">
        <w:t xml:space="preserve"> mettant en jeu l’allocation du pouvoir politique</w:t>
      </w:r>
      <w:r w:rsidR="00263D1B">
        <w:t xml:space="preserve">. De plus, comme l’ont montré les travaux de </w:t>
      </w:r>
      <w:r w:rsidR="00F1498B">
        <w:t xml:space="preserve">Michael </w:t>
      </w:r>
      <w:r w:rsidR="00263D1B">
        <w:t>Keating en particulier</w:t>
      </w:r>
      <w:r w:rsidR="00F918F7">
        <w:t xml:space="preserve"> </w:t>
      </w:r>
      <w:r w:rsidR="00F918F7">
        <w:fldChar w:fldCharType="begin"/>
      </w:r>
      <w:r w:rsidR="00665410">
        <w:instrText xml:space="preserve"> ADDIN ZOTERO_ITEM CSL_CITATION {"citationID":"245mf5op68","properties":{"formattedCitation":"(Keating, 2013; Keating &amp; Wilson, 2014)","plainCitation":"(Keating, 2013; Keating &amp; Wilson, 2014)","noteIndex":0},"citationItems":[{"id":224,"uris":["http://zotero.org/users/1894092/items/6UJB8BU8"],"uri":["http://zotero.org/users/1894092/items/6UJB8BU8"],"itemData":{"id":224,"type":"book","title":"Rescaling the European State. The Making of Territory and the Rise of the Meso","publisher":"Oxford University Press","publisher-place":"Oxford","event-place":"Oxford","author":[{"family":"Keating","given":"Michael"}],"issued":{"date-parts":[["2013"]]}},"label":"page"},{"id":938,"uris":["http://zotero.org/users/1894092/items/FRDKII4A"],"uri":["http://zotero.org/users/1894092/items/FRDKII4A"],"itemData":{"id":938,"type":"article-journal","title":"Regions with Regionalism? The Rescaling of Interest Groups in Six European States","container-title":"European Journal of Political Research","page":"840-857","volume":"53","issue":"4","author":[{"family":"Keating","given":"Michael"},{"family":"Wilson","given":"Alex"}],"issued":{"date-parts":[["2014"]]}},"label":"page"}],"schema":"https://github.com/citation-style-language/schema/raw/master/csl-citation.json"} </w:instrText>
      </w:r>
      <w:r w:rsidR="00F918F7">
        <w:fldChar w:fldCharType="separate"/>
      </w:r>
      <w:r w:rsidR="00F918F7" w:rsidRPr="00F918F7">
        <w:t>(Keating, 2013; Keating &amp; Wilson, 2014)</w:t>
      </w:r>
      <w:r w:rsidR="00F918F7">
        <w:fldChar w:fldCharType="end"/>
      </w:r>
      <w:r w:rsidR="00263D1B">
        <w:t>, on observe</w:t>
      </w:r>
      <w:r w:rsidR="00993F20">
        <w:t xml:space="preserve"> dans la période contemporaine</w:t>
      </w:r>
      <w:r w:rsidR="00263D1B">
        <w:t xml:space="preserve"> une </w:t>
      </w:r>
      <w:r w:rsidR="004A2726">
        <w:t>territorialisation</w:t>
      </w:r>
      <w:r w:rsidR="004A2726">
        <w:rPr>
          <w:rStyle w:val="Appelnotedebasdep"/>
        </w:rPr>
        <w:footnoteReference w:id="3"/>
      </w:r>
      <w:r w:rsidR="004A2726">
        <w:t xml:space="preserve"> des intérêts et</w:t>
      </w:r>
      <w:r w:rsidR="00263D1B">
        <w:t xml:space="preserve"> des préférences des citoyens</w:t>
      </w:r>
      <w:r w:rsidR="0000395F">
        <w:t xml:space="preserve"> </w:t>
      </w:r>
      <w:r w:rsidR="00F918F7">
        <w:fldChar w:fldCharType="begin"/>
      </w:r>
      <w:r w:rsidR="00665410">
        <w:instrText xml:space="preserve"> ADDIN ZOTERO_ITEM CSL_CITATION {"citationID":"DbmgLXue","properties":{"formattedCitation":"(Henderson, Jeffery, &amp; Wincott, 2014)","plainCitation":"(Henderson, Jeffery, &amp; Wincott, 2014)","noteIndex":0},"citationItems":[{"id":1076,"uris":["http://zotero.org/users/1894092/items/VFHIFU2J"],"uri":["http://zotero.org/users/1894092/items/VFHIFU2J"],"itemData":{"id":1076,"type":"book","title":"Citizenship after the Nation State","publisher":"Palgrave Macmillan","publisher-place":"Basingstoke","event-place":"Basingstoke","editor":[{"family":"Henderson","given":"Ailsa"},{"family":"Jeffery","given":"Charlie"},{"family":"Wincott","given":"Daniel"}],"issued":{"date-parts":[["2014"]]}}}],"schema":"https://github.com/citation-style-language/schema/raw/master/csl-citation.json"} </w:instrText>
      </w:r>
      <w:r w:rsidR="00F918F7">
        <w:fldChar w:fldCharType="separate"/>
      </w:r>
      <w:r w:rsidR="00665410" w:rsidRPr="00665410">
        <w:t xml:space="preserve">(Henderson, </w:t>
      </w:r>
      <w:proofErr w:type="spellStart"/>
      <w:r w:rsidR="00665410" w:rsidRPr="00665410">
        <w:t>Jeffery</w:t>
      </w:r>
      <w:proofErr w:type="spellEnd"/>
      <w:r w:rsidR="00665410" w:rsidRPr="00665410">
        <w:t xml:space="preserve">, &amp; </w:t>
      </w:r>
      <w:proofErr w:type="spellStart"/>
      <w:r w:rsidR="00665410" w:rsidRPr="00665410">
        <w:t>Wincott</w:t>
      </w:r>
      <w:proofErr w:type="spellEnd"/>
      <w:r w:rsidR="00665410" w:rsidRPr="00665410">
        <w:t>, 2014)</w:t>
      </w:r>
      <w:r w:rsidR="00F918F7">
        <w:fldChar w:fldCharType="end"/>
      </w:r>
      <w:r w:rsidR="004A2726">
        <w:t>, mais aussi</w:t>
      </w:r>
      <w:r w:rsidR="00263D1B">
        <w:t xml:space="preserve"> des partis politiques</w:t>
      </w:r>
      <w:r w:rsidR="00F918F7">
        <w:t xml:space="preserve"> </w:t>
      </w:r>
      <w:r w:rsidR="00F918F7">
        <w:fldChar w:fldCharType="begin"/>
      </w:r>
      <w:r w:rsidR="00665410">
        <w:instrText xml:space="preserve"> ADDIN ZOTERO_ITEM CSL_CITATION {"citationID":"i8WpopLv","properties":{"formattedCitation":"(Massetti &amp; Toubeau, 2014; Swenden &amp; Maddens, 2009)","plainCitation":"(Massetti &amp; Toubeau, 2014; Swenden &amp; Maddens, 2009)","noteIndex":0},"citationItems":[{"id":937,"uris":["http://zotero.org/users/1894092/items/ATRSVBEH"],"uri":["http://zotero.org/users/1894092/items/ATRSVBEH"],"itemData":{"id":937,"type":"book","title":"The Party Politics of Territorial Reforms in Europe","publisher":"Routledge","publisher-place":"Abingdon","event-place":"Abingdon","author":[{"family":"Massetti","given":"Emanuele"},{"family":"Toubeau","given":"Simon"}],"issued":{"date-parts":[["2014"]]}},"label":"page"},{"id":854,"uris":["http://zotero.org/users/1894092/items/64XX6KRC"],"uri":["http://zotero.org/users/1894092/items/64XX6KRC"],"itemData":{"id":854,"type":"book","title":"Territorial Party Politics in Western Europe","publisher":"Palgrave macmillan","publisher-place":"Basingstoke","event-place":"Basingstoke","author":[{"family":"Swenden","given":"Wilfried"},{"family":"Maddens","given":"Bart"}],"issued":{"date-parts":[["2009"]]}},"label":"page"}],"schema":"https://github.com/citation-style-language/schema/raw/master/csl-citation.json"} </w:instrText>
      </w:r>
      <w:r w:rsidR="00F918F7">
        <w:fldChar w:fldCharType="separate"/>
      </w:r>
      <w:r w:rsidR="004A6BF0" w:rsidRPr="004A6BF0">
        <w:t>(</w:t>
      </w:r>
      <w:proofErr w:type="spellStart"/>
      <w:r w:rsidR="004A6BF0" w:rsidRPr="004A6BF0">
        <w:t>Massetti</w:t>
      </w:r>
      <w:proofErr w:type="spellEnd"/>
      <w:r w:rsidR="004A6BF0" w:rsidRPr="004A6BF0">
        <w:t xml:space="preserve"> &amp; </w:t>
      </w:r>
      <w:proofErr w:type="spellStart"/>
      <w:r w:rsidR="004A6BF0" w:rsidRPr="004A6BF0">
        <w:t>Toubeau</w:t>
      </w:r>
      <w:proofErr w:type="spellEnd"/>
      <w:r w:rsidR="004A6BF0" w:rsidRPr="004A6BF0">
        <w:t>, 2014; Swenden &amp; Maddens, 2009)</w:t>
      </w:r>
      <w:r w:rsidR="00F918F7">
        <w:fldChar w:fldCharType="end"/>
      </w:r>
      <w:r w:rsidR="00F1498B">
        <w:t>,</w:t>
      </w:r>
      <w:r w:rsidR="00263D1B">
        <w:t xml:space="preserve"> </w:t>
      </w:r>
      <w:r w:rsidR="00993F20">
        <w:t>qui est variable d’une région</w:t>
      </w:r>
      <w:r w:rsidR="00263D1B">
        <w:t xml:space="preserve"> à un</w:t>
      </w:r>
      <w:r w:rsidR="008179C1">
        <w:t>e</w:t>
      </w:r>
      <w:r w:rsidR="00263D1B">
        <w:t xml:space="preserve"> autre. </w:t>
      </w:r>
      <w:r w:rsidR="003E5C0A">
        <w:t xml:space="preserve">Dans cette perspective, on peut </w:t>
      </w:r>
      <w:r w:rsidR="00263D1B">
        <w:t>s’attendre à une asymétrie des réacti</w:t>
      </w:r>
      <w:r w:rsidR="004A2726">
        <w:t>ons des gouvernements régio</w:t>
      </w:r>
      <w:r w:rsidR="00263D1B">
        <w:t xml:space="preserve">naux face à la crise. </w:t>
      </w:r>
      <w:r w:rsidR="008179C1">
        <w:t xml:space="preserve">Empiriquement, </w:t>
      </w:r>
      <w:r w:rsidR="00804DF0">
        <w:t xml:space="preserve">il s’agit alors d’examiner comment </w:t>
      </w:r>
      <w:r w:rsidR="00D12270">
        <w:t xml:space="preserve">la territorialisation des </w:t>
      </w:r>
      <w:r w:rsidR="006C7B8B">
        <w:t xml:space="preserve">intérêts, des identités et des partis </w:t>
      </w:r>
      <w:r w:rsidR="0019678E">
        <w:t xml:space="preserve">affecte les rapports de force entre les gouvernements régionaux et les gouvernements nationaux. En particulier, est-ce que plus la territorialisation est forte, plus la résistance ou l’opposition des gouvernements régionaux </w:t>
      </w:r>
      <w:r w:rsidR="002C0094">
        <w:t xml:space="preserve">l’est aussi </w:t>
      </w:r>
      <w:r w:rsidR="0019678E">
        <w:t xml:space="preserve">face </w:t>
      </w:r>
      <w:r w:rsidR="00263D1B">
        <w:t xml:space="preserve">aux éventuelles tentatives de l’Etat central de </w:t>
      </w:r>
      <w:proofErr w:type="spellStart"/>
      <w:r w:rsidR="00263D1B">
        <w:t>recentraliser</w:t>
      </w:r>
      <w:proofErr w:type="spellEnd"/>
      <w:r w:rsidR="00263D1B">
        <w:t xml:space="preserve"> le pouvoir politique</w:t>
      </w:r>
      <w:r w:rsidR="00D12270">
        <w:t>, s</w:t>
      </w:r>
      <w:r w:rsidR="00256E38">
        <w:t xml:space="preserve">ur le plan </w:t>
      </w:r>
      <w:r w:rsidR="00D12270">
        <w:t>des compétences de politique publique et</w:t>
      </w:r>
      <w:r w:rsidR="00256E38">
        <w:t>/ou</w:t>
      </w:r>
      <w:r w:rsidR="00D12270">
        <w:t xml:space="preserve"> des ressources financières</w:t>
      </w:r>
      <w:r w:rsidR="002C0094">
        <w:t xml:space="preserve"> </w:t>
      </w:r>
      <w:r w:rsidR="00D12270">
        <w:t xml:space="preserve">? </w:t>
      </w:r>
    </w:p>
    <w:p w14:paraId="0F66EF78" w14:textId="1E4597A7" w:rsidR="009B233D" w:rsidRDefault="004E686F" w:rsidP="00804DF0">
      <w:pPr>
        <w:ind w:firstLine="708"/>
        <w:jc w:val="both"/>
      </w:pPr>
      <w:r>
        <w:t>Pour traiter les questions soulevées par ces deux littératures, l’analyse conduite dans ce chapitre</w:t>
      </w:r>
      <w:r w:rsidR="00665410">
        <w:t xml:space="preserve"> s’inscrit dans la perspective ouverte dans l’introduction de ce volume et</w:t>
      </w:r>
      <w:r>
        <w:t xml:space="preserve"> développe une approc</w:t>
      </w:r>
      <w:r w:rsidR="00665410">
        <w:t xml:space="preserve">he centrée sur les acteurs </w:t>
      </w:r>
      <w:r>
        <w:t>régionaux et nationaux</w:t>
      </w:r>
      <w:r w:rsidR="00665410">
        <w:t xml:space="preserve"> étudiés de manière relationnelle</w:t>
      </w:r>
      <w:r>
        <w:t>.</w:t>
      </w:r>
      <w:r w:rsidR="00665410">
        <w:t xml:space="preserve"> Le chapitre considère ainsi que l’analyse des relations centre-périphéries dans la crise gagne à être attentive à la manière dont les rapports de force entre acteurs, construits dans la moyenne durée, sont affectés par la crise, mais également aux effets que la crise pourrait avoir sur ces derniers.</w:t>
      </w:r>
      <w:r>
        <w:t xml:space="preserve"> </w:t>
      </w:r>
      <w:r w:rsidR="00665410">
        <w:t>Plus précisément</w:t>
      </w:r>
      <w:r>
        <w:t>, par rapport aux travaux sur le fédéralisme fiscal, ce chapitre ne considère pas que les institutions formelles soient prédictives des relations de pouvoir qui s’établissent entre les régions e</w:t>
      </w:r>
      <w:r w:rsidR="00A14A4B">
        <w:t>t les gouvernements centraux, et</w:t>
      </w:r>
      <w:r>
        <w:t xml:space="preserve"> ainsi des éventuels changements dans les relations centre-périphéries initiés par la crise. Il ne considère pas non plus que les seules ressources dont disposent les acteurs soient de nature institutionnelle </w:t>
      </w:r>
      <w:r w:rsidR="00A14A4B">
        <w:t>et économique et fiscale, telles que les indicateurs macroéconomiques permettraient de les décrire. Ce chapitre prend en considération un ensemble plus large de ressources dont disposent les acteurs : non seulement leurs ressources instit</w:t>
      </w:r>
      <w:r w:rsidR="009D2246">
        <w:t>utionnelles formelles ainsi que</w:t>
      </w:r>
      <w:r w:rsidR="00A14A4B">
        <w:t xml:space="preserve"> informelles, qui déterminent en partie </w:t>
      </w:r>
      <w:r w:rsidR="009B2404">
        <w:t>les interactions entre le gouvernement central et les régions et façonnent le</w:t>
      </w:r>
      <w:r w:rsidR="009D2246">
        <w:t>ur</w:t>
      </w:r>
      <w:r w:rsidR="009B2404">
        <w:t xml:space="preserve">s relations de contrainte et de négociation </w:t>
      </w:r>
      <w:r w:rsidR="00A14A4B">
        <w:t>; leurs ressources économiques et fiscales, liées aux dispositifs d’allocation des ressources existants et à la situation macroéconomique de la région et du pays ; mais aussi</w:t>
      </w:r>
      <w:r w:rsidR="00565413" w:rsidRPr="00565413">
        <w:t xml:space="preserve"> </w:t>
      </w:r>
      <w:r w:rsidR="00565413">
        <w:t xml:space="preserve">leurs ressources politiques propres, définies en termes de territorialisation des intérêts, des </w:t>
      </w:r>
      <w:r w:rsidR="00565413">
        <w:lastRenderedPageBreak/>
        <w:t xml:space="preserve">préférences des citoyens et des partis. </w:t>
      </w:r>
      <w:r w:rsidR="009B2404">
        <w:t>De plus, cette approche centrée sur les acteurs permet d’être attentif à la diversité des enjeux que présente la crise pour les différents acteurs régionaux et nationaux, et ainsi à la construction du problème « crise » qu’ils opèrent</w:t>
      </w:r>
      <w:r w:rsidR="00665410">
        <w:t xml:space="preserve"> </w:t>
      </w:r>
      <w:r w:rsidR="00665410">
        <w:fldChar w:fldCharType="begin"/>
      </w:r>
      <w:r w:rsidR="00665410">
        <w:instrText xml:space="preserve"> ADDIN ZOTERO_ITEM CSL_CITATION {"citationID":"TQVlZEuO","properties":{"formattedCitation":"(Saurugger, 2016)","plainCitation":"(Saurugger, 2016)","noteIndex":0},"citationItems":[{"id":2606,"uris":["http://zotero.org/users/1894092/items/NU9XKN47"],"uri":["http://zotero.org/users/1894092/items/NU9XKN47"],"itemData":{"id":2606,"type":"article-journal","title":"Sociological Approaches to the European Union in times of Turmoil","container-title":"Journal of Common Market Studies","page":"70-86","volume":"54","issue":"1","author":[{"family":"Saurugger","given":"Sabine"}],"issued":{"date-parts":[["2016"]]}}}],"schema":"https://github.com/citation-style-language/schema/raw/master/csl-citation.json"} </w:instrText>
      </w:r>
      <w:r w:rsidR="00665410">
        <w:fldChar w:fldCharType="separate"/>
      </w:r>
      <w:r w:rsidR="00665410" w:rsidRPr="00665410">
        <w:t>(</w:t>
      </w:r>
      <w:proofErr w:type="spellStart"/>
      <w:r w:rsidR="00665410" w:rsidRPr="00665410">
        <w:t>Saurugger</w:t>
      </w:r>
      <w:proofErr w:type="spellEnd"/>
      <w:r w:rsidR="00665410" w:rsidRPr="00665410">
        <w:t>, 2016)</w:t>
      </w:r>
      <w:r w:rsidR="00665410">
        <w:fldChar w:fldCharType="end"/>
      </w:r>
      <w:r w:rsidR="009B2404">
        <w:t xml:space="preserve">. Plutôt que de considérer </w:t>
      </w:r>
      <w:r w:rsidR="009B2404" w:rsidRPr="00862734">
        <w:rPr>
          <w:i/>
        </w:rPr>
        <w:t>a priori</w:t>
      </w:r>
      <w:r w:rsidR="009B2404">
        <w:t xml:space="preserve"> que celui-ci n’est qu’économique, </w:t>
      </w:r>
      <w:r w:rsidR="009D2246">
        <w:t>l’analyse laisse ouverte la possibilité que l</w:t>
      </w:r>
      <w:r w:rsidR="00D12270">
        <w:t xml:space="preserve">es gouvernements régionaux </w:t>
      </w:r>
      <w:r w:rsidR="009D2246">
        <w:t xml:space="preserve">construisent la crise comme un problème qui requiert, pour être traité, </w:t>
      </w:r>
      <w:r w:rsidR="003E5C0A">
        <w:t>de</w:t>
      </w:r>
      <w:r w:rsidR="009D2246">
        <w:t>s</w:t>
      </w:r>
      <w:r w:rsidR="003E5C0A">
        <w:t xml:space="preserve"> gain</w:t>
      </w:r>
      <w:r w:rsidR="00E04315">
        <w:t>s</w:t>
      </w:r>
      <w:r w:rsidR="003E5C0A">
        <w:t xml:space="preserve"> de co</w:t>
      </w:r>
      <w:r w:rsidR="00E04315">
        <w:t>mpé</w:t>
      </w:r>
      <w:r w:rsidR="009D2246">
        <w:t>tences de politique publique, une autonomie accrue ou même l</w:t>
      </w:r>
      <w:r w:rsidR="003E5C0A">
        <w:t>’indépendance</w:t>
      </w:r>
      <w:r w:rsidR="009C5921">
        <w:t xml:space="preserve"> des régions</w:t>
      </w:r>
      <w:r w:rsidR="009D2246">
        <w:t>.</w:t>
      </w:r>
      <w:r w:rsidR="00665410">
        <w:t xml:space="preserve"> Comme le suggère l’introduction de cet ouvrage</w:t>
      </w:r>
      <w:r w:rsidR="002A1DF6">
        <w:t xml:space="preserve"> donc</w:t>
      </w:r>
      <w:r w:rsidR="00665410">
        <w:t xml:space="preserve">, le travail politique des acteurs et leur </w:t>
      </w:r>
      <w:proofErr w:type="spellStart"/>
      <w:r w:rsidR="00665410" w:rsidRPr="00665410">
        <w:rPr>
          <w:i/>
        </w:rPr>
        <w:t>agency</w:t>
      </w:r>
      <w:proofErr w:type="spellEnd"/>
      <w:r w:rsidR="00665410">
        <w:t xml:space="preserve"> sont déterminants</w:t>
      </w:r>
      <w:r w:rsidR="002A1DF6">
        <w:t xml:space="preserve"> pour saisir ce que la crise a fait aux relations centre-périphéries en Europe.</w:t>
      </w:r>
    </w:p>
    <w:p w14:paraId="130D5EBE" w14:textId="63E23281" w:rsidR="008436B1" w:rsidRDefault="00AB6589" w:rsidP="009767D9">
      <w:pPr>
        <w:jc w:val="both"/>
      </w:pPr>
      <w:r>
        <w:tab/>
      </w:r>
      <w:r w:rsidR="00347972">
        <w:t>Empiriquement, l</w:t>
      </w:r>
      <w:r>
        <w:t>e chapitre porte sur trois cas,</w:t>
      </w:r>
      <w:r w:rsidR="00347972">
        <w:t xml:space="preserve"> l’Allemagne, l’Espagne et le </w:t>
      </w:r>
      <w:r>
        <w:t>Royaume-Uni,</w:t>
      </w:r>
      <w:r w:rsidR="00347972">
        <w:t xml:space="preserve"> qu’</w:t>
      </w:r>
      <w:r w:rsidR="009767D9">
        <w:t xml:space="preserve">il analyse de manière comparée. </w:t>
      </w:r>
      <w:r w:rsidR="00347972">
        <w:t>La sélection des cas fait varier les variables explicatives signalées</w:t>
      </w:r>
      <w:r w:rsidR="009767D9">
        <w:t>. L</w:t>
      </w:r>
      <w:r w:rsidR="004A6BF0">
        <w:t>’index d’autorité régionale</w:t>
      </w:r>
      <w:r w:rsidR="00044489">
        <w:rPr>
          <w:rStyle w:val="Appelnotedebasdep"/>
        </w:rPr>
        <w:footnoteReference w:id="4"/>
      </w:r>
      <w:r w:rsidR="004A6BF0">
        <w:t xml:space="preserve"> s’étend de 5 pour les régions anglaises, à </w:t>
      </w:r>
      <w:r w:rsidR="00044489">
        <w:t xml:space="preserve">20,5 pour l’Ecosse et 15,5 pour le Pays de Galles, </w:t>
      </w:r>
      <w:r w:rsidR="004A6BF0">
        <w:t>23,5 pour les communautés autonomes espagnole</w:t>
      </w:r>
      <w:r w:rsidR="00B021CF">
        <w:t>s et</w:t>
      </w:r>
      <w:r w:rsidR="00044489">
        <w:t xml:space="preserve"> 27 pour les Länder allemands</w:t>
      </w:r>
      <w:r w:rsidR="00044489">
        <w:rPr>
          <w:rStyle w:val="Appelnotedebasdep"/>
        </w:rPr>
        <w:footnoteReference w:id="5"/>
      </w:r>
      <w:r w:rsidR="004A6BF0">
        <w:t xml:space="preserve"> </w:t>
      </w:r>
      <w:r w:rsidR="004A6BF0">
        <w:fldChar w:fldCharType="begin"/>
      </w:r>
      <w:r w:rsidR="00665410">
        <w:instrText xml:space="preserve"> ADDIN ZOTERO_ITEM CSL_CITATION {"citationID":"1g72c88nh0","properties":{"formattedCitation":"(Hooghe et al., 2016)","plainCitation":"(Hooghe et al., 2016)","noteIndex":0},"citationItems":[{"id":1065,"uris":["http://zotero.org/users/1894092/items/22FJGUF2"],"uri":["http://zotero.org/users/1894092/items/22FJGUF2"],"itemData":{"id":1065,"type":"book","title":"A Postfunctionalist Theory of Governance. Volume I: Measuring Regional Authority","publisher":"Oxford University Press","publisher-place":"Oxford","event-place":"Oxford","author":[{"family":"Hooghe","given":"Liesbet"},{"family":"Marks","given":"Gary"},{"family":"Schakel","given":"Arjan"},{"family":"Chapman Osterkatz","given":"Sandi"},{"family":"Niedzwiecki","given":"Sara"},{"family":"Shair-Rosenfield","given":"Sarah"}],"issued":{"date-parts":[["2016"]]}}}],"schema":"https://github.com/citation-style-language/schema/raw/master/csl-citation.json"} </w:instrText>
      </w:r>
      <w:r w:rsidR="004A6BF0">
        <w:fldChar w:fldCharType="separate"/>
      </w:r>
      <w:r w:rsidR="00272A20" w:rsidRPr="00272A20">
        <w:t>(Hooghe et al., 2016)</w:t>
      </w:r>
      <w:r w:rsidR="004A6BF0">
        <w:fldChar w:fldCharType="end"/>
      </w:r>
      <w:r w:rsidR="009767D9">
        <w:t>. De plus, si dans chacun des trois pays</w:t>
      </w:r>
      <w:r w:rsidR="009767D9" w:rsidRPr="009767D9">
        <w:t xml:space="preserve"> </w:t>
      </w:r>
      <w:r w:rsidR="009767D9">
        <w:t xml:space="preserve">le partage des ressources de l’impôt et les transferts financiers horizontaux et verticaux dominent, </w:t>
      </w:r>
      <w:r w:rsidR="00347972">
        <w:t>les modalités d</w:t>
      </w:r>
      <w:r w:rsidR="009767D9">
        <w:t>e la redistributio</w:t>
      </w:r>
      <w:r w:rsidR="008436B1">
        <w:t>n horizontale, l’</w:t>
      </w:r>
      <w:r w:rsidR="00347972">
        <w:t xml:space="preserve">ampleur de l’égalisation, </w:t>
      </w:r>
      <w:r w:rsidR="008436B1">
        <w:t xml:space="preserve">et la </w:t>
      </w:r>
      <w:r w:rsidR="00347972">
        <w:t>part des ressources propres des régions</w:t>
      </w:r>
      <w:r w:rsidR="008436B1">
        <w:t xml:space="preserve"> varient, de même que l’existence de possibilités de </w:t>
      </w:r>
      <w:r w:rsidR="008436B1">
        <w:rPr>
          <w:i/>
        </w:rPr>
        <w:t xml:space="preserve">bail-out </w:t>
      </w:r>
      <w:r w:rsidR="008436B1">
        <w:t>des régions par leur gouvernement central</w:t>
      </w:r>
      <w:r w:rsidR="008436B1">
        <w:rPr>
          <w:rStyle w:val="Appelnotedebasdep"/>
        </w:rPr>
        <w:footnoteReference w:id="6"/>
      </w:r>
      <w:r w:rsidR="008436B1">
        <w:t>. Il en est de même en ce qui concerne la</w:t>
      </w:r>
      <w:r w:rsidR="00347972">
        <w:t xml:space="preserve"> symétrie</w:t>
      </w:r>
      <w:r w:rsidR="008436B1">
        <w:t xml:space="preserve"> (Allemagne) et l’a</w:t>
      </w:r>
      <w:r w:rsidR="00347972">
        <w:t xml:space="preserve">symétrie des compétences </w:t>
      </w:r>
      <w:r w:rsidR="008436B1">
        <w:t>régionales (Espagne, Royaume-Uni) et la territorialisation des systèmes partisans, illustrée par l’existence de partis ethno-régionalistes (aucun en Allemagne</w:t>
      </w:r>
      <w:r w:rsidR="009C0FC6">
        <w:rPr>
          <w:rStyle w:val="Appelnotedebasdep"/>
        </w:rPr>
        <w:footnoteReference w:id="7"/>
      </w:r>
      <w:r w:rsidR="008436B1">
        <w:t>, contraireme</w:t>
      </w:r>
      <w:r w:rsidR="00DC5A06">
        <w:t>nt aux deux autres cas)</w:t>
      </w:r>
      <w:r w:rsidR="008436B1">
        <w:t>. Enfin, le Ro</w:t>
      </w:r>
      <w:r w:rsidR="00B021CF">
        <w:t xml:space="preserve">yaume-Uni n’est pas membre de la </w:t>
      </w:r>
      <w:r w:rsidR="008436B1">
        <w:t>zone</w:t>
      </w:r>
      <w:r w:rsidR="00B021CF">
        <w:t xml:space="preserve"> euro</w:t>
      </w:r>
      <w:r w:rsidR="008436B1">
        <w:t>, contrairement aux deux autres pays, et l’ampleur de la crise, en termes d’effets sur la croissance économique, le chômage et les déficits publics, a été variable</w:t>
      </w:r>
      <w:r w:rsidR="00CB4CC5">
        <w:t xml:space="preserve"> dans les trois pays</w:t>
      </w:r>
      <w:r w:rsidR="008436B1">
        <w:t>.</w:t>
      </w:r>
    </w:p>
    <w:p w14:paraId="2407B160" w14:textId="1D0B567E" w:rsidR="00FB1E92" w:rsidRDefault="00FB1E92" w:rsidP="00B63987">
      <w:pPr>
        <w:jc w:val="both"/>
      </w:pPr>
      <w:r>
        <w:tab/>
        <w:t>L</w:t>
      </w:r>
      <w:r w:rsidR="00272A20">
        <w:t xml:space="preserve">e résultat principal </w:t>
      </w:r>
      <w:r>
        <w:t>d</w:t>
      </w:r>
      <w:r w:rsidR="00272A20">
        <w:t>u</w:t>
      </w:r>
      <w:r w:rsidR="00E634D3">
        <w:t xml:space="preserve"> chapitre est que la crise économique et fiscale a conduit à un renforcement de la contrainte budgétaire exercée par les gouvernements centraux sur les gouvernements régionaux</w:t>
      </w:r>
      <w:r>
        <w:t xml:space="preserve">, qui a pris des formes différentes dans les trois pays étudiés, mais </w:t>
      </w:r>
      <w:r w:rsidR="00CB4CC5">
        <w:t xml:space="preserve">qu’elle n’a conduit </w:t>
      </w:r>
      <w:r w:rsidR="00993F20">
        <w:t xml:space="preserve">ni à une réallocation </w:t>
      </w:r>
      <w:r>
        <w:t xml:space="preserve">du pouvoir budgétaire et fiscal, ni </w:t>
      </w:r>
      <w:r w:rsidR="00993F20">
        <w:t xml:space="preserve">à une </w:t>
      </w:r>
      <w:r>
        <w:t>recentralisation</w:t>
      </w:r>
      <w:r w:rsidR="008B0744">
        <w:t xml:space="preserve"> </w:t>
      </w:r>
      <w:r>
        <w:t xml:space="preserve">du pouvoir politique aux dépends des régions. Au contraire, </w:t>
      </w:r>
      <w:r w:rsidR="00023BA1">
        <w:t xml:space="preserve">les mobilisations de certaines régions dans les trois pays ont conduit </w:t>
      </w:r>
      <w:r w:rsidR="009A1C0A">
        <w:t>au verrouillage des tendances centrifuges déjà présentes avant la crise, vers plus d</w:t>
      </w:r>
      <w:r w:rsidR="00023BA1">
        <w:t>’asymétrie des compét</w:t>
      </w:r>
      <w:r w:rsidR="009A1C0A">
        <w:t xml:space="preserve">ences en Espagne, la </w:t>
      </w:r>
      <w:r w:rsidR="00023BA1">
        <w:t xml:space="preserve">poursuite de la </w:t>
      </w:r>
      <w:proofErr w:type="spellStart"/>
      <w:r>
        <w:rPr>
          <w:i/>
        </w:rPr>
        <w:t>devolution</w:t>
      </w:r>
      <w:proofErr w:type="spellEnd"/>
      <w:r>
        <w:rPr>
          <w:i/>
        </w:rPr>
        <w:t xml:space="preserve"> </w:t>
      </w:r>
      <w:r w:rsidR="00023BA1">
        <w:t>au Royaume-Uni</w:t>
      </w:r>
      <w:r>
        <w:t xml:space="preserve"> et </w:t>
      </w:r>
      <w:r w:rsidR="00023BA1">
        <w:t xml:space="preserve">davantage de </w:t>
      </w:r>
      <w:r>
        <w:t>diversité des in</w:t>
      </w:r>
      <w:r w:rsidR="00023BA1">
        <w:t>térêts régionaux en Allemagne</w:t>
      </w:r>
      <w:r>
        <w:t xml:space="preserve">. </w:t>
      </w:r>
    </w:p>
    <w:p w14:paraId="12F247DD" w14:textId="1DCE7652" w:rsidR="00FB1E92" w:rsidRDefault="00023BA1" w:rsidP="00B63987">
      <w:pPr>
        <w:jc w:val="both"/>
      </w:pPr>
      <w:r>
        <w:tab/>
        <w:t xml:space="preserve">La première partie étudie les effets de la crise sur la réallocation </w:t>
      </w:r>
      <w:r w:rsidR="00BE486A">
        <w:t>du pouvoir budgétaire et fiscal</w:t>
      </w:r>
      <w:r>
        <w:t xml:space="preserve"> entre les gouvernements centraux et région</w:t>
      </w:r>
      <w:r w:rsidR="00BE486A">
        <w:t>aux. La seconde partie examine s</w:t>
      </w:r>
      <w:r>
        <w:t xml:space="preserve">es effets sur la réallocation </w:t>
      </w:r>
      <w:r w:rsidR="00636C04">
        <w:t>du pouvoir politique</w:t>
      </w:r>
      <w:r>
        <w:t>.</w:t>
      </w:r>
    </w:p>
    <w:p w14:paraId="4469833B" w14:textId="77777777" w:rsidR="00482ECE" w:rsidRDefault="00482ECE" w:rsidP="00805158">
      <w:pPr>
        <w:jc w:val="both"/>
      </w:pPr>
    </w:p>
    <w:p w14:paraId="61F1F9DD" w14:textId="77777777" w:rsidR="001A3D95" w:rsidRDefault="001A3D95" w:rsidP="00805158">
      <w:pPr>
        <w:jc w:val="both"/>
      </w:pPr>
    </w:p>
    <w:p w14:paraId="0596828B" w14:textId="77777777" w:rsidR="00532376" w:rsidRDefault="00EB1027" w:rsidP="00805158">
      <w:pPr>
        <w:jc w:val="both"/>
        <w:rPr>
          <w:b/>
        </w:rPr>
      </w:pPr>
      <w:r>
        <w:rPr>
          <w:b/>
        </w:rPr>
        <w:t>1. Le renforcement de</w:t>
      </w:r>
      <w:r w:rsidR="00E06791">
        <w:rPr>
          <w:b/>
        </w:rPr>
        <w:t xml:space="preserve"> la contrainte budgétaire et fiscale </w:t>
      </w:r>
      <w:r w:rsidR="00E91654">
        <w:rPr>
          <w:b/>
        </w:rPr>
        <w:t>du centre sur les périphéries</w:t>
      </w:r>
    </w:p>
    <w:p w14:paraId="7A1ABE72" w14:textId="77777777" w:rsidR="00EB1027" w:rsidRPr="00E06791" w:rsidRDefault="00EB1027" w:rsidP="00805158">
      <w:pPr>
        <w:jc w:val="both"/>
        <w:rPr>
          <w:b/>
        </w:rPr>
      </w:pPr>
    </w:p>
    <w:p w14:paraId="0FAAE2C3" w14:textId="08D681C3" w:rsidR="00B91467" w:rsidRDefault="00D34F11" w:rsidP="00AF7959">
      <w:pPr>
        <w:ind w:firstLine="708"/>
        <w:jc w:val="both"/>
      </w:pPr>
      <w:r>
        <w:lastRenderedPageBreak/>
        <w:t>Avec la crise économique et fi</w:t>
      </w:r>
      <w:r w:rsidR="00657986">
        <w:t xml:space="preserve">scale, un </w:t>
      </w:r>
      <w:r>
        <w:t>renforcement de la contrainte budgétaire</w:t>
      </w:r>
      <w:r w:rsidR="007D342E">
        <w:t xml:space="preserve"> et fiscale</w:t>
      </w:r>
      <w:r>
        <w:t xml:space="preserve"> exercée par les gouvernements centraux sur les gouvernements régionaux </w:t>
      </w:r>
      <w:r w:rsidR="00657986">
        <w:t xml:space="preserve">est indéniablement advenu </w:t>
      </w:r>
      <w:r>
        <w:t xml:space="preserve">en Espagne, en Allemagne et au Royaume-Uni. </w:t>
      </w:r>
      <w:r w:rsidR="00804AA2">
        <w:t xml:space="preserve">En Espagne, ce renforcement a pris la forme de </w:t>
      </w:r>
      <w:r w:rsidR="00B91467">
        <w:t>l’</w:t>
      </w:r>
      <w:r w:rsidR="00804AA2">
        <w:t>imposition</w:t>
      </w:r>
      <w:r w:rsidR="00B91467">
        <w:t>,</w:t>
      </w:r>
      <w:r w:rsidR="00804AA2">
        <w:t xml:space="preserve"> </w:t>
      </w:r>
      <w:r w:rsidR="00DB3183">
        <w:t>en partie négociée</w:t>
      </w:r>
      <w:r w:rsidR="00B91467">
        <w:t xml:space="preserve"> avec les communautés autonomes, des contraintes européennes pesant sur le gouvernement central ;</w:t>
      </w:r>
      <w:r w:rsidR="00804AA2">
        <w:t xml:space="preserve"> en Allemagne, celle </w:t>
      </w:r>
      <w:r w:rsidR="00B91467">
        <w:t>de la négociation, essentiellement</w:t>
      </w:r>
      <w:r w:rsidR="005E706C">
        <w:t xml:space="preserve"> initiée</w:t>
      </w:r>
      <w:r w:rsidR="00B91467">
        <w:t xml:space="preserve"> en amont de la crise, </w:t>
      </w:r>
      <w:r w:rsidR="00804AA2">
        <w:t xml:space="preserve">de nouvelles règles </w:t>
      </w:r>
      <w:r w:rsidR="00B91467">
        <w:t xml:space="preserve">contraignantes pour les Länder et le gouvernement fédéral ; </w:t>
      </w:r>
      <w:r w:rsidR="00804AA2">
        <w:t xml:space="preserve">et au Royaume-Uni, </w:t>
      </w:r>
      <w:r w:rsidR="004A4502">
        <w:t xml:space="preserve">celle </w:t>
      </w:r>
      <w:r w:rsidR="00804AA2">
        <w:t>d</w:t>
      </w:r>
      <w:r w:rsidR="00B91467">
        <w:t>e l’</w:t>
      </w:r>
      <w:r w:rsidR="00804AA2">
        <w:t>imposition automatique</w:t>
      </w:r>
      <w:r w:rsidR="00B91467">
        <w:t xml:space="preserve"> des décisions</w:t>
      </w:r>
      <w:r w:rsidR="004A4502">
        <w:t xml:space="preserve"> de coupes budgétaires</w:t>
      </w:r>
      <w:r w:rsidR="00B91467">
        <w:t xml:space="preserve"> du gouvernement </w:t>
      </w:r>
      <w:r w:rsidR="00862734">
        <w:t>britannique pour l’Angleterre</w:t>
      </w:r>
      <w:r w:rsidR="00B91467">
        <w:t xml:space="preserve"> sur les ressources de l’Ecosse et du Pays de Galle</w:t>
      </w:r>
      <w:r w:rsidR="009A0647">
        <w:t>s</w:t>
      </w:r>
      <w:r w:rsidR="00B91467">
        <w:t>, par l’application mécanique de la formule qui organise la distribution des ressources fiscales entre les composantes du Royaume-Uni</w:t>
      </w:r>
      <w:r w:rsidR="00804AA2">
        <w:t xml:space="preserve">. </w:t>
      </w:r>
      <w:r w:rsidR="00AF7959">
        <w:t>Toutefois,</w:t>
      </w:r>
      <w:r w:rsidR="00374973">
        <w:t xml:space="preserve"> ce renforcement n’a pas conduit à une réallocation du pouvoir f</w:t>
      </w:r>
      <w:r w:rsidR="00B91467">
        <w:t>iscal et budgétaire au profit des gouvernements centraux</w:t>
      </w:r>
      <w:r w:rsidR="00804AA2">
        <w:t>. C</w:t>
      </w:r>
      <w:r w:rsidR="00B50714">
        <w:t>’est même le contraire en Espagne où</w:t>
      </w:r>
      <w:r w:rsidR="00AF7959">
        <w:t>,</w:t>
      </w:r>
      <w:r w:rsidR="00B50714">
        <w:t xml:space="preserve"> depuis 2009</w:t>
      </w:r>
      <w:r w:rsidR="00AF7959">
        <w:t>,</w:t>
      </w:r>
      <w:r w:rsidR="00B50714">
        <w:t xml:space="preserve"> les communautés autonomes ont accès à de nouvelles ressources</w:t>
      </w:r>
      <w:r w:rsidR="00AF7959">
        <w:t xml:space="preserve"> fiscales</w:t>
      </w:r>
      <w:r w:rsidR="00B50714">
        <w:t xml:space="preserve">. </w:t>
      </w:r>
      <w:r w:rsidR="006B2CC3">
        <w:t>Pour comprendre cette évolution, en partie paradoxale dans le cas espagnol,</w:t>
      </w:r>
      <w:r w:rsidR="006B2CC3" w:rsidRPr="006B2CC3">
        <w:t xml:space="preserve"> </w:t>
      </w:r>
      <w:r w:rsidR="006B2CC3">
        <w:t>l’ampleur de la crise à</w:t>
      </w:r>
      <w:r w:rsidR="00BE486A">
        <w:t xml:space="preserve"> laquelle chaque Etat</w:t>
      </w:r>
      <w:r w:rsidR="00FE22ED">
        <w:t xml:space="preserve"> a</w:t>
      </w:r>
      <w:r w:rsidR="00BE486A">
        <w:t xml:space="preserve"> fait face et</w:t>
      </w:r>
      <w:r w:rsidR="006B2CC3">
        <w:t xml:space="preserve"> la temporalité de son développement</w:t>
      </w:r>
      <w:r w:rsidR="00BE486A">
        <w:t xml:space="preserve"> sont à considérer</w:t>
      </w:r>
      <w:r w:rsidR="006B2CC3">
        <w:t>, mais aussi, et surtout,</w:t>
      </w:r>
      <w:r w:rsidR="006B2CC3" w:rsidRPr="006B2CC3">
        <w:t xml:space="preserve"> </w:t>
      </w:r>
      <w:r w:rsidR="00BE486A">
        <w:t>les</w:t>
      </w:r>
      <w:r w:rsidR="006B2CC3">
        <w:t xml:space="preserve"> facteurs domestiques qui la médiatisent</w:t>
      </w:r>
      <w:r w:rsidR="004A4502">
        <w:t> :</w:t>
      </w:r>
      <w:r w:rsidR="006B2CC3" w:rsidRPr="006B2CC3">
        <w:t xml:space="preserve"> </w:t>
      </w:r>
      <w:r w:rsidR="006B2CC3">
        <w:t>les dispositifs existant</w:t>
      </w:r>
      <w:r w:rsidR="00D24F90">
        <w:t>s d’allocation des ressources</w:t>
      </w:r>
      <w:r w:rsidR="009245B9">
        <w:t>,</w:t>
      </w:r>
      <w:r w:rsidR="006B2CC3">
        <w:t xml:space="preserve"> la dynamique des relations intergouvernementales</w:t>
      </w:r>
      <w:r w:rsidR="006B2CC3">
        <w:rPr>
          <w:rStyle w:val="Appelnotedebasdep"/>
        </w:rPr>
        <w:footnoteReference w:id="8"/>
      </w:r>
      <w:r w:rsidR="00D24F90">
        <w:t xml:space="preserve"> et, plus largement, les rapport</w:t>
      </w:r>
      <w:r w:rsidR="00565130">
        <w:t>s</w:t>
      </w:r>
      <w:r w:rsidR="00D24F90">
        <w:t xml:space="preserve"> de pouvoir entre centre et périphéries</w:t>
      </w:r>
      <w:r w:rsidR="006B2CC3" w:rsidRPr="00DB3183">
        <w:t xml:space="preserve"> </w:t>
      </w:r>
      <w:r w:rsidR="006B2CC3">
        <w:t>sur le moyen terme.</w:t>
      </w:r>
      <w:r w:rsidR="004A4502">
        <w:t xml:space="preserve"> Les cas de l’Espagne, de l’Allemagne et du Royaume-Uni sont </w:t>
      </w:r>
      <w:r w:rsidR="00FE22ED">
        <w:t>successivement examinés</w:t>
      </w:r>
      <w:r w:rsidR="004A4502">
        <w:t>.</w:t>
      </w:r>
    </w:p>
    <w:p w14:paraId="7A69C34F" w14:textId="77777777" w:rsidR="00BF6095" w:rsidRDefault="00BF6095" w:rsidP="00AF7959">
      <w:pPr>
        <w:ind w:firstLine="708"/>
        <w:jc w:val="both"/>
      </w:pPr>
    </w:p>
    <w:p w14:paraId="649B7403" w14:textId="658CE6D0" w:rsidR="00A63462" w:rsidRDefault="00154F38" w:rsidP="00DE4599">
      <w:pPr>
        <w:ind w:firstLine="708"/>
        <w:jc w:val="both"/>
      </w:pPr>
      <w:r>
        <w:t>Des trois pays étudiés dans ce chapitre, l’Espagne est celui qui a subi les plus fortes pressions à l’ajustement budgétaire et fiscal de la part d</w:t>
      </w:r>
      <w:r w:rsidR="00671202">
        <w:t>es institutions européennes. I</w:t>
      </w:r>
      <w:r>
        <w:t>l s’agit aussi du pays dont le déficit et la dette publique ont été les plus dégradés depuis l’éclatement de la crise financière et économique. De fait, les communautés autonomes sont également les régions dont les décisions budgétaires</w:t>
      </w:r>
      <w:r w:rsidR="007D342E">
        <w:t xml:space="preserve"> et fiscales</w:t>
      </w:r>
      <w:r>
        <w:t xml:space="preserve"> ont été les plus encadrées par leur gouvernement central. </w:t>
      </w:r>
      <w:r w:rsidR="007D342E">
        <w:t xml:space="preserve">Toutefois, ce renforcement de la contrainte budgétaire et fiscale n’a pas immédiatement eu lieu. Entre 2007 </w:t>
      </w:r>
      <w:r w:rsidR="005A318D">
        <w:t xml:space="preserve">en effet, lorsque la crise financière </w:t>
      </w:r>
      <w:r w:rsidR="00A3125B">
        <w:t xml:space="preserve">a </w:t>
      </w:r>
      <w:r w:rsidR="005A318D">
        <w:t>é</w:t>
      </w:r>
      <w:r w:rsidR="00A3125B">
        <w:t>claté</w:t>
      </w:r>
      <w:r w:rsidR="00235F03">
        <w:t>, la situation espagnole étai</w:t>
      </w:r>
      <w:r w:rsidR="005A318D">
        <w:t>t loin d’être mauvaise : les dépenses régionales étaient presque équilibrées et le gouvernement central était en excédent, à hauteur de 1,9% du PIB</w:t>
      </w:r>
      <w:r w:rsidR="00B047E8">
        <w:t xml:space="preserve"> </w:t>
      </w:r>
      <w:r w:rsidR="00B047E8">
        <w:fldChar w:fldCharType="begin"/>
      </w:r>
      <w:r w:rsidR="00665410">
        <w:instrText xml:space="preserve"> ADDIN ZOTERO_ITEM CSL_CITATION {"citationID":"107pufs1sc","properties":{"formattedCitation":"(Colino &amp; Del Pino, 2014)","plainCitation":"(Colino &amp; Del Pino, 2014)","noteIndex":0},"citationItems":[{"id":935,"uris":["http://zotero.org/users/1894092/items/AG68ZCQT"],"uri":["http://zotero.org/users/1894092/items/AG68ZCQT"],"itemData":{"id":935,"type":"chapter","title":"Spanish Federalism in Crisis","container-title":"The Global Debt Crisis. Haunting US and European Federalism","publisher":"Brookings Institution Press","publisher-place":"Washington, DC","page":"159-178","event-place":"Washington, DC","author":[{"family":"Colino","given":"César"},{"family":"Del Pino","given":"Eloisa"}],"container-author":[{"family":"Peterson","given":"Paul E."},{"family":"Nadler, Daniel J.","given":""}],"issued":{"date-parts":[["2014"]]}}}],"schema":"https://github.com/citation-style-language/schema/raw/master/csl-citation.json"} </w:instrText>
      </w:r>
      <w:r w:rsidR="00B047E8">
        <w:fldChar w:fldCharType="separate"/>
      </w:r>
      <w:r w:rsidR="00B047E8" w:rsidRPr="00B047E8">
        <w:t>(</w:t>
      </w:r>
      <w:proofErr w:type="spellStart"/>
      <w:r w:rsidR="00B047E8" w:rsidRPr="00B047E8">
        <w:t>Colino</w:t>
      </w:r>
      <w:proofErr w:type="spellEnd"/>
      <w:r w:rsidR="00B047E8" w:rsidRPr="00B047E8">
        <w:t xml:space="preserve"> &amp; Del Pino, 2014)</w:t>
      </w:r>
      <w:r w:rsidR="00B047E8">
        <w:fldChar w:fldCharType="end"/>
      </w:r>
      <w:r w:rsidR="005A318D">
        <w:t>. Dans un premier temps</w:t>
      </w:r>
      <w:r w:rsidR="00446545">
        <w:t xml:space="preserve">, entre 2007 et 2009, les communautés autonomes ont fait face à </w:t>
      </w:r>
      <w:r w:rsidR="00A3125B">
        <w:t xml:space="preserve">des incitations contradictoires : certes, des objectifs de consolidation fiscale avaient été introduits en 2001 et en 2006, mais le gouvernement central n’a pas </w:t>
      </w:r>
      <w:r w:rsidR="004C3143">
        <w:t xml:space="preserve">amené les communautés autonomes à les respecter. En effet, ce dernier a développé </w:t>
      </w:r>
      <w:r w:rsidR="00446545">
        <w:t>de</w:t>
      </w:r>
      <w:r w:rsidR="004C3143">
        <w:t>s</w:t>
      </w:r>
      <w:r w:rsidR="00446545">
        <w:t xml:space="preserve"> politiques contra-cycliques de soutien à la dema</w:t>
      </w:r>
      <w:r w:rsidR="004C3143">
        <w:t>nde, qui ont augmenté</w:t>
      </w:r>
      <w:r w:rsidR="00446545">
        <w:t xml:space="preserve"> les dépenses publiques et notamment </w:t>
      </w:r>
      <w:r w:rsidR="004C3143">
        <w:t>cel</w:t>
      </w:r>
      <w:r w:rsidR="00516077">
        <w:t xml:space="preserve">les </w:t>
      </w:r>
      <w:r w:rsidR="004C3143">
        <w:t>des régions</w:t>
      </w:r>
      <w:r w:rsidR="00BE486A">
        <w:t xml:space="preserve"> </w:t>
      </w:r>
      <w:r w:rsidR="00B047E8">
        <w:t xml:space="preserve">(Braun &amp; </w:t>
      </w:r>
      <w:proofErr w:type="spellStart"/>
      <w:r w:rsidR="00B047E8">
        <w:t>T</w:t>
      </w:r>
      <w:r w:rsidR="00446545">
        <w:t>rein</w:t>
      </w:r>
      <w:proofErr w:type="spellEnd"/>
      <w:r w:rsidR="00446545">
        <w:t xml:space="preserve">, 2014). </w:t>
      </w:r>
      <w:r w:rsidR="004C3143">
        <w:t xml:space="preserve">De plus, les dispositifs </w:t>
      </w:r>
      <w:r w:rsidR="00446545">
        <w:t>d’allocation des ressources aux communautés autonomes</w:t>
      </w:r>
      <w:r w:rsidR="004C3143">
        <w:t>, essentiellement fondés</w:t>
      </w:r>
      <w:r w:rsidR="00446545">
        <w:t xml:space="preserve"> sur le partage des revenus de l’impôt</w:t>
      </w:r>
      <w:r w:rsidR="00251E44">
        <w:t xml:space="preserve"> et des dotations d’égalisation</w:t>
      </w:r>
      <w:r w:rsidR="00DD02E0">
        <w:rPr>
          <w:rStyle w:val="Appelnotedebasdep"/>
        </w:rPr>
        <w:footnoteReference w:id="9"/>
      </w:r>
      <w:r w:rsidR="007646DC">
        <w:t xml:space="preserve">, </w:t>
      </w:r>
      <w:r w:rsidR="00446545">
        <w:t>produit</w:t>
      </w:r>
      <w:r w:rsidR="00DD02E0">
        <w:t xml:space="preserve"> de ce fait</w:t>
      </w:r>
      <w:r w:rsidR="00446545">
        <w:t xml:space="preserve"> une </w:t>
      </w:r>
      <w:proofErr w:type="spellStart"/>
      <w:r w:rsidR="00446545">
        <w:t>désincitation</w:t>
      </w:r>
      <w:proofErr w:type="spellEnd"/>
      <w:r w:rsidR="00446545">
        <w:t xml:space="preserve"> structurelle à la modé</w:t>
      </w:r>
      <w:r w:rsidR="00DD02E0">
        <w:t xml:space="preserve">ration des communautés autonomes, accrue par la clause de </w:t>
      </w:r>
      <w:r w:rsidR="00E8480E">
        <w:rPr>
          <w:i/>
        </w:rPr>
        <w:t xml:space="preserve">bail </w:t>
      </w:r>
      <w:r w:rsidR="00DD02E0" w:rsidRPr="00DE4599">
        <w:rPr>
          <w:i/>
        </w:rPr>
        <w:t>out</w:t>
      </w:r>
      <w:r w:rsidR="00DD02E0">
        <w:t xml:space="preserve"> par le gouvernement central</w:t>
      </w:r>
      <w:r w:rsidR="00E11764">
        <w:t xml:space="preserve"> qui existe </w:t>
      </w:r>
      <w:r w:rsidR="00E11764">
        <w:rPr>
          <w:i/>
        </w:rPr>
        <w:t>de facto</w:t>
      </w:r>
      <w:r w:rsidR="00DD02E0">
        <w:t>.</w:t>
      </w:r>
      <w:r w:rsidR="005B2174">
        <w:t xml:space="preserve"> </w:t>
      </w:r>
      <w:r w:rsidR="00E74443">
        <w:t>En 2009 est aussi entrée en vigueur une réforme qui attribue davantage de ressources aux régions</w:t>
      </w:r>
      <w:r w:rsidR="00B70743">
        <w:t>, sous la forme d’une part plus grande des revenus tirés des impôts nationaux. Cette réforme</w:t>
      </w:r>
      <w:r w:rsidR="00E74443">
        <w:t xml:space="preserve"> s’inscrit dans </w:t>
      </w:r>
      <w:r w:rsidR="00E11764">
        <w:t xml:space="preserve">la continuité </w:t>
      </w:r>
      <w:r w:rsidR="00E74443">
        <w:t>des relations centre-périphéries antérieure</w:t>
      </w:r>
      <w:r w:rsidR="00E11764">
        <w:t>s à la crise</w:t>
      </w:r>
      <w:r w:rsidR="003C3D88">
        <w:t xml:space="preserve">. Elle </w:t>
      </w:r>
      <w:r w:rsidR="00E74443">
        <w:t>a</w:t>
      </w:r>
      <w:r w:rsidR="00E11764">
        <w:t xml:space="preserve"> dès lors</w:t>
      </w:r>
      <w:r w:rsidR="00E74443">
        <w:t xml:space="preserve"> peu à voir avec la gestion de la crise</w:t>
      </w:r>
      <w:r w:rsidR="00B70743">
        <w:t xml:space="preserve"> mais davantage avec les contestations</w:t>
      </w:r>
      <w:r w:rsidR="00DC5A06">
        <w:t xml:space="preserve"> anciennes</w:t>
      </w:r>
      <w:r w:rsidR="00B70743">
        <w:t xml:space="preserve"> des régions les plus riches portant sur le système d’allocation des ressources</w:t>
      </w:r>
      <w:r w:rsidR="00E74443">
        <w:t xml:space="preserve">. </w:t>
      </w:r>
      <w:r w:rsidR="00B021CF">
        <w:t>Ces évolutions se sont</w:t>
      </w:r>
      <w:r w:rsidR="004C3143">
        <w:t xml:space="preserve"> traduit</w:t>
      </w:r>
      <w:r w:rsidR="00B021CF">
        <w:t>es</w:t>
      </w:r>
      <w:r w:rsidR="004C3143">
        <w:t xml:space="preserve">, </w:t>
      </w:r>
      <w:r w:rsidR="004C3143">
        <w:lastRenderedPageBreak/>
        <w:t>e</w:t>
      </w:r>
      <w:r w:rsidR="00A63462">
        <w:t xml:space="preserve">ntre 2007 et 2009, </w:t>
      </w:r>
      <w:r w:rsidR="004C3143">
        <w:t>par un fort accroissement</w:t>
      </w:r>
      <w:r w:rsidR="00F20E36">
        <w:t xml:space="preserve"> </w:t>
      </w:r>
      <w:r w:rsidR="004C3143">
        <w:t>d</w:t>
      </w:r>
      <w:r w:rsidR="00EE2A0E">
        <w:t>es déficits régionaux, qui se por</w:t>
      </w:r>
      <w:r w:rsidR="003C3D88">
        <w:t>tait</w:t>
      </w:r>
      <w:r w:rsidR="00EE2A0E">
        <w:t xml:space="preserve"> à 2,83% du PIB, </w:t>
      </w:r>
      <w:r w:rsidR="00A63462">
        <w:t xml:space="preserve">et </w:t>
      </w:r>
      <w:r w:rsidR="004C3143">
        <w:t>par une explosion de recours à l’emprunt</w:t>
      </w:r>
      <w:r w:rsidR="00A63462">
        <w:t xml:space="preserve"> des régions </w:t>
      </w:r>
      <w:r w:rsidR="00EE2A0E">
        <w:t xml:space="preserve">sur les marchés financiers. Avant la crise, les régions empruntaient annuellement environ 6 milliards d’euros et, en 2011, </w:t>
      </w:r>
      <w:r w:rsidR="00DC5A06">
        <w:t xml:space="preserve">elles ont emprunté </w:t>
      </w:r>
      <w:r w:rsidR="00EE2A0E">
        <w:t>près de 30 milliards</w:t>
      </w:r>
      <w:r w:rsidR="00A63462">
        <w:t xml:space="preserve">. </w:t>
      </w:r>
      <w:r w:rsidR="004C3143">
        <w:t xml:space="preserve">En ce sens, les communautés autonomes ont bien adopté un comportement opportuniste (Braun &amp; </w:t>
      </w:r>
      <w:proofErr w:type="spellStart"/>
      <w:r w:rsidR="004C3143">
        <w:t>Trein</w:t>
      </w:r>
      <w:proofErr w:type="spellEnd"/>
      <w:r w:rsidR="004C3143">
        <w:t>, 2014).</w:t>
      </w:r>
      <w:r w:rsidR="00565130">
        <w:t xml:space="preserve"> </w:t>
      </w:r>
      <w:r w:rsidR="0061303B">
        <w:t>E</w:t>
      </w:r>
      <w:r w:rsidR="00565130">
        <w:t>ntre 2007 et 2009</w:t>
      </w:r>
      <w:r w:rsidR="0061303B">
        <w:t xml:space="preserve"> ainsi</w:t>
      </w:r>
      <w:r w:rsidR="00565130">
        <w:t>, les relations centre-périphéries en Espagne s’inscrivent dans la continuité de la période précédente</w:t>
      </w:r>
      <w:r w:rsidR="002C06FC">
        <w:t xml:space="preserve"> et sont caractérisées par une augmentation des ressources régionales aux dépends du gouvernement national</w:t>
      </w:r>
      <w:r w:rsidR="00565130">
        <w:t>.</w:t>
      </w:r>
      <w:r w:rsidR="004C3143">
        <w:t xml:space="preserve"> </w:t>
      </w:r>
      <w:r w:rsidR="00E74443">
        <w:t xml:space="preserve">Toutefois, </w:t>
      </w:r>
      <w:r w:rsidR="009302A1">
        <w:t>d</w:t>
      </w:r>
      <w:r w:rsidR="00E11764">
        <w:t>es changements sont également à noter puisque sur cette première période</w:t>
      </w:r>
      <w:r w:rsidR="00E74443">
        <w:t xml:space="preserve"> </w:t>
      </w:r>
      <w:r w:rsidR="00F20E36">
        <w:t>le gouvernement central a transgressé quelques compétences régionales à la faveur de sa gestion de la dégradation de la situation économique et fiscale du pays</w:t>
      </w:r>
      <w:r w:rsidR="00B047E8">
        <w:t xml:space="preserve"> </w:t>
      </w:r>
      <w:r w:rsidR="00B047E8">
        <w:fldChar w:fldCharType="begin"/>
      </w:r>
      <w:r w:rsidR="00665410">
        <w:instrText xml:space="preserve"> ADDIN ZOTERO_ITEM CSL_CITATION {"citationID":"2ejbroq9sd","properties":{"formattedCitation":"(Colino &amp; Del Pino, 2014)","plainCitation":"(Colino &amp; Del Pino, 2014)","noteIndex":0},"citationItems":[{"id":935,"uris":["http://zotero.org/users/1894092/items/AG68ZCQT"],"uri":["http://zotero.org/users/1894092/items/AG68ZCQT"],"itemData":{"id":935,"type":"chapter","title":"Spanish Federalism in Crisis","container-title":"The Global Debt Crisis. Haunting US and European Federalism","publisher":"Brookings Institution Press","publisher-place":"Washington, DC","page":"159-178","event-place":"Washington, DC","author":[{"family":"Colino","given":"César"},{"family":"Del Pino","given":"Eloisa"}],"container-author":[{"family":"Peterson","given":"Paul E."},{"family":"Nadler, Daniel J.","given":""}],"issued":{"date-parts":[["2014"]]}}}],"schema":"https://github.com/citation-style-language/schema/raw/master/csl-citation.json"} </w:instrText>
      </w:r>
      <w:r w:rsidR="00B047E8">
        <w:fldChar w:fldCharType="separate"/>
      </w:r>
      <w:r w:rsidR="00B047E8" w:rsidRPr="00B047E8">
        <w:t>(</w:t>
      </w:r>
      <w:proofErr w:type="spellStart"/>
      <w:r w:rsidR="00B047E8" w:rsidRPr="00B047E8">
        <w:t>Colino</w:t>
      </w:r>
      <w:proofErr w:type="spellEnd"/>
      <w:r w:rsidR="00B047E8" w:rsidRPr="00B047E8">
        <w:t xml:space="preserve"> &amp; Del Pino, 2014)</w:t>
      </w:r>
      <w:r w:rsidR="00B047E8">
        <w:fldChar w:fldCharType="end"/>
      </w:r>
      <w:r w:rsidR="00F20E36">
        <w:t xml:space="preserve">. A partir de 2008 ainsi, les régions se sont trouvées exclues de l’attribution et de la gestion des subventions et des fonds du gouvernement central dédiés aux municipalités pour les travaux publics et les services sociaux. De plus, en ce qui concerne les subventions du gouvernement central pour les industries en difficulté, les régions ont là aussi été contournées par </w:t>
      </w:r>
      <w:r w:rsidR="003C3D88">
        <w:t>ce dernier</w:t>
      </w:r>
      <w:r w:rsidR="00F20E36">
        <w:t>. Enfin, dans le cadre de la réforme du secteur bancaire, la plupart des banques de dépôt régionales, qui ressortissent de la compétence des régions, ont été contraintes par la banque centrale d’Espagne à fusionner et à se transformer en banques de plein exercice, qui relèvent pour leur part de la compétence du gouvernement central.</w:t>
      </w:r>
    </w:p>
    <w:p w14:paraId="15177EEF" w14:textId="29C7D730" w:rsidR="003A3EDD" w:rsidRDefault="00E572C6" w:rsidP="003A3EDD">
      <w:pPr>
        <w:ind w:firstLine="708"/>
        <w:jc w:val="both"/>
      </w:pPr>
      <w:r>
        <w:t xml:space="preserve">Si les compétences des régions espagnoles ont été ponctuellement transgressées par le gouvernement central avant 2009, la situation </w:t>
      </w:r>
      <w:r w:rsidR="0037548B">
        <w:t>a significativement</w:t>
      </w:r>
      <w:r>
        <w:t xml:space="preserve"> </w:t>
      </w:r>
      <w:r w:rsidR="0037548B">
        <w:t xml:space="preserve">changé </w:t>
      </w:r>
      <w:r>
        <w:t>à cette</w:t>
      </w:r>
      <w:r w:rsidR="00E74443">
        <w:t xml:space="preserve"> date. Le déficit national s’était</w:t>
      </w:r>
      <w:r w:rsidR="00567003">
        <w:t xml:space="preserve"> </w:t>
      </w:r>
      <w:r w:rsidR="003C3D88">
        <w:t xml:space="preserve">massivement </w:t>
      </w:r>
      <w:r w:rsidR="00567003">
        <w:t>dégradé : il est passé de 9,2% du PIB en 2010 à 11,1% en 2011 ;</w:t>
      </w:r>
      <w:r>
        <w:t xml:space="preserve"> comme la dette publique, </w:t>
      </w:r>
      <w:r w:rsidR="00567003">
        <w:t>qui s’est accrue de 36,1% en 2007 à</w:t>
      </w:r>
      <w:r>
        <w:t xml:space="preserve"> 60,1% en 2010. La sit</w:t>
      </w:r>
      <w:r w:rsidR="00567003">
        <w:t>uation fiscale des régions s’était</w:t>
      </w:r>
      <w:r>
        <w:t xml:space="preserve"> aussi très fortement détériorée</w:t>
      </w:r>
      <w:r w:rsidR="003C3ABB">
        <w:t>. A la suite du recours massif à l’emprunt, les communautés autonomes se sont progressivement vues fermer l’accès au crédit, ce qui a engendré des problèmes de liquidité importants</w:t>
      </w:r>
      <w:r w:rsidR="00A47F9C">
        <w:t xml:space="preserve">. Les régions espagnoles n’ont pas été dans la même situation sur les marchés financiers : l’écart entre les obligations des régions les mieux cotées – c’est-à-dire les moins endettées comme Madrid et le Pays Basque – et les bonds de Trésor espagnol était de 80 points, contre 300 pour les régions les moins bien cotées – comme Valence, la Catalogne, ou </w:t>
      </w:r>
      <w:proofErr w:type="spellStart"/>
      <w:r w:rsidR="00A47F9C">
        <w:t>Castille La</w:t>
      </w:r>
      <w:proofErr w:type="spellEnd"/>
      <w:r w:rsidR="00A47F9C">
        <w:t xml:space="preserve"> Manche</w:t>
      </w:r>
      <w:r w:rsidR="003C3ABB">
        <w:t>. Mais la dégradation de la situation budgétaire des régions s’explique aussi autrement que par leurs seules dépenses et recours à l’emprunt. L</w:t>
      </w:r>
      <w:r>
        <w:t>’éclatem</w:t>
      </w:r>
      <w:r w:rsidR="003C3ABB">
        <w:t xml:space="preserve">ent de la bulle immobilière </w:t>
      </w:r>
      <w:r>
        <w:t>a</w:t>
      </w:r>
      <w:r w:rsidR="003C3ABB">
        <w:t xml:space="preserve"> en effet</w:t>
      </w:r>
      <w:r>
        <w:t xml:space="preserve"> réduit de 30% </w:t>
      </w:r>
      <w:r w:rsidR="003C3ABB">
        <w:t xml:space="preserve">leurs </w:t>
      </w:r>
      <w:r>
        <w:t>ressources fiscales</w:t>
      </w:r>
      <w:r w:rsidR="003C3ABB">
        <w:t xml:space="preserve">, sans que </w:t>
      </w:r>
      <w:r w:rsidR="00DE4599">
        <w:t xml:space="preserve">cela </w:t>
      </w:r>
      <w:r w:rsidR="003C3ABB">
        <w:t>ait pu être anticipé</w:t>
      </w:r>
      <w:r>
        <w:t xml:space="preserve">. En 2009, la Commission a ouvert une procédure pour déficit excessif : le gouvernement central s’est ainsi trouvé sous le contrôle étroit de la Commission. </w:t>
      </w:r>
      <w:r w:rsidR="003C3D88">
        <w:t>Il</w:t>
      </w:r>
      <w:r>
        <w:t xml:space="preserve"> a mis les communautés sous </w:t>
      </w:r>
      <w:r w:rsidR="00576854">
        <w:t xml:space="preserve">de </w:t>
      </w:r>
      <w:r>
        <w:t xml:space="preserve">fortes pressions. </w:t>
      </w:r>
      <w:r w:rsidR="00995770">
        <w:t xml:space="preserve">Au printemps 2010, le gouvernement central </w:t>
      </w:r>
      <w:r w:rsidR="00576854">
        <w:t>a imposé</w:t>
      </w:r>
      <w:r w:rsidR="00995770">
        <w:t xml:space="preserve"> des coupes dans les salaires des fonctionnaires et de tous les autres employés publics, ce qui a</w:t>
      </w:r>
      <w:r w:rsidR="00576854">
        <w:t xml:space="preserve"> eu</w:t>
      </w:r>
      <w:r w:rsidR="00995770">
        <w:t xml:space="preserve"> pour effet de limiter directement la capacité des régions à organiser leur propre administration. </w:t>
      </w:r>
      <w:r w:rsidR="00576854">
        <w:t xml:space="preserve">Le changement majeur a été introduit en avril 2012 avec l’amendement </w:t>
      </w:r>
      <w:r w:rsidR="00995770">
        <w:t>à l’article 135 de la Constitution</w:t>
      </w:r>
      <w:r w:rsidR="00576854">
        <w:t>. Ce dernier</w:t>
      </w:r>
      <w:r w:rsidR="00995770">
        <w:t xml:space="preserve"> fixe des limites aux dépenses et aux emprunts publics sur le modèle du Fiscal compact européen. Plus précisément, les objectifs de réduction des déficits et de la dette sont fixés unilatéralement par le gouvernement central sans l’accord des ministres régionaux concernés. Un contrôle str</w:t>
      </w:r>
      <w:r w:rsidR="00576854">
        <w:t>ict du respect des objectifs a aussi été aussi mis en place, le gouvernement central devan</w:t>
      </w:r>
      <w:r w:rsidR="003A3EDD">
        <w:t>t approuver les budg</w:t>
      </w:r>
      <w:r w:rsidR="00576854">
        <w:t>ets des gouvernements régionaux</w:t>
      </w:r>
      <w:r w:rsidR="003A3EDD">
        <w:t xml:space="preserve"> </w:t>
      </w:r>
      <w:r w:rsidR="00995770">
        <w:t>et des sanctions pou</w:t>
      </w:r>
      <w:r w:rsidR="00576854">
        <w:t xml:space="preserve">r non-respect de ces objectifs </w:t>
      </w:r>
      <w:r w:rsidR="00995770">
        <w:t xml:space="preserve">ont </w:t>
      </w:r>
      <w:r w:rsidR="00576854">
        <w:t>été introduites. E</w:t>
      </w:r>
      <w:r w:rsidR="00995770">
        <w:t>n</w:t>
      </w:r>
      <w:r w:rsidR="00576854">
        <w:t>fin, en</w:t>
      </w:r>
      <w:r w:rsidR="00995770">
        <w:t xml:space="preserve"> avril 2012</w:t>
      </w:r>
      <w:r w:rsidR="00576854">
        <w:t xml:space="preserve">, </w:t>
      </w:r>
      <w:r w:rsidR="00995770">
        <w:t>ont</w:t>
      </w:r>
      <w:r w:rsidR="00576854">
        <w:t xml:space="preserve"> été</w:t>
      </w:r>
      <w:r w:rsidR="00995770">
        <w:t xml:space="preserve"> </w:t>
      </w:r>
      <w:r w:rsidR="00DE178E">
        <w:t>mises en place</w:t>
      </w:r>
      <w:r w:rsidR="00995770">
        <w:t xml:space="preserve"> des mesures visant à réduire les dépenses régionales en matière de santé et d’éducation à hauteur de 10 milliards d’euros. </w:t>
      </w:r>
      <w:r w:rsidR="001F0593">
        <w:t xml:space="preserve">On voit donc que la dégradation des indicateurs macroéconomiques, médiatisée par la décision de la Commission d’enclencher une procédure pour déficit excessif, conduit à une forte recentralisation du pouvoir fiscal et budgétaire aux dépends des communautés autonomes. Le rôle joué par l’Union européenne et la contrainte </w:t>
      </w:r>
      <w:r w:rsidR="001F0593">
        <w:lastRenderedPageBreak/>
        <w:t>qu’il a exercé sur le gouvernement espagnol et, par suite, sur les relations centre-périphéries sur le plan de l’allocation des ressources, est dans ce cas lié à l’ampleur de la crise</w:t>
      </w:r>
      <w:r w:rsidR="001F0593">
        <w:rPr>
          <w:rStyle w:val="Appelnotedebasdep"/>
        </w:rPr>
        <w:footnoteReference w:id="10"/>
      </w:r>
      <w:r w:rsidR="001F0593">
        <w:t>.</w:t>
      </w:r>
    </w:p>
    <w:p w14:paraId="70C2A22D" w14:textId="53093598" w:rsidR="00357CA1" w:rsidRDefault="001774D5" w:rsidP="00A52FB4">
      <w:pPr>
        <w:ind w:firstLine="708"/>
        <w:jc w:val="both"/>
      </w:pPr>
      <w:r>
        <w:t xml:space="preserve">En parallèle, </w:t>
      </w:r>
      <w:r w:rsidR="00F67360">
        <w:t>conformé</w:t>
      </w:r>
      <w:r w:rsidR="00A52FB4">
        <w:t xml:space="preserve">ment aux modalités </w:t>
      </w:r>
      <w:r w:rsidR="00F67360">
        <w:t>de l’allocation des ressources entre les échelons de gouvernement</w:t>
      </w:r>
      <w:r w:rsidR="00A52FB4">
        <w:t>, fondées sur le partage des ressources et la solidarité entre les échelons</w:t>
      </w:r>
      <w:r w:rsidR="00F67360">
        <w:t xml:space="preserve">, </w:t>
      </w:r>
      <w:r w:rsidR="009B58EA">
        <w:t>les régions ont été en mesure de négocier des contreparties. L</w:t>
      </w:r>
      <w:r>
        <w:t>e gouvernement central a a</w:t>
      </w:r>
      <w:r w:rsidR="009B58EA">
        <w:t>insi</w:t>
      </w:r>
      <w:r>
        <w:t xml:space="preserve"> introduit des mesures pour éviter un défaut</w:t>
      </w:r>
      <w:r w:rsidR="00F67360">
        <w:t xml:space="preserve"> des régions en difficulté. Un f</w:t>
      </w:r>
      <w:r>
        <w:t>ond</w:t>
      </w:r>
      <w:r w:rsidR="00357CA1">
        <w:t>s</w:t>
      </w:r>
      <w:r>
        <w:t xml:space="preserve"> a </w:t>
      </w:r>
      <w:r w:rsidR="00F67360">
        <w:t xml:space="preserve">ainsi </w:t>
      </w:r>
      <w:r>
        <w:t xml:space="preserve">été introduit pour faciliter le paiement des fournisseurs, doté de 22 milliards d’euros. De plus un Fonds de liquidité régionale, doté de 18 milliards d’euros, </w:t>
      </w:r>
      <w:r w:rsidR="00F67360">
        <w:t>a été introduit. Il a centralisé</w:t>
      </w:r>
      <w:r>
        <w:t xml:space="preserve"> l</w:t>
      </w:r>
      <w:r w:rsidR="00DE178E">
        <w:t>’émission de la dette régionale et fourni des liquidités aux régions</w:t>
      </w:r>
      <w:r>
        <w:t xml:space="preserve"> candidate</w:t>
      </w:r>
      <w:r w:rsidR="00DE178E">
        <w:t>s. L’accès à ce fonds</w:t>
      </w:r>
      <w:r>
        <w:t xml:space="preserve"> repose sur des conditions fiscales très strictes et sur le contrôle les plans régionaux de retour à l’équilibre par le gouvernement central avant leur adoption par les assemblées régionales concernées.</w:t>
      </w:r>
      <w:r w:rsidR="00412D4C">
        <w:t xml:space="preserve"> Seules quelques régions ont candidaté pour en bénéficier.</w:t>
      </w:r>
      <w:r>
        <w:t xml:space="preserve"> </w:t>
      </w:r>
    </w:p>
    <w:p w14:paraId="55E9C114" w14:textId="3647F59C" w:rsidR="007D342E" w:rsidRDefault="00671202" w:rsidP="007D342E">
      <w:pPr>
        <w:ind w:firstLine="708"/>
        <w:jc w:val="both"/>
      </w:pPr>
      <w:r>
        <w:t>A</w:t>
      </w:r>
      <w:r w:rsidR="001774D5">
        <w:t>vant la crise</w:t>
      </w:r>
      <w:r w:rsidR="00907CC0">
        <w:t xml:space="preserve"> donc</w:t>
      </w:r>
      <w:r w:rsidR="001774D5">
        <w:t xml:space="preserve">, les communautés autonomes </w:t>
      </w:r>
      <w:r w:rsidR="00D825B1">
        <w:t xml:space="preserve">étaient caractérisées par une relative autonomie en matière de dépenses et d’emprunts, </w:t>
      </w:r>
      <w:r w:rsidR="00AA43B7">
        <w:t>disposaient de ressources importantes,</w:t>
      </w:r>
      <w:r w:rsidR="00D825B1">
        <w:t xml:space="preserve"> et n’étaient </w:t>
      </w:r>
      <w:r w:rsidR="00AA43B7">
        <w:t>pas réellement soumises au respect d’</w:t>
      </w:r>
      <w:r w:rsidR="00D825B1">
        <w:t>obj</w:t>
      </w:r>
      <w:r>
        <w:t>ectif</w:t>
      </w:r>
      <w:r w:rsidR="00AA43B7">
        <w:t>s</w:t>
      </w:r>
      <w:r>
        <w:t xml:space="preserve"> de stabilité budgétaire ou</w:t>
      </w:r>
      <w:r w:rsidR="00D825B1">
        <w:t xml:space="preserve"> de réduction de la dette. Depuis 2009 en revanche, leurs ressources ont drastiquement diminué, leur accès au</w:t>
      </w:r>
      <w:r>
        <w:t xml:space="preserve"> marché des crédits s’est fermé et</w:t>
      </w:r>
      <w:r w:rsidR="00D825B1">
        <w:t xml:space="preserve"> les régions dépendent désormais du gouvernement central pour financer leur déficit public et payer les i</w:t>
      </w:r>
      <w:r>
        <w:t xml:space="preserve">ntérêts de la dette. </w:t>
      </w:r>
      <w:r w:rsidR="002C4B50">
        <w:t xml:space="preserve">Face à l’importance de la crise économique et fiscale, </w:t>
      </w:r>
      <w:r w:rsidR="001B23E3">
        <w:t xml:space="preserve">le gouvernement central a imposé une transgression </w:t>
      </w:r>
      <w:r w:rsidR="007D342E">
        <w:t>des comp</w:t>
      </w:r>
      <w:r w:rsidR="002C4B50">
        <w:t>étences régionales</w:t>
      </w:r>
      <w:r w:rsidR="00945599">
        <w:t xml:space="preserve"> au nom du respect des contraintes européennes</w:t>
      </w:r>
      <w:r w:rsidR="001B23E3">
        <w:t xml:space="preserve"> : </w:t>
      </w:r>
      <w:r w:rsidR="002C4B50">
        <w:t xml:space="preserve">le renforcement </w:t>
      </w:r>
      <w:r w:rsidR="007D342E">
        <w:t>de la contrainte budg</w:t>
      </w:r>
      <w:r w:rsidR="002C4B50">
        <w:t>étaire</w:t>
      </w:r>
      <w:r w:rsidR="007D342E">
        <w:t xml:space="preserve"> et fiscale</w:t>
      </w:r>
      <w:r w:rsidR="002C4B50">
        <w:t xml:space="preserve"> du gouvernement central </w:t>
      </w:r>
      <w:r w:rsidR="002E5206">
        <w:t>sur les régions</w:t>
      </w:r>
      <w:r w:rsidR="002C4B50">
        <w:t xml:space="preserve"> </w:t>
      </w:r>
      <w:r w:rsidR="001B23E3">
        <w:t>est avéré</w:t>
      </w:r>
      <w:r w:rsidR="002C4B50">
        <w:t>.</w:t>
      </w:r>
      <w:r w:rsidR="00C6225B">
        <w:t xml:space="preserve"> Mais cette évolution des rapports de pouvoir entre le centre et les périphéries </w:t>
      </w:r>
      <w:r w:rsidR="001B23E3">
        <w:t xml:space="preserve">ne s’est pas </w:t>
      </w:r>
      <w:proofErr w:type="gramStart"/>
      <w:r w:rsidR="001B23E3">
        <w:t>accompagné</w:t>
      </w:r>
      <w:proofErr w:type="gramEnd"/>
      <w:r w:rsidR="001B23E3">
        <w:t xml:space="preserve"> d’une</w:t>
      </w:r>
      <w:r w:rsidR="007D342E">
        <w:t xml:space="preserve"> refonte de l’allocation des compétences budg</w:t>
      </w:r>
      <w:r w:rsidR="001B23E3">
        <w:t xml:space="preserve">étaires et fiscales </w:t>
      </w:r>
      <w:r w:rsidR="007D342E">
        <w:t>en</w:t>
      </w:r>
      <w:r w:rsidR="001B23E3">
        <w:t xml:space="preserve"> faveur du gouvernement central :</w:t>
      </w:r>
      <w:r w:rsidR="007D342E">
        <w:t xml:space="preserve"> au contraire</w:t>
      </w:r>
      <w:r w:rsidR="001B23E3">
        <w:t>,</w:t>
      </w:r>
      <w:r w:rsidR="007D342E">
        <w:t xml:space="preserve"> la réforme de 2009 </w:t>
      </w:r>
      <w:r w:rsidR="001B23E3">
        <w:t xml:space="preserve">a accordé </w:t>
      </w:r>
      <w:r w:rsidR="007D342E">
        <w:t xml:space="preserve">plus de ressources aux régions. </w:t>
      </w:r>
      <w:r w:rsidR="007652FF">
        <w:t>Sur le plan budgétaire et fiscal, les relations centre-périphéries en Espagne sont donc caractérisées</w:t>
      </w:r>
      <w:r w:rsidR="00835872">
        <w:t xml:space="preserve"> à la fois</w:t>
      </w:r>
      <w:r w:rsidR="007652FF">
        <w:t xml:space="preserve"> par des éléments de continuité forts avec la période qui précède</w:t>
      </w:r>
      <w:r w:rsidR="00835872">
        <w:t xml:space="preserve">, avec la réforme de 2009 et la persistance de dispositifs qui assurent la solidarité fiscale et budgétaire entre les régions et le gouvernement central, et des </w:t>
      </w:r>
      <w:r w:rsidR="0086520C">
        <w:t xml:space="preserve">éléments de changement important concernant le processus de décision en matière budgétaire </w:t>
      </w:r>
      <w:r w:rsidR="009B58EA">
        <w:t>suite à</w:t>
      </w:r>
      <w:r w:rsidR="0086520C">
        <w:t xml:space="preserve"> la réforme de 2012</w:t>
      </w:r>
      <w:r w:rsidR="002E5206">
        <w:t xml:space="preserve">. </w:t>
      </w:r>
    </w:p>
    <w:p w14:paraId="4B3E539B" w14:textId="77777777" w:rsidR="00B058B8" w:rsidRDefault="00B058B8" w:rsidP="00E570D5">
      <w:pPr>
        <w:jc w:val="both"/>
      </w:pPr>
    </w:p>
    <w:p w14:paraId="4D8643FA" w14:textId="5A8FE00F" w:rsidR="00B074F4" w:rsidRDefault="00945599" w:rsidP="00E570D5">
      <w:pPr>
        <w:jc w:val="both"/>
      </w:pPr>
      <w:r>
        <w:tab/>
      </w:r>
      <w:r w:rsidR="00B074F4">
        <w:t xml:space="preserve">En Allemagne, on observe </w:t>
      </w:r>
      <w:r w:rsidR="00974996">
        <w:t xml:space="preserve">aussi </w:t>
      </w:r>
      <w:r w:rsidR="00B074F4">
        <w:t>un renforcement de la contrainte budgétaire et fiscale</w:t>
      </w:r>
      <w:r w:rsidR="00974996">
        <w:t>. Toutefois, s</w:t>
      </w:r>
      <w:r w:rsidR="00B074F4">
        <w:t xml:space="preserve">es termes ont largement été </w:t>
      </w:r>
      <w:r w:rsidR="008701A5">
        <w:t>cadrés</w:t>
      </w:r>
      <w:r w:rsidR="00B074F4">
        <w:t xml:space="preserve"> en amont de la crise, dans le cadre des tentatives de réforme du fédéralisme allemand</w:t>
      </w:r>
      <w:r w:rsidR="00DE178E">
        <w:t xml:space="preserve"> qui se sont succédées depuis le début des années 2000</w:t>
      </w:r>
      <w:r w:rsidR="00974996">
        <w:t xml:space="preserve"> et ce renforcement ne </w:t>
      </w:r>
      <w:proofErr w:type="gramStart"/>
      <w:r w:rsidR="00974996">
        <w:t>s’est</w:t>
      </w:r>
      <w:proofErr w:type="gramEnd"/>
      <w:r w:rsidR="00974996">
        <w:t xml:space="preserve"> pas traduit par une réallocation </w:t>
      </w:r>
      <w:r w:rsidR="009F4A49">
        <w:t>du pouvoir budgétaire et fiscal</w:t>
      </w:r>
      <w:r w:rsidR="00B074F4">
        <w:t xml:space="preserve"> au détriment des Länder. Si, comme en Espagne</w:t>
      </w:r>
      <w:r>
        <w:t xml:space="preserve">, les dispositifs </w:t>
      </w:r>
      <w:r w:rsidR="003F6E03">
        <w:t xml:space="preserve">d’allocation des ressources, </w:t>
      </w:r>
      <w:r>
        <w:t xml:space="preserve">les institutions qui encadrent les relations centre-périphéries </w:t>
      </w:r>
      <w:r w:rsidR="003F6E03">
        <w:t>et les rapports de pouvoir entre le gouvernement fédéral et les Länder antérieurs à la crise sont déterminant</w:t>
      </w:r>
      <w:r>
        <w:t>s p</w:t>
      </w:r>
      <w:r w:rsidR="00B074F4">
        <w:t xml:space="preserve">our </w:t>
      </w:r>
      <w:r w:rsidR="00974996">
        <w:t>l’expliquer</w:t>
      </w:r>
      <w:r w:rsidR="00B074F4">
        <w:t>,</w:t>
      </w:r>
      <w:r>
        <w:t xml:space="preserve"> </w:t>
      </w:r>
      <w:r w:rsidR="00B074F4">
        <w:t xml:space="preserve">leur rôle est rendu plus visible </w:t>
      </w:r>
      <w:r w:rsidR="00143766">
        <w:t xml:space="preserve">en Allemagne </w:t>
      </w:r>
      <w:r w:rsidR="00B074F4">
        <w:t xml:space="preserve">par une pression de la crise moins forte. </w:t>
      </w:r>
    </w:p>
    <w:p w14:paraId="03EEEAD7" w14:textId="748440CC" w:rsidR="005E4240" w:rsidRDefault="00143766" w:rsidP="005E4240">
      <w:pPr>
        <w:ind w:firstLine="708"/>
        <w:jc w:val="both"/>
      </w:pPr>
      <w:r>
        <w:t xml:space="preserve">Les relations financières entre le gouvernement fédéral et les Länder ont été mises à l’agenda en 2009, dans le cadre de la seconde commission de réforme du fédéralisme allemand, soit deux ans après que la crise financière ait éclaté. Toutefois, les discussions au </w:t>
      </w:r>
      <w:r w:rsidR="001675C2">
        <w:t>sein de cette commission</w:t>
      </w:r>
      <w:r>
        <w:t xml:space="preserve"> et les décis</w:t>
      </w:r>
      <w:r w:rsidR="001675C2">
        <w:t>ions qui ont ensuite été prises</w:t>
      </w:r>
      <w:r>
        <w:t xml:space="preserve"> reposent tout autant, si ce n’est davantage, sur des dynamiques de moyen terme des relations centre-périphéries que sur l’effet de la crise à proprement parler. En effet, un</w:t>
      </w:r>
      <w:r w:rsidR="0092502A">
        <w:t xml:space="preserve"> premier</w:t>
      </w:r>
      <w:r>
        <w:t xml:space="preserve"> élément clé des discussions et des décisions renvoie aux intérêts divergents des régions</w:t>
      </w:r>
      <w:r w:rsidR="006F3BC0">
        <w:t xml:space="preserve"> allemandes, plus exactement aux</w:t>
      </w:r>
      <w:r>
        <w:t xml:space="preserve"> intérêts divergents des grandes r</w:t>
      </w:r>
      <w:r w:rsidR="004C3662">
        <w:t>égions riches de l’Ouest</w:t>
      </w:r>
      <w:r>
        <w:t xml:space="preserve"> et des régions plus faibles économiquement, notamment celles de l’Est. </w:t>
      </w:r>
      <w:r w:rsidR="006F3BC0">
        <w:t xml:space="preserve">Cette divergence a émergé politiquement au début des années 2000, lorsque la Hesse, la Bavière et le Bade Wurtemberg ont commencé à critiquer le système de péréquation </w:t>
      </w:r>
      <w:r w:rsidR="006F3BC0">
        <w:lastRenderedPageBreak/>
        <w:t>fiscale existant</w:t>
      </w:r>
      <w:r w:rsidR="000816B2">
        <w:t xml:space="preserve">, notamment en s’adressant à la Cour constitutionnelle de Karlsruhe </w:t>
      </w:r>
      <w:r w:rsidR="000816B2">
        <w:fldChar w:fldCharType="begin"/>
      </w:r>
      <w:r w:rsidR="00665410">
        <w:instrText xml:space="preserve"> ADDIN ZOTERO_ITEM CSL_CITATION {"citationID":"1sg6q0rc56","properties":{"formattedCitation":"(Burkhart, Manow, &amp; Ziblatt, 2008)","plainCitation":"(Burkhart, Manow, &amp; Ziblatt, 2008)","noteIndex":0},"citationItems":[{"id":122,"uris":["http://zotero.org/users/1894092/items/X4WXJW6M"],"uri":["http://zotero.org/users/1894092/items/X4WXJW6M"],"itemData":{"id":122,"type":"article-journal","title":"A More Efficient and Accountable Federalism? An Analysis of the Consequences of Germany's 2006 Constitutional Reform","container-title":"German Politics","page":"522-540","volume":"17","issue":"4","author":[{"family":"Burkhart","given":"Simone"},{"family":"Manow","given":"Philip"},{"family":"Ziblatt","given":"Daniel"}],"issued":{"date-parts":[["2008"]]}}}],"schema":"https://github.com/citation-style-language/schema/raw/master/csl-citation.json"} </w:instrText>
      </w:r>
      <w:r w:rsidR="000816B2">
        <w:fldChar w:fldCharType="separate"/>
      </w:r>
      <w:r w:rsidR="000816B2" w:rsidRPr="000816B2">
        <w:t>(</w:t>
      </w:r>
      <w:proofErr w:type="spellStart"/>
      <w:r w:rsidR="000816B2" w:rsidRPr="000816B2">
        <w:t>Burkhart</w:t>
      </w:r>
      <w:proofErr w:type="spellEnd"/>
      <w:r w:rsidR="000816B2" w:rsidRPr="000816B2">
        <w:t xml:space="preserve">, </w:t>
      </w:r>
      <w:proofErr w:type="spellStart"/>
      <w:r w:rsidR="000816B2" w:rsidRPr="000816B2">
        <w:t>Manow</w:t>
      </w:r>
      <w:proofErr w:type="spellEnd"/>
      <w:r w:rsidR="000816B2" w:rsidRPr="000816B2">
        <w:t xml:space="preserve">, &amp; </w:t>
      </w:r>
      <w:proofErr w:type="spellStart"/>
      <w:r w:rsidR="000816B2" w:rsidRPr="000816B2">
        <w:t>Ziblatt</w:t>
      </w:r>
      <w:proofErr w:type="spellEnd"/>
      <w:r w:rsidR="000816B2" w:rsidRPr="000816B2">
        <w:t>, 2008)</w:t>
      </w:r>
      <w:r w:rsidR="000816B2">
        <w:fldChar w:fldCharType="end"/>
      </w:r>
      <w:r w:rsidR="006F3BC0">
        <w:t xml:space="preserve">. Ce </w:t>
      </w:r>
      <w:r w:rsidR="008B40F3">
        <w:t>système de péréquation</w:t>
      </w:r>
      <w:r w:rsidR="006F3BC0">
        <w:t xml:space="preserve"> est extrêmement </w:t>
      </w:r>
      <w:proofErr w:type="spellStart"/>
      <w:r w:rsidR="006F3BC0">
        <w:t>redistributif</w:t>
      </w:r>
      <w:proofErr w:type="spellEnd"/>
      <w:r w:rsidR="006F3BC0">
        <w:t xml:space="preserve"> puisqu’il égalise les capacités fiscales des Länder à hauteur de 99,5%.</w:t>
      </w:r>
      <w:r w:rsidR="006F3BC0" w:rsidRPr="006F3BC0">
        <w:t xml:space="preserve"> </w:t>
      </w:r>
      <w:r w:rsidR="006F3BC0">
        <w:t xml:space="preserve">Les trois régions, contributrices nettes du système, soulignaient son caractère sous-optimal et </w:t>
      </w:r>
      <w:proofErr w:type="spellStart"/>
      <w:r w:rsidR="006F3BC0">
        <w:t>désincitant</w:t>
      </w:r>
      <w:proofErr w:type="spellEnd"/>
      <w:r w:rsidR="006F3BC0">
        <w:t xml:space="preserve"> à la performance économique, et ont plaidé pour l’introduction d’un fédéralisme plus compétitif. </w:t>
      </w:r>
      <w:r w:rsidR="000816B2">
        <w:t>L</w:t>
      </w:r>
      <w:r w:rsidR="006F3BC0">
        <w:t>es petits Länder plus faibles économiquement, notamment ceux de l’Est,</w:t>
      </w:r>
      <w:r w:rsidR="004C3662">
        <w:t xml:space="preserve"> bénéficiaires de ce</w:t>
      </w:r>
      <w:r w:rsidR="000816B2">
        <w:t xml:space="preserve"> système</w:t>
      </w:r>
      <w:r w:rsidR="004C3662">
        <w:t xml:space="preserve"> de péréquation fiscale</w:t>
      </w:r>
      <w:r w:rsidR="000816B2">
        <w:t>,</w:t>
      </w:r>
      <w:r w:rsidR="006F3BC0">
        <w:t xml:space="preserve"> </w:t>
      </w:r>
      <w:r w:rsidR="000816B2">
        <w:t xml:space="preserve">s’y </w:t>
      </w:r>
      <w:r w:rsidR="009C3F4B">
        <w:t xml:space="preserve">sont </w:t>
      </w:r>
      <w:r w:rsidR="000816B2">
        <w:t>oppos</w:t>
      </w:r>
      <w:r w:rsidR="009C3F4B">
        <w:t>és</w:t>
      </w:r>
      <w:r w:rsidR="000816B2">
        <w:t xml:space="preserve"> et </w:t>
      </w:r>
      <w:r w:rsidR="009C3F4B">
        <w:t>ont p</w:t>
      </w:r>
      <w:r w:rsidR="000816B2">
        <w:t>u</w:t>
      </w:r>
      <w:r w:rsidR="009C3F4B">
        <w:t xml:space="preserve"> </w:t>
      </w:r>
      <w:r w:rsidR="000816B2">
        <w:t xml:space="preserve">compter sur </w:t>
      </w:r>
      <w:r w:rsidR="009C3F4B">
        <w:t xml:space="preserve">la perspective de </w:t>
      </w:r>
      <w:r w:rsidR="000816B2">
        <w:t xml:space="preserve">leur </w:t>
      </w:r>
      <w:r w:rsidR="006F3BC0">
        <w:t xml:space="preserve">minorité de blocage au </w:t>
      </w:r>
      <w:r w:rsidR="006F3BC0" w:rsidRPr="002018C6">
        <w:t>Bundesrat</w:t>
      </w:r>
      <w:r w:rsidR="000816B2">
        <w:t xml:space="preserve"> pour empêcher </w:t>
      </w:r>
      <w:r w:rsidR="009C3F4B">
        <w:t xml:space="preserve">l’adoption de </w:t>
      </w:r>
      <w:r w:rsidR="000816B2">
        <w:t>toute réforme</w:t>
      </w:r>
      <w:r w:rsidR="009C3F4B">
        <w:t xml:space="preserve"> allant dans ce sens</w:t>
      </w:r>
      <w:r w:rsidR="006F3BC0">
        <w:t>.</w:t>
      </w:r>
      <w:r w:rsidR="000816B2">
        <w:t xml:space="preserve"> </w:t>
      </w:r>
      <w:r w:rsidR="00EE683B">
        <w:t>Compte-tenu de cette divergence forte des intérêts des gouvernements régionaux, la refonte du système de péréquation fiscale a été exclue de l’agenda de la première commission de</w:t>
      </w:r>
      <w:r w:rsidR="008E76D7">
        <w:t xml:space="preserve"> réforme du fédéralisme en 2003</w:t>
      </w:r>
      <w:r w:rsidR="00EE683B">
        <w:t xml:space="preserve"> et est réputée avoir conduit à son échec, avec les discussions inabouties autour du </w:t>
      </w:r>
      <w:proofErr w:type="spellStart"/>
      <w:r w:rsidR="00EE683B">
        <w:t>désenchevêtrement</w:t>
      </w:r>
      <w:proofErr w:type="spellEnd"/>
      <w:r w:rsidR="00EE683B">
        <w:t xml:space="preserve"> des compétences, particulièrement en matière de politique éducative </w:t>
      </w:r>
      <w:r w:rsidR="00B0688D">
        <w:fldChar w:fldCharType="begin"/>
      </w:r>
      <w:r w:rsidR="00665410">
        <w:instrText xml:space="preserve"> ADDIN ZOTERO_ITEM CSL_CITATION {"citationID":"2262635foj","properties":{"formattedCitation":"(Auel, 2014)","plainCitation":"(Auel, 2014)","noteIndex":0},"citationItems":[{"id":1016,"uris":["http://zotero.org/users/1894092/items/GBK7RGIZ"],"uri":["http://zotero.org/users/1894092/items/GBK7RGIZ"],"itemData":{"id":1016,"type":"article-journal","title":"Intergovernmental Relations in German Federalism: Cooperative Federalism, Party Politics and Territorial Conflicts","container-title":"Comparative European Politics","page":"422-443","volume":"12","issue":"4/5","author":[{"family":"Auel","given":"Katrin"}],"issued":{"date-parts":[["2014"]]}}}],"schema":"https://github.com/citation-style-language/schema/raw/master/csl-citation.json"} </w:instrText>
      </w:r>
      <w:r w:rsidR="00B0688D">
        <w:fldChar w:fldCharType="separate"/>
      </w:r>
      <w:r w:rsidR="00B0688D" w:rsidRPr="00B0688D">
        <w:t>(</w:t>
      </w:r>
      <w:proofErr w:type="spellStart"/>
      <w:r w:rsidR="00B0688D" w:rsidRPr="00B0688D">
        <w:t>Auel</w:t>
      </w:r>
      <w:proofErr w:type="spellEnd"/>
      <w:r w:rsidR="00B0688D" w:rsidRPr="00B0688D">
        <w:t>, 2014)</w:t>
      </w:r>
      <w:r w:rsidR="00B0688D">
        <w:fldChar w:fldCharType="end"/>
      </w:r>
      <w:r w:rsidR="00EE683B">
        <w:t>.</w:t>
      </w:r>
      <w:r w:rsidR="00B0688D">
        <w:t xml:space="preserve"> </w:t>
      </w:r>
      <w:r w:rsidR="005E4240">
        <w:t xml:space="preserve">En 2006, la réforme du fédéralisme allemand a été remise à l’agenda, mais la nouvelle réforme, qui accorde davantage d’autonomie aux régions, a principalement entrepris de désenchevêtrer les compétences du gouvernement fédéral et des Länder, l’autre enjeu principal des discussions sur l’organisation fédérale, tout en délaissant de nouveau la question de l’allocation des ressources aux régions et au gouvernement fédéral </w:t>
      </w:r>
      <w:r w:rsidR="005E4240">
        <w:fldChar w:fldCharType="begin"/>
      </w:r>
      <w:r w:rsidR="00665410">
        <w:instrText xml:space="preserve"> ADDIN ZOTERO_ITEM CSL_CITATION {"citationID":"I5FeWQOl","properties":{"formattedCitation":"(Jeffery &amp; Rowe, 2014)","plainCitation":"(Jeffery &amp; Rowe, 2014)","noteIndex":0},"citationItems":[{"id":1067,"uris":["http://zotero.org/users/1894092/items/32XFRX7R"],"uri":["http://zotero.org/users/1894092/items/32XFRX7R"],"itemData":{"id":1067,"type":"chapter","title":"The Reform of German Federalism","container-title":"Developments in German Politics 4","publisher":"Palgrave macmillan","publisher-place":"Basingstoke","page":"35-56","event-place":"Basingstoke","author":[{"family":"Jeffery","given":"Charlie"},{"family":"Rowe","given":"Carolyn"}],"container-author":[{"family":"Padgett","given":"Stephen"},{"family":"Paterson","given":"William E."},{"family":"Zohlnhöfer","given":"Reimut"}],"issued":{"date-parts":[["2014"]]}}}],"schema":"https://github.com/citation-style-language/schema/raw/master/csl-citation.json"} </w:instrText>
      </w:r>
      <w:r w:rsidR="005E4240">
        <w:fldChar w:fldCharType="separate"/>
      </w:r>
      <w:r w:rsidR="00CF5348" w:rsidRPr="00CF5348">
        <w:t>(</w:t>
      </w:r>
      <w:proofErr w:type="spellStart"/>
      <w:r w:rsidR="00CF5348" w:rsidRPr="00CF5348">
        <w:t>Jeffery</w:t>
      </w:r>
      <w:proofErr w:type="spellEnd"/>
      <w:r w:rsidR="00CF5348" w:rsidRPr="00CF5348">
        <w:t xml:space="preserve"> &amp; Rowe, 2014)</w:t>
      </w:r>
      <w:r w:rsidR="005E4240">
        <w:fldChar w:fldCharType="end"/>
      </w:r>
      <w:r w:rsidR="005E4240">
        <w:t xml:space="preserve">. </w:t>
      </w:r>
      <w:r w:rsidR="009766BB">
        <w:t xml:space="preserve">En 2009 ainsi, lorsque la seconde commission de réforme du fédéralisme </w:t>
      </w:r>
      <w:r w:rsidR="009C3F4B">
        <w:t>a é</w:t>
      </w:r>
      <w:r w:rsidR="009766BB">
        <w:t>t</w:t>
      </w:r>
      <w:r w:rsidR="009C3F4B">
        <w:t>é</w:t>
      </w:r>
      <w:r w:rsidR="009766BB">
        <w:t xml:space="preserve"> constituée avec pour objectif de traiter de cette question, la divergence des intérêts régionaux</w:t>
      </w:r>
      <w:r w:rsidR="00835263">
        <w:t xml:space="preserve"> et les mobilisations des acteurs gouvernementaux les </w:t>
      </w:r>
      <w:proofErr w:type="gramStart"/>
      <w:r w:rsidR="00835263">
        <w:t>portant</w:t>
      </w:r>
      <w:proofErr w:type="gramEnd"/>
      <w:r w:rsidR="00835263">
        <w:t>, qui ont</w:t>
      </w:r>
      <w:r w:rsidR="009766BB">
        <w:t xml:space="preserve"> fait échouer deux tenta</w:t>
      </w:r>
      <w:r w:rsidR="009C3F4B">
        <w:t>tives précédentes de réforme, étai</w:t>
      </w:r>
      <w:r w:rsidR="008E76D7">
        <w:t>en</w:t>
      </w:r>
      <w:r w:rsidR="009766BB">
        <w:t>t au premier plan.</w:t>
      </w:r>
    </w:p>
    <w:p w14:paraId="47CC6DFF" w14:textId="2902BBCF" w:rsidR="00143766" w:rsidRDefault="006E4E65" w:rsidP="00143766">
      <w:pPr>
        <w:ind w:firstLine="708"/>
        <w:jc w:val="both"/>
      </w:pPr>
      <w:r>
        <w:t>Deuxièmement</w:t>
      </w:r>
      <w:r w:rsidR="00880EAF">
        <w:t xml:space="preserve">, la réforme </w:t>
      </w:r>
      <w:r>
        <w:t xml:space="preserve">de 2009 </w:t>
      </w:r>
      <w:r w:rsidR="000E7E51">
        <w:t>a</w:t>
      </w:r>
      <w:r w:rsidR="00880EAF">
        <w:t xml:space="preserve"> aussi</w:t>
      </w:r>
      <w:r w:rsidR="000E7E51">
        <w:t xml:space="preserve"> reposé</w:t>
      </w:r>
      <w:r w:rsidR="00880EAF">
        <w:t xml:space="preserve"> sur </w:t>
      </w:r>
      <w:r w:rsidR="00143766">
        <w:t>une sé</w:t>
      </w:r>
      <w:r w:rsidR="00880EAF">
        <w:t>rie de jugements rendus dans les années précédentes par la C</w:t>
      </w:r>
      <w:r w:rsidR="00143766">
        <w:t xml:space="preserve">our constitutionnelle à propos des dettes régionales. </w:t>
      </w:r>
      <w:r w:rsidR="00880EAF">
        <w:t>En 1992, la C</w:t>
      </w:r>
      <w:r w:rsidR="00143766">
        <w:t>our constitutionnelle avait déclaré que deux Länder, la Sarre et Brême, étaient incapables de résoudre leurs problèmes fiscaux</w:t>
      </w:r>
      <w:r w:rsidR="00880EAF">
        <w:t xml:space="preserve"> sans</w:t>
      </w:r>
      <w:r w:rsidR="00085ABF">
        <w:t xml:space="preserve"> le</w:t>
      </w:r>
      <w:r w:rsidR="00880EAF">
        <w:t xml:space="preserve"> soutien </w:t>
      </w:r>
      <w:r w:rsidR="004F4CA5">
        <w:t xml:space="preserve">du </w:t>
      </w:r>
      <w:r w:rsidR="00085ABF">
        <w:t>gouvernement</w:t>
      </w:r>
      <w:r w:rsidR="004F4CA5">
        <w:t xml:space="preserve"> fédéral, ce qui avai</w:t>
      </w:r>
      <w:r w:rsidR="00880EAF">
        <w:t xml:space="preserve">t amené </w:t>
      </w:r>
      <w:r w:rsidR="00085ABF">
        <w:t>ce dernier</w:t>
      </w:r>
      <w:r w:rsidR="00880EAF">
        <w:t xml:space="preserve"> à les renflouer e</w:t>
      </w:r>
      <w:r w:rsidR="00143766">
        <w:t xml:space="preserve">n 1994 et </w:t>
      </w:r>
      <w:r w:rsidR="00880EAF">
        <w:t xml:space="preserve">en </w:t>
      </w:r>
      <w:r w:rsidR="00143766">
        <w:t>2004</w:t>
      </w:r>
      <w:r w:rsidR="00880EAF">
        <w:t xml:space="preserve">. </w:t>
      </w:r>
      <w:r w:rsidR="00143766">
        <w:t>Dans les années 2000, Berlin, avec la Sarre et Brême, a</w:t>
      </w:r>
      <w:r w:rsidR="00880EAF">
        <w:t xml:space="preserve">vaient aussi tenté de convaincre la Cour constitutionnelle de leur </w:t>
      </w:r>
      <w:r w:rsidR="00143766">
        <w:t>besoin d</w:t>
      </w:r>
      <w:r w:rsidR="00880EAF">
        <w:t xml:space="preserve">’une aide supplémentaire du gouvernement fédéral. </w:t>
      </w:r>
      <w:r w:rsidR="00143766" w:rsidRPr="00880EAF">
        <w:t>Mais la Cour a</w:t>
      </w:r>
      <w:r w:rsidR="00880EAF">
        <w:t>vait</w:t>
      </w:r>
      <w:r w:rsidR="00143766" w:rsidRPr="00880EAF">
        <w:t xml:space="preserve"> rejeté leur demande</w:t>
      </w:r>
      <w:r w:rsidR="00880EAF">
        <w:t xml:space="preserve">, déclarant notamment la région de </w:t>
      </w:r>
      <w:r w:rsidR="00143766" w:rsidRPr="00A56992">
        <w:t xml:space="preserve">Berlin </w:t>
      </w:r>
      <w:r w:rsidR="00143766">
        <w:t>capable de résoudre ses problè</w:t>
      </w:r>
      <w:r w:rsidR="00143766" w:rsidRPr="00A56992">
        <w:t>m</w:t>
      </w:r>
      <w:r w:rsidR="00143766">
        <w:t>e</w:t>
      </w:r>
      <w:r w:rsidR="00143766" w:rsidRPr="00A56992">
        <w:t xml:space="preserve">s fiscaux. </w:t>
      </w:r>
      <w:r w:rsidR="00880EAF">
        <w:t xml:space="preserve">Toutefois, dans son </w:t>
      </w:r>
      <w:r w:rsidR="00143766">
        <w:t>jugement, la Cour constitutionnelle a</w:t>
      </w:r>
      <w:r w:rsidR="00880EAF">
        <w:t>vait</w:t>
      </w:r>
      <w:r w:rsidR="00143766">
        <w:t xml:space="preserve"> demandé à ce que les acteurs politiques formulent des mesures de restriction relatives à l’emprunt pour éviter d</w:t>
      </w:r>
      <w:r w:rsidR="00085ABF">
        <w:t>e</w:t>
      </w:r>
      <w:r w:rsidR="00880EAF">
        <w:t xml:space="preserve"> </w:t>
      </w:r>
      <w:r w:rsidR="00143766">
        <w:t xml:space="preserve">prochains </w:t>
      </w:r>
      <w:proofErr w:type="gramStart"/>
      <w:r w:rsidR="00143766" w:rsidRPr="00880EAF">
        <w:rPr>
          <w:i/>
        </w:rPr>
        <w:t>bail</w:t>
      </w:r>
      <w:proofErr w:type="gramEnd"/>
      <w:r w:rsidR="00143766" w:rsidRPr="00880EAF">
        <w:rPr>
          <w:i/>
        </w:rPr>
        <w:t xml:space="preserve"> </w:t>
      </w:r>
      <w:proofErr w:type="spellStart"/>
      <w:r w:rsidR="00143766" w:rsidRPr="00880EAF">
        <w:rPr>
          <w:i/>
        </w:rPr>
        <w:t>outs</w:t>
      </w:r>
      <w:proofErr w:type="spellEnd"/>
      <w:r w:rsidR="00143766">
        <w:t xml:space="preserve">. </w:t>
      </w:r>
    </w:p>
    <w:p w14:paraId="6AE46992" w14:textId="439E5C49" w:rsidR="00FB65EC" w:rsidRDefault="00CF5348" w:rsidP="007E6B96">
      <w:pPr>
        <w:ind w:firstLine="708"/>
        <w:jc w:val="both"/>
      </w:pPr>
      <w:r>
        <w:t>Mais la crise économique et fiscale a tout de même influencé la réforme de 2009, en renforçant</w:t>
      </w:r>
      <w:r w:rsidR="00DA740E">
        <w:t xml:space="preserve"> la motivation des négociateurs à réformer le système fiscale compte-tenu de la dégradation du climat économique</w:t>
      </w:r>
      <w:r>
        <w:t xml:space="preserve"> </w:t>
      </w:r>
      <w:r>
        <w:fldChar w:fldCharType="begin"/>
      </w:r>
      <w:r w:rsidR="00665410">
        <w:instrText xml:space="preserve"> ADDIN ZOTERO_ITEM CSL_CITATION {"citationID":"126c7ma67c","properties":{"formattedCitation":"(Jeffery &amp; Rowe, 2014)","plainCitation":"(Jeffery &amp; Rowe, 2014)","noteIndex":0},"citationItems":[{"id":1067,"uris":["http://zotero.org/users/1894092/items/32XFRX7R"],"uri":["http://zotero.org/users/1894092/items/32XFRX7R"],"itemData":{"id":1067,"type":"chapter","title":"The Reform of German Federalism","container-title":"Developments in German Politics 4","publisher":"Palgrave macmillan","publisher-place":"Basingstoke","page":"35-56","event-place":"Basingstoke","author":[{"family":"Jeffery","given":"Charlie"},{"family":"Rowe","given":"Carolyn"}],"container-author":[{"family":"Padgett","given":"Stephen"},{"family":"Paterson","given":"William E."},{"family":"Zohlnhöfer","given":"Reimut"}],"issued":{"date-parts":[["2014"]]}}}],"schema":"https://github.com/citation-style-language/schema/raw/master/csl-citation.json"} </w:instrText>
      </w:r>
      <w:r>
        <w:fldChar w:fldCharType="separate"/>
      </w:r>
      <w:r w:rsidRPr="00CF5348">
        <w:t>(</w:t>
      </w:r>
      <w:proofErr w:type="spellStart"/>
      <w:r w:rsidRPr="00CF5348">
        <w:t>Jeffery</w:t>
      </w:r>
      <w:proofErr w:type="spellEnd"/>
      <w:r w:rsidRPr="00CF5348">
        <w:t xml:space="preserve"> &amp; Rowe, 2014)</w:t>
      </w:r>
      <w:r>
        <w:fldChar w:fldCharType="end"/>
      </w:r>
      <w:r w:rsidR="00170079">
        <w:t xml:space="preserve">. </w:t>
      </w:r>
      <w:r>
        <w:t>La situation économique des Länder était</w:t>
      </w:r>
      <w:r w:rsidR="00BF2A46">
        <w:t xml:space="preserve"> en effet alors</w:t>
      </w:r>
      <w:r>
        <w:t xml:space="preserve"> moins bonne que celle du gouvernement fédéral. E</w:t>
      </w:r>
      <w:r w:rsidR="00FB65EC">
        <w:t>ntre 2007 et 2009</w:t>
      </w:r>
      <w:r>
        <w:t xml:space="preserve">, les </w:t>
      </w:r>
      <w:r w:rsidR="00EF11F4">
        <w:t>dettes régionales</w:t>
      </w:r>
      <w:r>
        <w:t xml:space="preserve"> s</w:t>
      </w:r>
      <w:r w:rsidR="00D023D7">
        <w:t xml:space="preserve">’étaient </w:t>
      </w:r>
      <w:r>
        <w:t>creusé</w:t>
      </w:r>
      <w:r w:rsidR="00EF11F4">
        <w:t>e</w:t>
      </w:r>
      <w:r>
        <w:t xml:space="preserve">s. </w:t>
      </w:r>
      <w:r w:rsidR="00EF11F4" w:rsidRPr="006C3EC1">
        <w:t>Entre 2008 et 2009,</w:t>
      </w:r>
      <w:r w:rsidR="00EF11F4">
        <w:t xml:space="preserve"> </w:t>
      </w:r>
      <w:r w:rsidR="00BF2A46">
        <w:t>el</w:t>
      </w:r>
      <w:r w:rsidR="00EF11F4">
        <w:t xml:space="preserve">les </w:t>
      </w:r>
      <w:r w:rsidR="00BF2A46">
        <w:t>ont</w:t>
      </w:r>
      <w:r w:rsidR="00EF11F4">
        <w:t xml:space="preserve"> augment</w:t>
      </w:r>
      <w:r w:rsidR="00BF2A46">
        <w:t>é</w:t>
      </w:r>
      <w:r w:rsidR="00EF11F4">
        <w:t xml:space="preserve"> en moyenne de 7,8% </w:t>
      </w:r>
      <w:r w:rsidR="00BF2A46">
        <w:t xml:space="preserve">du PIB par an, alors qu’en 2006-2007 leur réduction moyenne était de </w:t>
      </w:r>
      <w:r w:rsidR="00EF11F4" w:rsidRPr="006C3EC1">
        <w:t>0.6%</w:t>
      </w:r>
      <w:r w:rsidR="00BF2A46">
        <w:t xml:space="preserve"> par an </w:t>
      </w:r>
      <w:r w:rsidR="00BF2A46">
        <w:fldChar w:fldCharType="begin"/>
      </w:r>
      <w:r w:rsidR="00665410">
        <w:instrText xml:space="preserve"> ADDIN ZOTERO_ITEM CSL_CITATION {"citationID":"2k7p278mrb","properties":{"formattedCitation":"(Enderlein &amp; von M\\uc0\\u252{}ller, 2014)","plainCitation":"(Enderlein &amp; von Müller, 2014)","noteIndex":0},"citationItems":[{"id":1069,"uris":["http://zotero.org/users/1894092/items/VCDAFRN2"],"uri":["http://zotero.org/users/1894092/items/VCDAFRN2"],"itemData":{"id":1069,"type":"chapter","title":"German Federalism at the Crossroads","container-title":"The Global Debt Crisis. Haunting US and European Federalism","publisher":"Brookings Institution Press","publisher-place":"Washington D.C.","page":"134-158","event-place":"Washington D.C.","author":[{"family":"Enderlein","given":"Henrik"},{"family":"Müller","given":"Camillo","non-dropping-particle":"von"}],"container-author":[{"family":"Peterson","given":"Paul E."},{"family":"Nadler","given":"Daniel"}],"issued":{"date-parts":[["2014"]]}}}],"schema":"https://github.com/citation-style-language/schema/raw/master/csl-citation.json"} </w:instrText>
      </w:r>
      <w:r w:rsidR="00BF2A46">
        <w:fldChar w:fldCharType="separate"/>
      </w:r>
      <w:r w:rsidR="00665410" w:rsidRPr="00665410">
        <w:t>(</w:t>
      </w:r>
      <w:proofErr w:type="spellStart"/>
      <w:r w:rsidR="00665410" w:rsidRPr="00665410">
        <w:t>Enderlein</w:t>
      </w:r>
      <w:proofErr w:type="spellEnd"/>
      <w:r w:rsidR="00665410" w:rsidRPr="00665410">
        <w:t xml:space="preserve"> &amp; </w:t>
      </w:r>
      <w:proofErr w:type="spellStart"/>
      <w:r w:rsidR="00665410" w:rsidRPr="00665410">
        <w:t>von</w:t>
      </w:r>
      <w:proofErr w:type="spellEnd"/>
      <w:r w:rsidR="00665410" w:rsidRPr="00665410">
        <w:t xml:space="preserve"> Müller, 2014)</w:t>
      </w:r>
      <w:r w:rsidR="00BF2A46">
        <w:fldChar w:fldCharType="end"/>
      </w:r>
      <w:r w:rsidR="00EF11F4" w:rsidRPr="006C3EC1">
        <w:t>. En 2007, aucun Land n’a</w:t>
      </w:r>
      <w:r w:rsidR="00BF2A46">
        <w:t>vait</w:t>
      </w:r>
      <w:r w:rsidR="00EF11F4" w:rsidRPr="006C3EC1">
        <w:t xml:space="preserve"> échoué à satisfaire le critère de Maastr</w:t>
      </w:r>
      <w:r w:rsidR="006D123F">
        <w:t>icht relatif</w:t>
      </w:r>
      <w:r w:rsidR="00BF2A46">
        <w:t xml:space="preserve"> à la dette</w:t>
      </w:r>
      <w:r w:rsidR="00875FE2">
        <w:t>,</w:t>
      </w:r>
      <w:r w:rsidR="00BF2A46">
        <w:t xml:space="preserve"> tandis qu’en </w:t>
      </w:r>
      <w:r w:rsidR="00875FE2">
        <w:t>2010</w:t>
      </w:r>
      <w:r w:rsidR="00EF11F4">
        <w:t xml:space="preserve"> Brême et Berlin échouent. Plus largement, </w:t>
      </w:r>
      <w:r w:rsidR="00BF2A46">
        <w:t>l’ensemble des régions</w:t>
      </w:r>
      <w:r w:rsidR="00875FE2">
        <w:t xml:space="preserve"> ont</w:t>
      </w:r>
      <w:r w:rsidR="00BF2A46">
        <w:t xml:space="preserve"> augment</w:t>
      </w:r>
      <w:r w:rsidR="00875FE2">
        <w:t>é</w:t>
      </w:r>
      <w:r w:rsidR="00BF2A46">
        <w:t xml:space="preserve"> leur recours à l’emprunt. </w:t>
      </w:r>
      <w:r w:rsidR="006F75E5">
        <w:t xml:space="preserve">Avec les difficultés rencontrées par les banques régionales à la suite de la crise financière, les avoirs des Länder </w:t>
      </w:r>
      <w:r w:rsidR="00835263">
        <w:t>avaien</w:t>
      </w:r>
      <w:r w:rsidR="00875FE2">
        <w:t xml:space="preserve">t aussi </w:t>
      </w:r>
      <w:r w:rsidR="006F75E5">
        <w:t>fortement</w:t>
      </w:r>
      <w:r w:rsidR="00875FE2">
        <w:t xml:space="preserve"> diminué</w:t>
      </w:r>
      <w:r w:rsidR="006F75E5">
        <w:t xml:space="preserve"> et leur accès au crédit</w:t>
      </w:r>
      <w:r w:rsidR="00835263">
        <w:t xml:space="preserve"> sur les marchés financiers s’étai</w:t>
      </w:r>
      <w:r w:rsidR="006F75E5">
        <w:t xml:space="preserve">t dégradé. </w:t>
      </w:r>
      <w:r w:rsidR="00FA05E2">
        <w:t xml:space="preserve">Dans cette perspective, les régions allemandes ont bien </w:t>
      </w:r>
      <w:r w:rsidR="007E6B96">
        <w:t>eu des comportements opportunistes en produisant de la dette.</w:t>
      </w:r>
    </w:p>
    <w:p w14:paraId="28BAB274" w14:textId="456DC6FB" w:rsidR="00FD0358" w:rsidRDefault="00D023D7" w:rsidP="003A47BB">
      <w:pPr>
        <w:ind w:firstLine="708"/>
        <w:jc w:val="both"/>
      </w:pPr>
      <w:r>
        <w:t>L’évolution e</w:t>
      </w:r>
      <w:r w:rsidR="003B1B71">
        <w:t xml:space="preserve">n 2009 des relations centre-périphéries sur le plan budgétaire et financier porte la marque des dynamiques antérieures de ces relations. En effet, </w:t>
      </w:r>
      <w:r w:rsidR="00F64520">
        <w:t>les discussions sur le système de péréquation fiscale et la réforme du niveau d’autonomie fiscale des régions ont été de nouveau mis</w:t>
      </w:r>
      <w:r w:rsidR="00AE7322">
        <w:t>es</w:t>
      </w:r>
      <w:r w:rsidR="00F64520">
        <w:t xml:space="preserve"> entre parenthèses et retirées de l’agenda de la seconde commission pour la réforme du fédéralisme. L’</w:t>
      </w:r>
      <w:r w:rsidR="00A3245F">
        <w:t>accent a été placé</w:t>
      </w:r>
      <w:r w:rsidR="00F64520">
        <w:t>, en revanche, sur le contrôle de la dette, comme demandé par la Cour constitutionnelle. Toutefois, l’objectif initial</w:t>
      </w:r>
      <w:r w:rsidR="00AE7322">
        <w:t>,</w:t>
      </w:r>
      <w:r w:rsidR="00F64520">
        <w:t xml:space="preserve"> qui était de rendre les </w:t>
      </w:r>
      <w:r w:rsidR="00F64520">
        <w:lastRenderedPageBreak/>
        <w:t>gouvernements régionaux plus directement responsables de leurs dettes</w:t>
      </w:r>
      <w:r w:rsidR="00AE7322">
        <w:t>,</w:t>
      </w:r>
      <w:r w:rsidR="00F64520">
        <w:t xml:space="preserve"> a été abandonné au profit de l’introduction d’un mécanisme visant à prévenir l’endettement des Länder et du gouvernement fédéral. Le Pacte de stabilisation de 2009 a ainsi introduit un frein à l’endettement (</w:t>
      </w:r>
      <w:proofErr w:type="spellStart"/>
      <w:r w:rsidR="00170079" w:rsidRPr="00F64520">
        <w:rPr>
          <w:i/>
        </w:rPr>
        <w:t>Schuldenbremse</w:t>
      </w:r>
      <w:proofErr w:type="spellEnd"/>
      <w:r w:rsidR="00F64520">
        <w:t>)</w:t>
      </w:r>
      <w:r w:rsidR="00170079">
        <w:t xml:space="preserve">, </w:t>
      </w:r>
      <w:r w:rsidR="003A47BB">
        <w:t>q</w:t>
      </w:r>
      <w:r w:rsidR="00170079">
        <w:t xml:space="preserve">ui entrera pleinement en vigueur au niveau fédéral en 2016 et en 2020 au niveau régional. </w:t>
      </w:r>
      <w:r w:rsidR="00FD0358">
        <w:t>A partir de cette date, les régions ne seront plus autorisées à contracter de nouvelle</w:t>
      </w:r>
      <w:r w:rsidR="009D066C">
        <w:t>s</w:t>
      </w:r>
      <w:r w:rsidR="00FD0358">
        <w:t xml:space="preserve"> dette</w:t>
      </w:r>
      <w:r w:rsidR="009D066C">
        <w:t>s</w:t>
      </w:r>
      <w:r w:rsidR="00FD0358">
        <w:t xml:space="preserve"> publique</w:t>
      </w:r>
      <w:r w:rsidR="009D066C">
        <w:t>s</w:t>
      </w:r>
      <w:r w:rsidR="00FD0358">
        <w:t xml:space="preserve">, sauf dans des circonstances très particulières </w:t>
      </w:r>
      <w:r w:rsidR="00A3245F">
        <w:t xml:space="preserve">comme une </w:t>
      </w:r>
      <w:r w:rsidR="00FD0358">
        <w:t>catastrop</w:t>
      </w:r>
      <w:r w:rsidR="00A3245F">
        <w:t>he naturelle</w:t>
      </w:r>
      <w:r w:rsidR="00FD0358">
        <w:t xml:space="preserve"> ou </w:t>
      </w:r>
      <w:r w:rsidR="00A3245F">
        <w:t>une situation économique très dégradée.</w:t>
      </w:r>
      <w:r w:rsidR="009D066C">
        <w:t xml:space="preserve"> Les déficits régionaux ne s</w:t>
      </w:r>
      <w:r w:rsidR="00AE7322">
        <w:t>er</w:t>
      </w:r>
      <w:r w:rsidR="009D066C">
        <w:t>ont plus autorisés et les d</w:t>
      </w:r>
      <w:r w:rsidR="00AE7322">
        <w:t>éficits structurels devro</w:t>
      </w:r>
      <w:r w:rsidR="009D066C">
        <w:t>nt être nuls.</w:t>
      </w:r>
      <w:r w:rsidR="00A3245F">
        <w:t xml:space="preserve"> Le</w:t>
      </w:r>
      <w:r w:rsidR="00552577">
        <w:t xml:space="preserve"> renforcement de la contrainte budgétaire et </w:t>
      </w:r>
      <w:r w:rsidR="00A3245F">
        <w:t>fiscale du Bund s</w:t>
      </w:r>
      <w:r w:rsidR="009D066C">
        <w:t>ur les Länder est donc effectif</w:t>
      </w:r>
      <w:r w:rsidR="00AE7322">
        <w:t>, quoique ce renforcement de la contrainte s’applique aussi au gouvernement fédéral</w:t>
      </w:r>
      <w:r w:rsidR="00A3245F">
        <w:t xml:space="preserve">. </w:t>
      </w:r>
    </w:p>
    <w:p w14:paraId="2E006F65" w14:textId="440961FC" w:rsidR="000B0C03" w:rsidRDefault="009D066C" w:rsidP="009D066C">
      <w:pPr>
        <w:ind w:firstLine="708"/>
        <w:jc w:val="both"/>
      </w:pPr>
      <w:r>
        <w:t>De plus,</w:t>
      </w:r>
      <w:r w:rsidR="00A3245F">
        <w:t xml:space="preserve"> en ligne avec l’organisation coopérative du fédéralisme allemand et l</w:t>
      </w:r>
      <w:r w:rsidR="00D2335A">
        <w:t>a solidarité fiscale qui présid</w:t>
      </w:r>
      <w:r w:rsidR="00A3245F">
        <w:t xml:space="preserve">e à l’allocation des ressources aux régions, ces dernières ont été </w:t>
      </w:r>
      <w:r w:rsidR="00FD0358">
        <w:t xml:space="preserve">en mesure de négocier une aide </w:t>
      </w:r>
      <w:r w:rsidR="00A3245F">
        <w:t xml:space="preserve">pour leur permettre d’atteindre les objectifs fixés en 2020. Cinq régions fortement endettées, </w:t>
      </w:r>
      <w:r w:rsidR="00170079">
        <w:t xml:space="preserve">Berlin, Brême, </w:t>
      </w:r>
      <w:r w:rsidR="00A3245F">
        <w:t xml:space="preserve">la </w:t>
      </w:r>
      <w:r w:rsidR="00170079">
        <w:t xml:space="preserve">Sarre, </w:t>
      </w:r>
      <w:r w:rsidR="00A3245F">
        <w:t xml:space="preserve">la </w:t>
      </w:r>
      <w:r w:rsidR="00170079">
        <w:t xml:space="preserve">Saxe-Anhalt et </w:t>
      </w:r>
      <w:r w:rsidR="00A3245F">
        <w:t>le Schleswig-Holstein, ont pu en bénéficier</w:t>
      </w:r>
      <w:r w:rsidR="002F2818">
        <w:t>.</w:t>
      </w:r>
      <w:r w:rsidR="00FD0358" w:rsidRPr="00F16626">
        <w:t xml:space="preserve"> </w:t>
      </w:r>
      <w:r>
        <w:t xml:space="preserve">En parallèle, </w:t>
      </w:r>
      <w:r w:rsidR="004442E5">
        <w:t xml:space="preserve">à partir de 2013, </w:t>
      </w:r>
      <w:r w:rsidR="000B0C03">
        <w:t>le gouvernement fédéral</w:t>
      </w:r>
      <w:r>
        <w:t xml:space="preserve"> a lié</w:t>
      </w:r>
      <w:r w:rsidR="000B0C03">
        <w:t xml:space="preserve"> son destin</w:t>
      </w:r>
      <w:r w:rsidRPr="009D066C">
        <w:t xml:space="preserve"> </w:t>
      </w:r>
      <w:r>
        <w:t>aux régions</w:t>
      </w:r>
      <w:r w:rsidR="000B0C03">
        <w:t>, sur les marchés financiers</w:t>
      </w:r>
      <w:r>
        <w:t xml:space="preserve"> pour le</w:t>
      </w:r>
      <w:r w:rsidR="000B0C03">
        <w:t xml:space="preserve"> financement de sa dette, avec l’émission de </w:t>
      </w:r>
      <w:r>
        <w:t>‘</w:t>
      </w:r>
      <w:proofErr w:type="spellStart"/>
      <w:r w:rsidR="000B0C03">
        <w:t>Deutschland</w:t>
      </w:r>
      <w:proofErr w:type="spellEnd"/>
      <w:r w:rsidR="000B0C03">
        <w:t xml:space="preserve"> Bond</w:t>
      </w:r>
      <w:r>
        <w:t xml:space="preserve">’, c’est-à-dire </w:t>
      </w:r>
      <w:r w:rsidR="000B0C03">
        <w:t>d’obligations souveraines conjoint</w:t>
      </w:r>
      <w:r>
        <w:t>es</w:t>
      </w:r>
      <w:r w:rsidR="000B0C03">
        <w:t>.</w:t>
      </w:r>
      <w:r w:rsidR="004442E5">
        <w:t xml:space="preserve"> Le renforcement de la contrainte budgétaire et fiscale que subissent les Länder suite à l’introduction du mécanisme d’interdiction des déficits structurels</w:t>
      </w:r>
      <w:r w:rsidR="00835263">
        <w:t>,</w:t>
      </w:r>
      <w:r w:rsidR="004442E5">
        <w:t xml:space="preserve"> est donc assorti </w:t>
      </w:r>
      <w:r w:rsidR="00D2335A">
        <w:t>de dispositifs de soutien ou de coopération avec le gouvernement fédéral.</w:t>
      </w:r>
    </w:p>
    <w:p w14:paraId="5768B1C7" w14:textId="1CA9F1DF" w:rsidR="000B0C03" w:rsidRDefault="003E58A3" w:rsidP="00AA604A">
      <w:pPr>
        <w:jc w:val="both"/>
      </w:pPr>
      <w:r>
        <w:tab/>
      </w:r>
      <w:r w:rsidR="00AA604A">
        <w:t>En Allemagne ainsi, la crise est bien concomitante d’un renforcement de la contrainte fiscale exercée par le gouvernement fédéral sur les régions. Toutefois, ce renforcement est en réalité tout autant contraignant pour le gouvernement fédéral lui-même. De plus, si la dégradation de la situation budgétaire et fiscale des</w:t>
      </w:r>
      <w:r w:rsidR="00D2335A">
        <w:t xml:space="preserve"> Länder, alimentée par la crise</w:t>
      </w:r>
      <w:r w:rsidR="00AA604A">
        <w:t xml:space="preserve"> et les accords de stabilisation fiscale adoptés au niveau européen</w:t>
      </w:r>
      <w:r w:rsidR="00F6144F">
        <w:t>,</w:t>
      </w:r>
      <w:r w:rsidR="00AA604A">
        <w:t xml:space="preserve"> ont bien contribué à façonner les décisions adoptées en 2009, les dynamiques de moyen terme du fédéralisme allemand</w:t>
      </w:r>
      <w:r w:rsidR="00FC3A22">
        <w:t xml:space="preserve"> et les rapports de pouvoir entre les Länder et le gouvernement fédéral</w:t>
      </w:r>
      <w:r w:rsidR="00AA604A">
        <w:t> ont joué</w:t>
      </w:r>
      <w:r w:rsidR="00086F91">
        <w:t xml:space="preserve"> un rôle crucial. C’est le cas tout particulièrement de</w:t>
      </w:r>
      <w:r w:rsidR="00AA604A">
        <w:t xml:space="preserve"> la divergence croissante des intérêts de Länder et les recommandations de la Cour constitutionnelle, mais aussi les institutions mêmes des relations centre-périphéries en Allemagne. C’est cela qui permet d’expliquer que les décisions de 2009</w:t>
      </w:r>
      <w:r w:rsidR="00835263">
        <w:t>,</w:t>
      </w:r>
      <w:r w:rsidR="00AA604A">
        <w:t xml:space="preserve"> certes</w:t>
      </w:r>
      <w:r w:rsidR="00835263">
        <w:t>,</w:t>
      </w:r>
      <w:r w:rsidR="00AA604A">
        <w:t xml:space="preserve"> renforcent la contrainte fiscale sur les Länder, mais ne procèdent pas à une réallocation du pouvoir budgétaire et fiscal. La forme coopérative du fédéralisme allemand et la solidarité entre échelons qui prévaut dans les dispositifs d’allocation des ressources expliquent aussi pourquoi le gouvernement fédéral, en période de crise, continue à faire des </w:t>
      </w:r>
      <w:r w:rsidR="000B0C03">
        <w:t>concessions</w:t>
      </w:r>
      <w:r w:rsidR="00AA604A">
        <w:t xml:space="preserve"> et des aménagements à la règle. </w:t>
      </w:r>
    </w:p>
    <w:p w14:paraId="2952AF85" w14:textId="77777777" w:rsidR="00253879" w:rsidRDefault="00253879" w:rsidP="00A869FF">
      <w:pPr>
        <w:ind w:firstLine="708"/>
        <w:jc w:val="both"/>
      </w:pPr>
    </w:p>
    <w:p w14:paraId="18A9B056" w14:textId="637E477D" w:rsidR="00CD35AB" w:rsidRDefault="00FF5624" w:rsidP="00175535">
      <w:pPr>
        <w:jc w:val="both"/>
      </w:pPr>
      <w:r>
        <w:tab/>
      </w:r>
      <w:r w:rsidR="00851725">
        <w:t>Au Royaume-Uni enfin, les relations centre-périphéries dans la crise sont également caractérisées par un renforcement de la contrainte fiscale et budgétaire du gouvernement central sur les gouvernements régionaux, sans que cela n’ait été accompagné d’une réallocation du pouvoir fiscal et budgétaire. E</w:t>
      </w:r>
      <w:r w:rsidR="00E36EBD">
        <w:t xml:space="preserve">n l’absence de pression </w:t>
      </w:r>
      <w:r w:rsidR="00851725">
        <w:t xml:space="preserve">à la consolidation </w:t>
      </w:r>
      <w:r w:rsidR="00E36EBD">
        <w:t>des institutions européennes</w:t>
      </w:r>
      <w:r w:rsidR="00851725">
        <w:t xml:space="preserve">, puisque le Royaume-Uni n’est pas membre de la zone euro, les </w:t>
      </w:r>
      <w:r w:rsidR="00E36EBD">
        <w:t xml:space="preserve">facteurs domestiques jouent à plein </w:t>
      </w:r>
      <w:r w:rsidR="00407010">
        <w:t xml:space="preserve">pour </w:t>
      </w:r>
      <w:r w:rsidR="00851725">
        <w:t>en rendre compte</w:t>
      </w:r>
      <w:r w:rsidR="004F746E">
        <w:t xml:space="preserve">. </w:t>
      </w:r>
      <w:r w:rsidR="00851725">
        <w:t xml:space="preserve">Dans le cas britannique, </w:t>
      </w:r>
      <w:r w:rsidR="00E36EBD">
        <w:t xml:space="preserve">l’effet de la crise </w:t>
      </w:r>
      <w:r w:rsidR="00862005">
        <w:t>sur les relations centre-périphéries</w:t>
      </w:r>
      <w:r w:rsidR="00B57FE6">
        <w:t xml:space="preserve"> sur le plan budgétaire et fiscal</w:t>
      </w:r>
      <w:r w:rsidR="00862005">
        <w:t xml:space="preserve"> </w:t>
      </w:r>
      <w:r w:rsidR="00E36EBD">
        <w:t xml:space="preserve">est entièrement </w:t>
      </w:r>
      <w:r w:rsidR="00435DF2">
        <w:t>déterminé par</w:t>
      </w:r>
      <w:r w:rsidR="00851725">
        <w:t xml:space="preserve"> les modalités d’allocation des ressources et</w:t>
      </w:r>
      <w:r w:rsidR="00435DF2">
        <w:t xml:space="preserve"> les </w:t>
      </w:r>
      <w:r w:rsidR="00851725">
        <w:t>institutions formelles et informelles qui encadrent les relations centre-périphéries</w:t>
      </w:r>
      <w:r w:rsidR="00435DF2">
        <w:t xml:space="preserve">. </w:t>
      </w:r>
      <w:r w:rsidR="00175535">
        <w:t>Dans un premier temps, jusqu’à l’arrivée du gouvernement conservateur de David Cameron</w:t>
      </w:r>
      <w:r w:rsidR="003E03B8">
        <w:t xml:space="preserve"> en 2010</w:t>
      </w:r>
      <w:r w:rsidR="00175535">
        <w:t>, aucune évolution sensible des r</w:t>
      </w:r>
      <w:r w:rsidR="0099247A">
        <w:t>elations centre-périphéries n’étai</w:t>
      </w:r>
      <w:r w:rsidR="00175535">
        <w:t>t notable</w:t>
      </w:r>
      <w:r w:rsidR="00B57FE6">
        <w:t xml:space="preserve"> sur ce plan</w:t>
      </w:r>
      <w:r w:rsidR="00175535">
        <w:t>.</w:t>
      </w:r>
      <w:r w:rsidR="00753571">
        <w:t xml:space="preserve"> Le nouveau gouvernement du Royaume</w:t>
      </w:r>
      <w:r w:rsidR="00FC3A22">
        <w:t>-Uni</w:t>
      </w:r>
      <w:r w:rsidR="00175535">
        <w:t xml:space="preserve"> avait mis l’accent sur un « </w:t>
      </w:r>
      <w:r w:rsidR="00175535">
        <w:rPr>
          <w:i/>
        </w:rPr>
        <w:t xml:space="preserve">respect agenda » </w:t>
      </w:r>
      <w:r w:rsidR="00175535">
        <w:t xml:space="preserve"> pour faciliter ses relations avec l’Ecosse, le Pays de Galles et l’Irlande du Nord. A cette date pourtant, on aurait pu s’attendre à des tensions dans les relations </w:t>
      </w:r>
      <w:r w:rsidR="009D7C4D">
        <w:t>centre-périphéries</w:t>
      </w:r>
      <w:r w:rsidR="00175535">
        <w:t xml:space="preserve"> alimentées, </w:t>
      </w:r>
      <w:r w:rsidR="009D7C4D">
        <w:t xml:space="preserve">plutôt que par la crise, par </w:t>
      </w:r>
      <w:r w:rsidR="00086AF6">
        <w:t xml:space="preserve">la fin de la domination </w:t>
      </w:r>
      <w:r w:rsidR="00086AF6">
        <w:lastRenderedPageBreak/>
        <w:t xml:space="preserve">du </w:t>
      </w:r>
      <w:r w:rsidR="00086AF6" w:rsidRPr="00086AF6">
        <w:rPr>
          <w:i/>
        </w:rPr>
        <w:t>Labour</w:t>
      </w:r>
      <w:r w:rsidR="00086AF6">
        <w:t xml:space="preserve"> et </w:t>
      </w:r>
      <w:r w:rsidR="009D7C4D">
        <w:t xml:space="preserve">la rupture de la congruence partisane entre le </w:t>
      </w:r>
      <w:r w:rsidR="00753571">
        <w:t>gouvernement du Royaume-Uni</w:t>
      </w:r>
      <w:r w:rsidR="003E03B8">
        <w:t xml:space="preserve"> </w:t>
      </w:r>
      <w:r w:rsidR="00175535">
        <w:t>et</w:t>
      </w:r>
      <w:r w:rsidR="00F14D08">
        <w:t xml:space="preserve"> les gouvernements écossais et gallois. De plus, l’</w:t>
      </w:r>
      <w:r w:rsidR="009D7C4D">
        <w:t xml:space="preserve">arrivée </w:t>
      </w:r>
      <w:r w:rsidR="00F14D08">
        <w:t xml:space="preserve">au pouvoir en 2007 </w:t>
      </w:r>
      <w:r w:rsidR="009D7C4D">
        <w:t>du</w:t>
      </w:r>
      <w:r w:rsidR="00F14D08">
        <w:t xml:space="preserve"> parti indépendantiste écossais, le </w:t>
      </w:r>
      <w:r w:rsidR="009D7C4D" w:rsidRPr="00F14D08">
        <w:rPr>
          <w:i/>
        </w:rPr>
        <w:t>S</w:t>
      </w:r>
      <w:r w:rsidR="00F14D08">
        <w:rPr>
          <w:i/>
        </w:rPr>
        <w:t xml:space="preserve">cottish </w:t>
      </w:r>
      <w:r w:rsidR="009D7C4D" w:rsidRPr="00F14D08">
        <w:rPr>
          <w:i/>
        </w:rPr>
        <w:t>N</w:t>
      </w:r>
      <w:r w:rsidR="00F14D08">
        <w:rPr>
          <w:i/>
        </w:rPr>
        <w:t xml:space="preserve">ational </w:t>
      </w:r>
      <w:r w:rsidR="009D7C4D" w:rsidRPr="00F14D08">
        <w:rPr>
          <w:i/>
        </w:rPr>
        <w:t>P</w:t>
      </w:r>
      <w:r w:rsidR="00F14D08">
        <w:rPr>
          <w:i/>
        </w:rPr>
        <w:t>arty</w:t>
      </w:r>
      <w:r w:rsidR="009D7C4D">
        <w:t xml:space="preserve">, </w:t>
      </w:r>
      <w:r w:rsidR="00F14D08">
        <w:t xml:space="preserve">aurait pu détériorer les relations de l’Ecosse avec le gouvernement britannique. Toutefois, en dépit d’annonces du premier ministre écossais Alex </w:t>
      </w:r>
      <w:proofErr w:type="spellStart"/>
      <w:r w:rsidR="00F14D08">
        <w:t>Salmond</w:t>
      </w:r>
      <w:proofErr w:type="spellEnd"/>
      <w:r w:rsidR="00F14D08">
        <w:t xml:space="preserve">, et peut-être parce que le SNP avait formé un gouvernement minoritaire, </w:t>
      </w:r>
      <w:r w:rsidR="0099247A">
        <w:t>aucune</w:t>
      </w:r>
      <w:r w:rsidR="00F14D08">
        <w:t xml:space="preserve"> dégradation des relations centre-périphérie </w:t>
      </w:r>
      <w:r w:rsidR="0099247A">
        <w:t xml:space="preserve">n’était visible </w:t>
      </w:r>
      <w:r w:rsidR="00F14D08">
        <w:t xml:space="preserve">à cette période </w:t>
      </w:r>
      <w:r w:rsidR="00F14D08">
        <w:fldChar w:fldCharType="begin"/>
      </w:r>
      <w:r w:rsidR="00665410">
        <w:instrText xml:space="preserve"> ADDIN ZOTERO_ITEM CSL_CITATION {"citationID":"JE95hZ6u","properties":{"formattedCitation":"(Cairney, 2012; Swenden &amp; McEwen, 2015)","plainCitation":"(Cairney, 2012; Swenden &amp; McEwen, 2015)","noteIndex":0},"citationItems":[{"id":931,"uris":["http://zotero.org/users/1894092/items/Q6ENHT22"],"uri":["http://zotero.org/users/1894092/items/Q6ENHT22"],"itemData":{"id":931,"type":"article-journal","title":"Intergovernmental Relations in Scotland: What Was the SNP Effect?","container-title":"The British Journal of Politics and International Relations","page":"231-249","volume":"14","issue":"2","author":[{"family":"Cairney","given":"Paul"}],"issued":{"date-parts":[["2012"]]}}},{"id":932,"uris":["http://zotero.org/users/1894092/items/XTDPSM76"],"uri":["http://zotero.org/users/1894092/items/XTDPSM76"],"itemData":{"id":932,"type":"article-journal","title":"UK Devolution in the Shadow of Hierarchy? Intergovernmental Relations and Party Politics","container-title":"Comparative European Politics","page":"488-509","volume":"12","issue":"4/5","author":[{"family":"Swenden","given":"Wilfried"},{"family":"McEwen","given":"Nicola"}],"issued":{"date-parts":[["2015"]]}}}],"schema":"https://github.com/citation-style-language/schema/raw/master/csl-citation.json"} </w:instrText>
      </w:r>
      <w:r w:rsidR="00F14D08">
        <w:fldChar w:fldCharType="separate"/>
      </w:r>
      <w:r w:rsidR="00F14D08" w:rsidRPr="00F14D08">
        <w:t>(</w:t>
      </w:r>
      <w:proofErr w:type="spellStart"/>
      <w:r w:rsidR="00F14D08" w:rsidRPr="00F14D08">
        <w:t>Cairney</w:t>
      </w:r>
      <w:proofErr w:type="spellEnd"/>
      <w:r w:rsidR="00F14D08" w:rsidRPr="00F14D08">
        <w:t xml:space="preserve">, 2012; </w:t>
      </w:r>
      <w:proofErr w:type="spellStart"/>
      <w:r w:rsidR="00F14D08" w:rsidRPr="00F14D08">
        <w:t>Swenden</w:t>
      </w:r>
      <w:proofErr w:type="spellEnd"/>
      <w:r w:rsidR="00F14D08" w:rsidRPr="00F14D08">
        <w:t xml:space="preserve"> &amp; McEwen, 2015)</w:t>
      </w:r>
      <w:r w:rsidR="00F14D08">
        <w:fldChar w:fldCharType="end"/>
      </w:r>
      <w:r w:rsidR="009D7C4D">
        <w:t xml:space="preserve">. </w:t>
      </w:r>
    </w:p>
    <w:p w14:paraId="24AC892E" w14:textId="7E40209E" w:rsidR="00FE14FF" w:rsidRDefault="009D7C4D" w:rsidP="00435DF2">
      <w:pPr>
        <w:ind w:firstLine="708"/>
        <w:jc w:val="both"/>
      </w:pPr>
      <w:r>
        <w:t>L</w:t>
      </w:r>
      <w:r w:rsidR="00A728D0">
        <w:t xml:space="preserve">a situation </w:t>
      </w:r>
      <w:r w:rsidR="002805C0">
        <w:t>a évolué</w:t>
      </w:r>
      <w:r w:rsidR="00A728D0">
        <w:t xml:space="preserve"> </w:t>
      </w:r>
      <w:r w:rsidR="0078598B">
        <w:t>à partir de 2010. Le gouvernement conservateur</w:t>
      </w:r>
      <w:r w:rsidR="002805C0">
        <w:t>-libéral</w:t>
      </w:r>
      <w:r w:rsidR="0078598B">
        <w:t xml:space="preserve"> </w:t>
      </w:r>
      <w:r w:rsidR="00753571">
        <w:t>du Royaume-Uni</w:t>
      </w:r>
      <w:r w:rsidR="0078598B">
        <w:t xml:space="preserve"> </w:t>
      </w:r>
      <w:r w:rsidR="002805C0">
        <w:t xml:space="preserve">a </w:t>
      </w:r>
      <w:r w:rsidR="00D21E01">
        <w:t xml:space="preserve">alors </w:t>
      </w:r>
      <w:r w:rsidR="002805C0">
        <w:t xml:space="preserve">décidé </w:t>
      </w:r>
      <w:r w:rsidR="0078598B">
        <w:t>de mettre en œuvre une politique d’austérité en Angleterre</w:t>
      </w:r>
      <w:r w:rsidR="009800AC">
        <w:t>, qui devai</w:t>
      </w:r>
      <w:r w:rsidR="002805C0">
        <w:t xml:space="preserve">t </w:t>
      </w:r>
      <w:r w:rsidR="009800AC">
        <w:t>conduire en particulier à</w:t>
      </w:r>
      <w:r w:rsidR="002805C0">
        <w:t xml:space="preserve"> une réduction des </w:t>
      </w:r>
      <w:r w:rsidR="0078598B">
        <w:t>dépenses sociales.</w:t>
      </w:r>
      <w:r w:rsidR="002805C0">
        <w:t xml:space="preserve"> Dans un autre système que le système britannique, cette décision aurait pu rester sans conséquence pour les gouvernements régionaux. Toutefois, au Royaume-Uni, l</w:t>
      </w:r>
      <w:r w:rsidR="0078598B">
        <w:t xml:space="preserve">es coupes budgétaires </w:t>
      </w:r>
      <w:r w:rsidR="0039065B">
        <w:t>décidées pour l’Angleterre</w:t>
      </w:r>
      <w:r w:rsidR="0078598B">
        <w:t xml:space="preserve"> o</w:t>
      </w:r>
      <w:r w:rsidR="002805C0">
        <w:t>nt eu des conséquences</w:t>
      </w:r>
      <w:r w:rsidR="000E29F7">
        <w:t>,</w:t>
      </w:r>
      <w:r w:rsidR="002805C0">
        <w:t xml:space="preserve"> directes et</w:t>
      </w:r>
      <w:r w:rsidR="0078598B">
        <w:t xml:space="preserve"> automatiques, pour les budgets </w:t>
      </w:r>
      <w:r w:rsidR="002805C0">
        <w:t>de l’Ecosse et du Pays de Galles. Cela s’explique par le dispositif</w:t>
      </w:r>
      <w:r w:rsidR="0078598B">
        <w:t xml:space="preserve"> d’allocation des ressources</w:t>
      </w:r>
      <w:r w:rsidR="00013E08">
        <w:t xml:space="preserve">, </w:t>
      </w:r>
      <w:r w:rsidR="007043F3">
        <w:t>la formule Barnett</w:t>
      </w:r>
      <w:r w:rsidR="0078598B">
        <w:t>.</w:t>
      </w:r>
      <w:r w:rsidR="007043F3">
        <w:t xml:space="preserve"> Cette formule a pour principe d’allouer </w:t>
      </w:r>
      <w:r w:rsidR="00FC499B">
        <w:t xml:space="preserve">à l’Ecosse, le Pays de Galles et l’Irlande du Nord une part </w:t>
      </w:r>
      <w:r w:rsidR="00647251">
        <w:t>liée à</w:t>
      </w:r>
      <w:r w:rsidR="00FC499B">
        <w:t xml:space="preserve"> leur population respective de la variation des dépenses anglaises. L’application de cette formule minimise de fait les négociations et automatise l’</w:t>
      </w:r>
      <w:r w:rsidR="0096108D">
        <w:t>allocation des ressources. Les budgets alloués par la formule Barnett constitue</w:t>
      </w:r>
      <w:r w:rsidR="00647251">
        <w:t>nt</w:t>
      </w:r>
      <w:r w:rsidR="0096108D">
        <w:t xml:space="preserve"> la principale partie des budgets écossais, gallois et irlandais du nord. Ces </w:t>
      </w:r>
      <w:r w:rsidR="00386200">
        <w:t xml:space="preserve">gouvernements régionaux </w:t>
      </w:r>
      <w:r w:rsidR="0096108D">
        <w:t>ne disposent en effet que de faibles compétences leur permettant de</w:t>
      </w:r>
      <w:r w:rsidR="00386200">
        <w:t xml:space="preserve"> générer des ressources par eux-mêmes</w:t>
      </w:r>
      <w:r w:rsidR="00647251">
        <w:rPr>
          <w:rStyle w:val="Appelnotedebasdep"/>
        </w:rPr>
        <w:footnoteReference w:id="11"/>
      </w:r>
      <w:r w:rsidR="00386200">
        <w:t xml:space="preserve">. </w:t>
      </w:r>
      <w:r w:rsidR="00EE4B26">
        <w:t>C</w:t>
      </w:r>
      <w:r w:rsidR="00647251">
        <w:t xml:space="preserve">ompte-tenu des dispositifs existants et de leurs effets de </w:t>
      </w:r>
      <w:proofErr w:type="spellStart"/>
      <w:r w:rsidR="00647251">
        <w:rPr>
          <w:i/>
        </w:rPr>
        <w:t>spill</w:t>
      </w:r>
      <w:proofErr w:type="spellEnd"/>
      <w:r w:rsidR="00647251">
        <w:rPr>
          <w:i/>
        </w:rPr>
        <w:t xml:space="preserve"> over</w:t>
      </w:r>
      <w:r w:rsidR="00647251">
        <w:t xml:space="preserve">, les décisions prises par les gouvernements </w:t>
      </w:r>
      <w:r w:rsidR="00A702C9">
        <w:t>du Royaume-Uni sur les dépenses en Angleterre</w:t>
      </w:r>
      <w:r w:rsidR="00647251">
        <w:t xml:space="preserve"> ont </w:t>
      </w:r>
      <w:r w:rsidR="00EE4B26">
        <w:t xml:space="preserve">donc </w:t>
      </w:r>
      <w:r w:rsidR="00647251">
        <w:t>des implications substantielles sur les budgets des gouvernements régionaux. Dans les faits, l</w:t>
      </w:r>
      <w:r w:rsidR="00935867">
        <w:t>es coupes dans les dot</w:t>
      </w:r>
      <w:r w:rsidR="00EE4B26">
        <w:t xml:space="preserve">ations </w:t>
      </w:r>
      <w:r w:rsidR="00935867">
        <w:t>ont</w:t>
      </w:r>
      <w:r w:rsidR="00EE4B26">
        <w:t xml:space="preserve"> été</w:t>
      </w:r>
      <w:r w:rsidR="00935867">
        <w:t xml:space="preserve"> d’autant plus visibles pour l’Ecosse et le Pays de </w:t>
      </w:r>
      <w:r w:rsidR="00606538">
        <w:t>Galles</w:t>
      </w:r>
      <w:r w:rsidR="00935867">
        <w:t xml:space="preserve"> qu’elles</w:t>
      </w:r>
      <w:r w:rsidR="00EE4B26">
        <w:t xml:space="preserve"> ont</w:t>
      </w:r>
      <w:r w:rsidR="00935867">
        <w:t xml:space="preserve"> </w:t>
      </w:r>
      <w:r w:rsidR="00EE4B26">
        <w:t>eu lieu</w:t>
      </w:r>
      <w:r w:rsidR="00935867">
        <w:t xml:space="preserve"> après une période de </w:t>
      </w:r>
      <w:r w:rsidR="001E4B97">
        <w:t xml:space="preserve">forte </w:t>
      </w:r>
      <w:r w:rsidR="00935867">
        <w:t>hausse</w:t>
      </w:r>
      <w:r w:rsidR="001E4B97">
        <w:t xml:space="preserve"> suite aux décisions des gouvernements anglais de Tony Blair puis Gordon Brown</w:t>
      </w:r>
      <w:r w:rsidR="00935867">
        <w:t xml:space="preserve"> : </w:t>
      </w:r>
      <w:r w:rsidR="001E4B97">
        <w:t xml:space="preserve">l’augmentation des dotations a été </w:t>
      </w:r>
      <w:r w:rsidR="00935867">
        <w:t xml:space="preserve">de 61,5% en Ecosse entre 2001-2002 et 2009-2010, </w:t>
      </w:r>
      <w:r w:rsidR="001E4B97">
        <w:t>et de</w:t>
      </w:r>
      <w:r w:rsidR="00935867">
        <w:t xml:space="preserve"> 60% au Pays de Galle</w:t>
      </w:r>
      <w:r w:rsidR="00606538">
        <w:t>s</w:t>
      </w:r>
      <w:r w:rsidR="00935867">
        <w:t xml:space="preserve"> sur la même période</w:t>
      </w:r>
      <w:r w:rsidR="00D21E01">
        <w:t xml:space="preserve"> </w:t>
      </w:r>
      <w:r w:rsidR="00D21E01">
        <w:fldChar w:fldCharType="begin"/>
      </w:r>
      <w:r w:rsidR="00665410">
        <w:instrText xml:space="preserve"> ADDIN ZOTERO_ITEM CSL_CITATION {"citationID":"1a27ai59if","properties":{"formattedCitation":"(Mackinnon, 2015)","plainCitation":"(Mackinnon, 2015)","noteIndex":0},"citationItems":[{"id":933,"uris":["http://zotero.org/users/1894092/items/IFI2P6JE"],"uri":["http://zotero.org/users/1894092/items/IFI2P6JE"],"itemData":{"id":933,"type":"article-journal","title":"Devolution, State Restructuring and Policy Divergence in the UK","container-title":"The Geographical Journal","page":"47-56","volume":"181","issue":"1","author":[{"family":"Mackinnon","given":"Danny"}],"issued":{"date-parts":[["2015"]]}}}],"schema":"https://github.com/citation-style-language/schema/raw/master/csl-citation.json"} </w:instrText>
      </w:r>
      <w:r w:rsidR="00D21E01">
        <w:fldChar w:fldCharType="separate"/>
      </w:r>
      <w:r w:rsidR="00D21E01" w:rsidRPr="00D21E01">
        <w:t>(Mackinnon, 2015)</w:t>
      </w:r>
      <w:r w:rsidR="00D21E01">
        <w:fldChar w:fldCharType="end"/>
      </w:r>
      <w:r w:rsidR="00935867">
        <w:t xml:space="preserve">. </w:t>
      </w:r>
      <w:r w:rsidR="00805AD2">
        <w:t>Le</w:t>
      </w:r>
      <w:r w:rsidR="00935867">
        <w:t xml:space="preserve"> programme d’austérité vi</w:t>
      </w:r>
      <w:r w:rsidR="00981CEE">
        <w:t>sant à éradiquer le déficit public structurel</w:t>
      </w:r>
      <w:r w:rsidR="00805AD2">
        <w:t xml:space="preserve"> introduit par le gouvernement Cameron a consisté en une </w:t>
      </w:r>
      <w:r w:rsidR="00981CEE">
        <w:t xml:space="preserve">coupe dans les dépenses publiques de 81 milliards de livres </w:t>
      </w:r>
      <w:r w:rsidR="00805AD2">
        <w:t xml:space="preserve">d’ici 2015-2016 </w:t>
      </w:r>
      <w:r w:rsidR="00805AD2">
        <w:fldChar w:fldCharType="begin"/>
      </w:r>
      <w:r w:rsidR="00665410">
        <w:instrText xml:space="preserve"> ADDIN ZOTERO_ITEM CSL_CITATION {"citationID":"1de664q2oi","properties":{"formattedCitation":"(Lowndes &amp; Pratchett, 2012)","plainCitation":"(Lowndes &amp; Pratchett, 2012)","noteIndex":0},"citationItems":[{"id":97,"uris":["http://zotero.org/users/1894092/items/2XHIEWFE"],"uri":["http://zotero.org/users/1894092/items/2XHIEWFE"],"itemData":{"id":97,"type":"article-journal","title":"Local Governance Under the Coalition Government: Austerity, Localism and the 'Big Society'","container-title":"Local Government Studies","page":"21-40","volume":"38","issue":"1","author":[{"family":"Lowndes","given":"Vivien"},{"family":"Pratchett","given":"Lawrence"}],"issued":{"date-parts":[["2012"]]}}}],"schema":"https://github.com/citation-style-language/schema/raw/master/csl-citation.json"} </w:instrText>
      </w:r>
      <w:r w:rsidR="00805AD2">
        <w:fldChar w:fldCharType="separate"/>
      </w:r>
      <w:r w:rsidR="00805AD2" w:rsidRPr="00805AD2">
        <w:t>(</w:t>
      </w:r>
      <w:proofErr w:type="spellStart"/>
      <w:r w:rsidR="00805AD2" w:rsidRPr="00805AD2">
        <w:t>Lowndes</w:t>
      </w:r>
      <w:proofErr w:type="spellEnd"/>
      <w:r w:rsidR="00805AD2" w:rsidRPr="00805AD2">
        <w:t xml:space="preserve"> &amp; </w:t>
      </w:r>
      <w:proofErr w:type="spellStart"/>
      <w:r w:rsidR="00805AD2" w:rsidRPr="00805AD2">
        <w:t>Pratchett</w:t>
      </w:r>
      <w:proofErr w:type="spellEnd"/>
      <w:r w:rsidR="00805AD2" w:rsidRPr="00805AD2">
        <w:t>, 2012)</w:t>
      </w:r>
      <w:r w:rsidR="00805AD2">
        <w:fldChar w:fldCharType="end"/>
      </w:r>
      <w:r w:rsidR="00981CEE">
        <w:t xml:space="preserve">. </w:t>
      </w:r>
      <w:r w:rsidR="001739B3">
        <w:t>La conséquence en a été qu’entre le budget pour 2010-2011 et celui pour 2013-2014,</w:t>
      </w:r>
      <w:r w:rsidR="00981CEE">
        <w:t xml:space="preserve"> les </w:t>
      </w:r>
      <w:r w:rsidR="001739B3">
        <w:t>plafonds</w:t>
      </w:r>
      <w:r w:rsidR="00981CEE">
        <w:t xml:space="preserve"> de dépenses ont baissé de 19,9% </w:t>
      </w:r>
      <w:r w:rsidR="001739B3">
        <w:t xml:space="preserve">pour chacun des ministères anglais </w:t>
      </w:r>
      <w:r w:rsidR="001739B3">
        <w:fldChar w:fldCharType="begin"/>
      </w:r>
      <w:r w:rsidR="00665410">
        <w:instrText xml:space="preserve"> ADDIN ZOTERO_ITEM CSL_CITATION {"citationID":"2hinriip26","properties":{"formattedCitation":"(Stafford, 2015, p. 15)","plainCitation":"(Stafford, 2015, p. 15)","noteIndex":0},"citationItems":[{"id":96,"uris":["http://zotero.org/users/1894092/items/CA6QRUXE"],"uri":["http://zotero.org/users/1894092/items/CA6QRUXE"],"itemData":{"id":96,"type":"paper-conference","title":"Sheltering from the Storm? Welsh Devolution and Public Services in a Period of Economic Crisis","publisher-place":"Sciences Po Paris","event":"Conference of Europeanists","event-place":"Sciences Po Paris","author":[{"family":"Stafford","given":"Ian"}],"issued":{"date-parts":[["2015"]]}},"locator":"15"}],"schema":"https://github.com/citation-style-language/schema/raw/master/csl-citation.json"} </w:instrText>
      </w:r>
      <w:r w:rsidR="001739B3">
        <w:fldChar w:fldCharType="separate"/>
      </w:r>
      <w:r w:rsidR="001739B3" w:rsidRPr="001739B3">
        <w:t>(Stafford, 2015, p. 15)</w:t>
      </w:r>
      <w:r w:rsidR="001739B3">
        <w:fldChar w:fldCharType="end"/>
      </w:r>
      <w:r w:rsidR="00981CEE">
        <w:t>. Ces coupes ont directement affecté les gouvernements écossais et gallois</w:t>
      </w:r>
      <w:r w:rsidR="001739B3">
        <w:t xml:space="preserve"> et se sont traduites par une réduction de </w:t>
      </w:r>
      <w:r w:rsidR="00981CEE">
        <w:t xml:space="preserve">9,4% des </w:t>
      </w:r>
      <w:r w:rsidR="001739B3">
        <w:t xml:space="preserve">plafonds </w:t>
      </w:r>
      <w:r w:rsidR="00981CEE">
        <w:t xml:space="preserve">de dépenses en Ecosse </w:t>
      </w:r>
      <w:r w:rsidR="001739B3">
        <w:t xml:space="preserve">et une diminution de </w:t>
      </w:r>
      <w:r w:rsidR="002A5E57">
        <w:t>10,1% au Pays de Galle</w:t>
      </w:r>
      <w:r w:rsidR="00606538">
        <w:t>s</w:t>
      </w:r>
      <w:r w:rsidR="001739B3">
        <w:t xml:space="preserve"> </w:t>
      </w:r>
      <w:r w:rsidR="00DB1779">
        <w:t xml:space="preserve">sur la période 2010-2011 et 2013-2014 </w:t>
      </w:r>
      <w:r w:rsidR="001739B3">
        <w:fldChar w:fldCharType="begin"/>
      </w:r>
      <w:r w:rsidR="00665410">
        <w:instrText xml:space="preserve"> ADDIN ZOTERO_ITEM CSL_CITATION {"citationID":"tcopgnv7t","properties":{"formattedCitation":"(Mackinnon, 2015)","plainCitation":"(Mackinnon, 2015)","noteIndex":0},"citationItems":[{"id":933,"uris":["http://zotero.org/users/1894092/items/IFI2P6JE"],"uri":["http://zotero.org/users/1894092/items/IFI2P6JE"],"itemData":{"id":933,"type":"article-journal","title":"Devolution, State Restructuring and Policy Divergence in the UK","container-title":"The Geographical Journal","page":"47-56","volume":"181","issue":"1","author":[{"family":"Mackinnon","given":"Danny"}],"issued":{"date-parts":[["2015"]]}}}],"schema":"https://github.com/citation-style-language/schema/raw/master/csl-citation.json"} </w:instrText>
      </w:r>
      <w:r w:rsidR="001739B3">
        <w:fldChar w:fldCharType="separate"/>
      </w:r>
      <w:r w:rsidR="001739B3" w:rsidRPr="001739B3">
        <w:t>(Mackinnon, 2015)</w:t>
      </w:r>
      <w:r w:rsidR="001739B3">
        <w:fldChar w:fldCharType="end"/>
      </w:r>
      <w:r w:rsidR="001739B3">
        <w:t xml:space="preserve">. </w:t>
      </w:r>
      <w:r w:rsidR="00DB1779">
        <w:t>Par l’application de la formule Barnett, l</w:t>
      </w:r>
      <w:r w:rsidR="00846D79">
        <w:t>es d</w:t>
      </w:r>
      <w:r w:rsidR="002267F0">
        <w:t>écisions du gouvernement britannique</w:t>
      </w:r>
      <w:r w:rsidR="00DB1779">
        <w:t xml:space="preserve"> pour l’Angleterre ont donc mécaniquement eu des effets sur les budgets alloués</w:t>
      </w:r>
      <w:r w:rsidR="00846D79">
        <w:t xml:space="preserve"> à l’Ecosse et au pays de Galle</w:t>
      </w:r>
      <w:r w:rsidR="00606538">
        <w:t>s</w:t>
      </w:r>
      <w:r w:rsidR="00846D79">
        <w:t>.</w:t>
      </w:r>
    </w:p>
    <w:p w14:paraId="12B0E731" w14:textId="18029508" w:rsidR="00E36EBD" w:rsidRPr="006C3EC1" w:rsidRDefault="008F0E10" w:rsidP="00490622">
      <w:pPr>
        <w:ind w:firstLine="708"/>
        <w:jc w:val="both"/>
      </w:pPr>
      <w:r>
        <w:t xml:space="preserve">Cette imposition </w:t>
      </w:r>
      <w:r w:rsidR="004B4284">
        <w:t xml:space="preserve">automatique a suscité des contestations </w:t>
      </w:r>
      <w:r w:rsidR="00846D79">
        <w:t>de la part de l’Ecosse et du Pays de Galle</w:t>
      </w:r>
      <w:r w:rsidR="00606538">
        <w:t>s</w:t>
      </w:r>
      <w:r w:rsidR="004B4284">
        <w:t xml:space="preserve">, alors même que depuis 1978 </w:t>
      </w:r>
      <w:r w:rsidR="00846D79">
        <w:t>la formule Barnett a</w:t>
      </w:r>
      <w:r w:rsidR="004B4284">
        <w:t>vait</w:t>
      </w:r>
      <w:r w:rsidR="00846D79">
        <w:t xml:space="preserve"> eu pour fonction de dépolitiser et de pacifier les décisions d’allocation des ressou</w:t>
      </w:r>
      <w:r w:rsidR="004B4284">
        <w:t>r</w:t>
      </w:r>
      <w:r w:rsidR="00846D79">
        <w:t>ces</w:t>
      </w:r>
      <w:r w:rsidR="004B4284">
        <w:t>. L</w:t>
      </w:r>
      <w:r w:rsidR="00A500D5">
        <w:t>es gouvernements écossais et gallois ont réaffirmé leur attachement aux valeurs de solidarité et de justice sociale. Le gouvernement écossais, par exemple, a déclaré que l’agenda de réforme de l’Etat pr</w:t>
      </w:r>
      <w:r w:rsidR="00A11B12">
        <w:t>ovidence du gouvernement britannique pour l’Angle</w:t>
      </w:r>
      <w:r w:rsidR="007952DB">
        <w:t>te</w:t>
      </w:r>
      <w:r w:rsidR="00A11B12">
        <w:t>rre</w:t>
      </w:r>
      <w:r w:rsidR="00A500D5">
        <w:t xml:space="preserve"> constituait une attaque contre les valeurs sociale</w:t>
      </w:r>
      <w:r w:rsidR="000E29F7">
        <w:t>s-démocrates de l’Ecosse</w:t>
      </w:r>
      <w:r w:rsidR="002A6E5F">
        <w:t xml:space="preserve"> </w:t>
      </w:r>
      <w:r w:rsidR="002A6E5F">
        <w:fldChar w:fldCharType="begin"/>
      </w:r>
      <w:r w:rsidR="00665410">
        <w:instrText xml:space="preserve"> ADDIN ZOTERO_ITEM CSL_CITATION {"citationID":"3lerv6421","properties":{"formattedCitation":"(McEwen, 2013)","plainCitation":"(McEwen, 2013)","noteIndex":0},"citationItems":[{"id":95,"uris":["http://zotero.org/users/1894092/items/I6R2AD8W"],"uri":["http://zotero.org/users/1894092/items/I6R2AD8W"],"itemData":{"id":95,"type":"article-journal","title":"Independance and the Territorial Politics of Welfare","container-title":"The David Hume Institute Research Paper","issue":"4","author":[{"family":"McEwen","given":"Nicola"}],"issued":{"date-parts":[["2013"]]}}}],"schema":"https://github.com/citation-style-language/schema/raw/master/csl-citation.json"} </w:instrText>
      </w:r>
      <w:r w:rsidR="002A6E5F">
        <w:fldChar w:fldCharType="separate"/>
      </w:r>
      <w:r w:rsidR="002A6E5F" w:rsidRPr="002A6E5F">
        <w:t>(</w:t>
      </w:r>
      <w:proofErr w:type="spellStart"/>
      <w:r w:rsidR="002A6E5F" w:rsidRPr="002A6E5F">
        <w:t>McEwen</w:t>
      </w:r>
      <w:proofErr w:type="spellEnd"/>
      <w:r w:rsidR="002A6E5F" w:rsidRPr="002A6E5F">
        <w:t>, 2013)</w:t>
      </w:r>
      <w:r w:rsidR="002A6E5F">
        <w:fldChar w:fldCharType="end"/>
      </w:r>
      <w:r w:rsidR="00A500D5">
        <w:t>. L’Ecosse et le Pays de Galle</w:t>
      </w:r>
      <w:r w:rsidR="00606538">
        <w:t>s</w:t>
      </w:r>
      <w:r w:rsidR="00A500D5">
        <w:t xml:space="preserve"> </w:t>
      </w:r>
      <w:r w:rsidR="002A6E5F">
        <w:t>ont vivement appelé à des straté</w:t>
      </w:r>
      <w:r w:rsidR="00A500D5">
        <w:t>gies économiques alternatives reposant sur des politiques contra</w:t>
      </w:r>
      <w:r w:rsidR="00A11B12">
        <w:t>-</w:t>
      </w:r>
      <w:r w:rsidR="00A500D5">
        <w:t>cycliques</w:t>
      </w:r>
      <w:r w:rsidR="002A6E5F">
        <w:t xml:space="preserve">, comme l’a fait le </w:t>
      </w:r>
      <w:r w:rsidR="00A500D5">
        <w:t>plan du gouvernement écossais</w:t>
      </w:r>
      <w:r w:rsidR="00250E1B">
        <w:t xml:space="preserve"> de 2012 intitulé « Plan </w:t>
      </w:r>
      <w:proofErr w:type="spellStart"/>
      <w:r w:rsidR="00250E1B">
        <w:t>MacB</w:t>
      </w:r>
      <w:proofErr w:type="spellEnd"/>
      <w:r w:rsidR="00250E1B">
        <w:t xml:space="preserve"> ». </w:t>
      </w:r>
      <w:r w:rsidR="002B39EA">
        <w:t xml:space="preserve">Les administrations régionales ont aussi collaboré pour s’opposer ensemble au </w:t>
      </w:r>
      <w:r w:rsidR="002A6E5F">
        <w:t>Royaume-Uni, notamment par d</w:t>
      </w:r>
      <w:r w:rsidR="002B39EA">
        <w:t>es déclarations conjointes appelant le gouvernement</w:t>
      </w:r>
      <w:r w:rsidR="00C81562">
        <w:t xml:space="preserve"> britannique</w:t>
      </w:r>
      <w:r w:rsidR="002B39EA">
        <w:t xml:space="preserve"> à réduire les </w:t>
      </w:r>
      <w:r w:rsidR="002B39EA">
        <w:lastRenderedPageBreak/>
        <w:t>baisses</w:t>
      </w:r>
      <w:r w:rsidR="002A6E5F">
        <w:t xml:space="preserve"> des dotations prévues</w:t>
      </w:r>
      <w:r w:rsidR="002B39EA">
        <w:t xml:space="preserve">. </w:t>
      </w:r>
      <w:r w:rsidR="002A6E5F">
        <w:t xml:space="preserve">Toutefois, </w:t>
      </w:r>
      <w:r w:rsidR="00177A67">
        <w:t>ces mobilisations</w:t>
      </w:r>
      <w:r w:rsidR="005C78A8">
        <w:t xml:space="preserve"> contre la mise en œuvre d’une règle existante, ou plutôt contre ses conséquences, et non contre un changement du dispositif d’allocation des ressources, sont restées sans succès.</w:t>
      </w:r>
      <w:r w:rsidR="00177A67">
        <w:t xml:space="preserve"> </w:t>
      </w:r>
      <w:r w:rsidR="005C78A8">
        <w:t>L</w:t>
      </w:r>
      <w:r w:rsidR="00177A67">
        <w:t>es institutions qui encadrent les relations intergouvernementales permettent d</w:t>
      </w:r>
      <w:r w:rsidR="005C78A8">
        <w:t>e l</w:t>
      </w:r>
      <w:r w:rsidR="00177A67">
        <w:t xml:space="preserve">’expliquer. </w:t>
      </w:r>
      <w:r w:rsidR="00BD6419">
        <w:t>En effet</w:t>
      </w:r>
      <w:r w:rsidR="00177A67">
        <w:t>, les relations bilatérales prévalent largement et elles sont très peu formalisées. De plus, ces relations sont caractérisées par un fonctionnement très hiérarchique, qui repose sur une asymétrie de pouvoir en fav</w:t>
      </w:r>
      <w:r w:rsidR="00A00B66">
        <w:t xml:space="preserve">eur du gouvernement britannique </w:t>
      </w:r>
      <w:r w:rsidR="00177A67">
        <w:fldChar w:fldCharType="begin"/>
      </w:r>
      <w:r w:rsidR="00665410">
        <w:instrText xml:space="preserve"> ADDIN ZOTERO_ITEM CSL_CITATION {"citationID":"vmsfv8bpo","properties":{"formattedCitation":"(McEwen, Swenden, &amp; Bolleyer, 2012)","plainCitation":"(McEwen, Swenden, &amp; Bolleyer, 2012)","noteIndex":0},"citationItems":[{"id":930,"uris":["http://zotero.org/users/1894092/items/FD9Q49F2"],"uri":["http://zotero.org/users/1894092/items/FD9Q49F2"],"itemData":{"id":930,"type":"article-journal","title":"Intergovernmental Relations in the UK: Continuity in a Time of Change?","container-title":"The British Journal of Politics and International Relations","page":"323-343","volume":"14","issue":"2","author":[{"family":"McEwen","given":"Nicola"},{"family":"Swenden","given":"Wilfried"},{"family":"Bolleyer","given":"Nicole"}],"issued":{"date-parts":[["2012"]]}}}],"schema":"https://github.com/citation-style-language/schema/raw/master/csl-citation.json"} </w:instrText>
      </w:r>
      <w:r w:rsidR="00177A67">
        <w:fldChar w:fldCharType="separate"/>
      </w:r>
      <w:r w:rsidR="00177A67" w:rsidRPr="00177A67">
        <w:t>(</w:t>
      </w:r>
      <w:proofErr w:type="spellStart"/>
      <w:r w:rsidR="00177A67" w:rsidRPr="00177A67">
        <w:t>McEwen</w:t>
      </w:r>
      <w:proofErr w:type="spellEnd"/>
      <w:r w:rsidR="00177A67" w:rsidRPr="00177A67">
        <w:t xml:space="preserve">, </w:t>
      </w:r>
      <w:proofErr w:type="spellStart"/>
      <w:r w:rsidR="00177A67" w:rsidRPr="00177A67">
        <w:t>Swenden</w:t>
      </w:r>
      <w:proofErr w:type="spellEnd"/>
      <w:r w:rsidR="00177A67" w:rsidRPr="00177A67">
        <w:t xml:space="preserve">, &amp; </w:t>
      </w:r>
      <w:proofErr w:type="spellStart"/>
      <w:r w:rsidR="00177A67" w:rsidRPr="00177A67">
        <w:t>Bolleyer</w:t>
      </w:r>
      <w:proofErr w:type="spellEnd"/>
      <w:r w:rsidR="00177A67" w:rsidRPr="00177A67">
        <w:t>, 2012)</w:t>
      </w:r>
      <w:r w:rsidR="00177A67">
        <w:fldChar w:fldCharType="end"/>
      </w:r>
      <w:r w:rsidR="00177A67">
        <w:t xml:space="preserve">. </w:t>
      </w:r>
      <w:r w:rsidR="00A00B66">
        <w:t>Il est to</w:t>
      </w:r>
      <w:r w:rsidR="00490622">
        <w:t xml:space="preserve">utefois à noter que le fonctionnement hiérarchique se combine avec la recherche du consensus. </w:t>
      </w:r>
    </w:p>
    <w:p w14:paraId="64BB929C" w14:textId="2ED2E4F6" w:rsidR="004F746E" w:rsidRDefault="00846199" w:rsidP="00CE0A9A">
      <w:pPr>
        <w:jc w:val="both"/>
      </w:pPr>
      <w:r>
        <w:tab/>
        <w:t xml:space="preserve">Sur </w:t>
      </w:r>
      <w:r w:rsidR="009920D7">
        <w:t xml:space="preserve">le plan budgétaire et fiscal, </w:t>
      </w:r>
      <w:r>
        <w:t xml:space="preserve">la comparaison </w:t>
      </w:r>
      <w:r w:rsidR="009920D7">
        <w:t xml:space="preserve">de l’Espagne, l’Allemagne et le Royaume-Uni montre que pour rendre compte des effets de la crise, </w:t>
      </w:r>
      <w:r w:rsidR="00CE0A9A">
        <w:t xml:space="preserve">l’ampleur de la crise, </w:t>
      </w:r>
      <w:r w:rsidR="009920D7">
        <w:t xml:space="preserve">ou la </w:t>
      </w:r>
      <w:proofErr w:type="spellStart"/>
      <w:r w:rsidR="009920D7">
        <w:rPr>
          <w:i/>
        </w:rPr>
        <w:t>problem</w:t>
      </w:r>
      <w:proofErr w:type="spellEnd"/>
      <w:r w:rsidR="009920D7">
        <w:rPr>
          <w:i/>
        </w:rPr>
        <w:t xml:space="preserve"> pressure</w:t>
      </w:r>
      <w:r w:rsidR="00CE0A9A">
        <w:t>, doit être considérée. C</w:t>
      </w:r>
      <w:r w:rsidR="001D7EB0">
        <w:t xml:space="preserve">’est un Espagne où la crise a frappé le plus durement que l’on observe </w:t>
      </w:r>
      <w:r w:rsidR="00CE0A9A">
        <w:t>le renforcement le plus fort de la contrainte budgétaire et fiscale exercée par le gouvernement central sur les gouvernements régionaux. Mais l’ampleur de la crise ne constitue pas le seul facteur explicatif, ni même le principal, du renforcement de la contrainte budgétaire et fiscale du centre sur les gouvernements régionaux que l’on observe dans ces trois pays. L</w:t>
      </w:r>
      <w:r w:rsidR="0047357C">
        <w:t>a comparaison a montré</w:t>
      </w:r>
      <w:r w:rsidR="009920D7">
        <w:t xml:space="preserve"> le rôle joué</w:t>
      </w:r>
      <w:r w:rsidR="00CE0A9A">
        <w:t>, d’une part,</w:t>
      </w:r>
      <w:r w:rsidR="009920D7">
        <w:t xml:space="preserve"> par les dispositifs d’allocation des ressources</w:t>
      </w:r>
      <w:r w:rsidR="00CE0A9A">
        <w:t xml:space="preserve"> tels qu’ils ont été mis en œuvre. En Espagne et en Allemagne, leur mise en œuvre a </w:t>
      </w:r>
      <w:r w:rsidR="004F746E">
        <w:t>atténu</w:t>
      </w:r>
      <w:r w:rsidR="00CE0A9A">
        <w:t>é</w:t>
      </w:r>
      <w:r w:rsidR="004F746E">
        <w:t xml:space="preserve"> l’effet d</w:t>
      </w:r>
      <w:r w:rsidR="00CE0A9A">
        <w:t xml:space="preserve">e la crise </w:t>
      </w:r>
      <w:r w:rsidR="009920D7">
        <w:t>en maintenant une solidarité forte entre les échelons</w:t>
      </w:r>
      <w:r w:rsidR="00CE0A9A">
        <w:t>. En Ecosse et au Pays de Galle en revanche, c’est leur mise en œuvre qui a produit l’effet de la crise, c’est-à-dire qui a importé la crise économique</w:t>
      </w:r>
      <w:r w:rsidR="00397AA2">
        <w:t xml:space="preserve"> dans les finances régionales écossaises et galloises ces régions par l’intermédiaire d</w:t>
      </w:r>
      <w:r w:rsidR="005B012E">
        <w:t>es décisions de coupes budgétaires adoptées par le gouvernement britannique</w:t>
      </w:r>
      <w:r w:rsidR="00397AA2">
        <w:t xml:space="preserve"> pour l’Angleterre</w:t>
      </w:r>
      <w:r w:rsidR="00CE0A9A">
        <w:t xml:space="preserve">. </w:t>
      </w:r>
      <w:r w:rsidR="005B012E">
        <w:t xml:space="preserve">D’autre part, </w:t>
      </w:r>
      <w:r w:rsidR="004F746E">
        <w:t>la dynamique de moyen terme des relations</w:t>
      </w:r>
      <w:r w:rsidR="00F975A6">
        <w:t xml:space="preserve"> intergouvernementales et les </w:t>
      </w:r>
      <w:r w:rsidR="004F746E">
        <w:t xml:space="preserve"> </w:t>
      </w:r>
      <w:r w:rsidR="00F975A6">
        <w:t xml:space="preserve">rapports de pouvoir existants entre le </w:t>
      </w:r>
      <w:r w:rsidR="004F746E">
        <w:t>centre</w:t>
      </w:r>
      <w:r w:rsidR="00F975A6">
        <w:t xml:space="preserve"> et les </w:t>
      </w:r>
      <w:r w:rsidR="004F746E">
        <w:t>périphéries</w:t>
      </w:r>
      <w:r w:rsidR="00F975A6">
        <w:t xml:space="preserve"> </w:t>
      </w:r>
      <w:r w:rsidR="004F746E">
        <w:t>conditionne</w:t>
      </w:r>
      <w:r w:rsidR="00F975A6">
        <w:t>nt</w:t>
      </w:r>
      <w:r w:rsidR="004F746E">
        <w:t xml:space="preserve"> la capacité des régions à négocier collectivement le</w:t>
      </w:r>
      <w:r w:rsidR="00F975A6">
        <w:t>s modalités du</w:t>
      </w:r>
      <w:r w:rsidR="004F746E">
        <w:t xml:space="preserve"> renforcement de la contrainte budgétaire </w:t>
      </w:r>
      <w:r w:rsidR="009920D7">
        <w:t>et</w:t>
      </w:r>
      <w:r w:rsidR="004F746E">
        <w:t xml:space="preserve"> fiscale</w:t>
      </w:r>
      <w:r w:rsidR="00F975A6">
        <w:t xml:space="preserve">. Elles obtiennent ainsi des </w:t>
      </w:r>
      <w:r w:rsidR="00100091">
        <w:t>aides spécifiques en Espagne et des com</w:t>
      </w:r>
      <w:r w:rsidR="00F975A6">
        <w:t xml:space="preserve">pensations dans le cas allemand. En revanche, </w:t>
      </w:r>
      <w:r w:rsidR="00100091">
        <w:t>la capacité de négociation de l’Ecosse et du Pays de Galles</w:t>
      </w:r>
      <w:r w:rsidR="00F975A6">
        <w:t xml:space="preserve"> est </w:t>
      </w:r>
      <w:r w:rsidR="00397AA2">
        <w:t>faible dans la mesure où elles ne s’opposent pas à un changement mais à la mise en œuvre du dispositif existant d’allocation des ressources</w:t>
      </w:r>
      <w:r w:rsidR="00100091">
        <w:t xml:space="preserve">. </w:t>
      </w:r>
      <w:r w:rsidR="00EF6C46">
        <w:t xml:space="preserve">Par ailleurs, si le renforcement de la contrainte budgétaire et fiscale qui s’exerce sur les régions est avéré dans les trois cas, parler de recentralisation du pouvoir budgétaire et fiscal au profit des gouvernements centraux est certainement peu adéquat puisque, d’une part, le renforcement ne s’est pas accompagné d’une réallocation </w:t>
      </w:r>
      <w:r w:rsidR="009A1C0A">
        <w:t>formelle des compétences budgétaires et fiscales</w:t>
      </w:r>
      <w:r w:rsidR="00EF6C46">
        <w:t xml:space="preserve">, et d’autre part, les gouvernements centraux ont été soumis, comme les gouvernements infranationaux, au respect des accords européens. </w:t>
      </w:r>
    </w:p>
    <w:p w14:paraId="75ED9F68" w14:textId="77777777" w:rsidR="00B04246" w:rsidRDefault="00B04246" w:rsidP="00805158">
      <w:pPr>
        <w:jc w:val="both"/>
      </w:pPr>
    </w:p>
    <w:p w14:paraId="4EACC0CA" w14:textId="77777777" w:rsidR="00D01FBF" w:rsidRDefault="00D01FBF" w:rsidP="00805158">
      <w:pPr>
        <w:jc w:val="both"/>
      </w:pPr>
    </w:p>
    <w:p w14:paraId="42566350" w14:textId="0842AB1C" w:rsidR="00A87705" w:rsidRPr="00050495" w:rsidRDefault="00D01FBF" w:rsidP="00606538">
      <w:pPr>
        <w:keepNext/>
        <w:jc w:val="both"/>
        <w:rPr>
          <w:b/>
        </w:rPr>
      </w:pPr>
      <w:r>
        <w:rPr>
          <w:b/>
        </w:rPr>
        <w:t xml:space="preserve">2. </w:t>
      </w:r>
      <w:r w:rsidR="00E91654">
        <w:rPr>
          <w:b/>
        </w:rPr>
        <w:t>L</w:t>
      </w:r>
      <w:r w:rsidR="00D80592">
        <w:rPr>
          <w:b/>
        </w:rPr>
        <w:t xml:space="preserve">’absence de recentralisation </w:t>
      </w:r>
      <w:r w:rsidR="00117122" w:rsidRPr="00050495">
        <w:rPr>
          <w:b/>
        </w:rPr>
        <w:t>du pouvoir politique</w:t>
      </w:r>
    </w:p>
    <w:p w14:paraId="391D0F84" w14:textId="77777777" w:rsidR="00944CC7" w:rsidRDefault="00944CC7" w:rsidP="00606538">
      <w:pPr>
        <w:keepNext/>
        <w:jc w:val="both"/>
      </w:pPr>
    </w:p>
    <w:p w14:paraId="07259E00" w14:textId="68134854" w:rsidR="000F3505" w:rsidRDefault="00577B3F" w:rsidP="00577B3F">
      <w:pPr>
        <w:keepNext/>
        <w:ind w:firstLine="708"/>
        <w:jc w:val="both"/>
      </w:pPr>
      <w:r>
        <w:t>Centrée sur l’allocation du pouvoir politique et son évolution depuis l’éclatement de la crise,</w:t>
      </w:r>
      <w:r w:rsidR="0043261B">
        <w:t xml:space="preserve"> cette partie montre que l’on n’</w:t>
      </w:r>
      <w:r>
        <w:t>a assisté à une recentralisation du pouvoir politique n</w:t>
      </w:r>
      <w:r w:rsidR="0043261B">
        <w:t>i en Espagne, ni en Allemagne et</w:t>
      </w:r>
      <w:r>
        <w:t xml:space="preserve"> au Royaume-Uni. Au contraire, la</w:t>
      </w:r>
      <w:r w:rsidR="00093901">
        <w:t xml:space="preserve"> gestion de la crise économique et fiscale a alimenté les tendances centrifuges de ces trois systèmes politiques multi</w:t>
      </w:r>
      <w:r w:rsidR="00051139">
        <w:t>-</w:t>
      </w:r>
      <w:r w:rsidR="00093901">
        <w:t>niveaux</w:t>
      </w:r>
      <w:r w:rsidR="00781F1D">
        <w:t xml:space="preserve"> </w:t>
      </w:r>
      <w:r>
        <w:t xml:space="preserve">suite aux </w:t>
      </w:r>
      <w:r w:rsidR="00781F1D">
        <w:t>mobilisations de certains acteurs</w:t>
      </w:r>
      <w:r>
        <w:t xml:space="preserve"> gouvernementaux</w:t>
      </w:r>
      <w:r w:rsidR="00781F1D">
        <w:t xml:space="preserve"> régionaux pour avancer leur agenda politique</w:t>
      </w:r>
      <w:r w:rsidR="00231B78">
        <w:t xml:space="preserve">. La crise a </w:t>
      </w:r>
      <w:r w:rsidR="000B2293">
        <w:t xml:space="preserve">ainsi </w:t>
      </w:r>
      <w:r w:rsidR="00231B78">
        <w:t>durci la</w:t>
      </w:r>
      <w:r w:rsidR="00781F1D">
        <w:t xml:space="preserve"> divergence de</w:t>
      </w:r>
      <w:r w:rsidR="00231B78">
        <w:t>s</w:t>
      </w:r>
      <w:r w:rsidR="00781F1D">
        <w:t xml:space="preserve"> intérêts régionaux</w:t>
      </w:r>
      <w:r w:rsidR="00231B78">
        <w:t xml:space="preserve"> </w:t>
      </w:r>
      <w:r w:rsidR="00781F1D">
        <w:t>en Allemagne,</w:t>
      </w:r>
      <w:r w:rsidR="00231B78">
        <w:t xml:space="preserve"> et</w:t>
      </w:r>
      <w:r w:rsidR="00781F1D">
        <w:t xml:space="preserve"> a donné </w:t>
      </w:r>
      <w:r w:rsidR="000F3505">
        <w:t>de nouveaux arguments à certains acteurs gouvernementaux</w:t>
      </w:r>
      <w:r w:rsidR="00781F1D">
        <w:t xml:space="preserve"> pour demander plus de compétences de politique publique ou d’autonomie, en Ecosse et en Catalogne notamment</w:t>
      </w:r>
      <w:r w:rsidR="00231B78">
        <w:t xml:space="preserve">. </w:t>
      </w:r>
      <w:r w:rsidR="000F3505">
        <w:t xml:space="preserve">Mais, à l’heure actuelle, ces mobilisations régionales n’ont pas obtenu satisfaction : les régions riches du Sud de l’Allemagne ne sont pas parvenues à faire réviser le système de péréquation fiscale, le référendum sur l’indépendance de l’Ecosse s’est conclu par la victoire du ‘non’ et </w:t>
      </w:r>
      <w:r w:rsidR="00BE24BC">
        <w:t>l</w:t>
      </w:r>
      <w:r w:rsidR="000F3505">
        <w:t xml:space="preserve">es élections régionales en Catalogne </w:t>
      </w:r>
      <w:r w:rsidR="00BE24BC">
        <w:t>n’ont pas encore eu la suite souhaitée par les partis ethno-</w:t>
      </w:r>
      <w:r w:rsidR="00BE24BC">
        <w:lastRenderedPageBreak/>
        <w:t>régionalistes</w:t>
      </w:r>
      <w:r w:rsidR="000F3505">
        <w:t>. Ni une recentralisation, ni une décentral</w:t>
      </w:r>
      <w:r w:rsidR="0043261B">
        <w:t>isation du pouvoir politique n’ont</w:t>
      </w:r>
      <w:r w:rsidR="000F3505">
        <w:t xml:space="preserve"> eu lieu depuis la crise dans ces pays, quoique l’on puisse </w:t>
      </w:r>
      <w:r w:rsidR="004529F0">
        <w:t xml:space="preserve">toutefois </w:t>
      </w:r>
      <w:r w:rsidR="000F3505">
        <w:t>noter un verrouillage, institutionnel ou politique, des tendances centrifuges observées avant</w:t>
      </w:r>
      <w:r w:rsidR="00B25E1D">
        <w:t xml:space="preserve"> 2007. </w:t>
      </w:r>
      <w:r w:rsidR="00BE24BC">
        <w:t xml:space="preserve">Par verrouillage, on </w:t>
      </w:r>
      <w:r w:rsidR="0086233E">
        <w:t xml:space="preserve">fait référence à des décisions </w:t>
      </w:r>
      <w:r w:rsidR="005B3693">
        <w:t xml:space="preserve">ou des engagements </w:t>
      </w:r>
      <w:r w:rsidR="0086233E">
        <w:t xml:space="preserve">qui </w:t>
      </w:r>
      <w:r w:rsidR="00C34EDB">
        <w:t>reconnaissent les tendances</w:t>
      </w:r>
      <w:r w:rsidR="0086233E">
        <w:t xml:space="preserve"> centrifuges à l’œuvre dans les rel</w:t>
      </w:r>
      <w:r w:rsidR="00C34EDB">
        <w:t>ations centre-périphéries et</w:t>
      </w:r>
      <w:r w:rsidR="0086233E">
        <w:t xml:space="preserve"> </w:t>
      </w:r>
      <w:r w:rsidR="00C34EDB">
        <w:t>visent à les accommoder, rendant toute décision ultérieure inverse plus difficile</w:t>
      </w:r>
      <w:r w:rsidR="0086233E">
        <w:t>.</w:t>
      </w:r>
      <w:r w:rsidR="00BE24BC">
        <w:t xml:space="preserve"> </w:t>
      </w:r>
      <w:r w:rsidR="000F3505">
        <w:t xml:space="preserve">Pour rendre compte de ces évolutions, la territorialisation des </w:t>
      </w:r>
      <w:r w:rsidR="00643586">
        <w:t xml:space="preserve">partis, des </w:t>
      </w:r>
      <w:r w:rsidR="000F3505">
        <w:t>intérêts</w:t>
      </w:r>
      <w:r w:rsidR="00643586">
        <w:t xml:space="preserve"> et des identités</w:t>
      </w:r>
      <w:r w:rsidR="000F3505">
        <w:t xml:space="preserve"> et les institutions formelles qui encadrent les relations centre-périphéries sont à considérer. Les cas de </w:t>
      </w:r>
      <w:r w:rsidR="009C589C">
        <w:t>l’Espagne, l’Allemagne</w:t>
      </w:r>
      <w:r w:rsidR="006D7E30">
        <w:t xml:space="preserve"> et du</w:t>
      </w:r>
      <w:r w:rsidR="009C589C">
        <w:t xml:space="preserve"> Royaume-Uni sont discutés</w:t>
      </w:r>
      <w:r w:rsidR="000917A1">
        <w:t xml:space="preserve"> tour à tour</w:t>
      </w:r>
      <w:r w:rsidR="009C589C">
        <w:t>.</w:t>
      </w:r>
    </w:p>
    <w:p w14:paraId="1FBFE0E8" w14:textId="4740A2D4" w:rsidR="00B25E1D" w:rsidRDefault="00B25E1D" w:rsidP="00577B3F">
      <w:pPr>
        <w:keepNext/>
        <w:ind w:firstLine="708"/>
        <w:jc w:val="both"/>
      </w:pPr>
      <w:r>
        <w:t>Comme le signale Michael Keating, les conflits de redistri</w:t>
      </w:r>
      <w:r w:rsidR="00F8064C">
        <w:t xml:space="preserve">bution territoriale ont été </w:t>
      </w:r>
      <w:r w:rsidR="004A419D">
        <w:t>apaisés</w:t>
      </w:r>
      <w:r>
        <w:t xml:space="preserve"> par les gouvernements centraux</w:t>
      </w:r>
      <w:r w:rsidR="00F8064C">
        <w:t>, au fil du temps,</w:t>
      </w:r>
      <w:r>
        <w:t xml:space="preserve"> par le versement de dotations spéciales ou de contributions au système d’allocation des ressources </w:t>
      </w:r>
      <w:r w:rsidR="009C589C">
        <w:fldChar w:fldCharType="begin"/>
      </w:r>
      <w:r w:rsidR="00665410">
        <w:instrText xml:space="preserve"> ADDIN ZOTERO_ITEM CSL_CITATION {"citationID":"2871seje21","properties":{"formattedCitation":"(2013)","plainCitation":"(2013)","noteIndex":0},"citationItems":[{"id":224,"uris":["http://zotero.org/users/1894092/items/6UJB8BU8"],"uri":["http://zotero.org/users/1894092/items/6UJB8BU8"],"itemData":{"id":224,"type":"book","title":"Rescaling the European State. The Making of Territory and the Rise of the Meso","publisher":"Oxford University Press","publisher-place":"Oxford","event-place":"Oxford","author":[{"family":"Keating","given":"Michael"}],"issued":{"date-parts":[["2013"]]}},"suppress-author":true}],"schema":"https://github.com/citation-style-language/schema/raw/master/csl-citation.json"} </w:instrText>
      </w:r>
      <w:r w:rsidR="009C589C">
        <w:fldChar w:fldCharType="separate"/>
      </w:r>
      <w:r w:rsidR="009C589C">
        <w:rPr>
          <w:noProof/>
        </w:rPr>
        <w:t>(2013)</w:t>
      </w:r>
      <w:r w:rsidR="009C589C">
        <w:fldChar w:fldCharType="end"/>
      </w:r>
      <w:r>
        <w:t xml:space="preserve">. Depuis la crise, ce mode de résolution des </w:t>
      </w:r>
      <w:r w:rsidR="009C589C">
        <w:t>conflits territoriaux est plus difficilement mis en œuvre compte-tenu des contraintes fiscales et budgétaires auxquelles les gouvernements centraux font face.</w:t>
      </w:r>
      <w:r w:rsidR="00625ECA">
        <w:t xml:space="preserve"> Certains parlent de la fin de la « </w:t>
      </w:r>
      <w:r w:rsidR="00625ECA" w:rsidRPr="00673237">
        <w:rPr>
          <w:i/>
        </w:rPr>
        <w:t xml:space="preserve">redistribution </w:t>
      </w:r>
      <w:proofErr w:type="spellStart"/>
      <w:r w:rsidR="00625ECA" w:rsidRPr="00673237">
        <w:rPr>
          <w:i/>
        </w:rPr>
        <w:t>politics</w:t>
      </w:r>
      <w:proofErr w:type="spellEnd"/>
      <w:r w:rsidR="00625ECA" w:rsidRPr="00673237">
        <w:rPr>
          <w:i/>
        </w:rPr>
        <w:t> </w:t>
      </w:r>
      <w:r w:rsidR="00625ECA">
        <w:t xml:space="preserve">» </w:t>
      </w:r>
      <w:r w:rsidR="00070413">
        <w:fldChar w:fldCharType="begin"/>
      </w:r>
      <w:r w:rsidR="00665410">
        <w:instrText xml:space="preserve"> ADDIN ZOTERO_ITEM CSL_CITATION {"citationID":"2kk1jfenh2","properties":{"formattedCitation":"(Lastra-Anadon, 2014)","plainCitation":"(Lastra-Anadon, 2014)","noteIndex":0},"citationItems":[{"id":93,"uris":["http://zotero.org/users/1894092/items/KFSCJ77T"],"uri":["http://zotero.org/users/1894092/items/KFSCJ77T"],"itemData":{"id":93,"type":"chapter","title":"Regional Identity and Fiscal Constraints in Spanish Federalism","container-title":"The Global Debt Crisis: Haunting US and European Federalism","publisher":"Brookings Institution Press","publisher-place":"Washington, DC","page":"179-200","event-place":"Washington, DC","author":[{"family":"Lastra-Anadon","given":"Carlos Xabel"}],"editor":[{"family":"Peterson","given":"Paul E."},{"family":"Nadler","given":"Daniel"}],"issued":{"date-parts":[["2014"]]}}}],"schema":"https://github.com/citation-style-language/schema/raw/master/csl-citation.json"} </w:instrText>
      </w:r>
      <w:r w:rsidR="00070413">
        <w:fldChar w:fldCharType="separate"/>
      </w:r>
      <w:r w:rsidR="00070413">
        <w:rPr>
          <w:noProof/>
        </w:rPr>
        <w:t>(Lastra-Anadon, 2014)</w:t>
      </w:r>
      <w:r w:rsidR="00070413">
        <w:fldChar w:fldCharType="end"/>
      </w:r>
      <w:r w:rsidR="00625ECA">
        <w:t>.</w:t>
      </w:r>
      <w:r w:rsidR="009C589C">
        <w:t xml:space="preserve"> En ce sens, la crise a alimenté des conflits territoriaux </w:t>
      </w:r>
      <w:r w:rsidR="00673237">
        <w:t>préexistants. Cela est</w:t>
      </w:r>
      <w:r w:rsidR="009C589C">
        <w:t xml:space="preserve"> le cas en </w:t>
      </w:r>
      <w:r w:rsidR="00371822">
        <w:t xml:space="preserve">Espagne. Les années qui précèdent l’éclatement de la crise sont caractérisées à la fois par des tensions distributives et par un mouvement général vers un accroissement des transferts de compétences du gouvernement central vers les communautés autonomes – sous la forme d’un rattrapage des régions moins dotées que les nations historiques, des ressources croissantes et la réforme de huit statuts de l’autonomie, les chartes régionales. </w:t>
      </w:r>
      <w:r w:rsidR="00776F77">
        <w:t>Les réformes de</w:t>
      </w:r>
      <w:r w:rsidR="0086233E">
        <w:t xml:space="preserve"> ce</w:t>
      </w:r>
      <w:r w:rsidR="00776F77">
        <w:t xml:space="preserve">s chartes régionales, adoptées en Valence, Catalogne, aux Iles Baléares, en Andalousie, en Aragon, Castille et Léon, Navarre et Estrémadure, ont été mises à l’agenda sans attendre l’accord des principales forces politiques nationales à propos du contenu de ces réformes </w:t>
      </w:r>
      <w:r w:rsidR="00776F77">
        <w:fldChar w:fldCharType="begin"/>
      </w:r>
      <w:r w:rsidR="00665410">
        <w:instrText xml:space="preserve"> ADDIN ZOTERO_ITEM CSL_CITATION {"citationID":"5g14v1mlo","properties":{"formattedCitation":"(Colino, 2013)","plainCitation":"(Colino, 2013)","noteIndex":0},"citationItems":[{"id":94,"uris":["http://zotero.org/users/1894092/items/U46EEZR8"],"uri":["http://zotero.org/users/1894092/items/U46EEZR8"],"itemData":{"id":94,"type":"chapter","title":"The State of Autonomies Between the Economic Crisis and Enduring Nationalist Tensions","container-title":"Politics and Society in Contemporary Spain: From Zapatero to Rajoy","publisher":"Palgrave macmillan","publisher-place":"Basingstoke","page":"81-100","event-place":"Basingstoke","author":[{"family":"Colino","given":"César"}],"editor":[{"family":"Botti","given":"Alfonso"},{"family":"Field","given":"Bonnie N."}],"issued":{"date-parts":[["2013"]]}}}],"schema":"https://github.com/citation-style-language/schema/raw/master/csl-citation.json"} </w:instrText>
      </w:r>
      <w:r w:rsidR="00776F77">
        <w:fldChar w:fldCharType="separate"/>
      </w:r>
      <w:r w:rsidR="00776F77">
        <w:rPr>
          <w:noProof/>
        </w:rPr>
        <w:t>(Colino, 2013)</w:t>
      </w:r>
      <w:r w:rsidR="00776F77">
        <w:fldChar w:fldCharType="end"/>
      </w:r>
      <w:r w:rsidR="00776F77">
        <w:t>.</w:t>
      </w:r>
      <w:r w:rsidR="0011673A">
        <w:t xml:space="preserve"> De plus, la réforme fiscale entrée en vigueur en 2009, présentée plus haut, a été décidée en 2001. Bien qu’elle attribue davantage de ressources aux communautés autonomes, certaines, en premier lieu les régions les plus riches comme la Catalogne, ont continué à critiquer le système existant en soulignant, notamment, la redistribution excessive opérée par le système d’allocation et de péréquation des ressources</w:t>
      </w:r>
      <w:r w:rsidR="00070413">
        <w:t xml:space="preserve"> et revendiquant un plus grand contrôle des impôts collectés sur leur territoire</w:t>
      </w:r>
      <w:r w:rsidR="0011673A">
        <w:t xml:space="preserve">. </w:t>
      </w:r>
    </w:p>
    <w:p w14:paraId="7BF95413" w14:textId="2EA85F85" w:rsidR="00A20ABF" w:rsidRDefault="003F7A66" w:rsidP="00577B3F">
      <w:pPr>
        <w:keepNext/>
        <w:ind w:firstLine="708"/>
        <w:jc w:val="both"/>
      </w:pPr>
      <w:r>
        <w:t xml:space="preserve">Ces tensions centrifuges </w:t>
      </w:r>
      <w:r w:rsidR="00625ECA">
        <w:t xml:space="preserve">ont été renforcées depuis la crise et, tout particulièrement, le renforcement de la contrainte budgétaire et fiscale exercée par le gouvernement central sur les gouvernements régionaux. </w:t>
      </w:r>
      <w:r w:rsidR="00271F98">
        <w:t>Les régions ont tenté, on l’a vu, d’en négocier l’application et d’obtenir des compensations. En 2013, le gouvernement catalan a contourné le gouvernement central espagnol pour s’adresser directement aux acteurs européens pour demander un assouplissement des objectifs de réduction de la dette imposés aux régions</w:t>
      </w:r>
      <w:r w:rsidR="00A4710C">
        <w:t xml:space="preserve"> </w:t>
      </w:r>
      <w:r w:rsidR="00A4710C">
        <w:fldChar w:fldCharType="begin"/>
      </w:r>
      <w:r w:rsidR="00665410">
        <w:instrText xml:space="preserve"> ADDIN ZOTERO_ITEM CSL_CITATION {"citationID":"2ll3id9e3d","properties":{"formattedCitation":"(Colino, Molina, &amp; Hombrado, 2014)","plainCitation":"(Colino, Molina, &amp; Hombrado, 2014)","noteIndex":0},"citationItems":[{"id":92,"uris":["http://zotero.org/users/1894092/items/XI2KM3QQ"],"uri":["http://zotero.org/users/1894092/items/XI2KM3QQ"],"itemData":{"id":92,"type":"article-journal","title":"Responding to the New Europe and the Crisis: The Adaptation of Subnational Governments's Strategies and its Effets on Intergovernmental Relations in Spain","container-title":"Regional and Federal Studies","page":"281-299","volume":"24","issue":"3","author":[{"family":"Colino","given":"César"},{"family":"Molina","given":"Ignacio"},{"family":"Hombrado","given":"Angustias"}],"issued":{"date-parts":[["2014"]]}}}],"schema":"https://github.com/citation-style-language/schema/raw/master/csl-citation.json"} </w:instrText>
      </w:r>
      <w:r w:rsidR="00A4710C">
        <w:fldChar w:fldCharType="separate"/>
      </w:r>
      <w:r w:rsidR="00A4710C">
        <w:rPr>
          <w:noProof/>
        </w:rPr>
        <w:t>(Colino, Molina, &amp; Hombrado, 2014)</w:t>
      </w:r>
      <w:r w:rsidR="00A4710C">
        <w:fldChar w:fldCharType="end"/>
      </w:r>
      <w:r w:rsidR="00271F98">
        <w:t xml:space="preserve">. </w:t>
      </w:r>
      <w:r w:rsidR="00082A12">
        <w:t xml:space="preserve">De plus, à la même période mais indépendamment de la crise économique et fiscale, un autre événement a contribué à attiser les intentions séparatistes : la Charte régionale de la Catalogne avait été révisée en 2006 mais, en 2010, la Cour constitutionnelle la déclarait inconstitutionnelle. </w:t>
      </w:r>
      <w:r w:rsidR="00F737EB">
        <w:t>Cet arrêt a suscité des conflits très importants</w:t>
      </w:r>
      <w:r w:rsidR="00F35C40">
        <w:t xml:space="preserve"> entre la Catalogne et le gouvernement central</w:t>
      </w:r>
      <w:r w:rsidR="00F737EB">
        <w:t>, alimentés par des fuites dans la presse et la récusation de certains des juges</w:t>
      </w:r>
      <w:r w:rsidR="00F35C40">
        <w:t>. Le gouvernement catalan a considéré que l’arrêt de la Cour relevait d’une interprétation restrictive de la constitution espagnole. Cette situation et les réponses du gouvernement espagnol face aux demandes de la Catalogne d’aménager l’application de la contrainte budgétaire fiscale ont attisé les tensions</w:t>
      </w:r>
      <w:r w:rsidR="008E651D">
        <w:t xml:space="preserve"> et nourri la représentation </w:t>
      </w:r>
      <w:r w:rsidR="00AA5439">
        <w:t>selon laquelle l’indépendance de la Catalogne serait la solution à la crise</w:t>
      </w:r>
      <w:r w:rsidR="00966EC5">
        <w:t xml:space="preserve"> </w:t>
      </w:r>
      <w:r w:rsidR="00966EC5">
        <w:fldChar w:fldCharType="begin"/>
      </w:r>
      <w:r w:rsidR="00665410">
        <w:instrText xml:space="preserve"> ADDIN ZOTERO_ITEM CSL_CITATION {"citationID":"cm0jnl8p7","properties":{"formattedCitation":"(Harguind\\uc0\\u233{}guy, Pasquier, &amp; Cole, 2015)","plainCitation":"(Harguindéguy, Pasquier, &amp; Cole, 2015)","noteIndex":0},"citationItems":[{"id":1068,"uris":["http://zotero.org/users/1894092/items/5RVIBWQU"],"uri":["http://zotero.org/users/1894092/items/5RVIBWQU"],"itemData":{"id":1068,"type":"article-journal","title":"La gouvernance territoriale espagnole à l'épreuve de la crise économique : vers la recentralisation ?","container-title":"Critique internationale","page":"103-122","volume":"67","issue":"2","author":[{"family":"Harguindéguy","given":"Jean-Baptiste"},{"family":"Pasquier","given":"Romain"},{"family":"Cole","given":"Alistair"}],"issued":{"date-parts":[["2015"]]}}}],"schema":"https://github.com/citation-style-language/schema/raw/master/csl-citation.json"} </w:instrText>
      </w:r>
      <w:r w:rsidR="00966EC5">
        <w:fldChar w:fldCharType="separate"/>
      </w:r>
      <w:r w:rsidR="00665410" w:rsidRPr="00665410">
        <w:t>(</w:t>
      </w:r>
      <w:proofErr w:type="spellStart"/>
      <w:r w:rsidR="00665410" w:rsidRPr="00665410">
        <w:t>Harguindéguy</w:t>
      </w:r>
      <w:proofErr w:type="spellEnd"/>
      <w:r w:rsidR="00665410" w:rsidRPr="00665410">
        <w:t>, Pasquier, &amp; Cole, 2015)</w:t>
      </w:r>
      <w:r w:rsidR="00966EC5">
        <w:fldChar w:fldCharType="end"/>
      </w:r>
      <w:r w:rsidR="00F35C40">
        <w:t xml:space="preserve">. Artur Mas, à la tête de l’exécutif catalan, a ainsi </w:t>
      </w:r>
      <w:r w:rsidR="00966EC5">
        <w:t>organisé un référendum qui s’est tenu le 9 novembre 2014, sans l’accord du gouvernement central. Le ‘oui’ l’a massivement emporté, puisque 80,76% des votants se sont déclaré</w:t>
      </w:r>
      <w:r w:rsidR="0005762D">
        <w:t>s</w:t>
      </w:r>
      <w:r w:rsidR="00966EC5">
        <w:t xml:space="preserve"> favorables à l’indépendance de la Catalogne</w:t>
      </w:r>
      <w:r w:rsidR="0005762D">
        <w:t>. Le taux de participation a</w:t>
      </w:r>
      <w:r w:rsidR="00966EC5">
        <w:t xml:space="preserve"> été estimé entre 36% et 41%. </w:t>
      </w:r>
      <w:r w:rsidR="00FF7749">
        <w:t xml:space="preserve">Les élections régionales du 27 septembre </w:t>
      </w:r>
      <w:r w:rsidR="00FF7749">
        <w:lastRenderedPageBreak/>
        <w:t xml:space="preserve">2015 ont amené à la victoire des indépendantistes qui </w:t>
      </w:r>
      <w:r w:rsidR="00F8064C">
        <w:t xml:space="preserve">ont </w:t>
      </w:r>
      <w:r w:rsidR="00FF7749">
        <w:t>gagn</w:t>
      </w:r>
      <w:r w:rsidR="00F8064C">
        <w:t>é</w:t>
      </w:r>
      <w:r w:rsidR="00FF7749">
        <w:t xml:space="preserve"> la majorité des sièges à l’assemblée régionale. Toutefois, ils n’ont pas obtenu la majorité des voix (47,8% contre 50,4% pour l’ensemble des partis non-indépendantistes), ce qui ne manque pas de nourrir </w:t>
      </w:r>
      <w:r w:rsidR="007A430D">
        <w:t>l’incertitude sur l’avenir de la Catalogne et de l’allocation du pouvoir politique en Espagne. Dans ce pays ainsi, la crise n’a pas conduit à une recentralisation d</w:t>
      </w:r>
      <w:r w:rsidR="00643586">
        <w:t xml:space="preserve">u pouvoir politique, elle a en revanche </w:t>
      </w:r>
      <w:r w:rsidR="007A430D">
        <w:t>amené à renforcer les évolutions centrifuges déjà à l’œuvre avant que la crise n’éclate</w:t>
      </w:r>
      <w:r w:rsidR="007A78A2">
        <w:t xml:space="preserve">, ici vers des compétences asymétriques dévolues à la Catalogne ou son </w:t>
      </w:r>
      <w:r w:rsidR="00B30408">
        <w:t>indépendance</w:t>
      </w:r>
      <w:r w:rsidR="007A430D">
        <w:t>.</w:t>
      </w:r>
      <w:r w:rsidR="00643586">
        <w:t xml:space="preserve"> On a pu constater le rôle joué dans cette évolution par les mobilisations du parti ethno-régionaliste catalan, la territorialisation des identités dans cette région, ainsi que </w:t>
      </w:r>
      <w:r w:rsidR="00571CF9">
        <w:t xml:space="preserve">celui de la Cour constitutionnelle, en parallèle des dispositifs d’allocation des ressources. </w:t>
      </w:r>
    </w:p>
    <w:p w14:paraId="3DECA4F0" w14:textId="77777777" w:rsidR="001558C8" w:rsidRDefault="001558C8" w:rsidP="00577B3F">
      <w:pPr>
        <w:keepNext/>
        <w:ind w:firstLine="708"/>
        <w:jc w:val="both"/>
      </w:pPr>
    </w:p>
    <w:p w14:paraId="6159927A" w14:textId="74C22BD4" w:rsidR="00093901" w:rsidRDefault="00BC366D" w:rsidP="008140DB">
      <w:pPr>
        <w:keepNext/>
        <w:ind w:firstLine="708"/>
        <w:jc w:val="both"/>
      </w:pPr>
      <w:r>
        <w:t xml:space="preserve">En Allemagne aussi, les conflits territoriaux de redistribution précèdent l’éclatement de la crise. Ces derniers sont liés au développement de la « doctrine Sinatra » </w:t>
      </w:r>
      <w:r w:rsidR="007867C0">
        <w:fldChar w:fldCharType="begin"/>
      </w:r>
      <w:r w:rsidR="00665410">
        <w:instrText xml:space="preserve"> ADDIN ZOTERO_ITEM CSL_CITATION {"citationID":"1hb2j4tlgk","properties":{"formattedCitation":"(Jeffery, 1999)","plainCitation":"(Jeffery, 1999)","noteIndex":0},"citationItems":[{"id":90,"uris":["http://zotero.org/users/1894092/items/8BZ9TW9F"],"uri":["http://zotero.org/users/1894092/items/8BZ9TW9F"],"itemData":{"id":90,"type":"chapter","title":"From Cooperative Federalism to a 'Sinatra Doctrine' of the Länder?","container-title":"Recasting German Federalism: The Legacies of Unification","publisher":"Pinter","publisher-place":"London","page":"329-334","event-place":"London","author":[{"family":"Jeffery","given":"Charlie"}],"editor":[{"family":"Jeffery","given":"Charlie"}],"issued":{"date-parts":[["1999"]]}}}],"schema":"https://github.com/citation-style-language/schema/raw/master/csl-citation.json"} </w:instrText>
      </w:r>
      <w:r w:rsidR="007867C0">
        <w:fldChar w:fldCharType="separate"/>
      </w:r>
      <w:r w:rsidR="007867C0">
        <w:rPr>
          <w:noProof/>
        </w:rPr>
        <w:t>(Jeffery, 1999)</w:t>
      </w:r>
      <w:r w:rsidR="007867C0">
        <w:fldChar w:fldCharType="end"/>
      </w:r>
      <w:r w:rsidR="007867C0">
        <w:t xml:space="preserve"> des Länder</w:t>
      </w:r>
      <w:r w:rsidR="00F8064C">
        <w:t>,</w:t>
      </w:r>
      <w:r w:rsidR="007867C0">
        <w:t xml:space="preserve"> qui décrit la territorialis</w:t>
      </w:r>
      <w:r w:rsidR="00F8064C">
        <w:t>ation des intérêts des régions</w:t>
      </w:r>
      <w:r w:rsidR="007867C0">
        <w:t xml:space="preserve"> allemandes, autrement</w:t>
      </w:r>
      <w:r w:rsidR="00F8064C">
        <w:t xml:space="preserve"> dit</w:t>
      </w:r>
      <w:r w:rsidR="007867C0">
        <w:t xml:space="preserve"> la divergence croissante des intérêts des riches régions de l’Ouest et des petites régions pauvres de l’Est, en partie alimentée par la régionalisation visible des systèmes partisans régionaux </w:t>
      </w:r>
      <w:r w:rsidR="007867C0">
        <w:fldChar w:fldCharType="begin"/>
      </w:r>
      <w:r w:rsidR="00665410">
        <w:instrText xml:space="preserve"> ADDIN ZOTERO_ITEM CSL_CITATION {"citationID":"1aud76piti","properties":{"formattedCitation":"(Detterbeck &amp; Jeffery, 2009)","plainCitation":"(Detterbeck &amp; Jeffery, 2009)","noteIndex":0},"citationItems":[{"id":493,"uris":["http://zotero.org/users/1894092/items/SBA6UE74"],"uri":["http://zotero.org/users/1894092/items/SBA6UE74"],"itemData":{"id":493,"type":"chapter","title":"Rediscovering the Region: Territorial Politics and Party Organizations in Germany","container-title":"Territorial Party Politics in Western Europe","publisher":"Palgrave macmillan","publisher-place":"Basingstoke","page":"63-85","event-place":"Basingstoke","author":[{"family":"Detterbeck","given":"Klaus"},{"family":"Jeffery","given":"Charlie"}],"editor":[{"family":"Swenden","given":"Wilfried"},{"family":"Maddens","given":"Bart"}],"issued":{"date-parts":[["2009"]]}}}],"schema":"https://github.com/citation-style-language/schema/raw/master/csl-citation.json"} </w:instrText>
      </w:r>
      <w:r w:rsidR="007867C0">
        <w:fldChar w:fldCharType="separate"/>
      </w:r>
      <w:r w:rsidR="007867C0">
        <w:rPr>
          <w:noProof/>
        </w:rPr>
        <w:t>(Detterbeck &amp; Jeffery, 2009)</w:t>
      </w:r>
      <w:r w:rsidR="007867C0">
        <w:fldChar w:fldCharType="end"/>
      </w:r>
      <w:r w:rsidR="007867C0">
        <w:t xml:space="preserve">. </w:t>
      </w:r>
      <w:r w:rsidR="008140DB">
        <w:t>D</w:t>
      </w:r>
      <w:r w:rsidR="00DF0374">
        <w:t>epuis le début des années 2000</w:t>
      </w:r>
      <w:r w:rsidR="008140DB">
        <w:t xml:space="preserve">, la Hesse, le Bade Wurtemberg et la Bavière se sont mobilisées pour obtenir une révision du système de péréquation fiscale, jusque devant la Cour constitutionnelle on l’a vu. </w:t>
      </w:r>
      <w:r w:rsidR="00DF0374">
        <w:t xml:space="preserve">Ces débats </w:t>
      </w:r>
      <w:r w:rsidR="008140DB">
        <w:t xml:space="preserve">sur les </w:t>
      </w:r>
      <w:proofErr w:type="spellStart"/>
      <w:r w:rsidR="008140DB">
        <w:t>désincitations</w:t>
      </w:r>
      <w:proofErr w:type="spellEnd"/>
      <w:r w:rsidR="008140DB">
        <w:t xml:space="preserve"> du système d’allocation des ressources, </w:t>
      </w:r>
      <w:r w:rsidR="008E651D">
        <w:t>selon les trois Länder mobilisé</w:t>
      </w:r>
      <w:r w:rsidR="008140DB">
        <w:t xml:space="preserve">s, </w:t>
      </w:r>
      <w:r w:rsidR="00DF0374">
        <w:t>ont été remis à l’agenda</w:t>
      </w:r>
      <w:r w:rsidR="008140DB">
        <w:t xml:space="preserve"> </w:t>
      </w:r>
      <w:r w:rsidR="00236E2A">
        <w:t>dans le cadre des dernières étapes de la réforme d</w:t>
      </w:r>
      <w:r w:rsidR="008140DB">
        <w:t xml:space="preserve">u fédéralisme allemand </w:t>
      </w:r>
      <w:r w:rsidR="00236E2A">
        <w:t xml:space="preserve">depuis 2007. </w:t>
      </w:r>
      <w:r w:rsidR="005445EA">
        <w:t xml:space="preserve">En parallèle, la réforme adoptée a conduit à un certain </w:t>
      </w:r>
      <w:proofErr w:type="spellStart"/>
      <w:r w:rsidR="005445EA">
        <w:t>désenchevêtrement</w:t>
      </w:r>
      <w:proofErr w:type="spellEnd"/>
      <w:r w:rsidR="005445EA">
        <w:t xml:space="preserve"> des compétences de politique publique du gouvernement fédéral et des gouvernements régionaux. Avant la crise par conséquent, des tendances centrifuges sont clairement notables. </w:t>
      </w:r>
    </w:p>
    <w:p w14:paraId="72A78CD1" w14:textId="441C5D3F" w:rsidR="00362B96" w:rsidRDefault="005445EA" w:rsidP="00CF618F">
      <w:pPr>
        <w:ind w:firstLine="708"/>
        <w:jc w:val="both"/>
      </w:pPr>
      <w:r>
        <w:t xml:space="preserve">Depuis la crise, les discussions sur la réforme du fédéralisme se sont concentrées sur la réduction des déficits de la dette. </w:t>
      </w:r>
      <w:r w:rsidR="00277741">
        <w:t xml:space="preserve">Certains avancent que la réforme de 2009 et </w:t>
      </w:r>
      <w:r w:rsidR="00E64FB5">
        <w:t>les discussions soulevées par sa ratification ont renforcé les clivages entre les régions riches du sud et les autres régions</w:t>
      </w:r>
      <w:r w:rsidR="00277741">
        <w:t xml:space="preserve"> </w:t>
      </w:r>
      <w:r w:rsidR="00277741">
        <w:fldChar w:fldCharType="begin"/>
      </w:r>
      <w:r w:rsidR="00665410">
        <w:instrText xml:space="preserve"> ADDIN ZOTERO_ITEM CSL_CITATION {"citationID":"1f049c8l5u","properties":{"formattedCitation":"(Jeffery &amp; Rowe, 2014)","plainCitation":"(Jeffery &amp; Rowe, 2014)","noteIndex":0},"citationItems":[{"id":1067,"uris":["http://zotero.org/users/1894092/items/32XFRX7R"],"uri":["http://zotero.org/users/1894092/items/32XFRX7R"],"itemData":{"id":1067,"type":"chapter","title":"The Reform of German Federalism","container-title":"Developments in German Politics 4","publisher":"Palgrave macmillan","publisher-place":"Basingstoke","page":"35-56","event-place":"Basingstoke","author":[{"family":"Jeffery","given":"Charlie"},{"family":"Rowe","given":"Carolyn"}],"container-author":[{"family":"Padgett","given":"Stephen"},{"family":"Paterson","given":"William E."},{"family":"Zohlnhöfer","given":"Reimut"}],"issued":{"date-parts":[["2014"]]}}}],"schema":"https://github.com/citation-style-language/schema/raw/master/csl-citation.json"} </w:instrText>
      </w:r>
      <w:r w:rsidR="00277741">
        <w:fldChar w:fldCharType="separate"/>
      </w:r>
      <w:r w:rsidR="00277741">
        <w:rPr>
          <w:noProof/>
        </w:rPr>
        <w:t>(Jeffery &amp; Rowe, 2014)</w:t>
      </w:r>
      <w:r w:rsidR="00277741">
        <w:fldChar w:fldCharType="end"/>
      </w:r>
      <w:r w:rsidR="00E64FB5">
        <w:t xml:space="preserve">. </w:t>
      </w:r>
      <w:r w:rsidR="009A25C1">
        <w:t>Autrement dit, le frein à l’endettement (</w:t>
      </w:r>
      <w:proofErr w:type="spellStart"/>
      <w:r w:rsidR="00E64FB5" w:rsidRPr="009A25C1">
        <w:rPr>
          <w:i/>
        </w:rPr>
        <w:t>Schuldenbremse</w:t>
      </w:r>
      <w:proofErr w:type="spellEnd"/>
      <w:r w:rsidR="009A25C1">
        <w:t xml:space="preserve">) alors introduit pourrait être considéré comme renforçant la diversité des Länder et de leurs intérêts. </w:t>
      </w:r>
      <w:r w:rsidR="00161250">
        <w:t>D’une part, les intérêts des régions riches</w:t>
      </w:r>
      <w:r w:rsidR="0086233E">
        <w:t>, consistant à réduire l’ampleur de la solidarité fiscale entre les régions,</w:t>
      </w:r>
      <w:r w:rsidR="00161250">
        <w:t xml:space="preserve"> ont été servis par la réforme puisque les risques de </w:t>
      </w:r>
      <w:r w:rsidR="00F506F9">
        <w:rPr>
          <w:i/>
        </w:rPr>
        <w:t xml:space="preserve">bail </w:t>
      </w:r>
      <w:r w:rsidR="00161250">
        <w:rPr>
          <w:i/>
        </w:rPr>
        <w:t xml:space="preserve">out </w:t>
      </w:r>
      <w:r w:rsidR="00161250">
        <w:t>des régions les plus pauvres ont été virtuellement éliminés.</w:t>
      </w:r>
      <w:r w:rsidR="00D7306F">
        <w:t xml:space="preserve"> D’autre part, l</w:t>
      </w:r>
      <w:r w:rsidR="00161250">
        <w:t xml:space="preserve">e processus de ratification des propositions de la </w:t>
      </w:r>
      <w:r w:rsidR="00D7306F">
        <w:t xml:space="preserve">deuxième </w:t>
      </w:r>
      <w:r w:rsidR="00161250">
        <w:t>commission</w:t>
      </w:r>
      <w:r w:rsidR="00D7306F">
        <w:t xml:space="preserve"> de réforme du fédéralisme allemand</w:t>
      </w:r>
      <w:r w:rsidR="00161250">
        <w:t xml:space="preserve"> a </w:t>
      </w:r>
      <w:r w:rsidR="00D7306F">
        <w:t>souligné</w:t>
      </w:r>
      <w:r w:rsidR="00161250">
        <w:t xml:space="preserve"> la saillance</w:t>
      </w:r>
      <w:r w:rsidR="00D7306F">
        <w:t xml:space="preserve"> de la dive</w:t>
      </w:r>
      <w:r w:rsidR="00A01E33">
        <w:t>rgence des intérêts régionaux</w:t>
      </w:r>
      <w:r w:rsidR="00CF14A1">
        <w:t>,</w:t>
      </w:r>
      <w:r w:rsidR="00A01E33">
        <w:t xml:space="preserve"> et ce n’est qu’en 2013 que la réforme a effectivement été adoptée. Enfin, </w:t>
      </w:r>
      <w:r w:rsidR="00CF618F">
        <w:t xml:space="preserve">le frein à l’endettement pourrait conduire à une situation où, </w:t>
      </w:r>
      <w:r w:rsidR="00E64FB5">
        <w:t>compte-tenu des différences d’activité, les régions les plus fort</w:t>
      </w:r>
      <w:r w:rsidR="00EE0D3E">
        <w:t>e</w:t>
      </w:r>
      <w:r w:rsidR="00E64FB5">
        <w:t xml:space="preserve">s </w:t>
      </w:r>
      <w:r w:rsidR="00CF618F">
        <w:t xml:space="preserve">économique seront </w:t>
      </w:r>
      <w:r w:rsidR="00E64FB5">
        <w:t>capables de financer leurs projets</w:t>
      </w:r>
      <w:r w:rsidR="00CF618F">
        <w:t>,</w:t>
      </w:r>
      <w:r w:rsidR="00E64FB5">
        <w:t xml:space="preserve"> tandis que les autres </w:t>
      </w:r>
      <w:r w:rsidR="00CF618F">
        <w:t>dev</w:t>
      </w:r>
      <w:r w:rsidR="00E64FB5">
        <w:t>r</w:t>
      </w:r>
      <w:r w:rsidR="00CF618F">
        <w:t>ont</w:t>
      </w:r>
      <w:r w:rsidR="00E64FB5">
        <w:t xml:space="preserve"> recourir </w:t>
      </w:r>
      <w:r w:rsidR="0058088E">
        <w:t>aux mécanismes d’emprunt public</w:t>
      </w:r>
      <w:r w:rsidR="00CF618F">
        <w:t xml:space="preserve"> </w:t>
      </w:r>
      <w:r w:rsidR="00CF618F">
        <w:fldChar w:fldCharType="begin"/>
      </w:r>
      <w:r w:rsidR="00665410">
        <w:instrText xml:space="preserve"> ADDIN ZOTERO_ITEM CSL_CITATION {"citationID":"2fhjqfq3f4","properties":{"formattedCitation":"(Jeffery &amp; Rowe, 2014)","plainCitation":"(Jeffery &amp; Rowe, 2014)","noteIndex":0},"citationItems":[{"id":1067,"uris":["http://zotero.org/users/1894092/items/32XFRX7R"],"uri":["http://zotero.org/users/1894092/items/32XFRX7R"],"itemData":{"id":1067,"type":"chapter","title":"The Reform of German Federalism","container-title":"Developments in German Politics 4","publisher":"Palgrave macmillan","publisher-place":"Basingstoke","page":"35-56","event-place":"Basingstoke","author":[{"family":"Jeffery","given":"Charlie"},{"family":"Rowe","given":"Carolyn"}],"container-author":[{"family":"Padgett","given":"Stephen"},{"family":"Paterson","given":"William E."},{"family":"Zohlnhöfer","given":"Reimut"}],"issued":{"date-parts":[["2014"]]}}}],"schema":"https://github.com/citation-style-language/schema/raw/master/csl-citation.json"} </w:instrText>
      </w:r>
      <w:r w:rsidR="00CF618F">
        <w:fldChar w:fldCharType="separate"/>
      </w:r>
      <w:r w:rsidR="00CF618F">
        <w:rPr>
          <w:noProof/>
        </w:rPr>
        <w:t>(Jeffery &amp; Rowe, 2014)</w:t>
      </w:r>
      <w:r w:rsidR="00CF618F">
        <w:fldChar w:fldCharType="end"/>
      </w:r>
      <w:r w:rsidR="00E64FB5">
        <w:t xml:space="preserve">. </w:t>
      </w:r>
      <w:r w:rsidR="00CF618F">
        <w:t>Les négociations à venir</w:t>
      </w:r>
      <w:r w:rsidR="00DC4C46">
        <w:t>, en 2019,</w:t>
      </w:r>
      <w:r w:rsidR="00CF618F">
        <w:t xml:space="preserve"> sur le </w:t>
      </w:r>
      <w:r w:rsidR="00E64FB5">
        <w:t>système de péréquation fiscale et sur le second pacte de solidarité, qui avai</w:t>
      </w:r>
      <w:r w:rsidR="00DC4C46">
        <w:t>t offert un mécanisme</w:t>
      </w:r>
      <w:r w:rsidR="00E64FB5">
        <w:t xml:space="preserve"> </w:t>
      </w:r>
      <w:r w:rsidR="00CF618F">
        <w:t>de transition aux régions de l’Est</w:t>
      </w:r>
      <w:r w:rsidR="00E64FB5">
        <w:t xml:space="preserve"> les plus pauvres</w:t>
      </w:r>
      <w:r w:rsidR="00CF618F">
        <w:t xml:space="preserve"> dans le cadre de la réunification, constitueront un premier test de cette analyse. </w:t>
      </w:r>
      <w:r w:rsidR="00EA7140">
        <w:t>Par conséquent, en Allemagne, la crise n’amène pas une recentralisation du pouvoir politique, qui n’a pas été à l’agenda, mais les dispositifs de gestion de la crise budgétaire et fiscale, introduits dans un contexte de divergence croi</w:t>
      </w:r>
      <w:r w:rsidR="0017424D">
        <w:t>ssant</w:t>
      </w:r>
      <w:r w:rsidR="00EA7140">
        <w:t>e des intérêts régionaux, et de mobilisation</w:t>
      </w:r>
      <w:r w:rsidR="007C1C21">
        <w:t xml:space="preserve"> </w:t>
      </w:r>
      <w:r w:rsidR="00EA7140">
        <w:t xml:space="preserve">des régions les plus riches en faveur de la remise en cause du </w:t>
      </w:r>
      <w:r w:rsidR="00EA7140">
        <w:rPr>
          <w:i/>
        </w:rPr>
        <w:t xml:space="preserve">statu quo, </w:t>
      </w:r>
      <w:r w:rsidR="00EA7140">
        <w:t xml:space="preserve">amènent à verrouiller cette divergence des Länder. Le verrouillage de ces tendances centrifuges antérieures est institutionnel : il est incorporé au </w:t>
      </w:r>
      <w:proofErr w:type="spellStart"/>
      <w:r w:rsidR="00EA7140">
        <w:rPr>
          <w:i/>
        </w:rPr>
        <w:t>Schuldenbremse</w:t>
      </w:r>
      <w:proofErr w:type="spellEnd"/>
      <w:r w:rsidR="00EA7140">
        <w:rPr>
          <w:i/>
        </w:rPr>
        <w:t xml:space="preserve">. </w:t>
      </w:r>
      <w:r w:rsidR="00EE73A3">
        <w:t>Pour expliquer les évolutions de l’allocation du pouvoir politique en Allemagne entre Bund et Länder, il est donc déterminant de considérer la territorialisation des intérêts et les dispositifs institutionnels encadrant les relations centre-périphéries, ici sur le plan budgétaire et fiscal.</w:t>
      </w:r>
    </w:p>
    <w:p w14:paraId="3A8054C5" w14:textId="77777777" w:rsidR="001558C8" w:rsidRPr="00EE73A3" w:rsidRDefault="001558C8" w:rsidP="00CF618F">
      <w:pPr>
        <w:ind w:firstLine="708"/>
        <w:jc w:val="both"/>
      </w:pPr>
    </w:p>
    <w:p w14:paraId="20D2230A" w14:textId="71E4614A" w:rsidR="00362B96" w:rsidRPr="006071FA" w:rsidRDefault="00673237" w:rsidP="00805158">
      <w:pPr>
        <w:jc w:val="both"/>
      </w:pPr>
      <w:r>
        <w:lastRenderedPageBreak/>
        <w:tab/>
        <w:t>Au Royaume-Uni, enfin, la crise est venue alimenter des débats antérieurs portant sur l’allocation du pouvoir politique et a produit une nouvelle occasion pour les part</w:t>
      </w:r>
      <w:r w:rsidR="00D748FC">
        <w:t>is indépendantistes ayant accéd</w:t>
      </w:r>
      <w:r>
        <w:t xml:space="preserve">é au pouvoir en Ecosse, mais aussi au Pays de Galles, </w:t>
      </w:r>
      <w:r w:rsidR="00D748FC">
        <w:t>leur permettant d’</w:t>
      </w:r>
      <w:r>
        <w:t>avancer leur agenda politique</w:t>
      </w:r>
      <w:r w:rsidR="007C1C21">
        <w:t xml:space="preserve"> en construisant l’indépendance ou la poursuite de la </w:t>
      </w:r>
      <w:proofErr w:type="spellStart"/>
      <w:r w:rsidR="007C1C21">
        <w:rPr>
          <w:i/>
        </w:rPr>
        <w:t>devolution</w:t>
      </w:r>
      <w:proofErr w:type="spellEnd"/>
      <w:r w:rsidR="007C1C21">
        <w:rPr>
          <w:i/>
        </w:rPr>
        <w:t xml:space="preserve"> </w:t>
      </w:r>
      <w:r w:rsidR="007C1C21">
        <w:t>comme la solution à la situation de crise</w:t>
      </w:r>
      <w:r w:rsidR="00C20D4F">
        <w:t xml:space="preserve">. En effet, </w:t>
      </w:r>
      <w:r w:rsidR="00D748FC">
        <w:t xml:space="preserve">depuis les réformes de la </w:t>
      </w:r>
      <w:proofErr w:type="spellStart"/>
      <w:r w:rsidR="00D748FC">
        <w:rPr>
          <w:i/>
        </w:rPr>
        <w:t>devolution</w:t>
      </w:r>
      <w:proofErr w:type="spellEnd"/>
      <w:r w:rsidR="00D748FC">
        <w:rPr>
          <w:i/>
        </w:rPr>
        <w:t xml:space="preserve">, </w:t>
      </w:r>
      <w:r w:rsidR="00D748FC">
        <w:t xml:space="preserve">le paysage partisan en Ecosse et au Pays de Galles a été caractérisé par une désaffection à l’égard du </w:t>
      </w:r>
      <w:r w:rsidR="00D748FC">
        <w:rPr>
          <w:i/>
        </w:rPr>
        <w:t xml:space="preserve">Labour </w:t>
      </w:r>
      <w:r w:rsidR="00D748FC">
        <w:t xml:space="preserve">et l’entrée au gouvernement du </w:t>
      </w:r>
      <w:r w:rsidR="00D748FC">
        <w:rPr>
          <w:i/>
        </w:rPr>
        <w:t xml:space="preserve">Scottish </w:t>
      </w:r>
      <w:proofErr w:type="spellStart"/>
      <w:r w:rsidR="00D748FC">
        <w:rPr>
          <w:i/>
        </w:rPr>
        <w:t>Nationalist</w:t>
      </w:r>
      <w:proofErr w:type="spellEnd"/>
      <w:r w:rsidR="00D748FC">
        <w:rPr>
          <w:i/>
        </w:rPr>
        <w:t xml:space="preserve"> Party, </w:t>
      </w:r>
      <w:r w:rsidR="00D748FC">
        <w:t>d’abord dans le cadre d’un gouvernement minoritaire entre 2007 et 2011, puis d’un gouvernement majoritaire à partir de cette date</w:t>
      </w:r>
      <w:r w:rsidR="002921D9">
        <w:t>.</w:t>
      </w:r>
      <w:r w:rsidR="003D160B">
        <w:t xml:space="preserve"> Suite à la première victoire du S</w:t>
      </w:r>
      <w:r w:rsidR="0017424D">
        <w:t>NP en 2007, sur la base</w:t>
      </w:r>
      <w:r w:rsidR="003D160B">
        <w:t xml:space="preserve"> </w:t>
      </w:r>
      <w:r w:rsidR="0017424D">
        <w:t>d’</w:t>
      </w:r>
      <w:r w:rsidR="003D160B">
        <w:t xml:space="preserve">un programme visant explicitement à l’indépendance de l’Ecosse, les partis d’opposition, à savoir les travaillistes, les libéraux-démocrates et les conservateurs, ont lancé une commission visant à réviser l’accord de 1998 ayant présidé à la </w:t>
      </w:r>
      <w:proofErr w:type="spellStart"/>
      <w:r w:rsidR="003D160B">
        <w:rPr>
          <w:i/>
        </w:rPr>
        <w:t>devolution</w:t>
      </w:r>
      <w:proofErr w:type="spellEnd"/>
      <w:r w:rsidR="003D160B">
        <w:rPr>
          <w:i/>
        </w:rPr>
        <w:t xml:space="preserve">. </w:t>
      </w:r>
      <w:r w:rsidR="003D160B">
        <w:t xml:space="preserve">Le </w:t>
      </w:r>
      <w:r w:rsidR="003D160B">
        <w:rPr>
          <w:i/>
        </w:rPr>
        <w:t xml:space="preserve">2012 Scotland </w:t>
      </w:r>
      <w:proofErr w:type="spellStart"/>
      <w:r w:rsidR="003D160B">
        <w:rPr>
          <w:i/>
        </w:rPr>
        <w:t>Act</w:t>
      </w:r>
      <w:proofErr w:type="spellEnd"/>
      <w:r w:rsidR="003D160B">
        <w:rPr>
          <w:i/>
        </w:rPr>
        <w:t xml:space="preserve"> </w:t>
      </w:r>
      <w:r w:rsidR="003D160B">
        <w:t>a inclus la plupart de ses recommandations, qui conduisent à un certain renforcement de l’accord initial de décentralisation.</w:t>
      </w:r>
      <w:r w:rsidR="002921D9">
        <w:t xml:space="preserve"> De plus</w:t>
      </w:r>
      <w:r w:rsidR="00D748FC">
        <w:t>,</w:t>
      </w:r>
      <w:r w:rsidR="002921D9">
        <w:t xml:space="preserve"> au Pays de Galles,</w:t>
      </w:r>
      <w:r w:rsidR="00D748FC">
        <w:t xml:space="preserve"> le Premier ministre gallois, appartenant au </w:t>
      </w:r>
      <w:r w:rsidR="00D748FC" w:rsidRPr="0017424D">
        <w:rPr>
          <w:i/>
        </w:rPr>
        <w:t>Labour Party</w:t>
      </w:r>
      <w:r w:rsidR="00D748FC">
        <w:t xml:space="preserve">, </w:t>
      </w:r>
      <w:r w:rsidR="002921D9">
        <w:t xml:space="preserve">a introduit en 2003 </w:t>
      </w:r>
      <w:r w:rsidR="00D748FC">
        <w:t>un « </w:t>
      </w:r>
      <w:proofErr w:type="spellStart"/>
      <w:r w:rsidR="00D748FC">
        <w:rPr>
          <w:i/>
        </w:rPr>
        <w:t>neo</w:t>
      </w:r>
      <w:proofErr w:type="spellEnd"/>
      <w:r w:rsidR="00D748FC">
        <w:rPr>
          <w:i/>
        </w:rPr>
        <w:t xml:space="preserve"> </w:t>
      </w:r>
      <w:proofErr w:type="spellStart"/>
      <w:r w:rsidR="00D748FC">
        <w:rPr>
          <w:i/>
        </w:rPr>
        <w:t>nationalist</w:t>
      </w:r>
      <w:proofErr w:type="spellEnd"/>
      <w:r w:rsidR="00D748FC">
        <w:rPr>
          <w:i/>
        </w:rPr>
        <w:t xml:space="preserve"> agenda »</w:t>
      </w:r>
      <w:r w:rsidR="006071FA">
        <w:rPr>
          <w:i/>
        </w:rPr>
        <w:t xml:space="preserve"> </w:t>
      </w:r>
      <w:r w:rsidR="006071FA">
        <w:fldChar w:fldCharType="begin"/>
      </w:r>
      <w:r w:rsidR="00665410">
        <w:instrText xml:space="preserve"> ADDIN ZOTERO_ITEM CSL_CITATION {"citationID":"hgrlovato","properties":{"formattedCitation":"(Keating, 2009)","plainCitation":"(Keating, 2009)","noteIndex":0},"citationItems":[{"id":91,"uris":["http://zotero.org/users/1894092/items/J5VTKVKM"],"uri":["http://zotero.org/users/1894092/items/J5VTKVKM"],"itemData":{"id":91,"type":"book","title":"The Independence of Scotland. Self-Government and the Shifting Politics of Union","publisher":"Oxford University Press","publisher-place":"Oxford","event-place":"Oxford","author":[{"family":"Keating","given":"Michael"}],"issued":{"date-parts":[["2009"]]}}}],"schema":"https://github.com/citation-style-language/schema/raw/master/csl-citation.json"} </w:instrText>
      </w:r>
      <w:r w:rsidR="006071FA">
        <w:fldChar w:fldCharType="separate"/>
      </w:r>
      <w:r w:rsidR="006071FA">
        <w:t>(Keating, 2009)</w:t>
      </w:r>
      <w:r w:rsidR="006071FA">
        <w:fldChar w:fldCharType="end"/>
      </w:r>
      <w:r w:rsidR="00D748FC">
        <w:rPr>
          <w:i/>
        </w:rPr>
        <w:t xml:space="preserve">, </w:t>
      </w:r>
      <w:r w:rsidR="00D748FC">
        <w:t xml:space="preserve">suivi </w:t>
      </w:r>
      <w:r w:rsidR="006071FA">
        <w:t xml:space="preserve">en 2007 par l’élection d’un gouvernement de coalition entre le </w:t>
      </w:r>
      <w:r w:rsidR="006071FA">
        <w:rPr>
          <w:i/>
        </w:rPr>
        <w:t xml:space="preserve">Labour </w:t>
      </w:r>
      <w:r w:rsidR="006071FA">
        <w:t xml:space="preserve">et le </w:t>
      </w:r>
      <w:r w:rsidR="006071FA">
        <w:rPr>
          <w:i/>
        </w:rPr>
        <w:t xml:space="preserve">Plaid </w:t>
      </w:r>
      <w:proofErr w:type="spellStart"/>
      <w:r w:rsidR="006071FA">
        <w:rPr>
          <w:i/>
        </w:rPr>
        <w:t>Cymru</w:t>
      </w:r>
      <w:proofErr w:type="spellEnd"/>
      <w:r w:rsidR="006071FA">
        <w:rPr>
          <w:i/>
        </w:rPr>
        <w:t xml:space="preserve">, </w:t>
      </w:r>
      <w:r w:rsidR="006071FA">
        <w:t>le parti indépendantiste gallois. L’accord de coalition prévoyait la tenue d’un référendum portant sur l’accroissement des ca</w:t>
      </w:r>
      <w:r w:rsidR="002921D9">
        <w:t>pacités à</w:t>
      </w:r>
      <w:r w:rsidR="006071FA">
        <w:t xml:space="preserve"> légiférer de l’assemblée galloise, qui a effectivement été organisé avec l’accord du gouvernement de David Cameron et qui a conduit à une confortable majorité soutenant une plus grande autonomie législative. Le référendum a ainsi conduit au transfert de compétences législatives à l’assemblée du Pays de Galles dans une vingtaine de domaines d’action publique, incluant l’éducation, la santé, le logement, le transport ou encore environnement et l’agriculture. </w:t>
      </w:r>
      <w:r w:rsidR="0017424D">
        <w:t>Au Royaume-Uni donc aussi, des tendances centrifuges étaient clairement à l’œuvre avant la crise.</w:t>
      </w:r>
    </w:p>
    <w:p w14:paraId="05CC5C8E" w14:textId="322A1A54" w:rsidR="00B061FE" w:rsidRPr="00EB285F" w:rsidRDefault="00FF0862" w:rsidP="00805158">
      <w:pPr>
        <w:jc w:val="both"/>
      </w:pPr>
      <w:r>
        <w:tab/>
        <w:t xml:space="preserve">Avec la crise, et plus exactement depuis l’arrivée au pouvoir du gouvernement de David Cameron et la décision d’adopter des mesures d’austérité pour parvenir à un déficit structurel nul en Angleterre, </w:t>
      </w:r>
      <w:r w:rsidR="00E43B2C">
        <w:t>l</w:t>
      </w:r>
      <w:r w:rsidR="00692CF4">
        <w:t>es gouvernements en Ecosse et au</w:t>
      </w:r>
      <w:r w:rsidR="00320821">
        <w:t xml:space="preserve"> Pays de Galles ont tenté de s’opposer à ces coupes budgétaires qui les concernaient directement, on l’a vu.</w:t>
      </w:r>
      <w:r w:rsidR="008E651D">
        <w:t xml:space="preserve"> Le problème de la « crise » a été construit par ses deux gouvernements comme demandant, pour être résolu, une </w:t>
      </w:r>
      <w:proofErr w:type="spellStart"/>
      <w:r w:rsidR="008E651D">
        <w:rPr>
          <w:i/>
        </w:rPr>
        <w:t>devolution</w:t>
      </w:r>
      <w:proofErr w:type="spellEnd"/>
      <w:r w:rsidR="008E651D">
        <w:rPr>
          <w:i/>
        </w:rPr>
        <w:t xml:space="preserve"> </w:t>
      </w:r>
      <w:r w:rsidR="008E651D">
        <w:t>accrue de pouvoirs à l’Ecosse et au Pays de Galles</w:t>
      </w:r>
      <w:r w:rsidR="00320821">
        <w:t xml:space="preserve">. </w:t>
      </w:r>
      <w:r w:rsidR="00A9677E">
        <w:t xml:space="preserve">En outre, le référendum sur l’indépendance de l’Ecosse s’est tenu en septembre 2014. Les résultats sont restés incertains très tardivement, ce qui a amené le gouvernement britannique à promettre la mise en place d’une commission destinée à revoir les accords de </w:t>
      </w:r>
      <w:proofErr w:type="spellStart"/>
      <w:r w:rsidR="00A9677E">
        <w:rPr>
          <w:i/>
        </w:rPr>
        <w:t>devolution</w:t>
      </w:r>
      <w:proofErr w:type="spellEnd"/>
      <w:r w:rsidR="00A9677E">
        <w:rPr>
          <w:i/>
        </w:rPr>
        <w:t xml:space="preserve"> </w:t>
      </w:r>
      <w:r w:rsidR="00265962">
        <w:t>en faveur du transfert</w:t>
      </w:r>
      <w:r w:rsidR="00A9677E">
        <w:t xml:space="preserve"> de compétences supplémentaires à l’assemblée écossaise. </w:t>
      </w:r>
      <w:r w:rsidR="00265962">
        <w:t>En parallèle, le Pays de Galles a bénéficié des développements politiques en Ecosse</w:t>
      </w:r>
      <w:r w:rsidR="00851FDA">
        <w:t xml:space="preserve"> </w:t>
      </w:r>
      <w:r w:rsidR="00851FDA">
        <w:fldChar w:fldCharType="begin"/>
      </w:r>
      <w:r w:rsidR="00665410">
        <w:instrText xml:space="preserve"> ADDIN ZOTERO_ITEM CSL_CITATION {"citationID":"12bbe51ano","properties":{"formattedCitation":"(Stafford, 2015)","plainCitation":"(Stafford, 2015)","noteIndex":0},"citationItems":[{"id":96,"uris":["http://zotero.org/users/1894092/items/CA6QRUXE"],"uri":["http://zotero.org/users/1894092/items/CA6QRUXE"],"itemData":{"id":96,"type":"paper-conference","title":"Sheltering from the Storm? Welsh Devolution and Public Services in a Period of Economic Crisis","publisher-place":"Sciences Po Paris","event":"Conference of Europeanists","event-place":"Sciences Po Paris","author":[{"family":"Stafford","given":"Ian"}],"issued":{"date-parts":[["2015"]]}}}],"schema":"https://github.com/citation-style-language/schema/raw/master/csl-citation.json"} </w:instrText>
      </w:r>
      <w:r w:rsidR="00851FDA">
        <w:fldChar w:fldCharType="separate"/>
      </w:r>
      <w:r w:rsidR="00851FDA">
        <w:rPr>
          <w:noProof/>
        </w:rPr>
        <w:t>(Stafford, 2015)</w:t>
      </w:r>
      <w:r w:rsidR="00851FDA">
        <w:fldChar w:fldCharType="end"/>
      </w:r>
      <w:r w:rsidR="00265962">
        <w:t xml:space="preserve">, puisque le gouvernement gallois a obtenu que soit aussi mis sur la table des négociations le transfert </w:t>
      </w:r>
      <w:r w:rsidR="00A25485">
        <w:t>au Pays de Galle</w:t>
      </w:r>
      <w:r w:rsidR="00265962">
        <w:t xml:space="preserve"> de nouvelles compétences réservées. </w:t>
      </w:r>
      <w:r w:rsidR="00A25485">
        <w:t xml:space="preserve">Ainsi, malgré la défaite du camp du ‘oui’ lors du référendum pour l’indépendance de l’Ecosse, </w:t>
      </w:r>
      <w:r w:rsidR="00851FDA">
        <w:t>la crise a bien consisté en une réelle opportunité politique non seulement pour le gouvernement écossais, mais aussi pour le Pays de Galles, leur permettant de faire progresser, avec de nouveaux arguments, la cause de l’indépendance et de transferts accrus de compétences. Le rô</w:t>
      </w:r>
      <w:r w:rsidR="00B1533D">
        <w:t>le joué,</w:t>
      </w:r>
      <w:r w:rsidR="00851FDA">
        <w:t xml:space="preserve"> dans les deux cas, par les partis ethno</w:t>
      </w:r>
      <w:r w:rsidR="00EB285F">
        <w:t>-</w:t>
      </w:r>
      <w:r w:rsidR="00851FDA">
        <w:t>régionalistes</w:t>
      </w:r>
      <w:r w:rsidR="00B1533D">
        <w:t xml:space="preserve">, </w:t>
      </w:r>
      <w:r w:rsidR="00851FDA">
        <w:t>la territorialisation des identités</w:t>
      </w:r>
      <w:r w:rsidR="0017424D">
        <w:t xml:space="preserve"> et </w:t>
      </w:r>
      <w:r w:rsidR="00EB285F">
        <w:t>les modes de relations bilatérales caractéristiques des relations intergouvernementales au Royaume-Uni éclaire les évolutions des relations centre-périphéries à l’œuvre depuis 2007. Plutô</w:t>
      </w:r>
      <w:r w:rsidR="00B72063">
        <w:t xml:space="preserve">t que vers </w:t>
      </w:r>
      <w:r w:rsidR="00EB285F">
        <w:t>une recentralisation du pouvoir politique, la période ouverte par la crise conduit à un renforcement des tendances centrifuges à l’œuvre depuis le début des années 2000, qui prend la forme d’un verrouillage politique</w:t>
      </w:r>
      <w:r w:rsidR="00E43B2C">
        <w:t xml:space="preserve"> avec les</w:t>
      </w:r>
      <w:r w:rsidR="00EB285F">
        <w:t xml:space="preserve"> engagements du gouvernement britannique en faveur d’une </w:t>
      </w:r>
      <w:proofErr w:type="spellStart"/>
      <w:r w:rsidR="00EB285F">
        <w:rPr>
          <w:i/>
        </w:rPr>
        <w:t>devolution</w:t>
      </w:r>
      <w:proofErr w:type="spellEnd"/>
      <w:r w:rsidR="00EB285F">
        <w:rPr>
          <w:i/>
        </w:rPr>
        <w:t xml:space="preserve"> </w:t>
      </w:r>
      <w:r w:rsidR="00EB285F">
        <w:t xml:space="preserve">accrue. </w:t>
      </w:r>
    </w:p>
    <w:p w14:paraId="0C075E00" w14:textId="5EA12B9E" w:rsidR="00B061FE" w:rsidRDefault="005C2C0C" w:rsidP="00805158">
      <w:pPr>
        <w:jc w:val="both"/>
      </w:pPr>
      <w:r>
        <w:tab/>
      </w:r>
      <w:r w:rsidR="006A72A5">
        <w:t xml:space="preserve">Lorsque l’on s’attarde sur les effets de la crise sur l’allocation du pouvoir politique entre les gouvernements centraux et régionaux, l’examen comparé des cas de l’Espagne, l’Allemagne et le Royaume-Uni montre que, pour en rendre compte, les mobilisations de certains partis, les </w:t>
      </w:r>
      <w:r w:rsidR="006A72A5">
        <w:lastRenderedPageBreak/>
        <w:t>partis ethno</w:t>
      </w:r>
      <w:r w:rsidR="00051139">
        <w:t>-</w:t>
      </w:r>
      <w:r w:rsidR="00625710">
        <w:t xml:space="preserve">régionalistes, </w:t>
      </w:r>
      <w:r w:rsidR="006A72A5">
        <w:t>en Catalogne, en Ecosse et au Pays de</w:t>
      </w:r>
      <w:r w:rsidR="00625710">
        <w:t xml:space="preserve"> Galles dans une moindre mesure</w:t>
      </w:r>
      <w:r w:rsidR="006A72A5">
        <w:t>, soutenues par les préférences des citoyens dont l’identité régionale est marquée, sont à considérer</w:t>
      </w:r>
      <w:r w:rsidR="00051139">
        <w:t xml:space="preserve">, comme la </w:t>
      </w:r>
      <w:r w:rsidR="00625710">
        <w:t>variation territoriale des intérêts des régions en Allemagne</w:t>
      </w:r>
      <w:r w:rsidR="0095674A">
        <w:t>. L</w:t>
      </w:r>
      <w:r w:rsidR="006A72A5">
        <w:t>es institutions qui encadrent les r</w:t>
      </w:r>
      <w:r w:rsidR="0095674A">
        <w:t>elations centre-périphéries le sont</w:t>
      </w:r>
      <w:r w:rsidR="0017424D">
        <w:t xml:space="preserve"> aussi</w:t>
      </w:r>
      <w:r w:rsidR="0095674A">
        <w:t> : elles contribuent à expliquer soit le déclenchement d’une partie des confl</w:t>
      </w:r>
      <w:r w:rsidR="005B3693">
        <w:t>its observés durant la période, en Espagne</w:t>
      </w:r>
      <w:r w:rsidR="0095674A">
        <w:t>, soit les modes de résolutio</w:t>
      </w:r>
      <w:r w:rsidR="005B3693">
        <w:t>n de ces conflits territoriaux, en Allemagne et au Royaume-Uni</w:t>
      </w:r>
      <w:r w:rsidR="0095674A">
        <w:t xml:space="preserve">. </w:t>
      </w:r>
      <w:r w:rsidR="009C476D">
        <w:t>Dans les trois cas étudié</w:t>
      </w:r>
      <w:r w:rsidR="005B3693">
        <w:t>s, les mobilisations de certain</w:t>
      </w:r>
      <w:r w:rsidR="009C476D">
        <w:t xml:space="preserve">s </w:t>
      </w:r>
      <w:r w:rsidR="005B3693">
        <w:t>gouvernements régionaux</w:t>
      </w:r>
      <w:r w:rsidR="009C476D">
        <w:t xml:space="preserve"> qui ont utilisé la crise comme une opportunité pour faire avancer leur agenda politique conduit à un résultat paradoxal : alors même que la crise a conduit à un renforcement de la contrainte budgétaire et fiscal exercée par les gouvernements centraux, elle ne s’accompagne nullement d’une recentralisation du pouvoir politique. Au contraire, la période de la crise conduit à un verrouillage, politique en Espagne et au Royaume-Uni, institutionnel en Allemagne, des tendances centrifuges</w:t>
      </w:r>
      <w:r w:rsidR="00DD36D1">
        <w:t xml:space="preserve"> antérieures</w:t>
      </w:r>
      <w:r w:rsidR="009C476D">
        <w:t xml:space="preserve"> de ces systèmes politiques multi-niveaux. </w:t>
      </w:r>
    </w:p>
    <w:p w14:paraId="17810921" w14:textId="77777777" w:rsidR="00B72063" w:rsidRDefault="00B72063" w:rsidP="00E43B2C"/>
    <w:p w14:paraId="79C8B56E" w14:textId="77777777" w:rsidR="00E43B2C" w:rsidRDefault="00E43B2C" w:rsidP="00E43B2C"/>
    <w:p w14:paraId="2ADE77CC" w14:textId="33A6A992" w:rsidR="00E43B2C" w:rsidRPr="00E43B2C" w:rsidRDefault="00E43B2C" w:rsidP="00E43B2C">
      <w:pPr>
        <w:rPr>
          <w:b/>
        </w:rPr>
      </w:pPr>
      <w:r>
        <w:rPr>
          <w:b/>
        </w:rPr>
        <w:t>Conclusion</w:t>
      </w:r>
    </w:p>
    <w:p w14:paraId="23E532E6" w14:textId="77777777" w:rsidR="00E43B2C" w:rsidRDefault="00E43B2C" w:rsidP="00E43B2C"/>
    <w:p w14:paraId="7E7C8D63" w14:textId="04D5ECC3" w:rsidR="00BA4ED1" w:rsidRDefault="00BA4ED1" w:rsidP="00791D46">
      <w:pPr>
        <w:ind w:firstLine="708"/>
        <w:jc w:val="both"/>
      </w:pPr>
      <w:r>
        <w:t xml:space="preserve">Au terme de la comparaison de l’évolution des relations centre-périphéries sous l’effet de la crise en Espagne, en Allemagne et au Royaume-Uni, une réponse claire peut être apportée à l’interrogation à l’origine du chapitre : la crise économique et fiscale n’a pas conduit à une recentralisation du pouvoir politique au profit des gouvernements centraux et aux dépends des gouvernements régionaux. </w:t>
      </w:r>
      <w:r w:rsidR="002F3F64">
        <w:t>Plus exactement, l’approche adoptée a conduit à mettre en lumière deux effets de la crise</w:t>
      </w:r>
      <w:r w:rsidR="00865AFA">
        <w:t xml:space="preserve"> sur les relations centre-périphéries</w:t>
      </w:r>
      <w:r w:rsidR="002F3F64">
        <w:t>, dont la concomitance est en partie contre-intuitive : d’une part, un renforcement certain de la contrainte budgétaire et fiscale exercée par les gouvernements centraux est visible. Il peut prendre plusieurs formes : l’imposition des contraintes européennes</w:t>
      </w:r>
      <w:r w:rsidR="00563257">
        <w:t>, médiatisées par le gouvernement central en Espagne et</w:t>
      </w:r>
      <w:r w:rsidR="002F3F64">
        <w:t xml:space="preserve"> partiellement négociée</w:t>
      </w:r>
      <w:r w:rsidR="00563257">
        <w:t>s</w:t>
      </w:r>
      <w:r w:rsidR="002F3F64">
        <w:t xml:space="preserve"> </w:t>
      </w:r>
      <w:r w:rsidR="00563257">
        <w:t>avec les communautés autonomes</w:t>
      </w:r>
      <w:r w:rsidR="002F3F64">
        <w:t xml:space="preserve">, la négociation initiée avant la crise de nouvelles règles contraignantes en Allemagne et l’imposition automatique </w:t>
      </w:r>
      <w:r w:rsidR="00563257">
        <w:t xml:space="preserve">à l’Ecosse et au Pays de Galle </w:t>
      </w:r>
      <w:r w:rsidR="002F3F64">
        <w:t>des coupes budgétaires décidées par le gouvernement</w:t>
      </w:r>
      <w:r w:rsidR="00563257">
        <w:t xml:space="preserve"> britannique pour l’Angleterre. </w:t>
      </w:r>
      <w:r w:rsidR="002F3F64">
        <w:t xml:space="preserve">D’autre part, </w:t>
      </w:r>
      <w:r w:rsidR="007B5441">
        <w:t xml:space="preserve">la crise conduit à verrouiller </w:t>
      </w:r>
      <w:r w:rsidR="00A96DDA">
        <w:t>les tendances centrifuges à l’œuvre dans ces trois pays avant la crise</w:t>
      </w:r>
      <w:r w:rsidR="0032396C">
        <w:t xml:space="preserve">, c’est-à-dire à les reconnaître et à les accommoder en partie, rendant toute remise en cause ultérieure plus difficile. Ce verrouillage a pris </w:t>
      </w:r>
      <w:r w:rsidR="007B5441">
        <w:t>une forme politique – des engagemen</w:t>
      </w:r>
      <w:r w:rsidR="00A507C4">
        <w:t>ts du gouvernement britannique</w:t>
      </w:r>
      <w:r w:rsidR="00563257">
        <w:t xml:space="preserve"> en faveur de la poursuite du processus de </w:t>
      </w:r>
      <w:proofErr w:type="spellStart"/>
      <w:r w:rsidR="00563257">
        <w:rPr>
          <w:i/>
        </w:rPr>
        <w:t>devolution</w:t>
      </w:r>
      <w:proofErr w:type="spellEnd"/>
      <w:r w:rsidR="00A507C4">
        <w:t xml:space="preserve"> et les succès électoraux d’une équipe en Catalogne dont le programme est la négociation de l’indépendance en Espagne, ou institutionnelle – dans un dispositif de régulation des déficits des Länder et du gouvernement fédéral en Allemagne. </w:t>
      </w:r>
      <w:r w:rsidR="003B1980">
        <w:t xml:space="preserve">En ce sens, les résultats du chapitre soulignent le caractère heuristique du cadre d’analyse discuté dans l’introduction de ce volume : la crise économique et fiscale a eu des effets sur les configurations d’acteurs régionaux et nationaux et leurs rapports de force, mais ce sont également ces derniers qui contribuent à expliquer la manière dont la crise a été construite et traitée par ces acteurs disposant </w:t>
      </w:r>
      <w:proofErr w:type="spellStart"/>
      <w:r w:rsidR="003B1980">
        <w:t>d’</w:t>
      </w:r>
      <w:r w:rsidR="003B1980" w:rsidRPr="003B1980">
        <w:rPr>
          <w:i/>
        </w:rPr>
        <w:t>agency</w:t>
      </w:r>
      <w:proofErr w:type="spellEnd"/>
      <w:r w:rsidR="003B1980">
        <w:t xml:space="preserve"> dans différents pays. </w:t>
      </w:r>
    </w:p>
    <w:p w14:paraId="1C6A210A" w14:textId="0B6AD079" w:rsidR="004E77F7" w:rsidRDefault="00D37432" w:rsidP="00665AB7">
      <w:pPr>
        <w:ind w:firstLine="708"/>
        <w:jc w:val="both"/>
      </w:pPr>
      <w:r>
        <w:t>Dans l’ensemble, les effets de la crise économique et financière sur les relations centre-</w:t>
      </w:r>
      <w:proofErr w:type="gramStart"/>
      <w:r>
        <w:t>périphéries</w:t>
      </w:r>
      <w:proofErr w:type="gramEnd"/>
      <w:r>
        <w:t xml:space="preserve"> dans les trois</w:t>
      </w:r>
      <w:r w:rsidR="00665AB7">
        <w:t xml:space="preserve"> pays ici étudiés peuvent</w:t>
      </w:r>
      <w:r>
        <w:t xml:space="preserve"> être </w:t>
      </w:r>
      <w:r w:rsidR="007762CB">
        <w:t>partiellement expliqué</w:t>
      </w:r>
      <w:r w:rsidR="00665AB7">
        <w:t>s par les institutions formelles et les ressources économiques et fiscales des régions et des gouvernements centraux. E</w:t>
      </w:r>
      <w:r w:rsidR="004C10FC">
        <w:t xml:space="preserve">n Ecosse et au Pays de Galle </w:t>
      </w:r>
      <w:r w:rsidR="00665AB7">
        <w:t xml:space="preserve">ainsi, </w:t>
      </w:r>
      <w:r w:rsidR="004C10FC">
        <w:t xml:space="preserve">le renforcement de la contrainte budgétaire </w:t>
      </w:r>
      <w:r w:rsidR="00417326">
        <w:t xml:space="preserve">découle de l’application du dispositif d’allocation des ressources au sein du Royaume-Uni. </w:t>
      </w:r>
      <w:r w:rsidR="00665AB7">
        <w:t>De même, l</w:t>
      </w:r>
      <w:r w:rsidR="00417326">
        <w:t>es ressources économiques et financières des régions ainsi que l’ampleur de la crise, saisie par la dégradation des indicateurs macro-éco</w:t>
      </w:r>
      <w:r w:rsidR="00665AB7">
        <w:t xml:space="preserve">nomiques </w:t>
      </w:r>
      <w:r w:rsidR="006C60E4">
        <w:t>contribu</w:t>
      </w:r>
      <w:r w:rsidR="00665AB7">
        <w:t>ent</w:t>
      </w:r>
      <w:r w:rsidR="00417326">
        <w:t xml:space="preserve"> à rendre compte de ce q</w:t>
      </w:r>
      <w:r w:rsidR="00665AB7">
        <w:t xml:space="preserve">ui se passe en Espagne. </w:t>
      </w:r>
      <w:r w:rsidR="00FA654F">
        <w:t xml:space="preserve">Toutefois, cette approche gagne à être complétée par une attention centrée sur les acteurs régionaux et nationaux et leurs relations qui s’appuient </w:t>
      </w:r>
      <w:r w:rsidR="00FA654F">
        <w:lastRenderedPageBreak/>
        <w:t>à la fois sur les institutions informelles – la prévalence de la solidarité entre les échelons en Allemagne et en Espagne qui a permis aux gouvernements régionaux d’aménager la contrainte budgétaire, et des ressources</w:t>
      </w:r>
      <w:r w:rsidR="006C60E4">
        <w:t xml:space="preserve"> proprement</w:t>
      </w:r>
      <w:r w:rsidR="00FA654F">
        <w:t xml:space="preserve"> politiques</w:t>
      </w:r>
      <w:r w:rsidR="006C60E4">
        <w:t xml:space="preserve"> des gouvernements régionaux</w:t>
      </w:r>
      <w:r w:rsidR="00FA654F">
        <w:t xml:space="preserve">. </w:t>
      </w:r>
      <w:r w:rsidR="007762CB">
        <w:t>L</w:t>
      </w:r>
      <w:r w:rsidR="00B01AA7">
        <w:t>a territorialisation des partis politiques, et en premier lieu l’existence de part</w:t>
      </w:r>
      <w:r w:rsidR="004E77F7">
        <w:t>is ethno-régionalistes, et celle</w:t>
      </w:r>
      <w:r w:rsidR="00B01AA7">
        <w:t xml:space="preserve"> des préférences des citoyens </w:t>
      </w:r>
      <w:r w:rsidR="004E77F7">
        <w:t>ont amené certaines régions à négocier des compensations au renforcement de la contrainte budgétaire et fiscale exercée par le gouvernement central, comme en Catalogne ou, avec moins de succès, le gouvernement écossais et le gouvernement gallois. En Allemagne, c’est la territorialisation des intérêts poursuivis par les gouvernements régionaux, qui distingue ceux des trois Länder les plus riches</w:t>
      </w:r>
      <w:r w:rsidR="006C60E4">
        <w:t>,</w:t>
      </w:r>
      <w:r w:rsidR="004E77F7">
        <w:t xml:space="preserve"> qui est à l’œuvre. </w:t>
      </w:r>
      <w:r w:rsidR="006C60E4">
        <w:t>Surtout, les ressources politi</w:t>
      </w:r>
      <w:r w:rsidR="007762CB">
        <w:t>ques des régions et l’attention à</w:t>
      </w:r>
      <w:r w:rsidR="006C60E4">
        <w:t xml:space="preserve"> la façon dont les acteurs régionaux les ont utilisées face aux acteurs gouvernementaux nationaux permettent d’expliquer les évolutions politiques des relations centre-périphéries associées à la crise. C</w:t>
      </w:r>
      <w:r w:rsidR="004E77F7">
        <w:t xml:space="preserve">ertaines des régions ont </w:t>
      </w:r>
      <w:r w:rsidR="007762CB">
        <w:t>ainsi défini</w:t>
      </w:r>
      <w:r w:rsidR="004E77F7">
        <w:t xml:space="preserve"> la crise de 2008 comme requérant des solutions politiques</w:t>
      </w:r>
      <w:r w:rsidR="006C60E4">
        <w:t>,</w:t>
      </w:r>
      <w:r w:rsidR="004E77F7">
        <w:t xml:space="preserve"> et non uniquement économiques. </w:t>
      </w:r>
      <w:r w:rsidR="006C60E4">
        <w:t>Pour le gouvernement écossais ou le gouvernement catalan, leu</w:t>
      </w:r>
      <w:r w:rsidR="00EA5E21">
        <w:t xml:space="preserve">r construction de la crise </w:t>
      </w:r>
      <w:r w:rsidR="006C60E4">
        <w:t>a nourri leur agenda</w:t>
      </w:r>
      <w:r w:rsidR="00EA5E21">
        <w:t xml:space="preserve"> indépendantiste. </w:t>
      </w:r>
      <w:r w:rsidR="006C60E4">
        <w:t xml:space="preserve">Le verrouillage institutionnel ou politique </w:t>
      </w:r>
      <w:r w:rsidR="00B97D5C">
        <w:t>des tendances centrifuges à l’œuvre en Espagne, au Royaume-Uni et en Allemagne</w:t>
      </w:r>
      <w:r w:rsidR="00792C58">
        <w:t xml:space="preserve"> est le produit</w:t>
      </w:r>
      <w:r w:rsidR="00B97D5C">
        <w:t xml:space="preserve"> </w:t>
      </w:r>
      <w:r w:rsidR="00792C58">
        <w:t>de l’utilisation de c</w:t>
      </w:r>
      <w:r w:rsidR="00B97D5C">
        <w:t xml:space="preserve">es ressources politiques des régions face aux gouvernements nationaux. </w:t>
      </w:r>
    </w:p>
    <w:p w14:paraId="7D7A90EE" w14:textId="4A5D5098" w:rsidR="00F918F7" w:rsidRDefault="00543BA6" w:rsidP="002E3A2A">
      <w:pPr>
        <w:ind w:firstLine="708"/>
        <w:jc w:val="both"/>
      </w:pPr>
      <w:r>
        <w:t>L</w:t>
      </w:r>
      <w:r w:rsidR="003B1980">
        <w:t>’approche adoptée dans cet ouvrage permet de mettre à jour et d’expliquer que l</w:t>
      </w:r>
      <w:r w:rsidR="0024144C">
        <w:t>es relations centre-périphéries dans la crise sont</w:t>
      </w:r>
      <w:r>
        <w:t xml:space="preserve"> </w:t>
      </w:r>
      <w:bookmarkStart w:id="0" w:name="_GoBack"/>
      <w:bookmarkEnd w:id="0"/>
      <w:r w:rsidR="0024144C">
        <w:t xml:space="preserve">caractérisées par deux changements en partie contradictoires. Le premier </w:t>
      </w:r>
      <w:r>
        <w:t>est un changement de</w:t>
      </w:r>
      <w:r w:rsidR="0024144C">
        <w:t xml:space="preserve">s politiques d’allocation des ressources, </w:t>
      </w:r>
      <w:r>
        <w:t xml:space="preserve">qui ont </w:t>
      </w:r>
      <w:r w:rsidR="00976FA7">
        <w:t xml:space="preserve">été </w:t>
      </w:r>
      <w:r w:rsidR="0024144C">
        <w:t>réformées en Espagne et en Allemagne</w:t>
      </w:r>
      <w:r>
        <w:t xml:space="preserve">. Il </w:t>
      </w:r>
      <w:r w:rsidR="0024144C">
        <w:t>se traduit par le renforcement de la contrainte budgétaire et fiscale du gouvernement central sur les régions</w:t>
      </w:r>
      <w:r>
        <w:t xml:space="preserve">. Le deuxième changement </w:t>
      </w:r>
      <w:r w:rsidR="006A557C">
        <w:t>engage le cadre des décisions à venir sur l’allocation du pouvoir politique dans les trois pays</w:t>
      </w:r>
      <w:r w:rsidR="009803C2">
        <w:t xml:space="preserve"> en favorisant les gouvernements régionaux</w:t>
      </w:r>
      <w:r w:rsidR="006A557C">
        <w:t xml:space="preserve">. </w:t>
      </w:r>
      <w:r w:rsidR="006C60E4">
        <w:t>L</w:t>
      </w:r>
      <w:r w:rsidR="00BA004D">
        <w:t xml:space="preserve">es effets à attendre de ces évolutions des relations centre-périphérie sont incertains : </w:t>
      </w:r>
      <w:r>
        <w:t>au-delà</w:t>
      </w:r>
      <w:r w:rsidR="00382A55">
        <w:t xml:space="preserve"> du verrouillage des tendances centrifuges de l’allocation du pouvoir politique, </w:t>
      </w:r>
      <w:r w:rsidR="00962F52">
        <w:t xml:space="preserve">il est probable que le renforcement de la contrainte budgétaire et fiscale, dans un contexte général de réduction des dépenses publiques, affectera directement la capacité des gouvernements régionaux à développer et mettre en œuvre </w:t>
      </w:r>
      <w:r w:rsidR="00382A55">
        <w:t>les politiques publiques de leur choix</w:t>
      </w:r>
      <w:r w:rsidR="00ED5168">
        <w:t>. La convergence ou la divergence des politiques publiques régionales dans le contexte de la crise</w:t>
      </w:r>
      <w:r w:rsidR="00ED5168">
        <w:rPr>
          <w:rStyle w:val="Appelnotedebasdep"/>
        </w:rPr>
        <w:footnoteReference w:id="12"/>
      </w:r>
      <w:r w:rsidR="00382A55">
        <w:t xml:space="preserve"> </w:t>
      </w:r>
      <w:r w:rsidR="002E3A2A">
        <w:t xml:space="preserve">est donc </w:t>
      </w:r>
      <w:r w:rsidR="00BB6433">
        <w:t xml:space="preserve">désormais </w:t>
      </w:r>
      <w:r w:rsidR="002E3A2A">
        <w:t xml:space="preserve">à étudier empiriquement. </w:t>
      </w:r>
    </w:p>
    <w:p w14:paraId="6CE92F92" w14:textId="7195F9D1" w:rsidR="00F918F7" w:rsidRPr="00044489" w:rsidRDefault="00F918F7" w:rsidP="0092502A">
      <w:pPr>
        <w:jc w:val="both"/>
        <w:rPr>
          <w:b/>
          <w:lang w:val="en-US"/>
        </w:rPr>
      </w:pPr>
      <w:r w:rsidRPr="004B11B4">
        <w:rPr>
          <w:lang w:val="en-US"/>
        </w:rPr>
        <w:br w:type="page"/>
      </w:r>
      <w:proofErr w:type="spellStart"/>
      <w:r w:rsidRPr="00044489">
        <w:rPr>
          <w:b/>
          <w:lang w:val="en-US"/>
        </w:rPr>
        <w:lastRenderedPageBreak/>
        <w:t>Références</w:t>
      </w:r>
      <w:proofErr w:type="spellEnd"/>
    </w:p>
    <w:p w14:paraId="5CD1A439" w14:textId="77777777" w:rsidR="00F918F7" w:rsidRPr="00044489" w:rsidRDefault="00F918F7" w:rsidP="0092502A">
      <w:pPr>
        <w:jc w:val="both"/>
        <w:rPr>
          <w:b/>
          <w:lang w:val="en-US"/>
        </w:rPr>
      </w:pPr>
    </w:p>
    <w:p w14:paraId="14D4D1C0" w14:textId="77777777" w:rsidR="00665410" w:rsidRPr="00665410" w:rsidRDefault="002D7B56" w:rsidP="00665410">
      <w:pPr>
        <w:pStyle w:val="Bibliographie"/>
        <w:rPr>
          <w:lang w:val="en-US"/>
        </w:rPr>
      </w:pPr>
      <w:r>
        <w:fldChar w:fldCharType="begin"/>
      </w:r>
      <w:r w:rsidR="009C0FC6">
        <w:rPr>
          <w:lang w:val="en-US"/>
        </w:rPr>
        <w:instrText xml:space="preserve"> ADDIN ZOTERO_BIBL {"custom":[]} CSL_BIBLIOGRAPHY </w:instrText>
      </w:r>
      <w:r>
        <w:fldChar w:fldCharType="separate"/>
      </w:r>
      <w:proofErr w:type="spellStart"/>
      <w:r w:rsidR="00665410" w:rsidRPr="00665410">
        <w:rPr>
          <w:lang w:val="en-US"/>
        </w:rPr>
        <w:t>Agranoff</w:t>
      </w:r>
      <w:proofErr w:type="spellEnd"/>
      <w:r w:rsidR="00665410" w:rsidRPr="00665410">
        <w:rPr>
          <w:lang w:val="en-US"/>
        </w:rPr>
        <w:t xml:space="preserve">, R. (2004). Autonomy, Devolution and Intergovernmental Relations. </w:t>
      </w:r>
      <w:r w:rsidR="00665410" w:rsidRPr="00665410">
        <w:rPr>
          <w:i/>
          <w:iCs/>
          <w:lang w:val="en-US"/>
        </w:rPr>
        <w:t>Regional and Federal Studies</w:t>
      </w:r>
      <w:r w:rsidR="00665410" w:rsidRPr="00665410">
        <w:rPr>
          <w:lang w:val="en-US"/>
        </w:rPr>
        <w:t xml:space="preserve">, </w:t>
      </w:r>
      <w:r w:rsidR="00665410" w:rsidRPr="00665410">
        <w:rPr>
          <w:i/>
          <w:iCs/>
          <w:lang w:val="en-US"/>
        </w:rPr>
        <w:t>14</w:t>
      </w:r>
      <w:r w:rsidR="00665410" w:rsidRPr="00665410">
        <w:rPr>
          <w:lang w:val="en-US"/>
        </w:rPr>
        <w:t>(1), 26</w:t>
      </w:r>
      <w:r w:rsidR="00665410" w:rsidRPr="00665410">
        <w:rPr>
          <w:rFonts w:ascii="MS Mincho" w:hAnsi="MS Mincho" w:cs="MS Mincho"/>
          <w:lang w:val="en-US"/>
        </w:rPr>
        <w:t>‑</w:t>
      </w:r>
      <w:r w:rsidR="00665410" w:rsidRPr="00665410">
        <w:rPr>
          <w:lang w:val="en-US"/>
        </w:rPr>
        <w:t>65.</w:t>
      </w:r>
    </w:p>
    <w:p w14:paraId="437F6FAB" w14:textId="77777777" w:rsidR="00665410" w:rsidRPr="00665410" w:rsidRDefault="00665410" w:rsidP="00665410">
      <w:pPr>
        <w:pStyle w:val="Bibliographie"/>
        <w:rPr>
          <w:lang w:val="en-US"/>
        </w:rPr>
      </w:pPr>
      <w:proofErr w:type="spellStart"/>
      <w:r w:rsidRPr="00665410">
        <w:rPr>
          <w:lang w:val="en-US"/>
        </w:rPr>
        <w:t>Auel</w:t>
      </w:r>
      <w:proofErr w:type="spellEnd"/>
      <w:r w:rsidRPr="00665410">
        <w:rPr>
          <w:lang w:val="en-US"/>
        </w:rPr>
        <w:t xml:space="preserve">, K. (2014). Intergovernmental Relations in German Federalism : Cooperative Federalism, Party Politics and Territorial Conflicts. </w:t>
      </w:r>
      <w:r w:rsidRPr="00665410">
        <w:rPr>
          <w:i/>
          <w:iCs/>
          <w:lang w:val="en-US"/>
        </w:rPr>
        <w:t>Comparative European Politics</w:t>
      </w:r>
      <w:r w:rsidRPr="00665410">
        <w:rPr>
          <w:lang w:val="en-US"/>
        </w:rPr>
        <w:t xml:space="preserve">, </w:t>
      </w:r>
      <w:r w:rsidRPr="00665410">
        <w:rPr>
          <w:i/>
          <w:iCs/>
          <w:lang w:val="en-US"/>
        </w:rPr>
        <w:t>12</w:t>
      </w:r>
      <w:r w:rsidRPr="00665410">
        <w:rPr>
          <w:lang w:val="en-US"/>
        </w:rPr>
        <w:t>(4/5), 422</w:t>
      </w:r>
      <w:r w:rsidRPr="00665410">
        <w:rPr>
          <w:rFonts w:ascii="MS Mincho" w:hAnsi="MS Mincho" w:cs="MS Mincho"/>
          <w:lang w:val="en-US"/>
        </w:rPr>
        <w:t>‑</w:t>
      </w:r>
      <w:r w:rsidRPr="00665410">
        <w:rPr>
          <w:lang w:val="en-US"/>
        </w:rPr>
        <w:t>443.</w:t>
      </w:r>
    </w:p>
    <w:p w14:paraId="0AEBC073" w14:textId="77777777" w:rsidR="00665410" w:rsidRPr="00665410" w:rsidRDefault="00665410" w:rsidP="00665410">
      <w:pPr>
        <w:pStyle w:val="Bibliographie"/>
        <w:rPr>
          <w:lang w:val="en-US"/>
        </w:rPr>
      </w:pPr>
      <w:r w:rsidRPr="00665410">
        <w:rPr>
          <w:lang w:val="en-US"/>
        </w:rPr>
        <w:t xml:space="preserve">Braun, D., &amp; </w:t>
      </w:r>
      <w:proofErr w:type="spellStart"/>
      <w:r w:rsidRPr="00665410">
        <w:rPr>
          <w:lang w:val="en-US"/>
        </w:rPr>
        <w:t>Trein</w:t>
      </w:r>
      <w:proofErr w:type="spellEnd"/>
      <w:r w:rsidRPr="00665410">
        <w:rPr>
          <w:lang w:val="en-US"/>
        </w:rPr>
        <w:t xml:space="preserve">, P. (2014). Federal Dynamics in Times of Economic and Financial Crisis. </w:t>
      </w:r>
      <w:r w:rsidRPr="00665410">
        <w:rPr>
          <w:i/>
          <w:iCs/>
          <w:lang w:val="en-US"/>
        </w:rPr>
        <w:t>European Journal of Political Research</w:t>
      </w:r>
      <w:r w:rsidRPr="00665410">
        <w:rPr>
          <w:lang w:val="en-US"/>
        </w:rPr>
        <w:t xml:space="preserve">, </w:t>
      </w:r>
      <w:r w:rsidRPr="00665410">
        <w:rPr>
          <w:i/>
          <w:iCs/>
          <w:lang w:val="en-US"/>
        </w:rPr>
        <w:t>53</w:t>
      </w:r>
      <w:r w:rsidRPr="00665410">
        <w:rPr>
          <w:lang w:val="en-US"/>
        </w:rPr>
        <w:t>(4), 803</w:t>
      </w:r>
      <w:r w:rsidRPr="00665410">
        <w:rPr>
          <w:rFonts w:ascii="MS Mincho" w:hAnsi="MS Mincho" w:cs="MS Mincho"/>
          <w:lang w:val="en-US"/>
        </w:rPr>
        <w:t>‑</w:t>
      </w:r>
      <w:r w:rsidRPr="00665410">
        <w:rPr>
          <w:lang w:val="en-US"/>
        </w:rPr>
        <w:t>821.</w:t>
      </w:r>
    </w:p>
    <w:p w14:paraId="1142C0A4" w14:textId="77777777" w:rsidR="00665410" w:rsidRPr="00665410" w:rsidRDefault="00665410" w:rsidP="00665410">
      <w:pPr>
        <w:pStyle w:val="Bibliographie"/>
        <w:rPr>
          <w:lang w:val="en-US"/>
        </w:rPr>
      </w:pPr>
      <w:r w:rsidRPr="00665410">
        <w:rPr>
          <w:lang w:val="en-US"/>
        </w:rPr>
        <w:t xml:space="preserve">Burkhart, S., </w:t>
      </w:r>
      <w:proofErr w:type="spellStart"/>
      <w:r w:rsidRPr="00665410">
        <w:rPr>
          <w:lang w:val="en-US"/>
        </w:rPr>
        <w:t>Manow</w:t>
      </w:r>
      <w:proofErr w:type="spellEnd"/>
      <w:r w:rsidRPr="00665410">
        <w:rPr>
          <w:lang w:val="en-US"/>
        </w:rPr>
        <w:t xml:space="preserve">, P., &amp; </w:t>
      </w:r>
      <w:proofErr w:type="spellStart"/>
      <w:r w:rsidRPr="00665410">
        <w:rPr>
          <w:lang w:val="en-US"/>
        </w:rPr>
        <w:t>Ziblatt</w:t>
      </w:r>
      <w:proofErr w:type="spellEnd"/>
      <w:r w:rsidRPr="00665410">
        <w:rPr>
          <w:lang w:val="en-US"/>
        </w:rPr>
        <w:t xml:space="preserve">, D. (2008). A More Efficient and Accountable Federalism ? An Analysis of the Consequences of Germany’s 2006 Constitutional Reform. </w:t>
      </w:r>
      <w:r w:rsidRPr="00665410">
        <w:rPr>
          <w:i/>
          <w:iCs/>
          <w:lang w:val="en-US"/>
        </w:rPr>
        <w:t>German Politics</w:t>
      </w:r>
      <w:r w:rsidRPr="00665410">
        <w:rPr>
          <w:lang w:val="en-US"/>
        </w:rPr>
        <w:t xml:space="preserve">, </w:t>
      </w:r>
      <w:r w:rsidRPr="00665410">
        <w:rPr>
          <w:i/>
          <w:iCs/>
          <w:lang w:val="en-US"/>
        </w:rPr>
        <w:t>17</w:t>
      </w:r>
      <w:r w:rsidRPr="00665410">
        <w:rPr>
          <w:lang w:val="en-US"/>
        </w:rPr>
        <w:t>(4), 522</w:t>
      </w:r>
      <w:r w:rsidRPr="00665410">
        <w:rPr>
          <w:rFonts w:ascii="MS Mincho" w:eastAsia="MS Mincho" w:hAnsi="MS Mincho" w:cs="MS Mincho" w:hint="eastAsia"/>
          <w:lang w:val="en-US"/>
        </w:rPr>
        <w:t>‑</w:t>
      </w:r>
      <w:r w:rsidRPr="00665410">
        <w:rPr>
          <w:lang w:val="en-US"/>
        </w:rPr>
        <w:t>540.</w:t>
      </w:r>
    </w:p>
    <w:p w14:paraId="48E50448" w14:textId="77777777" w:rsidR="00665410" w:rsidRPr="00665410" w:rsidRDefault="00665410" w:rsidP="00665410">
      <w:pPr>
        <w:pStyle w:val="Bibliographie"/>
        <w:rPr>
          <w:lang w:val="en-US"/>
        </w:rPr>
      </w:pPr>
      <w:proofErr w:type="spellStart"/>
      <w:r w:rsidRPr="00665410">
        <w:rPr>
          <w:lang w:val="en-US"/>
        </w:rPr>
        <w:t>Cairney</w:t>
      </w:r>
      <w:proofErr w:type="spellEnd"/>
      <w:r w:rsidRPr="00665410">
        <w:rPr>
          <w:lang w:val="en-US"/>
        </w:rPr>
        <w:t xml:space="preserve">, P. (2012). Intergovernmental Relations in Scotland : What Was the SNP Effect? </w:t>
      </w:r>
      <w:r w:rsidRPr="00665410">
        <w:rPr>
          <w:i/>
          <w:iCs/>
          <w:lang w:val="en-US"/>
        </w:rPr>
        <w:t>The British Journal of Politics and International Relations</w:t>
      </w:r>
      <w:r w:rsidRPr="00665410">
        <w:rPr>
          <w:lang w:val="en-US"/>
        </w:rPr>
        <w:t xml:space="preserve">, </w:t>
      </w:r>
      <w:r w:rsidRPr="00665410">
        <w:rPr>
          <w:i/>
          <w:iCs/>
          <w:lang w:val="en-US"/>
        </w:rPr>
        <w:t>14</w:t>
      </w:r>
      <w:r w:rsidRPr="00665410">
        <w:rPr>
          <w:lang w:val="en-US"/>
        </w:rPr>
        <w:t>(2), 231</w:t>
      </w:r>
      <w:r w:rsidRPr="00665410">
        <w:rPr>
          <w:rFonts w:ascii="MS Mincho" w:eastAsia="MS Mincho" w:hAnsi="MS Mincho" w:cs="MS Mincho" w:hint="eastAsia"/>
          <w:lang w:val="en-US"/>
        </w:rPr>
        <w:t>‑</w:t>
      </w:r>
      <w:r w:rsidRPr="00665410">
        <w:rPr>
          <w:lang w:val="en-US"/>
        </w:rPr>
        <w:t>249.</w:t>
      </w:r>
    </w:p>
    <w:p w14:paraId="14E21A8C" w14:textId="77777777" w:rsidR="00665410" w:rsidRPr="00665410" w:rsidRDefault="00665410" w:rsidP="00665410">
      <w:pPr>
        <w:pStyle w:val="Bibliographie"/>
      </w:pPr>
      <w:r w:rsidRPr="00665410">
        <w:rPr>
          <w:lang w:val="en-US"/>
        </w:rPr>
        <w:t xml:space="preserve">Cole, A. (2015). </w:t>
      </w:r>
      <w:r w:rsidRPr="00665410">
        <w:rPr>
          <w:i/>
          <w:iCs/>
          <w:lang w:val="en-US"/>
        </w:rPr>
        <w:t>The States of Convergence : An Analytical Framework for Understanding Regions in a Period of Economic Crisis</w:t>
      </w:r>
      <w:r w:rsidRPr="00665410">
        <w:rPr>
          <w:lang w:val="en-US"/>
        </w:rPr>
        <w:t xml:space="preserve">. </w:t>
      </w:r>
      <w:r w:rsidRPr="00665410">
        <w:t xml:space="preserve">Présenté à </w:t>
      </w:r>
      <w:proofErr w:type="spellStart"/>
      <w:r w:rsidRPr="00665410">
        <w:t>Conference</w:t>
      </w:r>
      <w:proofErr w:type="spellEnd"/>
      <w:r w:rsidRPr="00665410">
        <w:t xml:space="preserve"> of </w:t>
      </w:r>
      <w:proofErr w:type="spellStart"/>
      <w:r w:rsidRPr="00665410">
        <w:t>Europeanists</w:t>
      </w:r>
      <w:proofErr w:type="spellEnd"/>
      <w:r w:rsidRPr="00665410">
        <w:t>, Sciences Po Paris.</w:t>
      </w:r>
    </w:p>
    <w:p w14:paraId="41211EE9" w14:textId="77777777" w:rsidR="00665410" w:rsidRPr="00665410" w:rsidRDefault="00665410" w:rsidP="00665410">
      <w:pPr>
        <w:pStyle w:val="Bibliographie"/>
        <w:rPr>
          <w:lang w:val="en-US"/>
        </w:rPr>
      </w:pPr>
      <w:proofErr w:type="spellStart"/>
      <w:r w:rsidRPr="00665410">
        <w:t>Colino</w:t>
      </w:r>
      <w:proofErr w:type="spellEnd"/>
      <w:r w:rsidRPr="00665410">
        <w:t xml:space="preserve">, C. (2013). </w:t>
      </w:r>
      <w:r w:rsidRPr="00665410">
        <w:rPr>
          <w:lang w:val="en-US"/>
        </w:rPr>
        <w:t xml:space="preserve">The State of Autonomies </w:t>
      </w:r>
      <w:proofErr w:type="gramStart"/>
      <w:r w:rsidRPr="00665410">
        <w:rPr>
          <w:lang w:val="en-US"/>
        </w:rPr>
        <w:t>Between</w:t>
      </w:r>
      <w:proofErr w:type="gramEnd"/>
      <w:r w:rsidRPr="00665410">
        <w:rPr>
          <w:lang w:val="en-US"/>
        </w:rPr>
        <w:t xml:space="preserve"> the Economic Crisis and Enduring Nationalist Tensions. In A. </w:t>
      </w:r>
      <w:proofErr w:type="spellStart"/>
      <w:r w:rsidRPr="00665410">
        <w:rPr>
          <w:lang w:val="en-US"/>
        </w:rPr>
        <w:t>Botti</w:t>
      </w:r>
      <w:proofErr w:type="spellEnd"/>
      <w:r w:rsidRPr="00665410">
        <w:rPr>
          <w:lang w:val="en-US"/>
        </w:rPr>
        <w:t xml:space="preserve"> &amp; B. N. Field (</w:t>
      </w:r>
      <w:proofErr w:type="spellStart"/>
      <w:r w:rsidRPr="00665410">
        <w:rPr>
          <w:lang w:val="en-US"/>
        </w:rPr>
        <w:t>Éd</w:t>
      </w:r>
      <w:proofErr w:type="spellEnd"/>
      <w:r w:rsidRPr="00665410">
        <w:rPr>
          <w:lang w:val="en-US"/>
        </w:rPr>
        <w:t xml:space="preserve">.), </w:t>
      </w:r>
      <w:r w:rsidRPr="00665410">
        <w:rPr>
          <w:i/>
          <w:iCs/>
          <w:lang w:val="en-US"/>
        </w:rPr>
        <w:t xml:space="preserve">Politics and Society in Contemporary Spain : From Zapatero to </w:t>
      </w:r>
      <w:proofErr w:type="spellStart"/>
      <w:r w:rsidRPr="00665410">
        <w:rPr>
          <w:i/>
          <w:iCs/>
          <w:lang w:val="en-US"/>
        </w:rPr>
        <w:t>Rajoy</w:t>
      </w:r>
      <w:proofErr w:type="spellEnd"/>
      <w:r w:rsidRPr="00665410">
        <w:rPr>
          <w:lang w:val="en-US"/>
        </w:rPr>
        <w:t xml:space="preserve"> (p. 81</w:t>
      </w:r>
      <w:r w:rsidRPr="00665410">
        <w:rPr>
          <w:rFonts w:ascii="MS Mincho" w:eastAsia="MS Mincho" w:hAnsi="MS Mincho" w:cs="MS Mincho" w:hint="eastAsia"/>
          <w:lang w:val="en-US"/>
        </w:rPr>
        <w:t>‑</w:t>
      </w:r>
      <w:r w:rsidRPr="00665410">
        <w:rPr>
          <w:lang w:val="en-US"/>
        </w:rPr>
        <w:t xml:space="preserve">100). Basingstoke: Palgrave </w:t>
      </w:r>
      <w:proofErr w:type="spellStart"/>
      <w:proofErr w:type="gramStart"/>
      <w:r w:rsidRPr="00665410">
        <w:rPr>
          <w:lang w:val="en-US"/>
        </w:rPr>
        <w:t>macmillan</w:t>
      </w:r>
      <w:proofErr w:type="spellEnd"/>
      <w:proofErr w:type="gramEnd"/>
      <w:r w:rsidRPr="00665410">
        <w:rPr>
          <w:lang w:val="en-US"/>
        </w:rPr>
        <w:t>.</w:t>
      </w:r>
    </w:p>
    <w:p w14:paraId="2EABB75F" w14:textId="77777777" w:rsidR="00665410" w:rsidRPr="00665410" w:rsidRDefault="00665410" w:rsidP="00665410">
      <w:pPr>
        <w:pStyle w:val="Bibliographie"/>
        <w:rPr>
          <w:lang w:val="en-US"/>
        </w:rPr>
      </w:pPr>
      <w:proofErr w:type="spellStart"/>
      <w:r w:rsidRPr="00665410">
        <w:rPr>
          <w:lang w:val="en-US"/>
        </w:rPr>
        <w:t>Colino</w:t>
      </w:r>
      <w:proofErr w:type="spellEnd"/>
      <w:r w:rsidRPr="00665410">
        <w:rPr>
          <w:lang w:val="en-US"/>
        </w:rPr>
        <w:t xml:space="preserve">, C., &amp; Del </w:t>
      </w:r>
      <w:proofErr w:type="spellStart"/>
      <w:r w:rsidRPr="00665410">
        <w:rPr>
          <w:lang w:val="en-US"/>
        </w:rPr>
        <w:t>Pino</w:t>
      </w:r>
      <w:proofErr w:type="spellEnd"/>
      <w:r w:rsidRPr="00665410">
        <w:rPr>
          <w:lang w:val="en-US"/>
        </w:rPr>
        <w:t xml:space="preserve">, E. (2014). Spanish Federalism in Crisis. In P. E. Peterson &amp; Nadler, Daniel J., </w:t>
      </w:r>
      <w:proofErr w:type="gramStart"/>
      <w:r w:rsidRPr="00665410">
        <w:rPr>
          <w:i/>
          <w:iCs/>
          <w:lang w:val="en-US"/>
        </w:rPr>
        <w:t>The</w:t>
      </w:r>
      <w:proofErr w:type="gramEnd"/>
      <w:r w:rsidRPr="00665410">
        <w:rPr>
          <w:i/>
          <w:iCs/>
          <w:lang w:val="en-US"/>
        </w:rPr>
        <w:t xml:space="preserve"> Global Debt Crisis. Haunting US and European Federalism</w:t>
      </w:r>
      <w:r w:rsidRPr="00665410">
        <w:rPr>
          <w:lang w:val="en-US"/>
        </w:rPr>
        <w:t xml:space="preserve"> (p. 159</w:t>
      </w:r>
      <w:r w:rsidRPr="00665410">
        <w:rPr>
          <w:rFonts w:ascii="MS Mincho" w:eastAsia="MS Mincho" w:hAnsi="MS Mincho" w:cs="MS Mincho" w:hint="eastAsia"/>
          <w:lang w:val="en-US"/>
        </w:rPr>
        <w:t>‑</w:t>
      </w:r>
      <w:r w:rsidRPr="00665410">
        <w:rPr>
          <w:lang w:val="en-US"/>
        </w:rPr>
        <w:t>178). Washington, DC: Brookings Institution Press.</w:t>
      </w:r>
    </w:p>
    <w:p w14:paraId="0CA6927A" w14:textId="77777777" w:rsidR="00665410" w:rsidRPr="00665410" w:rsidRDefault="00665410" w:rsidP="00665410">
      <w:pPr>
        <w:pStyle w:val="Bibliographie"/>
        <w:rPr>
          <w:lang w:val="en-US"/>
        </w:rPr>
      </w:pPr>
      <w:proofErr w:type="spellStart"/>
      <w:r w:rsidRPr="00665410">
        <w:rPr>
          <w:lang w:val="en-US"/>
        </w:rPr>
        <w:lastRenderedPageBreak/>
        <w:t>Colino</w:t>
      </w:r>
      <w:proofErr w:type="spellEnd"/>
      <w:r w:rsidRPr="00665410">
        <w:rPr>
          <w:lang w:val="en-US"/>
        </w:rPr>
        <w:t xml:space="preserve">, C., Molina, I., &amp; </w:t>
      </w:r>
      <w:proofErr w:type="spellStart"/>
      <w:r w:rsidRPr="00665410">
        <w:rPr>
          <w:lang w:val="en-US"/>
        </w:rPr>
        <w:t>Hombrado</w:t>
      </w:r>
      <w:proofErr w:type="spellEnd"/>
      <w:r w:rsidRPr="00665410">
        <w:rPr>
          <w:lang w:val="en-US"/>
        </w:rPr>
        <w:t xml:space="preserve">, A. (2014). Responding to the New Europe and the Crisis : The Adaptation of Subnational </w:t>
      </w:r>
      <w:proofErr w:type="spellStart"/>
      <w:r w:rsidRPr="00665410">
        <w:rPr>
          <w:lang w:val="en-US"/>
        </w:rPr>
        <w:t>Governments’s</w:t>
      </w:r>
      <w:proofErr w:type="spellEnd"/>
      <w:r w:rsidRPr="00665410">
        <w:rPr>
          <w:lang w:val="en-US"/>
        </w:rPr>
        <w:t xml:space="preserve"> Strategies and its </w:t>
      </w:r>
      <w:proofErr w:type="spellStart"/>
      <w:r w:rsidRPr="00665410">
        <w:rPr>
          <w:lang w:val="en-US"/>
        </w:rPr>
        <w:t>Effets</w:t>
      </w:r>
      <w:proofErr w:type="spellEnd"/>
      <w:r w:rsidRPr="00665410">
        <w:rPr>
          <w:lang w:val="en-US"/>
        </w:rPr>
        <w:t xml:space="preserve"> on Intergovernmental Relations in Spain. </w:t>
      </w:r>
      <w:r w:rsidRPr="00665410">
        <w:rPr>
          <w:i/>
          <w:iCs/>
          <w:lang w:val="en-US"/>
        </w:rPr>
        <w:t>Regional and Federal Studies</w:t>
      </w:r>
      <w:r w:rsidRPr="00665410">
        <w:rPr>
          <w:lang w:val="en-US"/>
        </w:rPr>
        <w:t xml:space="preserve">, </w:t>
      </w:r>
      <w:r w:rsidRPr="00665410">
        <w:rPr>
          <w:i/>
          <w:iCs/>
          <w:lang w:val="en-US"/>
        </w:rPr>
        <w:t>24</w:t>
      </w:r>
      <w:r w:rsidRPr="00665410">
        <w:rPr>
          <w:lang w:val="en-US"/>
        </w:rPr>
        <w:t>(3), 281</w:t>
      </w:r>
      <w:r w:rsidRPr="00665410">
        <w:rPr>
          <w:rFonts w:ascii="MS Mincho" w:eastAsia="MS Mincho" w:hAnsi="MS Mincho" w:cs="MS Mincho" w:hint="eastAsia"/>
          <w:lang w:val="en-US"/>
        </w:rPr>
        <w:t>‑</w:t>
      </w:r>
      <w:r w:rsidRPr="00665410">
        <w:rPr>
          <w:lang w:val="en-US"/>
        </w:rPr>
        <w:t>299.</w:t>
      </w:r>
    </w:p>
    <w:p w14:paraId="6D4E196D" w14:textId="77777777" w:rsidR="00665410" w:rsidRPr="00665410" w:rsidRDefault="00665410" w:rsidP="00665410">
      <w:pPr>
        <w:pStyle w:val="Bibliographie"/>
        <w:rPr>
          <w:lang w:val="en-US"/>
        </w:rPr>
      </w:pPr>
      <w:proofErr w:type="spellStart"/>
      <w:r w:rsidRPr="00665410">
        <w:rPr>
          <w:lang w:val="en-US"/>
        </w:rPr>
        <w:t>Detterbeck</w:t>
      </w:r>
      <w:proofErr w:type="spellEnd"/>
      <w:r w:rsidRPr="00665410">
        <w:rPr>
          <w:lang w:val="en-US"/>
        </w:rPr>
        <w:t xml:space="preserve">, K., &amp; Jeffery, C. (2009). Rediscovering the Region : Territorial Politics and Party Organizations in Germany. In W. </w:t>
      </w:r>
      <w:proofErr w:type="spellStart"/>
      <w:r w:rsidRPr="00665410">
        <w:rPr>
          <w:lang w:val="en-US"/>
        </w:rPr>
        <w:t>Swenden</w:t>
      </w:r>
      <w:proofErr w:type="spellEnd"/>
      <w:r w:rsidRPr="00665410">
        <w:rPr>
          <w:lang w:val="en-US"/>
        </w:rPr>
        <w:t xml:space="preserve"> &amp; B. Maddens (</w:t>
      </w:r>
      <w:proofErr w:type="spellStart"/>
      <w:r w:rsidRPr="00665410">
        <w:rPr>
          <w:lang w:val="en-US"/>
        </w:rPr>
        <w:t>Éd</w:t>
      </w:r>
      <w:proofErr w:type="spellEnd"/>
      <w:r w:rsidRPr="00665410">
        <w:rPr>
          <w:lang w:val="en-US"/>
        </w:rPr>
        <w:t xml:space="preserve">.), </w:t>
      </w:r>
      <w:r w:rsidRPr="00665410">
        <w:rPr>
          <w:i/>
          <w:iCs/>
          <w:lang w:val="en-US"/>
        </w:rPr>
        <w:t>Territorial Party Politics in Western Europe</w:t>
      </w:r>
      <w:r w:rsidRPr="00665410">
        <w:rPr>
          <w:lang w:val="en-US"/>
        </w:rPr>
        <w:t xml:space="preserve"> (p. 63</w:t>
      </w:r>
      <w:r w:rsidRPr="00665410">
        <w:rPr>
          <w:rFonts w:ascii="MS Mincho" w:eastAsia="MS Mincho" w:hAnsi="MS Mincho" w:cs="MS Mincho" w:hint="eastAsia"/>
          <w:lang w:val="en-US"/>
        </w:rPr>
        <w:t>‑</w:t>
      </w:r>
      <w:r w:rsidRPr="00665410">
        <w:rPr>
          <w:lang w:val="en-US"/>
        </w:rPr>
        <w:t xml:space="preserve">85). Basingstoke: Palgrave </w:t>
      </w:r>
      <w:proofErr w:type="spellStart"/>
      <w:proofErr w:type="gramStart"/>
      <w:r w:rsidRPr="00665410">
        <w:rPr>
          <w:lang w:val="en-US"/>
        </w:rPr>
        <w:t>macmillan</w:t>
      </w:r>
      <w:proofErr w:type="spellEnd"/>
      <w:proofErr w:type="gramEnd"/>
      <w:r w:rsidRPr="00665410">
        <w:rPr>
          <w:lang w:val="en-US"/>
        </w:rPr>
        <w:t>.</w:t>
      </w:r>
    </w:p>
    <w:p w14:paraId="683252E5" w14:textId="77777777" w:rsidR="00665410" w:rsidRPr="00665410" w:rsidRDefault="00665410" w:rsidP="00665410">
      <w:pPr>
        <w:pStyle w:val="Bibliographie"/>
        <w:rPr>
          <w:lang w:val="en-US"/>
        </w:rPr>
      </w:pPr>
      <w:proofErr w:type="spellStart"/>
      <w:r w:rsidRPr="00665410">
        <w:rPr>
          <w:lang w:val="en-US"/>
        </w:rPr>
        <w:t>Enderlein</w:t>
      </w:r>
      <w:proofErr w:type="spellEnd"/>
      <w:r w:rsidRPr="00665410">
        <w:rPr>
          <w:lang w:val="en-US"/>
        </w:rPr>
        <w:t xml:space="preserve">, H., &amp; von Müller, C. (2014). German Federalism at the Crossroads. In P. E. Peterson &amp; D. Nadler, </w:t>
      </w:r>
      <w:proofErr w:type="gramStart"/>
      <w:r w:rsidRPr="00665410">
        <w:rPr>
          <w:i/>
          <w:iCs/>
          <w:lang w:val="en-US"/>
        </w:rPr>
        <w:t>The</w:t>
      </w:r>
      <w:proofErr w:type="gramEnd"/>
      <w:r w:rsidRPr="00665410">
        <w:rPr>
          <w:i/>
          <w:iCs/>
          <w:lang w:val="en-US"/>
        </w:rPr>
        <w:t xml:space="preserve"> Global Debt Crisis. Haunting US and European Federalism</w:t>
      </w:r>
      <w:r w:rsidRPr="00665410">
        <w:rPr>
          <w:lang w:val="en-US"/>
        </w:rPr>
        <w:t xml:space="preserve"> (p. 134</w:t>
      </w:r>
      <w:r w:rsidRPr="00665410">
        <w:rPr>
          <w:rFonts w:ascii="MS Mincho" w:eastAsia="MS Mincho" w:hAnsi="MS Mincho" w:cs="MS Mincho" w:hint="eastAsia"/>
          <w:lang w:val="en-US"/>
        </w:rPr>
        <w:t>‑</w:t>
      </w:r>
      <w:r w:rsidRPr="00665410">
        <w:rPr>
          <w:lang w:val="en-US"/>
        </w:rPr>
        <w:t>158). Washington D.C.: Brookings Institution Press.</w:t>
      </w:r>
    </w:p>
    <w:p w14:paraId="6DA31566" w14:textId="77777777" w:rsidR="00665410" w:rsidRPr="00665410" w:rsidRDefault="00665410" w:rsidP="00665410">
      <w:pPr>
        <w:pStyle w:val="Bibliographie"/>
        <w:rPr>
          <w:lang w:val="en-US"/>
        </w:rPr>
      </w:pPr>
      <w:r w:rsidRPr="00665410">
        <w:rPr>
          <w:lang w:val="en-US"/>
        </w:rPr>
        <w:t xml:space="preserve">European Commission. (2013). Fiscal Relations across Government Levels in Times of Crisis. Making Compatible Fiscal Decentralization and Budgetary Discipline. </w:t>
      </w:r>
      <w:r w:rsidRPr="00665410">
        <w:rPr>
          <w:i/>
          <w:iCs/>
          <w:lang w:val="en-US"/>
        </w:rPr>
        <w:t>European Economy - Economic Papers</w:t>
      </w:r>
      <w:r w:rsidRPr="00665410">
        <w:rPr>
          <w:lang w:val="en-US"/>
        </w:rPr>
        <w:t xml:space="preserve">, </w:t>
      </w:r>
      <w:r w:rsidRPr="00665410">
        <w:rPr>
          <w:i/>
          <w:iCs/>
          <w:lang w:val="en-US"/>
        </w:rPr>
        <w:t>501</w:t>
      </w:r>
      <w:r w:rsidRPr="00665410">
        <w:rPr>
          <w:lang w:val="en-US"/>
        </w:rPr>
        <w:t>.</w:t>
      </w:r>
    </w:p>
    <w:p w14:paraId="2478CDB6" w14:textId="77777777" w:rsidR="00665410" w:rsidRPr="00665410" w:rsidRDefault="00665410" w:rsidP="00665410">
      <w:pPr>
        <w:pStyle w:val="Bibliographie"/>
        <w:rPr>
          <w:lang w:val="en-US"/>
        </w:rPr>
      </w:pPr>
      <w:proofErr w:type="spellStart"/>
      <w:r w:rsidRPr="00665410">
        <w:t>Harguindéguy</w:t>
      </w:r>
      <w:proofErr w:type="spellEnd"/>
      <w:r w:rsidRPr="00665410">
        <w:t xml:space="preserve">, J.-B., Pasquier, R., &amp; Cole, A. (2015). La gouvernance territoriale espagnole à l’épreuve de la crise économique : Vers la recentralisation ? </w:t>
      </w:r>
      <w:r w:rsidRPr="00665410">
        <w:rPr>
          <w:i/>
          <w:iCs/>
          <w:lang w:val="en-US"/>
        </w:rPr>
        <w:t xml:space="preserve">Critique </w:t>
      </w:r>
      <w:proofErr w:type="spellStart"/>
      <w:proofErr w:type="gramStart"/>
      <w:r w:rsidRPr="00665410">
        <w:rPr>
          <w:i/>
          <w:iCs/>
          <w:lang w:val="en-US"/>
        </w:rPr>
        <w:t>internationale</w:t>
      </w:r>
      <w:proofErr w:type="spellEnd"/>
      <w:proofErr w:type="gramEnd"/>
      <w:r w:rsidRPr="00665410">
        <w:rPr>
          <w:lang w:val="en-US"/>
        </w:rPr>
        <w:t xml:space="preserve">, </w:t>
      </w:r>
      <w:r w:rsidRPr="00665410">
        <w:rPr>
          <w:i/>
          <w:iCs/>
          <w:lang w:val="en-US"/>
        </w:rPr>
        <w:t>67</w:t>
      </w:r>
      <w:r w:rsidRPr="00665410">
        <w:rPr>
          <w:lang w:val="en-US"/>
        </w:rPr>
        <w:t>(2), 103</w:t>
      </w:r>
      <w:r w:rsidRPr="00665410">
        <w:rPr>
          <w:rFonts w:ascii="MS Mincho" w:eastAsia="MS Mincho" w:hAnsi="MS Mincho" w:cs="MS Mincho" w:hint="eastAsia"/>
          <w:lang w:val="en-US"/>
        </w:rPr>
        <w:t>‑</w:t>
      </w:r>
      <w:r w:rsidRPr="00665410">
        <w:rPr>
          <w:lang w:val="en-US"/>
        </w:rPr>
        <w:t>122.</w:t>
      </w:r>
    </w:p>
    <w:p w14:paraId="49788912" w14:textId="77777777" w:rsidR="00665410" w:rsidRPr="00665410" w:rsidRDefault="00665410" w:rsidP="00665410">
      <w:pPr>
        <w:pStyle w:val="Bibliographie"/>
        <w:rPr>
          <w:lang w:val="en-US"/>
        </w:rPr>
      </w:pPr>
      <w:r w:rsidRPr="00665410">
        <w:rPr>
          <w:lang w:val="en-US"/>
        </w:rPr>
        <w:t xml:space="preserve">Henderson, A., Jeffery, C., &amp; </w:t>
      </w:r>
      <w:proofErr w:type="spellStart"/>
      <w:r w:rsidRPr="00665410">
        <w:rPr>
          <w:lang w:val="en-US"/>
        </w:rPr>
        <w:t>Wincott</w:t>
      </w:r>
      <w:proofErr w:type="spellEnd"/>
      <w:r w:rsidRPr="00665410">
        <w:rPr>
          <w:lang w:val="en-US"/>
        </w:rPr>
        <w:t>, D. (</w:t>
      </w:r>
      <w:proofErr w:type="spellStart"/>
      <w:r w:rsidRPr="00665410">
        <w:rPr>
          <w:lang w:val="en-US"/>
        </w:rPr>
        <w:t>Éd</w:t>
      </w:r>
      <w:proofErr w:type="spellEnd"/>
      <w:r w:rsidRPr="00665410">
        <w:rPr>
          <w:lang w:val="en-US"/>
        </w:rPr>
        <w:t xml:space="preserve">.). (2014). </w:t>
      </w:r>
      <w:r w:rsidRPr="00665410">
        <w:rPr>
          <w:i/>
          <w:iCs/>
          <w:lang w:val="en-US"/>
        </w:rPr>
        <w:t>Citizenship after the Nation State</w:t>
      </w:r>
      <w:r w:rsidRPr="00665410">
        <w:rPr>
          <w:lang w:val="en-US"/>
        </w:rPr>
        <w:t>. Basingstoke: Palgrave Macmillan.</w:t>
      </w:r>
    </w:p>
    <w:p w14:paraId="302F5C18" w14:textId="77777777" w:rsidR="00665410" w:rsidRPr="00665410" w:rsidRDefault="00665410" w:rsidP="00665410">
      <w:pPr>
        <w:pStyle w:val="Bibliographie"/>
        <w:rPr>
          <w:lang w:val="en-US"/>
        </w:rPr>
      </w:pPr>
      <w:proofErr w:type="spellStart"/>
      <w:r w:rsidRPr="00665410">
        <w:rPr>
          <w:lang w:val="en-US"/>
        </w:rPr>
        <w:t>Hooghe</w:t>
      </w:r>
      <w:proofErr w:type="spellEnd"/>
      <w:r w:rsidRPr="00665410">
        <w:rPr>
          <w:lang w:val="en-US"/>
        </w:rPr>
        <w:t xml:space="preserve">, L., Marks, G., </w:t>
      </w:r>
      <w:proofErr w:type="spellStart"/>
      <w:r w:rsidRPr="00665410">
        <w:rPr>
          <w:lang w:val="en-US"/>
        </w:rPr>
        <w:t>Schakel</w:t>
      </w:r>
      <w:proofErr w:type="spellEnd"/>
      <w:r w:rsidRPr="00665410">
        <w:rPr>
          <w:lang w:val="en-US"/>
        </w:rPr>
        <w:t xml:space="preserve">, A., Chapman </w:t>
      </w:r>
      <w:proofErr w:type="spellStart"/>
      <w:r w:rsidRPr="00665410">
        <w:rPr>
          <w:lang w:val="en-US"/>
        </w:rPr>
        <w:t>Osterkatz</w:t>
      </w:r>
      <w:proofErr w:type="spellEnd"/>
      <w:r w:rsidRPr="00665410">
        <w:rPr>
          <w:lang w:val="en-US"/>
        </w:rPr>
        <w:t xml:space="preserve">, S., </w:t>
      </w:r>
      <w:proofErr w:type="spellStart"/>
      <w:r w:rsidRPr="00665410">
        <w:rPr>
          <w:lang w:val="en-US"/>
        </w:rPr>
        <w:t>Niedzwiecki</w:t>
      </w:r>
      <w:proofErr w:type="spellEnd"/>
      <w:r w:rsidRPr="00665410">
        <w:rPr>
          <w:lang w:val="en-US"/>
        </w:rPr>
        <w:t xml:space="preserve">, S., &amp; </w:t>
      </w:r>
      <w:proofErr w:type="spellStart"/>
      <w:r w:rsidRPr="00665410">
        <w:rPr>
          <w:lang w:val="en-US"/>
        </w:rPr>
        <w:t>Shair-Rosenfield</w:t>
      </w:r>
      <w:proofErr w:type="spellEnd"/>
      <w:r w:rsidRPr="00665410">
        <w:rPr>
          <w:lang w:val="en-US"/>
        </w:rPr>
        <w:t xml:space="preserve">, S. (2016). </w:t>
      </w:r>
      <w:r w:rsidRPr="00665410">
        <w:rPr>
          <w:i/>
          <w:iCs/>
          <w:lang w:val="en-US"/>
        </w:rPr>
        <w:t xml:space="preserve">A </w:t>
      </w:r>
      <w:proofErr w:type="spellStart"/>
      <w:r w:rsidRPr="00665410">
        <w:rPr>
          <w:i/>
          <w:iCs/>
          <w:lang w:val="en-US"/>
        </w:rPr>
        <w:t>Postfunctionalist</w:t>
      </w:r>
      <w:proofErr w:type="spellEnd"/>
      <w:r w:rsidRPr="00665410">
        <w:rPr>
          <w:i/>
          <w:iCs/>
          <w:lang w:val="en-US"/>
        </w:rPr>
        <w:t xml:space="preserve"> Theory of Governance. Volume I: Measuring Regional Authority</w:t>
      </w:r>
      <w:r w:rsidRPr="00665410">
        <w:rPr>
          <w:lang w:val="en-US"/>
        </w:rPr>
        <w:t>. Oxford: Oxford University Press.</w:t>
      </w:r>
    </w:p>
    <w:p w14:paraId="23ECD56B" w14:textId="77777777" w:rsidR="00665410" w:rsidRPr="00665410" w:rsidRDefault="00665410" w:rsidP="00665410">
      <w:pPr>
        <w:pStyle w:val="Bibliographie"/>
        <w:rPr>
          <w:lang w:val="en-US"/>
        </w:rPr>
      </w:pPr>
      <w:r w:rsidRPr="00665410">
        <w:rPr>
          <w:lang w:val="en-US"/>
        </w:rPr>
        <w:t xml:space="preserve">Jeffery, C. (1999). From Cooperative Federalism to a « Sinatra Doctrine » of the </w:t>
      </w:r>
      <w:proofErr w:type="spellStart"/>
      <w:r w:rsidRPr="00665410">
        <w:rPr>
          <w:lang w:val="en-US"/>
        </w:rPr>
        <w:t>Länder</w:t>
      </w:r>
      <w:proofErr w:type="spellEnd"/>
      <w:r w:rsidRPr="00665410">
        <w:rPr>
          <w:lang w:val="en-US"/>
        </w:rPr>
        <w:t>? In C. Jeffery (</w:t>
      </w:r>
      <w:proofErr w:type="spellStart"/>
      <w:r w:rsidRPr="00665410">
        <w:rPr>
          <w:lang w:val="en-US"/>
        </w:rPr>
        <w:t>Éd</w:t>
      </w:r>
      <w:proofErr w:type="spellEnd"/>
      <w:r w:rsidRPr="00665410">
        <w:rPr>
          <w:lang w:val="en-US"/>
        </w:rPr>
        <w:t xml:space="preserve">.), </w:t>
      </w:r>
      <w:r w:rsidRPr="00665410">
        <w:rPr>
          <w:i/>
          <w:iCs/>
          <w:lang w:val="en-US"/>
        </w:rPr>
        <w:t>Recasting German Federalism : The Legacies of Unification</w:t>
      </w:r>
      <w:r w:rsidRPr="00665410">
        <w:rPr>
          <w:lang w:val="en-US"/>
        </w:rPr>
        <w:t xml:space="preserve"> (p. 329</w:t>
      </w:r>
      <w:r w:rsidRPr="00665410">
        <w:rPr>
          <w:rFonts w:ascii="MS Mincho" w:eastAsia="MS Mincho" w:hAnsi="MS Mincho" w:cs="MS Mincho" w:hint="eastAsia"/>
          <w:lang w:val="en-US"/>
        </w:rPr>
        <w:t>‑</w:t>
      </w:r>
      <w:r w:rsidRPr="00665410">
        <w:rPr>
          <w:lang w:val="en-US"/>
        </w:rPr>
        <w:t>334). London: Pinter.</w:t>
      </w:r>
    </w:p>
    <w:p w14:paraId="4FC43566" w14:textId="77777777" w:rsidR="00665410" w:rsidRPr="00665410" w:rsidRDefault="00665410" w:rsidP="00665410">
      <w:pPr>
        <w:pStyle w:val="Bibliographie"/>
        <w:rPr>
          <w:lang w:val="en-US"/>
        </w:rPr>
      </w:pPr>
      <w:r w:rsidRPr="00665410">
        <w:rPr>
          <w:lang w:val="en-US"/>
        </w:rPr>
        <w:lastRenderedPageBreak/>
        <w:t xml:space="preserve">Jeffery, C., &amp; Rowe, C. (2014). The Reform of German Federalism. In S. Padgett, W. E. Paterson, &amp; R. </w:t>
      </w:r>
      <w:proofErr w:type="spellStart"/>
      <w:r w:rsidRPr="00665410">
        <w:rPr>
          <w:lang w:val="en-US"/>
        </w:rPr>
        <w:t>Zohlnhöfer</w:t>
      </w:r>
      <w:proofErr w:type="spellEnd"/>
      <w:r w:rsidRPr="00665410">
        <w:rPr>
          <w:lang w:val="en-US"/>
        </w:rPr>
        <w:t xml:space="preserve">, </w:t>
      </w:r>
      <w:r w:rsidRPr="00665410">
        <w:rPr>
          <w:i/>
          <w:iCs/>
          <w:lang w:val="en-US"/>
        </w:rPr>
        <w:t>Developments in German Politics 4</w:t>
      </w:r>
      <w:r w:rsidRPr="00665410">
        <w:rPr>
          <w:lang w:val="en-US"/>
        </w:rPr>
        <w:t xml:space="preserve"> (p. 35</w:t>
      </w:r>
      <w:r w:rsidRPr="00665410">
        <w:rPr>
          <w:rFonts w:ascii="MS Mincho" w:eastAsia="MS Mincho" w:hAnsi="MS Mincho" w:cs="MS Mincho" w:hint="eastAsia"/>
          <w:lang w:val="en-US"/>
        </w:rPr>
        <w:t>‑</w:t>
      </w:r>
      <w:r w:rsidRPr="00665410">
        <w:rPr>
          <w:lang w:val="en-US"/>
        </w:rPr>
        <w:t xml:space="preserve">56). Basingstoke: Palgrave </w:t>
      </w:r>
      <w:proofErr w:type="spellStart"/>
      <w:proofErr w:type="gramStart"/>
      <w:r w:rsidRPr="00665410">
        <w:rPr>
          <w:lang w:val="en-US"/>
        </w:rPr>
        <w:t>macmillan</w:t>
      </w:r>
      <w:proofErr w:type="spellEnd"/>
      <w:proofErr w:type="gramEnd"/>
      <w:r w:rsidRPr="00665410">
        <w:rPr>
          <w:lang w:val="en-US"/>
        </w:rPr>
        <w:t>.</w:t>
      </w:r>
    </w:p>
    <w:p w14:paraId="3541677E" w14:textId="77777777" w:rsidR="00665410" w:rsidRPr="00665410" w:rsidRDefault="00665410" w:rsidP="00665410">
      <w:pPr>
        <w:pStyle w:val="Bibliographie"/>
        <w:rPr>
          <w:lang w:val="en-US"/>
        </w:rPr>
      </w:pPr>
      <w:r w:rsidRPr="00665410">
        <w:rPr>
          <w:lang w:val="en-US"/>
        </w:rPr>
        <w:t xml:space="preserve">Keating, M. (2009). </w:t>
      </w:r>
      <w:r w:rsidRPr="00665410">
        <w:rPr>
          <w:i/>
          <w:iCs/>
          <w:lang w:val="en-US"/>
        </w:rPr>
        <w:t>The Independence of Scotland. Self-Government and the Shifting Politics of Union</w:t>
      </w:r>
      <w:r w:rsidRPr="00665410">
        <w:rPr>
          <w:lang w:val="en-US"/>
        </w:rPr>
        <w:t>. Oxford: Oxford University Press.</w:t>
      </w:r>
    </w:p>
    <w:p w14:paraId="292C13A8" w14:textId="77777777" w:rsidR="00665410" w:rsidRPr="00665410" w:rsidRDefault="00665410" w:rsidP="00665410">
      <w:pPr>
        <w:pStyle w:val="Bibliographie"/>
        <w:rPr>
          <w:lang w:val="en-US"/>
        </w:rPr>
      </w:pPr>
      <w:r w:rsidRPr="00665410">
        <w:rPr>
          <w:lang w:val="en-US"/>
        </w:rPr>
        <w:t xml:space="preserve">Keating, M. (2013). </w:t>
      </w:r>
      <w:r w:rsidRPr="00665410">
        <w:rPr>
          <w:i/>
          <w:iCs/>
          <w:lang w:val="en-US"/>
        </w:rPr>
        <w:t xml:space="preserve">Rescaling the European State. The Making of Territory and the Rise of the </w:t>
      </w:r>
      <w:proofErr w:type="spellStart"/>
      <w:r w:rsidRPr="00665410">
        <w:rPr>
          <w:i/>
          <w:iCs/>
          <w:lang w:val="en-US"/>
        </w:rPr>
        <w:t>Meso</w:t>
      </w:r>
      <w:proofErr w:type="spellEnd"/>
      <w:r w:rsidRPr="00665410">
        <w:rPr>
          <w:lang w:val="en-US"/>
        </w:rPr>
        <w:t>. Oxford: Oxford University Press.</w:t>
      </w:r>
    </w:p>
    <w:p w14:paraId="1AFAE76E" w14:textId="77777777" w:rsidR="00665410" w:rsidRPr="00665410" w:rsidRDefault="00665410" w:rsidP="00665410">
      <w:pPr>
        <w:pStyle w:val="Bibliographie"/>
        <w:rPr>
          <w:lang w:val="en-US"/>
        </w:rPr>
      </w:pPr>
      <w:r w:rsidRPr="00665410">
        <w:rPr>
          <w:lang w:val="en-US"/>
        </w:rPr>
        <w:t xml:space="preserve">Keating, M., &amp; Wilson, A. (2014). Regions with Regionalism ? The Rescaling of Interest Groups in Six European States. </w:t>
      </w:r>
      <w:r w:rsidRPr="00665410">
        <w:rPr>
          <w:i/>
          <w:iCs/>
          <w:lang w:val="en-US"/>
        </w:rPr>
        <w:t>European Journal of Political Research</w:t>
      </w:r>
      <w:r w:rsidRPr="00665410">
        <w:rPr>
          <w:lang w:val="en-US"/>
        </w:rPr>
        <w:t xml:space="preserve">, </w:t>
      </w:r>
      <w:r w:rsidRPr="00665410">
        <w:rPr>
          <w:i/>
          <w:iCs/>
          <w:lang w:val="en-US"/>
        </w:rPr>
        <w:t>53</w:t>
      </w:r>
      <w:r w:rsidRPr="00665410">
        <w:rPr>
          <w:lang w:val="en-US"/>
        </w:rPr>
        <w:t>(4), 840</w:t>
      </w:r>
      <w:r w:rsidRPr="00665410">
        <w:rPr>
          <w:rFonts w:ascii="MS Mincho" w:eastAsia="MS Mincho" w:hAnsi="MS Mincho" w:cs="MS Mincho" w:hint="eastAsia"/>
          <w:lang w:val="en-US"/>
        </w:rPr>
        <w:t>‑</w:t>
      </w:r>
      <w:r w:rsidRPr="00665410">
        <w:rPr>
          <w:lang w:val="en-US"/>
        </w:rPr>
        <w:t>857.</w:t>
      </w:r>
    </w:p>
    <w:p w14:paraId="268D20CF" w14:textId="77777777" w:rsidR="00665410" w:rsidRPr="00665410" w:rsidRDefault="00665410" w:rsidP="00665410">
      <w:pPr>
        <w:pStyle w:val="Bibliographie"/>
        <w:rPr>
          <w:lang w:val="en-US"/>
        </w:rPr>
      </w:pPr>
      <w:proofErr w:type="spellStart"/>
      <w:r w:rsidRPr="00665410">
        <w:rPr>
          <w:lang w:val="en-US"/>
        </w:rPr>
        <w:t>Lastra-Anadon</w:t>
      </w:r>
      <w:proofErr w:type="spellEnd"/>
      <w:r w:rsidRPr="00665410">
        <w:rPr>
          <w:lang w:val="en-US"/>
        </w:rPr>
        <w:t>, C. X. (2014). Regional Identity and Fiscal Constraints in Spanish Federalism. In P. E. Peterson &amp; D. Nadler (</w:t>
      </w:r>
      <w:proofErr w:type="spellStart"/>
      <w:r w:rsidRPr="00665410">
        <w:rPr>
          <w:lang w:val="en-US"/>
        </w:rPr>
        <w:t>Éd</w:t>
      </w:r>
      <w:proofErr w:type="spellEnd"/>
      <w:r w:rsidRPr="00665410">
        <w:rPr>
          <w:lang w:val="en-US"/>
        </w:rPr>
        <w:t xml:space="preserve">.), </w:t>
      </w:r>
      <w:proofErr w:type="gramStart"/>
      <w:r w:rsidRPr="00665410">
        <w:rPr>
          <w:i/>
          <w:iCs/>
          <w:lang w:val="en-US"/>
        </w:rPr>
        <w:t>The</w:t>
      </w:r>
      <w:proofErr w:type="gramEnd"/>
      <w:r w:rsidRPr="00665410">
        <w:rPr>
          <w:i/>
          <w:iCs/>
          <w:lang w:val="en-US"/>
        </w:rPr>
        <w:t xml:space="preserve"> Global Debt Crisis : Haunting US and European Federalism</w:t>
      </w:r>
      <w:r w:rsidRPr="00665410">
        <w:rPr>
          <w:lang w:val="en-US"/>
        </w:rPr>
        <w:t xml:space="preserve"> (p. 179</w:t>
      </w:r>
      <w:r w:rsidRPr="00665410">
        <w:rPr>
          <w:rFonts w:ascii="MS Mincho" w:eastAsia="MS Mincho" w:hAnsi="MS Mincho" w:cs="MS Mincho" w:hint="eastAsia"/>
          <w:lang w:val="en-US"/>
        </w:rPr>
        <w:t>‑</w:t>
      </w:r>
      <w:r w:rsidRPr="00665410">
        <w:rPr>
          <w:lang w:val="en-US"/>
        </w:rPr>
        <w:t>200). Washington, DC: Brookings Institution Press.</w:t>
      </w:r>
    </w:p>
    <w:p w14:paraId="0F30615F" w14:textId="77777777" w:rsidR="00665410" w:rsidRPr="00665410" w:rsidRDefault="00665410" w:rsidP="00665410">
      <w:pPr>
        <w:pStyle w:val="Bibliographie"/>
        <w:rPr>
          <w:lang w:val="en-US"/>
        </w:rPr>
      </w:pPr>
      <w:r w:rsidRPr="00665410">
        <w:rPr>
          <w:lang w:val="en-US"/>
        </w:rPr>
        <w:t>Lopez-</w:t>
      </w:r>
      <w:proofErr w:type="spellStart"/>
      <w:r w:rsidRPr="00665410">
        <w:rPr>
          <w:lang w:val="en-US"/>
        </w:rPr>
        <w:t>Laborda</w:t>
      </w:r>
      <w:proofErr w:type="spellEnd"/>
      <w:r w:rsidRPr="00665410">
        <w:rPr>
          <w:lang w:val="en-US"/>
        </w:rPr>
        <w:t xml:space="preserve">, J., Martinez-Vasquez, J., &amp; </w:t>
      </w:r>
      <w:proofErr w:type="spellStart"/>
      <w:r w:rsidRPr="00665410">
        <w:rPr>
          <w:lang w:val="en-US"/>
        </w:rPr>
        <w:t>Monasterio</w:t>
      </w:r>
      <w:proofErr w:type="spellEnd"/>
      <w:r w:rsidRPr="00665410">
        <w:rPr>
          <w:lang w:val="en-US"/>
        </w:rPr>
        <w:t xml:space="preserve">, C. (2007). The Practice of Fiscal Federalism in Spain. In A. Shah, </w:t>
      </w:r>
      <w:r w:rsidRPr="00665410">
        <w:rPr>
          <w:i/>
          <w:iCs/>
          <w:lang w:val="en-US"/>
        </w:rPr>
        <w:t>The Practice of Fiscal Federalism : Comparative Perspectives</w:t>
      </w:r>
      <w:r w:rsidRPr="00665410">
        <w:rPr>
          <w:lang w:val="en-US"/>
        </w:rPr>
        <w:t xml:space="preserve"> (p. 287</w:t>
      </w:r>
      <w:r w:rsidRPr="00665410">
        <w:rPr>
          <w:rFonts w:ascii="MS Mincho" w:eastAsia="MS Mincho" w:hAnsi="MS Mincho" w:cs="MS Mincho" w:hint="eastAsia"/>
          <w:lang w:val="en-US"/>
        </w:rPr>
        <w:t>‑</w:t>
      </w:r>
      <w:r w:rsidRPr="00665410">
        <w:rPr>
          <w:lang w:val="en-US"/>
        </w:rPr>
        <w:t>316). Montreal/ Kingston: McGill - Queen’s University Press.</w:t>
      </w:r>
    </w:p>
    <w:p w14:paraId="4E142784" w14:textId="77777777" w:rsidR="00665410" w:rsidRPr="00665410" w:rsidRDefault="00665410" w:rsidP="00665410">
      <w:pPr>
        <w:pStyle w:val="Bibliographie"/>
        <w:rPr>
          <w:lang w:val="en-US"/>
        </w:rPr>
      </w:pPr>
      <w:r w:rsidRPr="00665410">
        <w:rPr>
          <w:lang w:val="en-US"/>
        </w:rPr>
        <w:t xml:space="preserve">Lowndes, V., &amp; Pratchett, L. (2012). Local Governance </w:t>
      </w:r>
      <w:proofErr w:type="gramStart"/>
      <w:r w:rsidRPr="00665410">
        <w:rPr>
          <w:lang w:val="en-US"/>
        </w:rPr>
        <w:t>Under</w:t>
      </w:r>
      <w:proofErr w:type="gramEnd"/>
      <w:r w:rsidRPr="00665410">
        <w:rPr>
          <w:lang w:val="en-US"/>
        </w:rPr>
        <w:t xml:space="preserve"> the Coalition Government : Austerity, Localism and the « Big Society ». </w:t>
      </w:r>
      <w:r w:rsidRPr="00665410">
        <w:rPr>
          <w:i/>
          <w:iCs/>
          <w:lang w:val="en-US"/>
        </w:rPr>
        <w:t>Local Government Studies</w:t>
      </w:r>
      <w:r w:rsidRPr="00665410">
        <w:rPr>
          <w:lang w:val="en-US"/>
        </w:rPr>
        <w:t xml:space="preserve">, </w:t>
      </w:r>
      <w:r w:rsidRPr="00665410">
        <w:rPr>
          <w:i/>
          <w:iCs/>
          <w:lang w:val="en-US"/>
        </w:rPr>
        <w:t>38</w:t>
      </w:r>
      <w:r w:rsidRPr="00665410">
        <w:rPr>
          <w:lang w:val="en-US"/>
        </w:rPr>
        <w:t>(1), 21</w:t>
      </w:r>
      <w:r w:rsidRPr="00665410">
        <w:rPr>
          <w:rFonts w:ascii="MS Mincho" w:eastAsia="MS Mincho" w:hAnsi="MS Mincho" w:cs="MS Mincho" w:hint="eastAsia"/>
          <w:lang w:val="en-US"/>
        </w:rPr>
        <w:t>‑</w:t>
      </w:r>
      <w:r w:rsidRPr="00665410">
        <w:rPr>
          <w:lang w:val="en-US"/>
        </w:rPr>
        <w:t>40.</w:t>
      </w:r>
    </w:p>
    <w:p w14:paraId="763CE105" w14:textId="77777777" w:rsidR="00665410" w:rsidRPr="00665410" w:rsidRDefault="00665410" w:rsidP="00665410">
      <w:pPr>
        <w:pStyle w:val="Bibliographie"/>
        <w:rPr>
          <w:lang w:val="en-US"/>
        </w:rPr>
      </w:pPr>
      <w:r w:rsidRPr="00665410">
        <w:rPr>
          <w:lang w:val="en-US"/>
        </w:rPr>
        <w:t xml:space="preserve">Mackinnon, D. (2015). Devolution, State Restructuring and Policy Divergence in the UK. </w:t>
      </w:r>
      <w:r w:rsidRPr="00665410">
        <w:rPr>
          <w:i/>
          <w:iCs/>
          <w:lang w:val="en-US"/>
        </w:rPr>
        <w:t>The Geographical Journal</w:t>
      </w:r>
      <w:r w:rsidRPr="00665410">
        <w:rPr>
          <w:lang w:val="en-US"/>
        </w:rPr>
        <w:t xml:space="preserve">, </w:t>
      </w:r>
      <w:r w:rsidRPr="00665410">
        <w:rPr>
          <w:i/>
          <w:iCs/>
          <w:lang w:val="en-US"/>
        </w:rPr>
        <w:t>181</w:t>
      </w:r>
      <w:r w:rsidRPr="00665410">
        <w:rPr>
          <w:lang w:val="en-US"/>
        </w:rPr>
        <w:t>(1), 47</w:t>
      </w:r>
      <w:r w:rsidRPr="00665410">
        <w:rPr>
          <w:rFonts w:ascii="MS Mincho" w:eastAsia="MS Mincho" w:hAnsi="MS Mincho" w:cs="MS Mincho" w:hint="eastAsia"/>
          <w:lang w:val="en-US"/>
        </w:rPr>
        <w:t>‑</w:t>
      </w:r>
      <w:r w:rsidRPr="00665410">
        <w:rPr>
          <w:lang w:val="en-US"/>
        </w:rPr>
        <w:t>56.</w:t>
      </w:r>
    </w:p>
    <w:p w14:paraId="18917681" w14:textId="77777777" w:rsidR="00665410" w:rsidRPr="00665410" w:rsidRDefault="00665410" w:rsidP="00665410">
      <w:pPr>
        <w:pStyle w:val="Bibliographie"/>
        <w:rPr>
          <w:lang w:val="en-US"/>
        </w:rPr>
      </w:pPr>
      <w:proofErr w:type="spellStart"/>
      <w:r w:rsidRPr="00665410">
        <w:rPr>
          <w:lang w:val="en-US"/>
        </w:rPr>
        <w:t>Massetti</w:t>
      </w:r>
      <w:proofErr w:type="spellEnd"/>
      <w:r w:rsidRPr="00665410">
        <w:rPr>
          <w:lang w:val="en-US"/>
        </w:rPr>
        <w:t xml:space="preserve">, E., &amp; </w:t>
      </w:r>
      <w:proofErr w:type="spellStart"/>
      <w:r w:rsidRPr="00665410">
        <w:rPr>
          <w:lang w:val="en-US"/>
        </w:rPr>
        <w:t>Toubeau</w:t>
      </w:r>
      <w:proofErr w:type="spellEnd"/>
      <w:r w:rsidRPr="00665410">
        <w:rPr>
          <w:lang w:val="en-US"/>
        </w:rPr>
        <w:t xml:space="preserve">, S. (2014). </w:t>
      </w:r>
      <w:r w:rsidRPr="00665410">
        <w:rPr>
          <w:i/>
          <w:iCs/>
          <w:lang w:val="en-US"/>
        </w:rPr>
        <w:t>The Party Politics of Territorial Reforms in Europe</w:t>
      </w:r>
      <w:r w:rsidRPr="00665410">
        <w:rPr>
          <w:lang w:val="en-US"/>
        </w:rPr>
        <w:t>. Abingdon: Routledge.</w:t>
      </w:r>
    </w:p>
    <w:p w14:paraId="1F7BE5BE" w14:textId="77777777" w:rsidR="00665410" w:rsidRPr="00665410" w:rsidRDefault="00665410" w:rsidP="00665410">
      <w:pPr>
        <w:pStyle w:val="Bibliographie"/>
        <w:rPr>
          <w:lang w:val="en-US"/>
        </w:rPr>
      </w:pPr>
      <w:r w:rsidRPr="00665410">
        <w:rPr>
          <w:lang w:val="en-US"/>
        </w:rPr>
        <w:t xml:space="preserve">McEwen, N. (2013). </w:t>
      </w:r>
      <w:proofErr w:type="spellStart"/>
      <w:r w:rsidRPr="00665410">
        <w:rPr>
          <w:lang w:val="en-US"/>
        </w:rPr>
        <w:t>Independance</w:t>
      </w:r>
      <w:proofErr w:type="spellEnd"/>
      <w:r w:rsidRPr="00665410">
        <w:rPr>
          <w:lang w:val="en-US"/>
        </w:rPr>
        <w:t xml:space="preserve"> and the Territorial Politics of Welfare. </w:t>
      </w:r>
      <w:r w:rsidRPr="00665410">
        <w:rPr>
          <w:i/>
          <w:iCs/>
          <w:lang w:val="en-US"/>
        </w:rPr>
        <w:t>The David Hume Institute Research Paper</w:t>
      </w:r>
      <w:r w:rsidRPr="00665410">
        <w:rPr>
          <w:lang w:val="en-US"/>
        </w:rPr>
        <w:t>, (4).</w:t>
      </w:r>
    </w:p>
    <w:p w14:paraId="6F296A4F" w14:textId="77777777" w:rsidR="00665410" w:rsidRPr="00665410" w:rsidRDefault="00665410" w:rsidP="00665410">
      <w:pPr>
        <w:pStyle w:val="Bibliographie"/>
        <w:rPr>
          <w:lang w:val="en-US"/>
        </w:rPr>
      </w:pPr>
      <w:r w:rsidRPr="00665410">
        <w:rPr>
          <w:lang w:val="en-US"/>
        </w:rPr>
        <w:lastRenderedPageBreak/>
        <w:t xml:space="preserve">McEwen, N., </w:t>
      </w:r>
      <w:proofErr w:type="spellStart"/>
      <w:r w:rsidRPr="00665410">
        <w:rPr>
          <w:lang w:val="en-US"/>
        </w:rPr>
        <w:t>Swenden</w:t>
      </w:r>
      <w:proofErr w:type="spellEnd"/>
      <w:r w:rsidRPr="00665410">
        <w:rPr>
          <w:lang w:val="en-US"/>
        </w:rPr>
        <w:t xml:space="preserve">, W., &amp; </w:t>
      </w:r>
      <w:proofErr w:type="spellStart"/>
      <w:r w:rsidRPr="00665410">
        <w:rPr>
          <w:lang w:val="en-US"/>
        </w:rPr>
        <w:t>Bolleyer</w:t>
      </w:r>
      <w:proofErr w:type="spellEnd"/>
      <w:r w:rsidRPr="00665410">
        <w:rPr>
          <w:lang w:val="en-US"/>
        </w:rPr>
        <w:t xml:space="preserve">, N. (2012). Intergovernmental Relations in the UK: Continuity in a Time of Change? </w:t>
      </w:r>
      <w:r w:rsidRPr="00665410">
        <w:rPr>
          <w:i/>
          <w:iCs/>
          <w:lang w:val="en-US"/>
        </w:rPr>
        <w:t>The British Journal of Politics and International Relations</w:t>
      </w:r>
      <w:r w:rsidRPr="00665410">
        <w:rPr>
          <w:lang w:val="en-US"/>
        </w:rPr>
        <w:t xml:space="preserve">, </w:t>
      </w:r>
      <w:r w:rsidRPr="00665410">
        <w:rPr>
          <w:i/>
          <w:iCs/>
          <w:lang w:val="en-US"/>
        </w:rPr>
        <w:t>14</w:t>
      </w:r>
      <w:r w:rsidRPr="00665410">
        <w:rPr>
          <w:lang w:val="en-US"/>
        </w:rPr>
        <w:t>(2), 323</w:t>
      </w:r>
      <w:r w:rsidRPr="00665410">
        <w:rPr>
          <w:rFonts w:ascii="MS Mincho" w:eastAsia="MS Mincho" w:hAnsi="MS Mincho" w:cs="MS Mincho" w:hint="eastAsia"/>
          <w:lang w:val="en-US"/>
        </w:rPr>
        <w:t>‑</w:t>
      </w:r>
      <w:r w:rsidRPr="00665410">
        <w:rPr>
          <w:lang w:val="en-US"/>
        </w:rPr>
        <w:t>343.</w:t>
      </w:r>
    </w:p>
    <w:p w14:paraId="22E0530F" w14:textId="77777777" w:rsidR="00665410" w:rsidRPr="00665410" w:rsidRDefault="00665410" w:rsidP="00665410">
      <w:pPr>
        <w:pStyle w:val="Bibliographie"/>
        <w:rPr>
          <w:lang w:val="en-US"/>
        </w:rPr>
      </w:pPr>
      <w:proofErr w:type="spellStart"/>
      <w:r w:rsidRPr="00665410">
        <w:rPr>
          <w:lang w:val="en-US"/>
        </w:rPr>
        <w:t>Rodden</w:t>
      </w:r>
      <w:proofErr w:type="spellEnd"/>
      <w:r w:rsidRPr="00665410">
        <w:rPr>
          <w:lang w:val="en-US"/>
        </w:rPr>
        <w:t xml:space="preserve">, J. (2002). The Dilemma of Fiscal Federalism : Grants and Fiscal Performance around the World. </w:t>
      </w:r>
      <w:r w:rsidRPr="00665410">
        <w:rPr>
          <w:i/>
          <w:iCs/>
          <w:lang w:val="en-US"/>
        </w:rPr>
        <w:t>American Journal of Political Science</w:t>
      </w:r>
      <w:r w:rsidRPr="00665410">
        <w:rPr>
          <w:lang w:val="en-US"/>
        </w:rPr>
        <w:t xml:space="preserve">, </w:t>
      </w:r>
      <w:r w:rsidRPr="00665410">
        <w:rPr>
          <w:i/>
          <w:iCs/>
          <w:lang w:val="en-US"/>
        </w:rPr>
        <w:t>46</w:t>
      </w:r>
      <w:r w:rsidRPr="00665410">
        <w:rPr>
          <w:lang w:val="en-US"/>
        </w:rPr>
        <w:t>(3), 670</w:t>
      </w:r>
      <w:r w:rsidRPr="00665410">
        <w:rPr>
          <w:rFonts w:ascii="MS Mincho" w:eastAsia="MS Mincho" w:hAnsi="MS Mincho" w:cs="MS Mincho" w:hint="eastAsia"/>
          <w:lang w:val="en-US"/>
        </w:rPr>
        <w:t>‑</w:t>
      </w:r>
      <w:r w:rsidRPr="00665410">
        <w:rPr>
          <w:lang w:val="en-US"/>
        </w:rPr>
        <w:t>687.</w:t>
      </w:r>
    </w:p>
    <w:p w14:paraId="12DF31C1" w14:textId="77777777" w:rsidR="00665410" w:rsidRPr="00665410" w:rsidRDefault="00665410" w:rsidP="00665410">
      <w:pPr>
        <w:pStyle w:val="Bibliographie"/>
        <w:rPr>
          <w:lang w:val="en-US"/>
        </w:rPr>
      </w:pPr>
      <w:proofErr w:type="spellStart"/>
      <w:r w:rsidRPr="00665410">
        <w:rPr>
          <w:lang w:val="en-US"/>
        </w:rPr>
        <w:t>Rokkan</w:t>
      </w:r>
      <w:proofErr w:type="spellEnd"/>
      <w:r w:rsidRPr="00665410">
        <w:rPr>
          <w:lang w:val="en-US"/>
        </w:rPr>
        <w:t>, S., &amp; al.</w:t>
      </w:r>
      <w:proofErr w:type="gramStart"/>
      <w:r w:rsidRPr="00665410">
        <w:rPr>
          <w:lang w:val="en-US"/>
        </w:rPr>
        <w:t>,  et</w:t>
      </w:r>
      <w:proofErr w:type="gramEnd"/>
      <w:r w:rsidRPr="00665410">
        <w:rPr>
          <w:lang w:val="en-US"/>
        </w:rPr>
        <w:t xml:space="preserve">. (1987). </w:t>
      </w:r>
      <w:r w:rsidRPr="00665410">
        <w:rPr>
          <w:i/>
          <w:iCs/>
          <w:lang w:val="en-US"/>
        </w:rPr>
        <w:t>Centre-Periphery Structures in Europe. An ISSC Workbook in Comparative Analysis</w:t>
      </w:r>
      <w:r w:rsidRPr="00665410">
        <w:rPr>
          <w:lang w:val="en-US"/>
        </w:rPr>
        <w:t xml:space="preserve">. Frankfurt/ New York: Campus </w:t>
      </w:r>
      <w:proofErr w:type="spellStart"/>
      <w:r w:rsidRPr="00665410">
        <w:rPr>
          <w:lang w:val="en-US"/>
        </w:rPr>
        <w:t>Verlag</w:t>
      </w:r>
      <w:proofErr w:type="spellEnd"/>
      <w:r w:rsidRPr="00665410">
        <w:rPr>
          <w:lang w:val="en-US"/>
        </w:rPr>
        <w:t>.</w:t>
      </w:r>
    </w:p>
    <w:p w14:paraId="178481A6" w14:textId="77777777" w:rsidR="00665410" w:rsidRPr="00665410" w:rsidRDefault="00665410" w:rsidP="00665410">
      <w:pPr>
        <w:pStyle w:val="Bibliographie"/>
        <w:rPr>
          <w:lang w:val="en-US"/>
        </w:rPr>
      </w:pPr>
      <w:proofErr w:type="spellStart"/>
      <w:r w:rsidRPr="00665410">
        <w:rPr>
          <w:lang w:val="en-US"/>
        </w:rPr>
        <w:t>Saurugger</w:t>
      </w:r>
      <w:proofErr w:type="spellEnd"/>
      <w:r w:rsidRPr="00665410">
        <w:rPr>
          <w:lang w:val="en-US"/>
        </w:rPr>
        <w:t xml:space="preserve">, S. (2016). Sociological Approaches to the European Union in times of Turmoil. </w:t>
      </w:r>
      <w:r w:rsidRPr="00665410">
        <w:rPr>
          <w:i/>
          <w:iCs/>
          <w:lang w:val="en-US"/>
        </w:rPr>
        <w:t>Journal of Common Market Studies</w:t>
      </w:r>
      <w:r w:rsidRPr="00665410">
        <w:rPr>
          <w:lang w:val="en-US"/>
        </w:rPr>
        <w:t xml:space="preserve">, </w:t>
      </w:r>
      <w:r w:rsidRPr="00665410">
        <w:rPr>
          <w:i/>
          <w:iCs/>
          <w:lang w:val="en-US"/>
        </w:rPr>
        <w:t>54</w:t>
      </w:r>
      <w:r w:rsidRPr="00665410">
        <w:rPr>
          <w:lang w:val="en-US"/>
        </w:rPr>
        <w:t>(1), 70</w:t>
      </w:r>
      <w:r w:rsidRPr="00665410">
        <w:rPr>
          <w:rFonts w:ascii="MS Mincho" w:eastAsia="MS Mincho" w:hAnsi="MS Mincho" w:cs="MS Mincho" w:hint="eastAsia"/>
          <w:lang w:val="en-US"/>
        </w:rPr>
        <w:t>‑</w:t>
      </w:r>
      <w:r w:rsidRPr="00665410">
        <w:rPr>
          <w:lang w:val="en-US"/>
        </w:rPr>
        <w:t>86.</w:t>
      </w:r>
    </w:p>
    <w:p w14:paraId="516E6A30" w14:textId="77777777" w:rsidR="00665410" w:rsidRPr="00665410" w:rsidRDefault="00665410" w:rsidP="00665410">
      <w:pPr>
        <w:pStyle w:val="Bibliographie"/>
        <w:rPr>
          <w:lang w:val="en-US"/>
        </w:rPr>
      </w:pPr>
      <w:r w:rsidRPr="00665410">
        <w:rPr>
          <w:lang w:val="en-US"/>
        </w:rPr>
        <w:t xml:space="preserve">Stafford, I. (2015). </w:t>
      </w:r>
      <w:r w:rsidRPr="00665410">
        <w:rPr>
          <w:i/>
          <w:iCs/>
          <w:lang w:val="en-US"/>
        </w:rPr>
        <w:t>Sheltering from the Storm ? Welsh Devolution and Public Services in a Period of Economic Crisis</w:t>
      </w:r>
      <w:r w:rsidRPr="00665410">
        <w:rPr>
          <w:lang w:val="en-US"/>
        </w:rPr>
        <w:t xml:space="preserve">. </w:t>
      </w:r>
      <w:proofErr w:type="spellStart"/>
      <w:r w:rsidRPr="00665410">
        <w:rPr>
          <w:lang w:val="en-US"/>
        </w:rPr>
        <w:t>Présenté</w:t>
      </w:r>
      <w:proofErr w:type="spellEnd"/>
      <w:r w:rsidRPr="00665410">
        <w:rPr>
          <w:lang w:val="en-US"/>
        </w:rPr>
        <w:t xml:space="preserve"> à Conference of Europeanists, Sciences Po Paris.</w:t>
      </w:r>
    </w:p>
    <w:p w14:paraId="13EC85B6" w14:textId="77777777" w:rsidR="00665410" w:rsidRPr="00665410" w:rsidRDefault="00665410" w:rsidP="00665410">
      <w:pPr>
        <w:pStyle w:val="Bibliographie"/>
        <w:rPr>
          <w:lang w:val="en-US"/>
        </w:rPr>
      </w:pPr>
      <w:proofErr w:type="spellStart"/>
      <w:r w:rsidRPr="00665410">
        <w:rPr>
          <w:lang w:val="en-US"/>
        </w:rPr>
        <w:t>Swenden</w:t>
      </w:r>
      <w:proofErr w:type="spellEnd"/>
      <w:r w:rsidRPr="00665410">
        <w:rPr>
          <w:lang w:val="en-US"/>
        </w:rPr>
        <w:t xml:space="preserve">, W. (2006). </w:t>
      </w:r>
      <w:r w:rsidRPr="00665410">
        <w:rPr>
          <w:i/>
          <w:iCs/>
          <w:lang w:val="en-US"/>
        </w:rPr>
        <w:t>Federalism and Regionalism in Western Europe. A Comparative and Thematic Analysis</w:t>
      </w:r>
      <w:r w:rsidRPr="00665410">
        <w:rPr>
          <w:lang w:val="en-US"/>
        </w:rPr>
        <w:t xml:space="preserve">. New York: Palgrave </w:t>
      </w:r>
      <w:proofErr w:type="spellStart"/>
      <w:proofErr w:type="gramStart"/>
      <w:r w:rsidRPr="00665410">
        <w:rPr>
          <w:lang w:val="en-US"/>
        </w:rPr>
        <w:t>macmillan</w:t>
      </w:r>
      <w:proofErr w:type="spellEnd"/>
      <w:proofErr w:type="gramEnd"/>
      <w:r w:rsidRPr="00665410">
        <w:rPr>
          <w:lang w:val="en-US"/>
        </w:rPr>
        <w:t>.</w:t>
      </w:r>
    </w:p>
    <w:p w14:paraId="73D25B86" w14:textId="77777777" w:rsidR="00665410" w:rsidRPr="00665410" w:rsidRDefault="00665410" w:rsidP="00665410">
      <w:pPr>
        <w:pStyle w:val="Bibliographie"/>
        <w:rPr>
          <w:lang w:val="en-US"/>
        </w:rPr>
      </w:pPr>
      <w:proofErr w:type="spellStart"/>
      <w:r w:rsidRPr="00665410">
        <w:rPr>
          <w:lang w:val="en-US"/>
        </w:rPr>
        <w:t>Swenden</w:t>
      </w:r>
      <w:proofErr w:type="spellEnd"/>
      <w:r w:rsidRPr="00665410">
        <w:rPr>
          <w:lang w:val="en-US"/>
        </w:rPr>
        <w:t xml:space="preserve">, W., &amp; Maddens, B. (2009). </w:t>
      </w:r>
      <w:r w:rsidRPr="00665410">
        <w:rPr>
          <w:i/>
          <w:iCs/>
          <w:lang w:val="en-US"/>
        </w:rPr>
        <w:t>Territorial Party Politics in Western Europe</w:t>
      </w:r>
      <w:r w:rsidRPr="00665410">
        <w:rPr>
          <w:lang w:val="en-US"/>
        </w:rPr>
        <w:t xml:space="preserve">. Basingstoke: Palgrave </w:t>
      </w:r>
      <w:proofErr w:type="spellStart"/>
      <w:proofErr w:type="gramStart"/>
      <w:r w:rsidRPr="00665410">
        <w:rPr>
          <w:lang w:val="en-US"/>
        </w:rPr>
        <w:t>macmillan</w:t>
      </w:r>
      <w:proofErr w:type="spellEnd"/>
      <w:proofErr w:type="gramEnd"/>
      <w:r w:rsidRPr="00665410">
        <w:rPr>
          <w:lang w:val="en-US"/>
        </w:rPr>
        <w:t>.</w:t>
      </w:r>
    </w:p>
    <w:p w14:paraId="680E1DA9" w14:textId="77777777" w:rsidR="00665410" w:rsidRPr="00665410" w:rsidRDefault="00665410" w:rsidP="00665410">
      <w:pPr>
        <w:pStyle w:val="Bibliographie"/>
      </w:pPr>
      <w:proofErr w:type="spellStart"/>
      <w:r w:rsidRPr="00665410">
        <w:rPr>
          <w:lang w:val="en-US"/>
        </w:rPr>
        <w:t>Swenden</w:t>
      </w:r>
      <w:proofErr w:type="spellEnd"/>
      <w:r w:rsidRPr="00665410">
        <w:rPr>
          <w:lang w:val="en-US"/>
        </w:rPr>
        <w:t xml:space="preserve">, W., &amp; McEwen, N. (2015). UK Devolution in the Shadow of Hierarchy ? </w:t>
      </w:r>
      <w:proofErr w:type="spellStart"/>
      <w:r w:rsidRPr="00665410">
        <w:t>Intergovernmental</w:t>
      </w:r>
      <w:proofErr w:type="spellEnd"/>
      <w:r w:rsidRPr="00665410">
        <w:t xml:space="preserve"> Relations and Party </w:t>
      </w:r>
      <w:proofErr w:type="spellStart"/>
      <w:r w:rsidRPr="00665410">
        <w:t>Politics</w:t>
      </w:r>
      <w:proofErr w:type="spellEnd"/>
      <w:r w:rsidRPr="00665410">
        <w:t xml:space="preserve">. </w:t>
      </w:r>
      <w:r w:rsidRPr="00665410">
        <w:rPr>
          <w:i/>
          <w:iCs/>
        </w:rPr>
        <w:t xml:space="preserve">Comparative </w:t>
      </w:r>
      <w:proofErr w:type="spellStart"/>
      <w:r w:rsidRPr="00665410">
        <w:rPr>
          <w:i/>
          <w:iCs/>
        </w:rPr>
        <w:t>European</w:t>
      </w:r>
      <w:proofErr w:type="spellEnd"/>
      <w:r w:rsidRPr="00665410">
        <w:rPr>
          <w:i/>
          <w:iCs/>
        </w:rPr>
        <w:t xml:space="preserve"> </w:t>
      </w:r>
      <w:proofErr w:type="spellStart"/>
      <w:r w:rsidRPr="00665410">
        <w:rPr>
          <w:i/>
          <w:iCs/>
        </w:rPr>
        <w:t>Politics</w:t>
      </w:r>
      <w:proofErr w:type="spellEnd"/>
      <w:r w:rsidRPr="00665410">
        <w:t xml:space="preserve">, </w:t>
      </w:r>
      <w:r w:rsidRPr="00665410">
        <w:rPr>
          <w:i/>
          <w:iCs/>
        </w:rPr>
        <w:t>12</w:t>
      </w:r>
      <w:r w:rsidRPr="00665410">
        <w:t>(4/5), 488</w:t>
      </w:r>
      <w:r w:rsidRPr="00665410">
        <w:rPr>
          <w:rFonts w:ascii="MS Mincho" w:hAnsi="MS Mincho" w:cs="MS Mincho"/>
        </w:rPr>
        <w:t>‑</w:t>
      </w:r>
      <w:r w:rsidRPr="00665410">
        <w:t>509.</w:t>
      </w:r>
    </w:p>
    <w:p w14:paraId="219DC256" w14:textId="0094D183" w:rsidR="00F918F7" w:rsidRPr="00F918F7" w:rsidRDefault="002D7B56" w:rsidP="00D41A7A">
      <w:pPr>
        <w:jc w:val="both"/>
      </w:pPr>
      <w:r>
        <w:fldChar w:fldCharType="end"/>
      </w:r>
    </w:p>
    <w:sectPr w:rsidR="00F918F7" w:rsidRPr="00F918F7" w:rsidSect="00B948AD">
      <w:footerReference w:type="default" r:id="rId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F60F62" w14:textId="77777777" w:rsidR="005565BF" w:rsidRDefault="005565BF" w:rsidP="00532376">
      <w:r>
        <w:separator/>
      </w:r>
    </w:p>
  </w:endnote>
  <w:endnote w:type="continuationSeparator" w:id="0">
    <w:p w14:paraId="6633435C" w14:textId="77777777" w:rsidR="005565BF" w:rsidRDefault="005565BF" w:rsidP="00532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6149060"/>
      <w:docPartObj>
        <w:docPartGallery w:val="Page Numbers (Bottom of Page)"/>
        <w:docPartUnique/>
      </w:docPartObj>
    </w:sdtPr>
    <w:sdtEndPr/>
    <w:sdtContent>
      <w:p w14:paraId="4C515E56" w14:textId="77777777" w:rsidR="00543BA6" w:rsidRDefault="00543BA6">
        <w:pPr>
          <w:pStyle w:val="Pieddepage"/>
          <w:jc w:val="right"/>
        </w:pPr>
        <w:r>
          <w:fldChar w:fldCharType="begin"/>
        </w:r>
        <w:r>
          <w:instrText>PAGE   \* MERGEFORMAT</w:instrText>
        </w:r>
        <w:r>
          <w:fldChar w:fldCharType="separate"/>
        </w:r>
        <w:r w:rsidR="003B1980">
          <w:rPr>
            <w:noProof/>
          </w:rPr>
          <w:t>19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31AFB3" w14:textId="77777777" w:rsidR="005565BF" w:rsidRDefault="005565BF" w:rsidP="00532376">
      <w:r>
        <w:separator/>
      </w:r>
    </w:p>
  </w:footnote>
  <w:footnote w:type="continuationSeparator" w:id="0">
    <w:p w14:paraId="17B120B2" w14:textId="77777777" w:rsidR="005565BF" w:rsidRDefault="005565BF" w:rsidP="00532376">
      <w:r>
        <w:continuationSeparator/>
      </w:r>
    </w:p>
  </w:footnote>
  <w:footnote w:id="1">
    <w:p w14:paraId="3EAF6FC5" w14:textId="643AD7E3" w:rsidR="00543BA6" w:rsidRPr="00993F20" w:rsidRDefault="00543BA6" w:rsidP="00993F20">
      <w:pPr>
        <w:jc w:val="both"/>
        <w:rPr>
          <w:sz w:val="20"/>
          <w:szCs w:val="20"/>
        </w:rPr>
      </w:pPr>
      <w:r>
        <w:rPr>
          <w:rStyle w:val="Appelnotedebasdep"/>
        </w:rPr>
        <w:footnoteRef/>
      </w:r>
      <w:r>
        <w:t xml:space="preserve"> </w:t>
      </w:r>
      <w:r w:rsidRPr="00993F20">
        <w:rPr>
          <w:sz w:val="20"/>
          <w:szCs w:val="20"/>
        </w:rPr>
        <w:t>Le ‘non’ l’a finalemen</w:t>
      </w:r>
      <w:r>
        <w:rPr>
          <w:sz w:val="20"/>
          <w:szCs w:val="20"/>
        </w:rPr>
        <w:t>t emporté de justesse en Ecosse. Les élections catalanes ont été précédées</w:t>
      </w:r>
      <w:r w:rsidRPr="00993F20">
        <w:rPr>
          <w:sz w:val="20"/>
          <w:szCs w:val="20"/>
        </w:rPr>
        <w:t xml:space="preserve"> </w:t>
      </w:r>
      <w:r>
        <w:rPr>
          <w:sz w:val="20"/>
          <w:szCs w:val="20"/>
        </w:rPr>
        <w:t>par</w:t>
      </w:r>
      <w:r w:rsidRPr="00993F20">
        <w:rPr>
          <w:sz w:val="20"/>
          <w:szCs w:val="20"/>
        </w:rPr>
        <w:t xml:space="preserve"> le référendum</w:t>
      </w:r>
      <w:r>
        <w:rPr>
          <w:sz w:val="20"/>
          <w:szCs w:val="20"/>
        </w:rPr>
        <w:t xml:space="preserve"> sur l’indépendance</w:t>
      </w:r>
      <w:r w:rsidRPr="00993F20">
        <w:rPr>
          <w:sz w:val="20"/>
          <w:szCs w:val="20"/>
        </w:rPr>
        <w:t xml:space="preserve"> </w:t>
      </w:r>
      <w:r>
        <w:rPr>
          <w:sz w:val="20"/>
          <w:szCs w:val="20"/>
        </w:rPr>
        <w:t xml:space="preserve">de la Catalogne </w:t>
      </w:r>
      <w:r w:rsidRPr="00993F20">
        <w:rPr>
          <w:sz w:val="20"/>
          <w:szCs w:val="20"/>
        </w:rPr>
        <w:t>du 9 novembre 2014</w:t>
      </w:r>
      <w:r>
        <w:rPr>
          <w:sz w:val="20"/>
          <w:szCs w:val="20"/>
        </w:rPr>
        <w:t xml:space="preserve"> qui</w:t>
      </w:r>
      <w:r w:rsidRPr="00993F20">
        <w:rPr>
          <w:sz w:val="20"/>
          <w:szCs w:val="20"/>
        </w:rPr>
        <w:t xml:space="preserve"> a</w:t>
      </w:r>
      <w:r>
        <w:rPr>
          <w:sz w:val="20"/>
          <w:szCs w:val="20"/>
        </w:rPr>
        <w:t>vait</w:t>
      </w:r>
      <w:r w:rsidRPr="00993F20">
        <w:rPr>
          <w:sz w:val="20"/>
          <w:szCs w:val="20"/>
        </w:rPr>
        <w:t xml:space="preserve"> conduit à une nette victoire du ‘oui’, mais sans effets immédi</w:t>
      </w:r>
      <w:r>
        <w:rPr>
          <w:sz w:val="20"/>
          <w:szCs w:val="20"/>
        </w:rPr>
        <w:t>ats puisque la consultation s’é</w:t>
      </w:r>
      <w:r w:rsidRPr="00993F20">
        <w:rPr>
          <w:sz w:val="20"/>
          <w:szCs w:val="20"/>
        </w:rPr>
        <w:t>t</w:t>
      </w:r>
      <w:r>
        <w:rPr>
          <w:sz w:val="20"/>
          <w:szCs w:val="20"/>
        </w:rPr>
        <w:t>ait</w:t>
      </w:r>
      <w:r w:rsidRPr="00993F20">
        <w:rPr>
          <w:sz w:val="20"/>
          <w:szCs w:val="20"/>
        </w:rPr>
        <w:t xml:space="preserve"> tenue sans l’accord du gouvernement </w:t>
      </w:r>
      <w:r>
        <w:rPr>
          <w:sz w:val="20"/>
          <w:szCs w:val="20"/>
        </w:rPr>
        <w:t>central</w:t>
      </w:r>
      <w:r w:rsidRPr="00993F20">
        <w:rPr>
          <w:sz w:val="20"/>
          <w:szCs w:val="20"/>
        </w:rPr>
        <w:t xml:space="preserve">. </w:t>
      </w:r>
    </w:p>
  </w:footnote>
  <w:footnote w:id="2">
    <w:p w14:paraId="5246CE03" w14:textId="3BB659AC" w:rsidR="00543BA6" w:rsidRDefault="00543BA6" w:rsidP="00CB326A">
      <w:pPr>
        <w:pStyle w:val="Notedebasdepage"/>
        <w:jc w:val="both"/>
      </w:pPr>
      <w:r>
        <w:rPr>
          <w:rStyle w:val="Appelnotedebasdep"/>
        </w:rPr>
        <w:footnoteRef/>
      </w:r>
      <w:r>
        <w:t xml:space="preserve"> </w:t>
      </w:r>
      <w:r w:rsidRPr="00CB326A">
        <w:t>Plusieurs accords européens relatifs à la stabilisation de l’e</w:t>
      </w:r>
      <w:r>
        <w:t>uro se sont succédés : le S</w:t>
      </w:r>
      <w:r w:rsidRPr="00CB326A">
        <w:t>emes</w:t>
      </w:r>
      <w:r>
        <w:t>tre européen (depuis 2011), le Six</w:t>
      </w:r>
      <w:r w:rsidRPr="00CB326A">
        <w:t xml:space="preserve"> Pack (depuis décembre 2011), le Fiscal compact (depuis janvier 2013) e</w:t>
      </w:r>
      <w:r>
        <w:t xml:space="preserve">t le </w:t>
      </w:r>
      <w:proofErr w:type="spellStart"/>
      <w:r>
        <w:t>Two</w:t>
      </w:r>
      <w:proofErr w:type="spellEnd"/>
      <w:r>
        <w:t xml:space="preserve"> P</w:t>
      </w:r>
      <w:r w:rsidRPr="00CB326A">
        <w:t>ack (depuis mai 2013). Ils</w:t>
      </w:r>
      <w:r>
        <w:t xml:space="preserve"> stipulent d</w:t>
      </w:r>
      <w:r w:rsidRPr="00CB326A">
        <w:t>es règles relatives aux budgets et aux déficits que les gouvernements centraux doivent respecter, combinés à des procédures de contrôle et de sanctions.</w:t>
      </w:r>
    </w:p>
  </w:footnote>
  <w:footnote w:id="3">
    <w:p w14:paraId="3E73581B" w14:textId="46B683D0" w:rsidR="00543BA6" w:rsidRPr="00540CCA" w:rsidRDefault="00543BA6" w:rsidP="008179C1">
      <w:pPr>
        <w:pStyle w:val="Notedebasdepage"/>
        <w:jc w:val="both"/>
      </w:pPr>
      <w:r>
        <w:rPr>
          <w:rStyle w:val="Appelnotedebasdep"/>
        </w:rPr>
        <w:footnoteRef/>
      </w:r>
      <w:r>
        <w:t xml:space="preserve"> </w:t>
      </w:r>
      <w:r w:rsidRPr="00540CCA">
        <w:t xml:space="preserve">Par territorialisation, on entend, </w:t>
      </w:r>
      <w:proofErr w:type="gramStart"/>
      <w:r w:rsidRPr="00540CCA">
        <w:rPr>
          <w:i/>
        </w:rPr>
        <w:t>a</w:t>
      </w:r>
      <w:proofErr w:type="gramEnd"/>
      <w:r w:rsidRPr="00540CCA">
        <w:rPr>
          <w:i/>
        </w:rPr>
        <w:t xml:space="preserve"> minima</w:t>
      </w:r>
      <w:r w:rsidRPr="00540CCA">
        <w:t>, la variation d’un territoire à un autre, dans notre cas, d’une région à une autre, de l’organisation des intérêts économiques, de la structuration des partis et des programmes partisans et des préférences</w:t>
      </w:r>
      <w:r>
        <w:t xml:space="preserve"> de politique publique </w:t>
      </w:r>
      <w:r w:rsidRPr="00540CCA">
        <w:t>des citoyens.</w:t>
      </w:r>
    </w:p>
  </w:footnote>
  <w:footnote w:id="4">
    <w:p w14:paraId="7A4A7D0B" w14:textId="6C52751A" w:rsidR="00543BA6" w:rsidRDefault="00543BA6" w:rsidP="00044489">
      <w:pPr>
        <w:pStyle w:val="Notedebasdepage"/>
        <w:jc w:val="both"/>
      </w:pPr>
      <w:r>
        <w:rPr>
          <w:rStyle w:val="Appelnotedebasdep"/>
        </w:rPr>
        <w:footnoteRef/>
      </w:r>
      <w:r>
        <w:t xml:space="preserve"> L’index d’autorité régionale propose une mesure synthétique qui porte sur la décentralisation vs la déconcentration, l’étendue des compétences de politique publique, l’autonomie fiscale, la capacité à emprunter et la représentation politique des régions, ainsi que leur participation aux décisions nationales par des instances intergouvernementales, à la législation nationale, aux décisions fiscales, constitutionnelles et relatives aux possibilités d’emprunt </w:t>
      </w:r>
      <w:r>
        <w:fldChar w:fldCharType="begin"/>
      </w:r>
      <w:r w:rsidR="00665410">
        <w:instrText xml:space="preserve"> ADDIN ZOTERO_ITEM CSL_CITATION {"citationID":"Wq15X2mS","properties":{"formattedCitation":"(Hooghe et al., 2016)","plainCitation":"(Hooghe et al., 2016)","noteIndex":4},"citationItems":[{"id":1065,"uris":["http://zotero.org/users/1894092/items/22FJGUF2"],"uri":["http://zotero.org/users/1894092/items/22FJGUF2"],"itemData":{"id":1065,"type":"book","title":"A Postfunctionalist Theory of Governance. Volume I: Measuring Regional Authority","publisher":"Oxford University Press","publisher-place":"Oxford","event-place":"Oxford","author":[{"family":"Hooghe","given":"Liesbet"},{"family":"Marks","given":"Gary"},{"family":"Schakel","given":"Arjan"},{"family":"Chapman Osterkatz","given":"Sandi"},{"family":"Niedzwiecki","given":"Sara"},{"family":"Shair-Rosenfield","given":"Sarah"}],"issued":{"date-parts":[["2016"]]}}}],"schema":"https://github.com/citation-style-language/schema/raw/master/csl-citation.json"} </w:instrText>
      </w:r>
      <w:r>
        <w:fldChar w:fldCharType="separate"/>
      </w:r>
      <w:r w:rsidRPr="00272A20">
        <w:t>(Hooghe et al., 2016)</w:t>
      </w:r>
      <w:r>
        <w:fldChar w:fldCharType="end"/>
      </w:r>
      <w:r>
        <w:t>.</w:t>
      </w:r>
    </w:p>
  </w:footnote>
  <w:footnote w:id="5">
    <w:p w14:paraId="4F26D3CD" w14:textId="36EDDA8A" w:rsidR="00543BA6" w:rsidRDefault="00543BA6">
      <w:pPr>
        <w:pStyle w:val="Notedebasdepage"/>
      </w:pPr>
      <w:r>
        <w:rPr>
          <w:rStyle w:val="Appelnotedebasdep"/>
        </w:rPr>
        <w:footnoteRef/>
      </w:r>
      <w:r>
        <w:t xml:space="preserve"> Le score des régions françaises est 10. L’échelle s’étend de 0 à 27.</w:t>
      </w:r>
    </w:p>
  </w:footnote>
  <w:footnote w:id="6">
    <w:p w14:paraId="63813314" w14:textId="24C95ED3" w:rsidR="00543BA6" w:rsidRPr="00FB1E92" w:rsidRDefault="00543BA6" w:rsidP="00CB4CC5">
      <w:pPr>
        <w:pStyle w:val="Notedebasdepage"/>
        <w:jc w:val="both"/>
        <w:rPr>
          <w:i/>
          <w:lang w:val="nl-NL"/>
        </w:rPr>
      </w:pPr>
      <w:r w:rsidRPr="00540CCA">
        <w:rPr>
          <w:rStyle w:val="Appelnotedebasdep"/>
        </w:rPr>
        <w:footnoteRef/>
      </w:r>
      <w:r w:rsidRPr="00540CCA">
        <w:t xml:space="preserve"> Des régions ont bénéficié du sauvetage du gouvernement fédéral en Allemagne et en Espagne, ce qui n’a pas été le cas au </w:t>
      </w:r>
      <w:r>
        <w:t>Royaume-Uni</w:t>
      </w:r>
      <w:r w:rsidRPr="00540CCA">
        <w:t xml:space="preserve"> depuis la </w:t>
      </w:r>
      <w:proofErr w:type="spellStart"/>
      <w:r w:rsidRPr="00540CCA">
        <w:rPr>
          <w:i/>
        </w:rPr>
        <w:t>devolution</w:t>
      </w:r>
      <w:proofErr w:type="spellEnd"/>
      <w:r w:rsidRPr="00540CCA">
        <w:rPr>
          <w:i/>
        </w:rPr>
        <w:t>.</w:t>
      </w:r>
    </w:p>
  </w:footnote>
  <w:footnote w:id="7">
    <w:p w14:paraId="62599F5A" w14:textId="699F3026" w:rsidR="00543BA6" w:rsidRPr="009C0FC6" w:rsidRDefault="00543BA6" w:rsidP="009C0FC6">
      <w:pPr>
        <w:pStyle w:val="Notedebasdepage"/>
        <w:jc w:val="both"/>
        <w:rPr>
          <w:lang w:val="nl-NL"/>
        </w:rPr>
      </w:pPr>
      <w:r>
        <w:rPr>
          <w:rStyle w:val="Appelnotedebasdep"/>
        </w:rPr>
        <w:footnoteRef/>
      </w:r>
      <w:r>
        <w:t xml:space="preserve"> </w:t>
      </w:r>
      <w:r>
        <w:rPr>
          <w:lang w:val="nl-NL"/>
        </w:rPr>
        <w:t xml:space="preserve">La </w:t>
      </w:r>
      <w:proofErr w:type="spellStart"/>
      <w:r>
        <w:rPr>
          <w:i/>
          <w:lang w:val="nl-NL"/>
        </w:rPr>
        <w:t>Christlich-Soziale</w:t>
      </w:r>
      <w:proofErr w:type="spellEnd"/>
      <w:r>
        <w:rPr>
          <w:i/>
          <w:lang w:val="nl-NL"/>
        </w:rPr>
        <w:t xml:space="preserve"> Union </w:t>
      </w:r>
      <w:r>
        <w:rPr>
          <w:lang w:val="nl-NL"/>
        </w:rPr>
        <w:t xml:space="preserve">(CSU), présente </w:t>
      </w:r>
      <w:proofErr w:type="spellStart"/>
      <w:r>
        <w:rPr>
          <w:lang w:val="nl-NL"/>
        </w:rPr>
        <w:t>uniquement</w:t>
      </w:r>
      <w:proofErr w:type="spellEnd"/>
      <w:r>
        <w:rPr>
          <w:lang w:val="nl-NL"/>
        </w:rPr>
        <w:t xml:space="preserve"> en </w:t>
      </w:r>
      <w:proofErr w:type="spellStart"/>
      <w:r>
        <w:rPr>
          <w:lang w:val="nl-NL"/>
        </w:rPr>
        <w:t>Bavière</w:t>
      </w:r>
      <w:proofErr w:type="spellEnd"/>
      <w:r>
        <w:rPr>
          <w:lang w:val="nl-NL"/>
        </w:rPr>
        <w:t xml:space="preserve">, </w:t>
      </w:r>
      <w:proofErr w:type="spellStart"/>
      <w:r>
        <w:rPr>
          <w:lang w:val="nl-NL"/>
        </w:rPr>
        <w:t>n’est</w:t>
      </w:r>
      <w:proofErr w:type="spellEnd"/>
      <w:r>
        <w:rPr>
          <w:lang w:val="nl-NL"/>
        </w:rPr>
        <w:t xml:space="preserve"> pas </w:t>
      </w:r>
      <w:proofErr w:type="spellStart"/>
      <w:r>
        <w:rPr>
          <w:lang w:val="nl-NL"/>
        </w:rPr>
        <w:t>considérée</w:t>
      </w:r>
      <w:proofErr w:type="spellEnd"/>
      <w:r>
        <w:rPr>
          <w:lang w:val="nl-NL"/>
        </w:rPr>
        <w:t xml:space="preserve"> comme </w:t>
      </w:r>
      <w:proofErr w:type="spellStart"/>
      <w:r>
        <w:rPr>
          <w:lang w:val="nl-NL"/>
        </w:rPr>
        <w:t>un</w:t>
      </w:r>
      <w:proofErr w:type="spellEnd"/>
      <w:r>
        <w:rPr>
          <w:lang w:val="nl-NL"/>
        </w:rPr>
        <w:t xml:space="preserve"> </w:t>
      </w:r>
      <w:proofErr w:type="spellStart"/>
      <w:r>
        <w:rPr>
          <w:lang w:val="nl-NL"/>
        </w:rPr>
        <w:t>parti</w:t>
      </w:r>
      <w:proofErr w:type="spellEnd"/>
      <w:r>
        <w:rPr>
          <w:lang w:val="nl-NL"/>
        </w:rPr>
        <w:t xml:space="preserve"> </w:t>
      </w:r>
      <w:proofErr w:type="spellStart"/>
      <w:r>
        <w:rPr>
          <w:lang w:val="nl-NL"/>
        </w:rPr>
        <w:t>ethno-régionaliste</w:t>
      </w:r>
      <w:proofErr w:type="spellEnd"/>
      <w:r>
        <w:rPr>
          <w:lang w:val="nl-NL"/>
        </w:rPr>
        <w:t xml:space="preserve">, mais comme </w:t>
      </w:r>
      <w:proofErr w:type="spellStart"/>
      <w:r>
        <w:rPr>
          <w:lang w:val="nl-NL"/>
        </w:rPr>
        <w:t>un</w:t>
      </w:r>
      <w:proofErr w:type="spellEnd"/>
      <w:r>
        <w:rPr>
          <w:lang w:val="nl-NL"/>
        </w:rPr>
        <w:t xml:space="preserve"> </w:t>
      </w:r>
      <w:proofErr w:type="spellStart"/>
      <w:r>
        <w:rPr>
          <w:lang w:val="nl-NL"/>
        </w:rPr>
        <w:t>parti</w:t>
      </w:r>
      <w:proofErr w:type="spellEnd"/>
      <w:r>
        <w:rPr>
          <w:lang w:val="nl-NL"/>
        </w:rPr>
        <w:t xml:space="preserve"> </w:t>
      </w:r>
      <w:proofErr w:type="spellStart"/>
      <w:r>
        <w:rPr>
          <w:lang w:val="nl-NL"/>
        </w:rPr>
        <w:t>qui</w:t>
      </w:r>
      <w:proofErr w:type="spellEnd"/>
      <w:r>
        <w:rPr>
          <w:lang w:val="nl-NL"/>
        </w:rPr>
        <w:t xml:space="preserve"> </w:t>
      </w:r>
      <w:proofErr w:type="spellStart"/>
      <w:r>
        <w:rPr>
          <w:lang w:val="nl-NL"/>
        </w:rPr>
        <w:t>n</w:t>
      </w:r>
      <w:proofErr w:type="gramStart"/>
      <w:r>
        <w:rPr>
          <w:lang w:val="nl-NL"/>
        </w:rPr>
        <w:t>’</w:t>
      </w:r>
      <w:proofErr w:type="gramEnd"/>
      <w:r>
        <w:rPr>
          <w:lang w:val="nl-NL"/>
        </w:rPr>
        <w:t>est</w:t>
      </w:r>
      <w:proofErr w:type="spellEnd"/>
      <w:r>
        <w:rPr>
          <w:lang w:val="nl-NL"/>
        </w:rPr>
        <w:t xml:space="preserve"> pas </w:t>
      </w:r>
      <w:proofErr w:type="spellStart"/>
      <w:r>
        <w:rPr>
          <w:lang w:val="nl-NL"/>
        </w:rPr>
        <w:t>représenté</w:t>
      </w:r>
      <w:proofErr w:type="spellEnd"/>
      <w:r>
        <w:rPr>
          <w:lang w:val="nl-NL"/>
        </w:rPr>
        <w:t xml:space="preserve"> </w:t>
      </w:r>
      <w:proofErr w:type="spellStart"/>
      <w:r>
        <w:rPr>
          <w:lang w:val="nl-NL"/>
        </w:rPr>
        <w:t>sur</w:t>
      </w:r>
      <w:proofErr w:type="spellEnd"/>
      <w:r>
        <w:rPr>
          <w:lang w:val="nl-NL"/>
        </w:rPr>
        <w:t xml:space="preserve"> </w:t>
      </w:r>
      <w:proofErr w:type="spellStart"/>
      <w:r>
        <w:rPr>
          <w:lang w:val="nl-NL"/>
        </w:rPr>
        <w:t>l’ensemble</w:t>
      </w:r>
      <w:proofErr w:type="spellEnd"/>
      <w:r>
        <w:rPr>
          <w:lang w:val="nl-NL"/>
        </w:rPr>
        <w:t xml:space="preserve"> du territoire </w:t>
      </w:r>
      <w:proofErr w:type="spellStart"/>
      <w:r>
        <w:rPr>
          <w:lang w:val="nl-NL"/>
        </w:rPr>
        <w:t>national</w:t>
      </w:r>
      <w:proofErr w:type="spellEnd"/>
      <w:r>
        <w:rPr>
          <w:lang w:val="nl-NL"/>
        </w:rPr>
        <w:t xml:space="preserve"> (</w:t>
      </w:r>
      <w:r>
        <w:rPr>
          <w:i/>
          <w:lang w:val="nl-NL"/>
        </w:rPr>
        <w:t>non-state-</w:t>
      </w:r>
      <w:proofErr w:type="spellStart"/>
      <w:r>
        <w:rPr>
          <w:i/>
          <w:lang w:val="nl-NL"/>
        </w:rPr>
        <w:t>wide</w:t>
      </w:r>
      <w:proofErr w:type="spellEnd"/>
      <w:r>
        <w:rPr>
          <w:i/>
          <w:lang w:val="nl-NL"/>
        </w:rPr>
        <w:t xml:space="preserve"> party)</w:t>
      </w:r>
      <w:r>
        <w:rPr>
          <w:lang w:val="nl-NL"/>
        </w:rPr>
        <w:t xml:space="preserve"> </w:t>
      </w:r>
      <w:r>
        <w:rPr>
          <w:lang w:val="nl-NL"/>
        </w:rPr>
        <w:fldChar w:fldCharType="begin"/>
      </w:r>
      <w:r w:rsidR="00665410">
        <w:rPr>
          <w:lang w:val="nl-NL"/>
        </w:rPr>
        <w:instrText xml:space="preserve"> ADDIN ZOTERO_ITEM CSL_CITATION {"citationID":"29bd12ad51","properties":{"formattedCitation":"(Swenden, 2006)","plainCitation":"(Swenden, 2006)","noteIndex":7},"citationItems":[{"id":857,"uris":["http://zotero.org/users/1894092/items/EPS569WJ"],"uri":["http://zotero.org/users/1894092/items/EPS569WJ"],"itemData":{"id":857,"type":"book","title":"Federalism and Regionalism in Western Europe. A Comparative and Thematic Analysis","publisher":"Palgrave macmillan","publisher-place":"New York","event-place":"New York","author":[{"family":"Swenden","given":"Wilfried"}],"issued":{"date-parts":[["2006"]]}}}],"schema":"https://github.com/citation-style-language/schema/raw/master/csl-citation.json"} </w:instrText>
      </w:r>
      <w:r>
        <w:rPr>
          <w:lang w:val="nl-NL"/>
        </w:rPr>
        <w:fldChar w:fldCharType="separate"/>
      </w:r>
      <w:r>
        <w:rPr>
          <w:noProof/>
          <w:lang w:val="nl-NL"/>
        </w:rPr>
        <w:t>(Swenden, 2006)</w:t>
      </w:r>
      <w:r>
        <w:rPr>
          <w:lang w:val="nl-NL"/>
        </w:rPr>
        <w:fldChar w:fldCharType="end"/>
      </w:r>
      <w:r>
        <w:rPr>
          <w:lang w:val="nl-NL"/>
        </w:rPr>
        <w:t xml:space="preserve">. </w:t>
      </w:r>
    </w:p>
  </w:footnote>
  <w:footnote w:id="8">
    <w:p w14:paraId="224615C6" w14:textId="57CD9385" w:rsidR="00543BA6" w:rsidRPr="009A0647" w:rsidRDefault="00543BA6" w:rsidP="009A0647">
      <w:pPr>
        <w:pStyle w:val="Notedebasdepage"/>
        <w:jc w:val="both"/>
        <w:rPr>
          <w:lang w:val="en-US"/>
        </w:rPr>
      </w:pPr>
      <w:r>
        <w:rPr>
          <w:rStyle w:val="Appelnotedebasdep"/>
        </w:rPr>
        <w:footnoteRef/>
      </w:r>
      <w:r w:rsidRPr="009A0647">
        <w:rPr>
          <w:lang w:val="en-US"/>
        </w:rPr>
        <w:t xml:space="preserve"> Les relations </w:t>
      </w:r>
      <w:proofErr w:type="spellStart"/>
      <w:r w:rsidRPr="009A0647">
        <w:rPr>
          <w:lang w:val="en-US"/>
        </w:rPr>
        <w:t>intergouvernementales</w:t>
      </w:r>
      <w:proofErr w:type="spellEnd"/>
      <w:r w:rsidRPr="009A0647">
        <w:rPr>
          <w:lang w:val="en-US"/>
        </w:rPr>
        <w:t xml:space="preserve"> correspondent aux « </w:t>
      </w:r>
      <w:r w:rsidRPr="009A0647">
        <w:rPr>
          <w:i/>
          <w:lang w:val="en-US"/>
        </w:rPr>
        <w:t xml:space="preserve">working connections that tie central governments to those constituent units that enjoy measures of independent and interdependent political power, governmental control and </w:t>
      </w:r>
      <w:r>
        <w:rPr>
          <w:i/>
          <w:lang w:val="en-US"/>
        </w:rPr>
        <w:t xml:space="preserve">decision-making </w:t>
      </w:r>
      <w:r w:rsidRPr="009A0647">
        <w:rPr>
          <w:lang w:val="en-US"/>
        </w:rPr>
        <w:t> »</w:t>
      </w:r>
      <w:r>
        <w:rPr>
          <w:lang w:val="en-US"/>
        </w:rPr>
        <w:t xml:space="preserve"> </w:t>
      </w:r>
      <w:r>
        <w:rPr>
          <w:lang w:val="en-US"/>
        </w:rPr>
        <w:fldChar w:fldCharType="begin"/>
      </w:r>
      <w:r w:rsidR="00665410">
        <w:rPr>
          <w:lang w:val="en-US"/>
        </w:rPr>
        <w:instrText xml:space="preserve"> ADDIN ZOTERO_ITEM CSL_CITATION {"citationID":"agar086il","properties":{"formattedCitation":"(Agranoff, 2004, p. 26)","plainCitation":"(Agranoff, 2004, p. 26)","noteIndex":8},"citationItems":[{"id":936,"uris":["http://zotero.org/users/1894092/items/5MX8HIWJ"],"uri":["http://zotero.org/users/1894092/items/5MX8HIWJ"],"itemData":{"id":936,"type":"article-journal","title":"Autonomy, Devolution and Intergovernmental Relations","container-title":"Regional and Federal Studies","page":"26-65","volume":"14","issue":"1","author":[{"family":"Agranoff","given":"Robert"}],"issued":{"date-parts":[["2004"]]}},"locator":"26"}],"schema":"https://github.com/citation-style-language/schema/raw/master/csl-citation.json"} </w:instrText>
      </w:r>
      <w:r>
        <w:rPr>
          <w:lang w:val="en-US"/>
        </w:rPr>
        <w:fldChar w:fldCharType="separate"/>
      </w:r>
      <w:r w:rsidRPr="009A0647">
        <w:rPr>
          <w:lang w:val="en-US"/>
        </w:rPr>
        <w:t>(</w:t>
      </w:r>
      <w:proofErr w:type="spellStart"/>
      <w:r w:rsidRPr="009A0647">
        <w:rPr>
          <w:lang w:val="en-US"/>
        </w:rPr>
        <w:t>Agranoff</w:t>
      </w:r>
      <w:proofErr w:type="spellEnd"/>
      <w:r w:rsidRPr="009A0647">
        <w:rPr>
          <w:lang w:val="en-US"/>
        </w:rPr>
        <w:t>, 2004, p. 26)</w:t>
      </w:r>
      <w:r>
        <w:rPr>
          <w:lang w:val="en-US"/>
        </w:rPr>
        <w:fldChar w:fldCharType="end"/>
      </w:r>
      <w:r>
        <w:rPr>
          <w:lang w:val="en-US"/>
        </w:rPr>
        <w:t>.</w:t>
      </w:r>
    </w:p>
  </w:footnote>
  <w:footnote w:id="9">
    <w:p w14:paraId="1C396FF8" w14:textId="5E8DF14B" w:rsidR="00543BA6" w:rsidRDefault="00543BA6" w:rsidP="00251E44">
      <w:pPr>
        <w:pStyle w:val="Notedebasdepage"/>
        <w:jc w:val="both"/>
      </w:pPr>
      <w:r w:rsidRPr="00251E44">
        <w:rPr>
          <w:rStyle w:val="Appelnotedebasdep"/>
        </w:rPr>
        <w:footnoteRef/>
      </w:r>
      <w:r w:rsidRPr="00251E44">
        <w:t xml:space="preserve"> </w:t>
      </w:r>
      <w:r>
        <w:t xml:space="preserve">Plus précisément, en 2007, les ressources des communautés autonomes provenaient à 21% du partage des revenus de l’impôt, à 24% de dotations de péréquation, à 21% d’autres dotations conditionnelles (notamment du Fonds structurel européen) et à 34% des impôts régionaux </w:t>
      </w:r>
      <w:r>
        <w:fldChar w:fldCharType="begin"/>
      </w:r>
      <w:r w:rsidR="00665410">
        <w:instrText xml:space="preserve"> ADDIN ZOTERO_ITEM CSL_CITATION {"citationID":"10iud0q1lo","properties":{"formattedCitation":"(Lopez-Laborda, Martinez-Vasquez, &amp; Monasterio, 2007)","plainCitation":"(Lopez-Laborda, Martinez-Vasquez, &amp; Monasterio, 2007)","noteIndex":9},"citationItems":[{"id":934,"uris":["http://zotero.org/users/1894092/items/C8A25V4X"],"uri":["http://zotero.org/users/1894092/items/C8A25V4X"],"itemData":{"id":934,"type":"chapter","title":"The Practice of Fiscal Federalism in Spain","container-title":"The Practice of Fiscal Federalism: Comparative Perspectives","publisher":"McGill - Queen's University Press","publisher-place":"Montreal/ Kingston","page":"287-316","event-place":"Montreal/ Kingston","author":[{"family":"Lopez-Laborda","given":"Julio"},{"family":"Martinez-Vasquez","given":"Javier"},{"family":"Monasterio","given":"Carlo"}],"container-author":[{"family":"Shah","given":"Anwar"}],"issued":{"date-parts":[["2007"]]}}}],"schema":"https://github.com/citation-style-language/schema/raw/master/csl-citation.json"} </w:instrText>
      </w:r>
      <w:r>
        <w:fldChar w:fldCharType="separate"/>
      </w:r>
      <w:r w:rsidRPr="00251E44">
        <w:t>(Lopez-</w:t>
      </w:r>
      <w:proofErr w:type="spellStart"/>
      <w:r w:rsidRPr="00251E44">
        <w:t>Laborda</w:t>
      </w:r>
      <w:proofErr w:type="spellEnd"/>
      <w:r w:rsidRPr="00251E44">
        <w:t xml:space="preserve">, Martinez-Vasquez, &amp; </w:t>
      </w:r>
      <w:proofErr w:type="spellStart"/>
      <w:r w:rsidRPr="00251E44">
        <w:t>Monasterio</w:t>
      </w:r>
      <w:proofErr w:type="spellEnd"/>
      <w:r w:rsidRPr="00251E44">
        <w:t>, 2007)</w:t>
      </w:r>
      <w:r>
        <w:fldChar w:fldCharType="end"/>
      </w:r>
      <w:r>
        <w:t xml:space="preserve">. Ce régime vaut pour l’ensemble des communautés autonomes à l’exception de la Navarre et du Pays Basque, où les gouvernements régionaux collectent directement l’impôt et n’en reversent qu’une partie au gouvernement central. </w:t>
      </w:r>
    </w:p>
  </w:footnote>
  <w:footnote w:id="10">
    <w:p w14:paraId="432FCBDA" w14:textId="014DAA54" w:rsidR="00543BA6" w:rsidRPr="001F0593" w:rsidRDefault="00543BA6">
      <w:pPr>
        <w:pStyle w:val="Notedebasdepage"/>
        <w:rPr>
          <w:lang w:val="nl-NL"/>
        </w:rPr>
      </w:pPr>
      <w:r>
        <w:rPr>
          <w:rStyle w:val="Appelnotedebasdep"/>
        </w:rPr>
        <w:footnoteRef/>
      </w:r>
      <w:r>
        <w:t xml:space="preserve"> </w:t>
      </w:r>
      <w:r>
        <w:rPr>
          <w:lang w:val="nl-NL"/>
        </w:rPr>
        <w:t xml:space="preserve">Mais </w:t>
      </w:r>
      <w:proofErr w:type="spellStart"/>
      <w:r>
        <w:rPr>
          <w:lang w:val="nl-NL"/>
        </w:rPr>
        <w:t>ce</w:t>
      </w:r>
      <w:proofErr w:type="spellEnd"/>
      <w:r>
        <w:rPr>
          <w:lang w:val="nl-NL"/>
        </w:rPr>
        <w:t xml:space="preserve"> </w:t>
      </w:r>
      <w:proofErr w:type="spellStart"/>
      <w:proofErr w:type="gramStart"/>
      <w:r>
        <w:rPr>
          <w:lang w:val="nl-NL"/>
        </w:rPr>
        <w:t>lien</w:t>
      </w:r>
      <w:proofErr w:type="spellEnd"/>
      <w:proofErr w:type="gramEnd"/>
      <w:r>
        <w:rPr>
          <w:lang w:val="nl-NL"/>
        </w:rPr>
        <w:t xml:space="preserve"> </w:t>
      </w:r>
      <w:proofErr w:type="spellStart"/>
      <w:r>
        <w:rPr>
          <w:lang w:val="nl-NL"/>
        </w:rPr>
        <w:t>n’a</w:t>
      </w:r>
      <w:proofErr w:type="spellEnd"/>
      <w:r>
        <w:rPr>
          <w:lang w:val="nl-NL"/>
        </w:rPr>
        <w:t xml:space="preserve"> </w:t>
      </w:r>
      <w:proofErr w:type="spellStart"/>
      <w:r>
        <w:rPr>
          <w:lang w:val="nl-NL"/>
        </w:rPr>
        <w:t>rien</w:t>
      </w:r>
      <w:proofErr w:type="spellEnd"/>
      <w:r>
        <w:rPr>
          <w:lang w:val="nl-NL"/>
        </w:rPr>
        <w:t xml:space="preserve"> de </w:t>
      </w:r>
      <w:proofErr w:type="spellStart"/>
      <w:r>
        <w:rPr>
          <w:lang w:val="nl-NL"/>
        </w:rPr>
        <w:t>systématique</w:t>
      </w:r>
      <w:proofErr w:type="spellEnd"/>
      <w:r>
        <w:rPr>
          <w:lang w:val="nl-NL"/>
        </w:rPr>
        <w:t xml:space="preserve">, </w:t>
      </w:r>
      <w:proofErr w:type="spellStart"/>
      <w:r>
        <w:rPr>
          <w:lang w:val="nl-NL"/>
        </w:rPr>
        <w:t>voir</w:t>
      </w:r>
      <w:proofErr w:type="spellEnd"/>
      <w:r>
        <w:rPr>
          <w:lang w:val="nl-NL"/>
        </w:rPr>
        <w:t xml:space="preserve"> </w:t>
      </w:r>
      <w:proofErr w:type="spellStart"/>
      <w:r>
        <w:rPr>
          <w:lang w:val="nl-NL"/>
        </w:rPr>
        <w:t>le</w:t>
      </w:r>
      <w:proofErr w:type="spellEnd"/>
      <w:r>
        <w:rPr>
          <w:lang w:val="nl-NL"/>
        </w:rPr>
        <w:t xml:space="preserve"> numéro spécial de </w:t>
      </w:r>
      <w:proofErr w:type="spellStart"/>
      <w:r>
        <w:rPr>
          <w:i/>
          <w:lang w:val="nl-NL"/>
        </w:rPr>
        <w:t>Comparative</w:t>
      </w:r>
      <w:proofErr w:type="spellEnd"/>
      <w:r>
        <w:rPr>
          <w:i/>
          <w:lang w:val="nl-NL"/>
        </w:rPr>
        <w:t xml:space="preserve"> European Politics, </w:t>
      </w:r>
      <w:r>
        <w:rPr>
          <w:lang w:val="nl-NL"/>
        </w:rPr>
        <w:t xml:space="preserve">13 (1), 2005 pour </w:t>
      </w:r>
      <w:proofErr w:type="spellStart"/>
      <w:r>
        <w:rPr>
          <w:lang w:val="nl-NL"/>
        </w:rPr>
        <w:t>une</w:t>
      </w:r>
      <w:proofErr w:type="spellEnd"/>
      <w:r>
        <w:rPr>
          <w:lang w:val="nl-NL"/>
        </w:rPr>
        <w:t xml:space="preserve"> </w:t>
      </w:r>
      <w:proofErr w:type="spellStart"/>
      <w:r>
        <w:rPr>
          <w:lang w:val="nl-NL"/>
        </w:rPr>
        <w:t>discussion</w:t>
      </w:r>
      <w:proofErr w:type="spellEnd"/>
      <w:r>
        <w:rPr>
          <w:lang w:val="nl-NL"/>
        </w:rPr>
        <w:t xml:space="preserve">. </w:t>
      </w:r>
    </w:p>
  </w:footnote>
  <w:footnote w:id="11">
    <w:p w14:paraId="4B40ED3E" w14:textId="09B0FCAA" w:rsidR="00543BA6" w:rsidRDefault="00543BA6">
      <w:pPr>
        <w:pStyle w:val="Notedebasdepage"/>
      </w:pPr>
      <w:r>
        <w:rPr>
          <w:rStyle w:val="Appelnotedebasdep"/>
        </w:rPr>
        <w:footnoteRef/>
      </w:r>
      <w:r>
        <w:t xml:space="preserve"> Ainsi, le parlement écossais a le pouvoir de faire varier à hauteur de plus ou moins 3% les taux d’imposition.</w:t>
      </w:r>
    </w:p>
  </w:footnote>
  <w:footnote w:id="12">
    <w:p w14:paraId="72254AD3" w14:textId="4EEF756D" w:rsidR="00543BA6" w:rsidRPr="00ED5168" w:rsidRDefault="00543BA6" w:rsidP="004C10FC">
      <w:pPr>
        <w:pStyle w:val="Notedebasdepage"/>
        <w:jc w:val="both"/>
        <w:rPr>
          <w:lang w:val="nl-NL"/>
        </w:rPr>
      </w:pPr>
      <w:r>
        <w:rPr>
          <w:rStyle w:val="Appelnotedebasdep"/>
        </w:rPr>
        <w:footnoteRef/>
      </w:r>
      <w:r>
        <w:t xml:space="preserve"> Le projet de recherche comparé actuellement conduit et dirigé par Alistair Cole vise justement à l’étudier </w:t>
      </w:r>
      <w:r>
        <w:fldChar w:fldCharType="begin"/>
      </w:r>
      <w:r w:rsidR="00665410">
        <w:instrText xml:space="preserve"> ADDIN ZOTERO_ITEM CSL_CITATION {"citationID":"2k280fbis8","properties":{"formattedCitation":"(Cole, 2015)","plainCitation":"(Cole, 2015)","noteIndex":12},"citationItems":[{"id":89,"uris":["http://zotero.org/users/1894092/items/I2KREIXX"],"uri":["http://zotero.org/users/1894092/items/I2KREIXX"],"itemData":{"id":89,"type":"paper-conference","title":"The States of Convergence: An Analytical Framework for Understanding Regions in a Period of Economic Crisis","publisher-place":"Sciences Po Paris","event":"Conference of Europeanists","event-place":"Sciences Po Paris","author":[{"family":"Cole","given":"Alistair"}],"issued":{"date-parts":[["2015"]]}}}],"schema":"https://github.com/citation-style-language/schema/raw/master/csl-citation.json"} </w:instrText>
      </w:r>
      <w:r>
        <w:fldChar w:fldCharType="separate"/>
      </w:r>
      <w:r w:rsidRPr="0089063B">
        <w:t>(Cole, 2015)</w:t>
      </w:r>
      <w:r>
        <w:fldChar w:fldCharType="end"/>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1B748D"/>
    <w:multiLevelType w:val="hybridMultilevel"/>
    <w:tmpl w:val="91223E58"/>
    <w:lvl w:ilvl="0" w:tplc="E898A8F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C8F216C"/>
    <w:multiLevelType w:val="hybridMultilevel"/>
    <w:tmpl w:val="EC7AC716"/>
    <w:lvl w:ilvl="0" w:tplc="11FA0BF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87E"/>
    <w:rsid w:val="00001896"/>
    <w:rsid w:val="0000395F"/>
    <w:rsid w:val="00004DB0"/>
    <w:rsid w:val="00007FEC"/>
    <w:rsid w:val="000136DE"/>
    <w:rsid w:val="00013E08"/>
    <w:rsid w:val="00016135"/>
    <w:rsid w:val="000239BD"/>
    <w:rsid w:val="00023BA1"/>
    <w:rsid w:val="0003561B"/>
    <w:rsid w:val="00036D0B"/>
    <w:rsid w:val="00044489"/>
    <w:rsid w:val="00050495"/>
    <w:rsid w:val="00051139"/>
    <w:rsid w:val="000562AA"/>
    <w:rsid w:val="0005762D"/>
    <w:rsid w:val="0006637F"/>
    <w:rsid w:val="00070413"/>
    <w:rsid w:val="00077569"/>
    <w:rsid w:val="000816B2"/>
    <w:rsid w:val="00082A12"/>
    <w:rsid w:val="000841A4"/>
    <w:rsid w:val="00085ABF"/>
    <w:rsid w:val="00086AF6"/>
    <w:rsid w:val="00086F91"/>
    <w:rsid w:val="000917A1"/>
    <w:rsid w:val="00093901"/>
    <w:rsid w:val="000A2845"/>
    <w:rsid w:val="000A2C43"/>
    <w:rsid w:val="000B0C03"/>
    <w:rsid w:val="000B2293"/>
    <w:rsid w:val="000C1B0C"/>
    <w:rsid w:val="000C2A83"/>
    <w:rsid w:val="000D0B18"/>
    <w:rsid w:val="000D3720"/>
    <w:rsid w:val="000D4D47"/>
    <w:rsid w:val="000D58EF"/>
    <w:rsid w:val="000E18BE"/>
    <w:rsid w:val="000E1A37"/>
    <w:rsid w:val="000E29F7"/>
    <w:rsid w:val="000E6E36"/>
    <w:rsid w:val="000E7E51"/>
    <w:rsid w:val="000F3505"/>
    <w:rsid w:val="00100091"/>
    <w:rsid w:val="00101B21"/>
    <w:rsid w:val="00102DA2"/>
    <w:rsid w:val="001058DE"/>
    <w:rsid w:val="00105C00"/>
    <w:rsid w:val="00114753"/>
    <w:rsid w:val="0011673A"/>
    <w:rsid w:val="00117122"/>
    <w:rsid w:val="00120D51"/>
    <w:rsid w:val="00135164"/>
    <w:rsid w:val="00143096"/>
    <w:rsid w:val="00143281"/>
    <w:rsid w:val="0014346B"/>
    <w:rsid w:val="00143766"/>
    <w:rsid w:val="001460CC"/>
    <w:rsid w:val="001510F8"/>
    <w:rsid w:val="00154F38"/>
    <w:rsid w:val="001558C8"/>
    <w:rsid w:val="00161250"/>
    <w:rsid w:val="001675C2"/>
    <w:rsid w:val="00167F0B"/>
    <w:rsid w:val="00170079"/>
    <w:rsid w:val="001719B5"/>
    <w:rsid w:val="001739B3"/>
    <w:rsid w:val="0017424D"/>
    <w:rsid w:val="00175535"/>
    <w:rsid w:val="001774D5"/>
    <w:rsid w:val="00177A67"/>
    <w:rsid w:val="001923BE"/>
    <w:rsid w:val="001924FC"/>
    <w:rsid w:val="00193D04"/>
    <w:rsid w:val="001959DA"/>
    <w:rsid w:val="0019678E"/>
    <w:rsid w:val="001A3890"/>
    <w:rsid w:val="001A3D95"/>
    <w:rsid w:val="001B189F"/>
    <w:rsid w:val="001B23E3"/>
    <w:rsid w:val="001B2468"/>
    <w:rsid w:val="001B7745"/>
    <w:rsid w:val="001C371D"/>
    <w:rsid w:val="001C7A46"/>
    <w:rsid w:val="001C7C1F"/>
    <w:rsid w:val="001D0896"/>
    <w:rsid w:val="001D7EB0"/>
    <w:rsid w:val="001E4B97"/>
    <w:rsid w:val="001F0593"/>
    <w:rsid w:val="001F2BCF"/>
    <w:rsid w:val="001F38B5"/>
    <w:rsid w:val="0020073B"/>
    <w:rsid w:val="002018C6"/>
    <w:rsid w:val="00221962"/>
    <w:rsid w:val="00221D1C"/>
    <w:rsid w:val="00221DAB"/>
    <w:rsid w:val="00223DED"/>
    <w:rsid w:val="00224323"/>
    <w:rsid w:val="002267F0"/>
    <w:rsid w:val="00231B78"/>
    <w:rsid w:val="0023472F"/>
    <w:rsid w:val="00235F03"/>
    <w:rsid w:val="00236E2A"/>
    <w:rsid w:val="0024144C"/>
    <w:rsid w:val="00250E1B"/>
    <w:rsid w:val="00251E44"/>
    <w:rsid w:val="00253879"/>
    <w:rsid w:val="00256E38"/>
    <w:rsid w:val="00260E4D"/>
    <w:rsid w:val="00263D1B"/>
    <w:rsid w:val="00265146"/>
    <w:rsid w:val="00265962"/>
    <w:rsid w:val="00271F98"/>
    <w:rsid w:val="00272A20"/>
    <w:rsid w:val="00277741"/>
    <w:rsid w:val="002805C0"/>
    <w:rsid w:val="00286061"/>
    <w:rsid w:val="002921D9"/>
    <w:rsid w:val="00296765"/>
    <w:rsid w:val="002A1DF6"/>
    <w:rsid w:val="002A3C81"/>
    <w:rsid w:val="002A5E57"/>
    <w:rsid w:val="002A6E5F"/>
    <w:rsid w:val="002B39EA"/>
    <w:rsid w:val="002B4AC3"/>
    <w:rsid w:val="002B69C2"/>
    <w:rsid w:val="002C0094"/>
    <w:rsid w:val="002C032B"/>
    <w:rsid w:val="002C06FC"/>
    <w:rsid w:val="002C3A80"/>
    <w:rsid w:val="002C4536"/>
    <w:rsid w:val="002C4B50"/>
    <w:rsid w:val="002D3302"/>
    <w:rsid w:val="002D6193"/>
    <w:rsid w:val="002D7B56"/>
    <w:rsid w:val="002E09BB"/>
    <w:rsid w:val="002E3A2A"/>
    <w:rsid w:val="002E5206"/>
    <w:rsid w:val="002E59F1"/>
    <w:rsid w:val="002F2818"/>
    <w:rsid w:val="002F3F64"/>
    <w:rsid w:val="002F7D67"/>
    <w:rsid w:val="0030591A"/>
    <w:rsid w:val="00310823"/>
    <w:rsid w:val="00312C2D"/>
    <w:rsid w:val="00313320"/>
    <w:rsid w:val="00316C15"/>
    <w:rsid w:val="00320821"/>
    <w:rsid w:val="0032396C"/>
    <w:rsid w:val="00324D72"/>
    <w:rsid w:val="0032657A"/>
    <w:rsid w:val="003323CA"/>
    <w:rsid w:val="00332900"/>
    <w:rsid w:val="003353FD"/>
    <w:rsid w:val="00342EEE"/>
    <w:rsid w:val="00347972"/>
    <w:rsid w:val="00350955"/>
    <w:rsid w:val="00354B5F"/>
    <w:rsid w:val="00355EB1"/>
    <w:rsid w:val="00357CA1"/>
    <w:rsid w:val="003620A8"/>
    <w:rsid w:val="00362B96"/>
    <w:rsid w:val="00371822"/>
    <w:rsid w:val="00371B64"/>
    <w:rsid w:val="00372AF0"/>
    <w:rsid w:val="00374973"/>
    <w:rsid w:val="0037548B"/>
    <w:rsid w:val="00377678"/>
    <w:rsid w:val="00381C5D"/>
    <w:rsid w:val="0038201C"/>
    <w:rsid w:val="00382A55"/>
    <w:rsid w:val="00382AFD"/>
    <w:rsid w:val="003834DA"/>
    <w:rsid w:val="00383ED9"/>
    <w:rsid w:val="0038534C"/>
    <w:rsid w:val="00386200"/>
    <w:rsid w:val="0039065B"/>
    <w:rsid w:val="0039287E"/>
    <w:rsid w:val="00393DD6"/>
    <w:rsid w:val="0039470B"/>
    <w:rsid w:val="00397AA2"/>
    <w:rsid w:val="003A3EDD"/>
    <w:rsid w:val="003A47BB"/>
    <w:rsid w:val="003B1980"/>
    <w:rsid w:val="003B1B71"/>
    <w:rsid w:val="003B5D6B"/>
    <w:rsid w:val="003B73D4"/>
    <w:rsid w:val="003C3ABB"/>
    <w:rsid w:val="003C3D88"/>
    <w:rsid w:val="003D160B"/>
    <w:rsid w:val="003D71D6"/>
    <w:rsid w:val="003E03B8"/>
    <w:rsid w:val="003E58A3"/>
    <w:rsid w:val="003E5C0A"/>
    <w:rsid w:val="003F5D53"/>
    <w:rsid w:val="003F61C4"/>
    <w:rsid w:val="003F6E03"/>
    <w:rsid w:val="003F7A66"/>
    <w:rsid w:val="00407010"/>
    <w:rsid w:val="00412D4C"/>
    <w:rsid w:val="004132A1"/>
    <w:rsid w:val="00413E46"/>
    <w:rsid w:val="00414F43"/>
    <w:rsid w:val="00417326"/>
    <w:rsid w:val="00421369"/>
    <w:rsid w:val="0042365E"/>
    <w:rsid w:val="00426D14"/>
    <w:rsid w:val="00430DDF"/>
    <w:rsid w:val="00431DF0"/>
    <w:rsid w:val="0043261B"/>
    <w:rsid w:val="00434F10"/>
    <w:rsid w:val="00435DF2"/>
    <w:rsid w:val="004442E5"/>
    <w:rsid w:val="00446545"/>
    <w:rsid w:val="004529F0"/>
    <w:rsid w:val="00453811"/>
    <w:rsid w:val="00453DCD"/>
    <w:rsid w:val="00463DC8"/>
    <w:rsid w:val="00463E78"/>
    <w:rsid w:val="00464758"/>
    <w:rsid w:val="00466BC9"/>
    <w:rsid w:val="0047357C"/>
    <w:rsid w:val="00482ECE"/>
    <w:rsid w:val="00486E28"/>
    <w:rsid w:val="00490622"/>
    <w:rsid w:val="00495D4D"/>
    <w:rsid w:val="004A2726"/>
    <w:rsid w:val="004A2FB4"/>
    <w:rsid w:val="004A4115"/>
    <w:rsid w:val="004A419D"/>
    <w:rsid w:val="004A4502"/>
    <w:rsid w:val="004A6BF0"/>
    <w:rsid w:val="004B11B4"/>
    <w:rsid w:val="004B4284"/>
    <w:rsid w:val="004B7E2A"/>
    <w:rsid w:val="004C10FC"/>
    <w:rsid w:val="004C3143"/>
    <w:rsid w:val="004C3662"/>
    <w:rsid w:val="004C44FD"/>
    <w:rsid w:val="004D633D"/>
    <w:rsid w:val="004E2A19"/>
    <w:rsid w:val="004E5CE1"/>
    <w:rsid w:val="004E686F"/>
    <w:rsid w:val="004E77F7"/>
    <w:rsid w:val="004F11F0"/>
    <w:rsid w:val="004F4CA5"/>
    <w:rsid w:val="004F746E"/>
    <w:rsid w:val="00515FD7"/>
    <w:rsid w:val="00516077"/>
    <w:rsid w:val="0051775B"/>
    <w:rsid w:val="0052216D"/>
    <w:rsid w:val="00532376"/>
    <w:rsid w:val="00540CCA"/>
    <w:rsid w:val="0054112D"/>
    <w:rsid w:val="00543BA6"/>
    <w:rsid w:val="005445EA"/>
    <w:rsid w:val="0054719D"/>
    <w:rsid w:val="005472E2"/>
    <w:rsid w:val="00551D38"/>
    <w:rsid w:val="00552577"/>
    <w:rsid w:val="00553E93"/>
    <w:rsid w:val="00555213"/>
    <w:rsid w:val="005565BF"/>
    <w:rsid w:val="00563257"/>
    <w:rsid w:val="00565130"/>
    <w:rsid w:val="00565413"/>
    <w:rsid w:val="00567003"/>
    <w:rsid w:val="00571CF9"/>
    <w:rsid w:val="00576854"/>
    <w:rsid w:val="00577B3F"/>
    <w:rsid w:val="0058088E"/>
    <w:rsid w:val="00581DA1"/>
    <w:rsid w:val="00591B5C"/>
    <w:rsid w:val="00595E90"/>
    <w:rsid w:val="005A09B3"/>
    <w:rsid w:val="005A318D"/>
    <w:rsid w:val="005A3D92"/>
    <w:rsid w:val="005A4C3D"/>
    <w:rsid w:val="005A7238"/>
    <w:rsid w:val="005B012E"/>
    <w:rsid w:val="005B2174"/>
    <w:rsid w:val="005B3693"/>
    <w:rsid w:val="005C2C0C"/>
    <w:rsid w:val="005C78A8"/>
    <w:rsid w:val="005D1CB8"/>
    <w:rsid w:val="005E045A"/>
    <w:rsid w:val="005E4240"/>
    <w:rsid w:val="005E706C"/>
    <w:rsid w:val="00606538"/>
    <w:rsid w:val="006071FA"/>
    <w:rsid w:val="00611D81"/>
    <w:rsid w:val="0061303B"/>
    <w:rsid w:val="00615350"/>
    <w:rsid w:val="00615A37"/>
    <w:rsid w:val="00623A9D"/>
    <w:rsid w:val="00625710"/>
    <w:rsid w:val="00625ECA"/>
    <w:rsid w:val="00627974"/>
    <w:rsid w:val="00627B69"/>
    <w:rsid w:val="00636C04"/>
    <w:rsid w:val="00643586"/>
    <w:rsid w:val="00643CC6"/>
    <w:rsid w:val="00647251"/>
    <w:rsid w:val="00657986"/>
    <w:rsid w:val="00665410"/>
    <w:rsid w:val="00665480"/>
    <w:rsid w:val="00665AB7"/>
    <w:rsid w:val="00671202"/>
    <w:rsid w:val="00673237"/>
    <w:rsid w:val="00673FBA"/>
    <w:rsid w:val="006748B3"/>
    <w:rsid w:val="006772E3"/>
    <w:rsid w:val="00683C3F"/>
    <w:rsid w:val="00692CF4"/>
    <w:rsid w:val="00695431"/>
    <w:rsid w:val="00695F7B"/>
    <w:rsid w:val="006A557C"/>
    <w:rsid w:val="006A662B"/>
    <w:rsid w:val="006A72A5"/>
    <w:rsid w:val="006A76ED"/>
    <w:rsid w:val="006B2CC3"/>
    <w:rsid w:val="006B7770"/>
    <w:rsid w:val="006C1047"/>
    <w:rsid w:val="006C3EC1"/>
    <w:rsid w:val="006C5B25"/>
    <w:rsid w:val="006C60E4"/>
    <w:rsid w:val="006C7B8B"/>
    <w:rsid w:val="006D0E93"/>
    <w:rsid w:val="006D123F"/>
    <w:rsid w:val="006D7E30"/>
    <w:rsid w:val="006E189F"/>
    <w:rsid w:val="006E4E65"/>
    <w:rsid w:val="006F3BC0"/>
    <w:rsid w:val="006F6288"/>
    <w:rsid w:val="006F75E5"/>
    <w:rsid w:val="007043F3"/>
    <w:rsid w:val="007165BC"/>
    <w:rsid w:val="00721B50"/>
    <w:rsid w:val="007338DF"/>
    <w:rsid w:val="0074431B"/>
    <w:rsid w:val="0074521E"/>
    <w:rsid w:val="00753571"/>
    <w:rsid w:val="00756FCA"/>
    <w:rsid w:val="00757954"/>
    <w:rsid w:val="00760704"/>
    <w:rsid w:val="007646DC"/>
    <w:rsid w:val="007652FF"/>
    <w:rsid w:val="00770F3A"/>
    <w:rsid w:val="007718A3"/>
    <w:rsid w:val="00771E87"/>
    <w:rsid w:val="007762CB"/>
    <w:rsid w:val="00776F77"/>
    <w:rsid w:val="00781F1D"/>
    <w:rsid w:val="0078598B"/>
    <w:rsid w:val="007867C0"/>
    <w:rsid w:val="007903D4"/>
    <w:rsid w:val="007916F6"/>
    <w:rsid w:val="00791D46"/>
    <w:rsid w:val="00792C58"/>
    <w:rsid w:val="007952DB"/>
    <w:rsid w:val="0079677E"/>
    <w:rsid w:val="007A38CE"/>
    <w:rsid w:val="007A430D"/>
    <w:rsid w:val="007A4F0C"/>
    <w:rsid w:val="007A78A2"/>
    <w:rsid w:val="007B19C3"/>
    <w:rsid w:val="007B5441"/>
    <w:rsid w:val="007C1C21"/>
    <w:rsid w:val="007C4071"/>
    <w:rsid w:val="007C5C37"/>
    <w:rsid w:val="007D342E"/>
    <w:rsid w:val="007D419B"/>
    <w:rsid w:val="007D5BA3"/>
    <w:rsid w:val="007E6B96"/>
    <w:rsid w:val="007E7A1C"/>
    <w:rsid w:val="007E7F59"/>
    <w:rsid w:val="007F1CC1"/>
    <w:rsid w:val="00804AA2"/>
    <w:rsid w:val="00804DF0"/>
    <w:rsid w:val="00805158"/>
    <w:rsid w:val="00805AD2"/>
    <w:rsid w:val="008111E1"/>
    <w:rsid w:val="008140C0"/>
    <w:rsid w:val="008140DB"/>
    <w:rsid w:val="00814DC0"/>
    <w:rsid w:val="008179C1"/>
    <w:rsid w:val="0082147E"/>
    <w:rsid w:val="00835263"/>
    <w:rsid w:val="00835872"/>
    <w:rsid w:val="008436B1"/>
    <w:rsid w:val="00846199"/>
    <w:rsid w:val="008469C0"/>
    <w:rsid w:val="00846D79"/>
    <w:rsid w:val="008471F7"/>
    <w:rsid w:val="00851725"/>
    <w:rsid w:val="00851DDF"/>
    <w:rsid w:val="00851FDA"/>
    <w:rsid w:val="00862005"/>
    <w:rsid w:val="0086233E"/>
    <w:rsid w:val="00862734"/>
    <w:rsid w:val="0086520C"/>
    <w:rsid w:val="00865AFA"/>
    <w:rsid w:val="008701A5"/>
    <w:rsid w:val="008757D6"/>
    <w:rsid w:val="00875FE2"/>
    <w:rsid w:val="00880EAF"/>
    <w:rsid w:val="0088586D"/>
    <w:rsid w:val="0089063B"/>
    <w:rsid w:val="008941D7"/>
    <w:rsid w:val="00894B91"/>
    <w:rsid w:val="008A3F96"/>
    <w:rsid w:val="008A5B39"/>
    <w:rsid w:val="008A6435"/>
    <w:rsid w:val="008B0744"/>
    <w:rsid w:val="008B40F3"/>
    <w:rsid w:val="008C2B58"/>
    <w:rsid w:val="008C4E47"/>
    <w:rsid w:val="008D527E"/>
    <w:rsid w:val="008D5F00"/>
    <w:rsid w:val="008E651D"/>
    <w:rsid w:val="008E76D7"/>
    <w:rsid w:val="008F0E10"/>
    <w:rsid w:val="00901831"/>
    <w:rsid w:val="00907CC0"/>
    <w:rsid w:val="00914092"/>
    <w:rsid w:val="00915D43"/>
    <w:rsid w:val="00920B4D"/>
    <w:rsid w:val="009245B9"/>
    <w:rsid w:val="0092502A"/>
    <w:rsid w:val="009302A1"/>
    <w:rsid w:val="00935867"/>
    <w:rsid w:val="00944CC7"/>
    <w:rsid w:val="00945599"/>
    <w:rsid w:val="009514CA"/>
    <w:rsid w:val="0095674A"/>
    <w:rsid w:val="0096068C"/>
    <w:rsid w:val="0096108D"/>
    <w:rsid w:val="0096284D"/>
    <w:rsid w:val="00962F52"/>
    <w:rsid w:val="00966D75"/>
    <w:rsid w:val="00966EC5"/>
    <w:rsid w:val="00973956"/>
    <w:rsid w:val="00974996"/>
    <w:rsid w:val="009766BB"/>
    <w:rsid w:val="009767D9"/>
    <w:rsid w:val="00976FA7"/>
    <w:rsid w:val="009800AC"/>
    <w:rsid w:val="009803C2"/>
    <w:rsid w:val="00981CEE"/>
    <w:rsid w:val="009920D7"/>
    <w:rsid w:val="0099247A"/>
    <w:rsid w:val="00992A70"/>
    <w:rsid w:val="00993F20"/>
    <w:rsid w:val="00995770"/>
    <w:rsid w:val="009A0647"/>
    <w:rsid w:val="009A1C0A"/>
    <w:rsid w:val="009A25B2"/>
    <w:rsid w:val="009A25C1"/>
    <w:rsid w:val="009A3EBF"/>
    <w:rsid w:val="009B0AFC"/>
    <w:rsid w:val="009B233D"/>
    <w:rsid w:val="009B2404"/>
    <w:rsid w:val="009B5362"/>
    <w:rsid w:val="009B58EA"/>
    <w:rsid w:val="009C0FC6"/>
    <w:rsid w:val="009C3F4B"/>
    <w:rsid w:val="009C476D"/>
    <w:rsid w:val="009C589C"/>
    <w:rsid w:val="009C5921"/>
    <w:rsid w:val="009D066C"/>
    <w:rsid w:val="009D2246"/>
    <w:rsid w:val="009D3511"/>
    <w:rsid w:val="009D681F"/>
    <w:rsid w:val="009D7A18"/>
    <w:rsid w:val="009D7C4D"/>
    <w:rsid w:val="009E30F0"/>
    <w:rsid w:val="009E449B"/>
    <w:rsid w:val="009F206C"/>
    <w:rsid w:val="009F4A49"/>
    <w:rsid w:val="00A00B66"/>
    <w:rsid w:val="00A01E33"/>
    <w:rsid w:val="00A01E6E"/>
    <w:rsid w:val="00A04F54"/>
    <w:rsid w:val="00A05CD8"/>
    <w:rsid w:val="00A11B12"/>
    <w:rsid w:val="00A14A4B"/>
    <w:rsid w:val="00A16CB6"/>
    <w:rsid w:val="00A17003"/>
    <w:rsid w:val="00A20ABF"/>
    <w:rsid w:val="00A219CA"/>
    <w:rsid w:val="00A25485"/>
    <w:rsid w:val="00A3125B"/>
    <w:rsid w:val="00A3245F"/>
    <w:rsid w:val="00A374B4"/>
    <w:rsid w:val="00A4710C"/>
    <w:rsid w:val="00A47687"/>
    <w:rsid w:val="00A47F9C"/>
    <w:rsid w:val="00A500D5"/>
    <w:rsid w:val="00A507C4"/>
    <w:rsid w:val="00A52FB4"/>
    <w:rsid w:val="00A607EE"/>
    <w:rsid w:val="00A62C2C"/>
    <w:rsid w:val="00A63462"/>
    <w:rsid w:val="00A702C9"/>
    <w:rsid w:val="00A70DAB"/>
    <w:rsid w:val="00A728D0"/>
    <w:rsid w:val="00A869FF"/>
    <w:rsid w:val="00A87705"/>
    <w:rsid w:val="00A93A23"/>
    <w:rsid w:val="00A9677E"/>
    <w:rsid w:val="00A96DDA"/>
    <w:rsid w:val="00AA43B7"/>
    <w:rsid w:val="00AA5439"/>
    <w:rsid w:val="00AA604A"/>
    <w:rsid w:val="00AB5AD1"/>
    <w:rsid w:val="00AB6589"/>
    <w:rsid w:val="00AC6B71"/>
    <w:rsid w:val="00AD08B8"/>
    <w:rsid w:val="00AD2B5C"/>
    <w:rsid w:val="00AE5223"/>
    <w:rsid w:val="00AE5391"/>
    <w:rsid w:val="00AE601A"/>
    <w:rsid w:val="00AE7322"/>
    <w:rsid w:val="00AF7959"/>
    <w:rsid w:val="00AF7F59"/>
    <w:rsid w:val="00B01AA7"/>
    <w:rsid w:val="00B021CF"/>
    <w:rsid w:val="00B04246"/>
    <w:rsid w:val="00B047E8"/>
    <w:rsid w:val="00B055CE"/>
    <w:rsid w:val="00B058B8"/>
    <w:rsid w:val="00B061FE"/>
    <w:rsid w:val="00B0688D"/>
    <w:rsid w:val="00B074F4"/>
    <w:rsid w:val="00B11216"/>
    <w:rsid w:val="00B139FD"/>
    <w:rsid w:val="00B1533D"/>
    <w:rsid w:val="00B17FDC"/>
    <w:rsid w:val="00B201EF"/>
    <w:rsid w:val="00B25E1D"/>
    <w:rsid w:val="00B26B76"/>
    <w:rsid w:val="00B26EAB"/>
    <w:rsid w:val="00B30126"/>
    <w:rsid w:val="00B30408"/>
    <w:rsid w:val="00B317DF"/>
    <w:rsid w:val="00B36312"/>
    <w:rsid w:val="00B456F0"/>
    <w:rsid w:val="00B459FB"/>
    <w:rsid w:val="00B470D1"/>
    <w:rsid w:val="00B47DAC"/>
    <w:rsid w:val="00B50714"/>
    <w:rsid w:val="00B57FE6"/>
    <w:rsid w:val="00B61AE9"/>
    <w:rsid w:val="00B63987"/>
    <w:rsid w:val="00B70743"/>
    <w:rsid w:val="00B72063"/>
    <w:rsid w:val="00B74ADC"/>
    <w:rsid w:val="00B85826"/>
    <w:rsid w:val="00B91467"/>
    <w:rsid w:val="00B92819"/>
    <w:rsid w:val="00B948AD"/>
    <w:rsid w:val="00B97C5F"/>
    <w:rsid w:val="00B97D5C"/>
    <w:rsid w:val="00BA004D"/>
    <w:rsid w:val="00BA4DC2"/>
    <w:rsid w:val="00BA4ED1"/>
    <w:rsid w:val="00BA62D7"/>
    <w:rsid w:val="00BB6433"/>
    <w:rsid w:val="00BC1B42"/>
    <w:rsid w:val="00BC366D"/>
    <w:rsid w:val="00BC5536"/>
    <w:rsid w:val="00BC567F"/>
    <w:rsid w:val="00BC5CA0"/>
    <w:rsid w:val="00BD54BA"/>
    <w:rsid w:val="00BD6419"/>
    <w:rsid w:val="00BE24BC"/>
    <w:rsid w:val="00BE2D86"/>
    <w:rsid w:val="00BE486A"/>
    <w:rsid w:val="00BE70D9"/>
    <w:rsid w:val="00BF2A46"/>
    <w:rsid w:val="00BF6095"/>
    <w:rsid w:val="00C12409"/>
    <w:rsid w:val="00C20D4F"/>
    <w:rsid w:val="00C245AD"/>
    <w:rsid w:val="00C34EDB"/>
    <w:rsid w:val="00C41DD3"/>
    <w:rsid w:val="00C44758"/>
    <w:rsid w:val="00C45ECC"/>
    <w:rsid w:val="00C55F64"/>
    <w:rsid w:val="00C57CF7"/>
    <w:rsid w:val="00C61880"/>
    <w:rsid w:val="00C6225B"/>
    <w:rsid w:val="00C70959"/>
    <w:rsid w:val="00C76291"/>
    <w:rsid w:val="00C774B2"/>
    <w:rsid w:val="00C81562"/>
    <w:rsid w:val="00C81F5B"/>
    <w:rsid w:val="00C83767"/>
    <w:rsid w:val="00CA7160"/>
    <w:rsid w:val="00CB326A"/>
    <w:rsid w:val="00CB4CC5"/>
    <w:rsid w:val="00CB548A"/>
    <w:rsid w:val="00CC1198"/>
    <w:rsid w:val="00CC5F1C"/>
    <w:rsid w:val="00CC6F7E"/>
    <w:rsid w:val="00CD2388"/>
    <w:rsid w:val="00CD35AB"/>
    <w:rsid w:val="00CD419E"/>
    <w:rsid w:val="00CD4295"/>
    <w:rsid w:val="00CD4792"/>
    <w:rsid w:val="00CD668E"/>
    <w:rsid w:val="00CE0A9A"/>
    <w:rsid w:val="00CF14A1"/>
    <w:rsid w:val="00CF5348"/>
    <w:rsid w:val="00CF618F"/>
    <w:rsid w:val="00D01FBF"/>
    <w:rsid w:val="00D023D7"/>
    <w:rsid w:val="00D11486"/>
    <w:rsid w:val="00D12270"/>
    <w:rsid w:val="00D142CD"/>
    <w:rsid w:val="00D21E01"/>
    <w:rsid w:val="00D2335A"/>
    <w:rsid w:val="00D24F90"/>
    <w:rsid w:val="00D250B4"/>
    <w:rsid w:val="00D26189"/>
    <w:rsid w:val="00D2658D"/>
    <w:rsid w:val="00D30D14"/>
    <w:rsid w:val="00D34F11"/>
    <w:rsid w:val="00D37432"/>
    <w:rsid w:val="00D4016D"/>
    <w:rsid w:val="00D41A7A"/>
    <w:rsid w:val="00D46C45"/>
    <w:rsid w:val="00D506B3"/>
    <w:rsid w:val="00D52637"/>
    <w:rsid w:val="00D61CA7"/>
    <w:rsid w:val="00D6504A"/>
    <w:rsid w:val="00D65D6D"/>
    <w:rsid w:val="00D67C71"/>
    <w:rsid w:val="00D7306F"/>
    <w:rsid w:val="00D73264"/>
    <w:rsid w:val="00D748FC"/>
    <w:rsid w:val="00D80592"/>
    <w:rsid w:val="00D825B1"/>
    <w:rsid w:val="00D90501"/>
    <w:rsid w:val="00D91799"/>
    <w:rsid w:val="00D94C25"/>
    <w:rsid w:val="00D95591"/>
    <w:rsid w:val="00D95A8F"/>
    <w:rsid w:val="00DA1B66"/>
    <w:rsid w:val="00DA1D69"/>
    <w:rsid w:val="00DA740E"/>
    <w:rsid w:val="00DB1779"/>
    <w:rsid w:val="00DB3183"/>
    <w:rsid w:val="00DB78D9"/>
    <w:rsid w:val="00DC0F5E"/>
    <w:rsid w:val="00DC4C46"/>
    <w:rsid w:val="00DC5A06"/>
    <w:rsid w:val="00DD02E0"/>
    <w:rsid w:val="00DD36D1"/>
    <w:rsid w:val="00DE0FBA"/>
    <w:rsid w:val="00DE178E"/>
    <w:rsid w:val="00DE2C0B"/>
    <w:rsid w:val="00DE4599"/>
    <w:rsid w:val="00DF0374"/>
    <w:rsid w:val="00DF0965"/>
    <w:rsid w:val="00DF28F0"/>
    <w:rsid w:val="00DF6077"/>
    <w:rsid w:val="00DF7707"/>
    <w:rsid w:val="00E04315"/>
    <w:rsid w:val="00E04546"/>
    <w:rsid w:val="00E04804"/>
    <w:rsid w:val="00E06791"/>
    <w:rsid w:val="00E11764"/>
    <w:rsid w:val="00E2401A"/>
    <w:rsid w:val="00E32360"/>
    <w:rsid w:val="00E36EBD"/>
    <w:rsid w:val="00E41C5B"/>
    <w:rsid w:val="00E41F5F"/>
    <w:rsid w:val="00E42AEE"/>
    <w:rsid w:val="00E43B2C"/>
    <w:rsid w:val="00E44CA9"/>
    <w:rsid w:val="00E570D5"/>
    <w:rsid w:val="00E572C6"/>
    <w:rsid w:val="00E634D3"/>
    <w:rsid w:val="00E64FB5"/>
    <w:rsid w:val="00E74443"/>
    <w:rsid w:val="00E82D72"/>
    <w:rsid w:val="00E8480E"/>
    <w:rsid w:val="00E91654"/>
    <w:rsid w:val="00E92239"/>
    <w:rsid w:val="00E95034"/>
    <w:rsid w:val="00EA5E21"/>
    <w:rsid w:val="00EA630F"/>
    <w:rsid w:val="00EA6BDC"/>
    <w:rsid w:val="00EA7140"/>
    <w:rsid w:val="00EA75DA"/>
    <w:rsid w:val="00EB078D"/>
    <w:rsid w:val="00EB1027"/>
    <w:rsid w:val="00EB285F"/>
    <w:rsid w:val="00EC44D6"/>
    <w:rsid w:val="00EC46E4"/>
    <w:rsid w:val="00ED1164"/>
    <w:rsid w:val="00ED5168"/>
    <w:rsid w:val="00ED71F0"/>
    <w:rsid w:val="00EE0D3E"/>
    <w:rsid w:val="00EE2A0E"/>
    <w:rsid w:val="00EE2FB1"/>
    <w:rsid w:val="00EE4B26"/>
    <w:rsid w:val="00EE683B"/>
    <w:rsid w:val="00EE73A3"/>
    <w:rsid w:val="00EF11F4"/>
    <w:rsid w:val="00EF43D2"/>
    <w:rsid w:val="00EF6C46"/>
    <w:rsid w:val="00EF7123"/>
    <w:rsid w:val="00F137AC"/>
    <w:rsid w:val="00F13C2F"/>
    <w:rsid w:val="00F1498B"/>
    <w:rsid w:val="00F14D08"/>
    <w:rsid w:val="00F20E36"/>
    <w:rsid w:val="00F317AD"/>
    <w:rsid w:val="00F32196"/>
    <w:rsid w:val="00F322C6"/>
    <w:rsid w:val="00F35C40"/>
    <w:rsid w:val="00F41192"/>
    <w:rsid w:val="00F41860"/>
    <w:rsid w:val="00F47084"/>
    <w:rsid w:val="00F506F9"/>
    <w:rsid w:val="00F603E5"/>
    <w:rsid w:val="00F6144F"/>
    <w:rsid w:val="00F619D4"/>
    <w:rsid w:val="00F64520"/>
    <w:rsid w:val="00F67360"/>
    <w:rsid w:val="00F731A4"/>
    <w:rsid w:val="00F737EB"/>
    <w:rsid w:val="00F75BB0"/>
    <w:rsid w:val="00F77D08"/>
    <w:rsid w:val="00F8022C"/>
    <w:rsid w:val="00F8064C"/>
    <w:rsid w:val="00F83DB8"/>
    <w:rsid w:val="00F9010C"/>
    <w:rsid w:val="00F918F7"/>
    <w:rsid w:val="00F975A6"/>
    <w:rsid w:val="00FA05E2"/>
    <w:rsid w:val="00FA654F"/>
    <w:rsid w:val="00FA7E0E"/>
    <w:rsid w:val="00FB1677"/>
    <w:rsid w:val="00FB1E92"/>
    <w:rsid w:val="00FB385C"/>
    <w:rsid w:val="00FB65EC"/>
    <w:rsid w:val="00FB71C2"/>
    <w:rsid w:val="00FC3A22"/>
    <w:rsid w:val="00FC499B"/>
    <w:rsid w:val="00FD005F"/>
    <w:rsid w:val="00FD0358"/>
    <w:rsid w:val="00FE0314"/>
    <w:rsid w:val="00FE14FF"/>
    <w:rsid w:val="00FE22ED"/>
    <w:rsid w:val="00FF0862"/>
    <w:rsid w:val="00FF5624"/>
    <w:rsid w:val="00FF774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E65727"/>
  <w15:docId w15:val="{42333A76-D39A-4D90-93EC-2583C75EB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2376"/>
    <w:rPr>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532376"/>
    <w:pPr>
      <w:tabs>
        <w:tab w:val="center" w:pos="4536"/>
        <w:tab w:val="right" w:pos="9072"/>
      </w:tabs>
    </w:pPr>
  </w:style>
  <w:style w:type="character" w:customStyle="1" w:styleId="En-tteCar">
    <w:name w:val="En-tête Car"/>
    <w:basedOn w:val="Policepardfaut"/>
    <w:link w:val="En-tte"/>
    <w:rsid w:val="00532376"/>
    <w:rPr>
      <w:sz w:val="24"/>
      <w:szCs w:val="24"/>
    </w:rPr>
  </w:style>
  <w:style w:type="paragraph" w:styleId="Pieddepage">
    <w:name w:val="footer"/>
    <w:basedOn w:val="Normal"/>
    <w:link w:val="PieddepageCar"/>
    <w:uiPriority w:val="99"/>
    <w:rsid w:val="00532376"/>
    <w:pPr>
      <w:tabs>
        <w:tab w:val="center" w:pos="4536"/>
        <w:tab w:val="right" w:pos="9072"/>
      </w:tabs>
    </w:pPr>
  </w:style>
  <w:style w:type="character" w:customStyle="1" w:styleId="PieddepageCar">
    <w:name w:val="Pied de page Car"/>
    <w:basedOn w:val="Policepardfaut"/>
    <w:link w:val="Pieddepage"/>
    <w:uiPriority w:val="99"/>
    <w:rsid w:val="00532376"/>
    <w:rPr>
      <w:sz w:val="24"/>
      <w:szCs w:val="24"/>
    </w:rPr>
  </w:style>
  <w:style w:type="paragraph" w:styleId="Paragraphedeliste">
    <w:name w:val="List Paragraph"/>
    <w:basedOn w:val="Normal"/>
    <w:uiPriority w:val="34"/>
    <w:qFormat/>
    <w:rsid w:val="00B63987"/>
    <w:pPr>
      <w:ind w:left="720"/>
      <w:contextualSpacing/>
    </w:pPr>
  </w:style>
  <w:style w:type="paragraph" w:styleId="Notedebasdepage">
    <w:name w:val="footnote text"/>
    <w:basedOn w:val="Normal"/>
    <w:link w:val="NotedebasdepageCar"/>
    <w:rsid w:val="00371B64"/>
    <w:rPr>
      <w:sz w:val="20"/>
      <w:szCs w:val="20"/>
    </w:rPr>
  </w:style>
  <w:style w:type="character" w:customStyle="1" w:styleId="NotedebasdepageCar">
    <w:name w:val="Note de bas de page Car"/>
    <w:basedOn w:val="Policepardfaut"/>
    <w:link w:val="Notedebasdepage"/>
    <w:rsid w:val="00371B64"/>
  </w:style>
  <w:style w:type="character" w:styleId="Appelnotedebasdep">
    <w:name w:val="footnote reference"/>
    <w:basedOn w:val="Policepardfaut"/>
    <w:rsid w:val="00371B64"/>
    <w:rPr>
      <w:vertAlign w:val="superscript"/>
    </w:rPr>
  </w:style>
  <w:style w:type="paragraph" w:styleId="Textedebulles">
    <w:name w:val="Balloon Text"/>
    <w:basedOn w:val="Normal"/>
    <w:link w:val="TextedebullesCar"/>
    <w:rsid w:val="00A70DAB"/>
    <w:rPr>
      <w:rFonts w:ascii="Segoe UI" w:hAnsi="Segoe UI" w:cs="Segoe UI"/>
      <w:sz w:val="18"/>
      <w:szCs w:val="18"/>
    </w:rPr>
  </w:style>
  <w:style w:type="character" w:customStyle="1" w:styleId="TextedebullesCar">
    <w:name w:val="Texte de bulles Car"/>
    <w:basedOn w:val="Policepardfaut"/>
    <w:link w:val="Textedebulles"/>
    <w:rsid w:val="00A70DAB"/>
    <w:rPr>
      <w:rFonts w:ascii="Segoe UI" w:hAnsi="Segoe UI" w:cs="Segoe UI"/>
      <w:sz w:val="18"/>
      <w:szCs w:val="18"/>
    </w:rPr>
  </w:style>
  <w:style w:type="paragraph" w:styleId="Bibliographie">
    <w:name w:val="Bibliography"/>
    <w:basedOn w:val="Normal"/>
    <w:next w:val="Normal"/>
    <w:uiPriority w:val="37"/>
    <w:unhideWhenUsed/>
    <w:rsid w:val="00251E44"/>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3CEBC-D279-4701-A1AF-7C2A53EC5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19</Pages>
  <Words>14846</Words>
  <Characters>81659</Characters>
  <Application>Microsoft Office Word</Application>
  <DocSecurity>0</DocSecurity>
  <Lines>680</Lines>
  <Paragraphs>192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5</cp:revision>
  <cp:lastPrinted>2019-09-16T07:35:00Z</cp:lastPrinted>
  <dcterms:created xsi:type="dcterms:W3CDTF">2019-09-16T07:33:00Z</dcterms:created>
  <dcterms:modified xsi:type="dcterms:W3CDTF">2019-09-16T09:11:00Z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zotero-version="5.0.74"&gt;&lt;session id="dnBIiGqj"/&gt;&lt;style id="http://www.zotero.org/styles/apa" locale="fr-FR" hasBibliography="1" bibliographyStyleHasBeenSet="1"/&gt;&lt;prefs&gt;&lt;pref name="fieldType" value="Field"/&gt;&lt;pref name="storeReference</vt:lpwstr>
  </property>
  <property fmtid="{D5CDD505-2E9C-101B-9397-08002B2CF9AE}" pid="3" name="ZOTERO_PREF_2">
    <vt:lpwstr>s" value="true"/&gt;&lt;pref name="automaticJournalAbbreviations" value="true"/&gt;&lt;/prefs&gt;&lt;/data&gt;</vt:lpwstr>
  </property>
</Properties>
</file>