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2DE7" w14:textId="54B319ED" w:rsidR="005B7CBF" w:rsidRDefault="006E4100" w:rsidP="006E4100">
      <w:pPr>
        <w:ind w:firstLine="0"/>
        <w:rPr>
          <w:lang w:val="en-GB"/>
        </w:rPr>
      </w:pPr>
      <w:r w:rsidRPr="006E4100">
        <w:rPr>
          <w:lang w:val="en-GB"/>
        </w:rPr>
        <w:t xml:space="preserve">1982. </w:t>
      </w:r>
      <w:r w:rsidRPr="006E4100">
        <w:rPr>
          <w:b/>
          <w:bCs/>
          <w:lang w:val="en-GB"/>
        </w:rPr>
        <w:t>Tischler</w:t>
      </w:r>
      <w:r w:rsidRPr="006E4100">
        <w:rPr>
          <w:lang w:val="en-GB"/>
        </w:rPr>
        <w:t xml:space="preserve">, Matthias M., « From Ripoll, Rioja, and beyond: the Iberian transmission of the Latin </w:t>
      </w:r>
      <w:r w:rsidRPr="0083476D">
        <w:rPr>
          <w:lang w:val="en-GB"/>
        </w:rPr>
        <w:t>Tiburtine Sibyl</w:t>
      </w:r>
      <w:r w:rsidRPr="006E4100">
        <w:rPr>
          <w:lang w:val="en-GB"/>
        </w:rPr>
        <w:t xml:space="preserve"> and Oliba of Ripoll and Vic’s Europe-wide network of knowledge transfer and learning », in </w:t>
      </w:r>
      <w:r w:rsidRPr="006E4100">
        <w:rPr>
          <w:i/>
          <w:iCs/>
          <w:lang w:val="en-GB"/>
        </w:rPr>
        <w:t>Early Medieval Europe</w:t>
      </w:r>
      <w:r w:rsidRPr="006E4100">
        <w:rPr>
          <w:lang w:val="en-GB"/>
        </w:rPr>
        <w:t>, 30 (2022), p. 558-576.</w:t>
      </w:r>
    </w:p>
    <w:p w14:paraId="09CC9C90" w14:textId="77777777" w:rsidR="006E4100" w:rsidRDefault="006E4100" w:rsidP="006E4100">
      <w:pPr>
        <w:ind w:firstLine="0"/>
        <w:rPr>
          <w:lang w:val="en-GB"/>
        </w:rPr>
      </w:pPr>
    </w:p>
    <w:p w14:paraId="32405AF4" w14:textId="75055BD6" w:rsidR="006E4100" w:rsidRDefault="005A5301" w:rsidP="006E4100">
      <w:pPr>
        <w:ind w:firstLine="0"/>
      </w:pPr>
      <w:r>
        <w:t xml:space="preserve">La publication </w:t>
      </w:r>
      <w:r w:rsidR="00653088">
        <w:t xml:space="preserve">thématique </w:t>
      </w:r>
      <w:r>
        <w:t xml:space="preserve">s’articule autour des sociétés émergeant de l’Empire carolingien, </w:t>
      </w:r>
      <w:r w:rsidR="00653088">
        <w:t>avec une attention particulière sur la Catalogne médiévale</w:t>
      </w:r>
      <w:r w:rsidR="00113290">
        <w:t>.</w:t>
      </w:r>
      <w:r w:rsidR="00CC22B7">
        <w:t xml:space="preserve"> </w:t>
      </w:r>
      <w:r w:rsidR="0083476D" w:rsidRPr="0083476D">
        <w:t>Figure</w:t>
      </w:r>
      <w:r w:rsidR="00523315">
        <w:t xml:space="preserve"> </w:t>
      </w:r>
      <w:r w:rsidR="0083476D" w:rsidRPr="0083476D">
        <w:t xml:space="preserve">clef de la Catalogne </w:t>
      </w:r>
      <w:r w:rsidR="0083476D">
        <w:t>de</w:t>
      </w:r>
      <w:r w:rsidR="00BF1D02">
        <w:t>s X</w:t>
      </w:r>
      <w:r w:rsidR="00BF1D02" w:rsidRPr="00BF1D02">
        <w:rPr>
          <w:vertAlign w:val="superscript"/>
        </w:rPr>
        <w:t>e</w:t>
      </w:r>
      <w:r w:rsidR="00BF1D02">
        <w:t>-XI</w:t>
      </w:r>
      <w:r w:rsidR="00BF1D02" w:rsidRPr="00BF1D02">
        <w:rPr>
          <w:vertAlign w:val="superscript"/>
        </w:rPr>
        <w:t>e</w:t>
      </w:r>
      <w:r w:rsidR="00BF1D02">
        <w:t xml:space="preserve"> s.</w:t>
      </w:r>
      <w:r w:rsidR="00B062E5">
        <w:t>,</w:t>
      </w:r>
      <w:r w:rsidR="0083476D">
        <w:t xml:space="preserve"> </w:t>
      </w:r>
      <w:r w:rsidR="00484F41">
        <w:t xml:space="preserve">Oliba de Ripoll fut au centre d’un large réseau culturel qui unissait nombre </w:t>
      </w:r>
      <w:r w:rsidR="00BD76E4">
        <w:t>d’institutions monastiques, canoniales et cléricales.</w:t>
      </w:r>
      <w:r w:rsidR="00E52654">
        <w:t xml:space="preserve"> La filiation française de manuscrits copiés à Ripoll était déjà bien connue</w:t>
      </w:r>
      <w:r w:rsidR="002F5827">
        <w:t xml:space="preserve">, mais </w:t>
      </w:r>
      <w:r w:rsidR="00BF1D02">
        <w:t>l’abbé de Ripoll</w:t>
      </w:r>
      <w:r w:rsidR="002F5827">
        <w:t xml:space="preserve"> s’intéressait tout autant aux textes produits en Italie. L’A. </w:t>
      </w:r>
      <w:r w:rsidR="00114696">
        <w:t>documente</w:t>
      </w:r>
      <w:r w:rsidR="002F5827">
        <w:t xml:space="preserve"> le cercle international </w:t>
      </w:r>
      <w:r w:rsidR="00BF1D02">
        <w:t>d’échange de manuscrits autour de la personnalité d’Oliba</w:t>
      </w:r>
      <w:r w:rsidR="00114696">
        <w:t xml:space="preserve">, en étudiant </w:t>
      </w:r>
      <w:r w:rsidR="007F5DAB">
        <w:t>spécialement</w:t>
      </w:r>
      <w:r w:rsidR="00FB5977">
        <w:t xml:space="preserve"> </w:t>
      </w:r>
      <w:r w:rsidR="00114696">
        <w:t xml:space="preserve">la transmission de la </w:t>
      </w:r>
      <w:r w:rsidR="00114696" w:rsidRPr="00114696">
        <w:rPr>
          <w:i/>
          <w:iCs/>
        </w:rPr>
        <w:t>Sibylle tiburtine</w:t>
      </w:r>
      <w:r w:rsidR="00114696">
        <w:t>, de l’Italie à la Catalogne</w:t>
      </w:r>
      <w:r w:rsidR="00FB5977">
        <w:t xml:space="preserve"> et au </w:t>
      </w:r>
      <w:r w:rsidR="00523315">
        <w:t>n</w:t>
      </w:r>
      <w:r w:rsidR="00FB5977">
        <w:t xml:space="preserve">ord de la péninsule ibérique. </w:t>
      </w:r>
      <w:r w:rsidR="00450530">
        <w:t xml:space="preserve">Mais </w:t>
      </w:r>
      <w:r w:rsidR="001803AF">
        <w:t>l’</w:t>
      </w:r>
      <w:r w:rsidR="00450530">
        <w:t xml:space="preserve">attrait </w:t>
      </w:r>
      <w:r w:rsidR="001803AF">
        <w:t xml:space="preserve">d’Oliba </w:t>
      </w:r>
      <w:r w:rsidR="00450530">
        <w:t xml:space="preserve">pour la production littéraire italienne va plus loin : </w:t>
      </w:r>
      <w:r w:rsidR="001803AF">
        <w:t xml:space="preserve">l’A. </w:t>
      </w:r>
      <w:r w:rsidR="00F2593B">
        <w:t>rappelle</w:t>
      </w:r>
      <w:r w:rsidR="001803AF">
        <w:t xml:space="preserve"> qu’il</w:t>
      </w:r>
      <w:r w:rsidR="00450530">
        <w:t xml:space="preserve"> fit </w:t>
      </w:r>
      <w:r w:rsidR="001803AF">
        <w:t xml:space="preserve">aussi </w:t>
      </w:r>
      <w:r w:rsidR="00450530">
        <w:t>venir des traductions gréco-latines de Rome et d’Italie du Sud</w:t>
      </w:r>
      <w:r w:rsidR="00E71D5B">
        <w:t>.</w:t>
      </w:r>
    </w:p>
    <w:p w14:paraId="551CF7F2" w14:textId="7063298F" w:rsidR="00E71D5B" w:rsidRDefault="00CC22B7" w:rsidP="00CC22B7">
      <w:pPr>
        <w:ind w:firstLine="0"/>
        <w:jc w:val="right"/>
      </w:pPr>
      <w:r>
        <w:t>Eléonore Venturelli</w:t>
      </w:r>
    </w:p>
    <w:p w14:paraId="48FE59F2" w14:textId="41AD0623" w:rsidR="001A237B" w:rsidRDefault="001A237B" w:rsidP="006E4100">
      <w:pPr>
        <w:ind w:firstLine="0"/>
        <w:rPr>
          <w:sz w:val="23"/>
          <w:szCs w:val="23"/>
        </w:rPr>
      </w:pPr>
      <w:r>
        <w:t>Mss cités : Amiens, BM, 108</w:t>
      </w:r>
      <w:r w:rsidR="00E71D5B">
        <w:t xml:space="preserve"> ; </w:t>
      </w:r>
      <w:r>
        <w:t xml:space="preserve">Augsburg, UB, </w:t>
      </w:r>
      <w:r w:rsidRPr="00795741">
        <w:t>Oettingen-Wallerstein</w:t>
      </w:r>
      <w:r>
        <w:t>, I. 2. 4° 15</w:t>
      </w:r>
      <w:r w:rsidR="00E71D5B">
        <w:t xml:space="preserve"> ; </w:t>
      </w:r>
      <w:r>
        <w:t>Barcelona, ACA, Ripoll 40, 42, 52, 59, 77, 106, 151, 206,</w:t>
      </w:r>
      <w:r w:rsidRPr="001A237B">
        <w:t xml:space="preserve"> </w:t>
      </w:r>
      <w:r>
        <w:t>BU, 124</w:t>
      </w:r>
      <w:r w:rsidR="00E71D5B">
        <w:t xml:space="preserve"> ; </w:t>
      </w:r>
      <w:r>
        <w:t xml:space="preserve">Calahorra, </w:t>
      </w:r>
      <w:r w:rsidRPr="00D02355">
        <w:t>A. Cap.</w:t>
      </w:r>
      <w:r>
        <w:t>, III</w:t>
      </w:r>
      <w:r w:rsidR="00E71D5B">
        <w:t xml:space="preserve"> ; </w:t>
      </w:r>
      <w:r>
        <w:rPr>
          <w:sz w:val="23"/>
          <w:szCs w:val="23"/>
        </w:rPr>
        <w:t>El Escurial, B. Mon., &amp;. I. 3</w:t>
      </w:r>
      <w:r w:rsidR="00E71D5B">
        <w:rPr>
          <w:sz w:val="23"/>
          <w:szCs w:val="23"/>
        </w:rPr>
        <w:t xml:space="preserve"> ; </w:t>
      </w:r>
      <w:r>
        <w:rPr>
          <w:sz w:val="23"/>
          <w:szCs w:val="23"/>
        </w:rPr>
        <w:t>Leiden, BU, Voss. lat. Q. 69</w:t>
      </w:r>
      <w:r w:rsidR="00E71D5B">
        <w:rPr>
          <w:sz w:val="23"/>
          <w:szCs w:val="23"/>
        </w:rPr>
        <w:t xml:space="preserve"> ; </w:t>
      </w:r>
      <w:r>
        <w:rPr>
          <w:sz w:val="23"/>
          <w:szCs w:val="23"/>
        </w:rPr>
        <w:t xml:space="preserve">Lleida, </w:t>
      </w:r>
      <w:r>
        <w:t>A. Cap., LC_0061</w:t>
      </w:r>
      <w:r w:rsidR="00E71D5B">
        <w:t xml:space="preserve"> ; </w:t>
      </w:r>
      <w:r>
        <w:t>London, BL, Add. 50003</w:t>
      </w:r>
      <w:r w:rsidR="00E71D5B">
        <w:t xml:space="preserve"> ; </w:t>
      </w:r>
      <w:r>
        <w:t xml:space="preserve">Madrid, </w:t>
      </w:r>
      <w:r w:rsidRPr="00D02355">
        <w:t>Real Acad. Hist.</w:t>
      </w:r>
      <w:r>
        <w:t>, 3</w:t>
      </w:r>
      <w:r w:rsidR="00E71D5B">
        <w:t xml:space="preserve"> ; </w:t>
      </w:r>
      <w:r>
        <w:t xml:space="preserve">Milano, </w:t>
      </w:r>
      <w:r>
        <w:rPr>
          <w:sz w:val="23"/>
          <w:szCs w:val="23"/>
        </w:rPr>
        <w:t>B. Ambros., S. 17 sup.</w:t>
      </w:r>
      <w:r w:rsidR="00E71D5B">
        <w:rPr>
          <w:sz w:val="23"/>
          <w:szCs w:val="23"/>
        </w:rPr>
        <w:t xml:space="preserve"> ; </w:t>
      </w:r>
      <w:r>
        <w:t>Montserrat, A. Mon., 995</w:t>
      </w:r>
      <w:r w:rsidR="00E71D5B">
        <w:t xml:space="preserve"> ; </w:t>
      </w:r>
      <w:r>
        <w:t>New York, HAS, HC 380/819</w:t>
      </w:r>
      <w:r w:rsidR="00E71D5B">
        <w:t xml:space="preserve"> ; </w:t>
      </w:r>
      <w:r>
        <w:t>Paris, BnF, lat. 2374, 2858, 5302, 5304, 5390, 8093</w:t>
      </w:r>
      <w:r w:rsidR="00E71D5B">
        <w:t xml:space="preserve"> ; </w:t>
      </w:r>
      <w:r>
        <w:t>Vaticano, BAV, Reg. lat. 123, Vat. lat. 5729</w:t>
      </w:r>
      <w:r w:rsidR="00E71D5B">
        <w:t xml:space="preserve"> ; </w:t>
      </w:r>
      <w:r>
        <w:t xml:space="preserve">Vic, </w:t>
      </w:r>
      <w:r>
        <w:rPr>
          <w:sz w:val="23"/>
          <w:szCs w:val="23"/>
        </w:rPr>
        <w:t>A. Cap., 26, 39, Fragm. XI/</w:t>
      </w:r>
      <w:r w:rsidRPr="00261061">
        <w:rPr>
          <w:sz w:val="20"/>
          <w:szCs w:val="20"/>
        </w:rPr>
        <w:t>I</w:t>
      </w:r>
      <w:r>
        <w:rPr>
          <w:sz w:val="23"/>
          <w:szCs w:val="23"/>
        </w:rPr>
        <w:t>ra</w:t>
      </w:r>
      <w:r w:rsidR="00E71D5B">
        <w:rPr>
          <w:sz w:val="23"/>
          <w:szCs w:val="23"/>
        </w:rPr>
        <w:t>.</w:t>
      </w:r>
    </w:p>
    <w:p w14:paraId="41C19781" w14:textId="77777777" w:rsidR="00795741" w:rsidRDefault="00795741" w:rsidP="006E4100">
      <w:pPr>
        <w:ind w:firstLine="0"/>
        <w:rPr>
          <w:sz w:val="23"/>
          <w:szCs w:val="23"/>
        </w:rPr>
      </w:pPr>
    </w:p>
    <w:p w14:paraId="6E3BB6EA" w14:textId="77777777" w:rsidR="002A0265" w:rsidRDefault="002A0265" w:rsidP="006E4100">
      <w:pPr>
        <w:ind w:firstLine="0"/>
      </w:pPr>
    </w:p>
    <w:p w14:paraId="3E131E20" w14:textId="77777777" w:rsidR="00E12CCB" w:rsidRPr="0083476D" w:rsidRDefault="00E12CCB" w:rsidP="006E4100">
      <w:pPr>
        <w:ind w:firstLine="0"/>
      </w:pPr>
    </w:p>
    <w:sectPr w:rsidR="00E12CCB" w:rsidRPr="00834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D220" w14:textId="77777777" w:rsidR="00AB319A" w:rsidRDefault="00AB319A" w:rsidP="00523315">
      <w:pPr>
        <w:spacing w:line="240" w:lineRule="auto"/>
      </w:pPr>
      <w:r>
        <w:separator/>
      </w:r>
    </w:p>
  </w:endnote>
  <w:endnote w:type="continuationSeparator" w:id="0">
    <w:p w14:paraId="16F58687" w14:textId="77777777" w:rsidR="00AB319A" w:rsidRDefault="00AB319A" w:rsidP="00523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2D225" w14:textId="77777777" w:rsidR="00AB319A" w:rsidRDefault="00AB319A" w:rsidP="00523315">
      <w:pPr>
        <w:spacing w:line="240" w:lineRule="auto"/>
      </w:pPr>
      <w:r>
        <w:separator/>
      </w:r>
    </w:p>
  </w:footnote>
  <w:footnote w:type="continuationSeparator" w:id="0">
    <w:p w14:paraId="04A1D295" w14:textId="77777777" w:rsidR="00AB319A" w:rsidRDefault="00AB319A" w:rsidP="005233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00"/>
    <w:rsid w:val="00113290"/>
    <w:rsid w:val="00114696"/>
    <w:rsid w:val="001803AF"/>
    <w:rsid w:val="001A237B"/>
    <w:rsid w:val="001C0EBB"/>
    <w:rsid w:val="00261061"/>
    <w:rsid w:val="002910C7"/>
    <w:rsid w:val="002A0265"/>
    <w:rsid w:val="002F5827"/>
    <w:rsid w:val="00401E1C"/>
    <w:rsid w:val="00450530"/>
    <w:rsid w:val="00484F41"/>
    <w:rsid w:val="00487D83"/>
    <w:rsid w:val="00523315"/>
    <w:rsid w:val="00531438"/>
    <w:rsid w:val="00597412"/>
    <w:rsid w:val="005A5301"/>
    <w:rsid w:val="005B7CBF"/>
    <w:rsid w:val="00653088"/>
    <w:rsid w:val="006E4100"/>
    <w:rsid w:val="006F56BF"/>
    <w:rsid w:val="007155F3"/>
    <w:rsid w:val="00765563"/>
    <w:rsid w:val="00795741"/>
    <w:rsid w:val="007F5DAB"/>
    <w:rsid w:val="008029CC"/>
    <w:rsid w:val="0083476D"/>
    <w:rsid w:val="008B0AB6"/>
    <w:rsid w:val="00A11A4A"/>
    <w:rsid w:val="00A3752D"/>
    <w:rsid w:val="00A842AC"/>
    <w:rsid w:val="00AB319A"/>
    <w:rsid w:val="00B04B0B"/>
    <w:rsid w:val="00B062E5"/>
    <w:rsid w:val="00B84C26"/>
    <w:rsid w:val="00B914D3"/>
    <w:rsid w:val="00BD76E4"/>
    <w:rsid w:val="00BD7CD9"/>
    <w:rsid w:val="00BE226E"/>
    <w:rsid w:val="00BF1D02"/>
    <w:rsid w:val="00CC22B7"/>
    <w:rsid w:val="00D02355"/>
    <w:rsid w:val="00D455AD"/>
    <w:rsid w:val="00E12CCB"/>
    <w:rsid w:val="00E52654"/>
    <w:rsid w:val="00E71D5B"/>
    <w:rsid w:val="00E81D8F"/>
    <w:rsid w:val="00F00EE3"/>
    <w:rsid w:val="00F2593B"/>
    <w:rsid w:val="00F97425"/>
    <w:rsid w:val="00FB5977"/>
    <w:rsid w:val="00F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5F66"/>
  <w15:chartTrackingRefBased/>
  <w15:docId w15:val="{2A68E803-3706-40C2-9208-64AA50EC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4A"/>
    <w:pPr>
      <w:spacing w:line="360" w:lineRule="auto"/>
      <w:ind w:firstLine="709"/>
    </w:pPr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6556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1C0EBB"/>
    <w:pPr>
      <w:spacing w:before="120" w:after="120"/>
      <w:outlineLvl w:val="1"/>
    </w:pPr>
    <w:rPr>
      <w:b w:val="0"/>
      <w:i/>
      <w:sz w:val="24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65563"/>
    <w:pPr>
      <w:outlineLvl w:val="2"/>
    </w:pPr>
    <w:rPr>
      <w:b/>
      <w:i w:val="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C0EBB"/>
    <w:rPr>
      <w:rFonts w:ascii="Times New Roman" w:eastAsiaTheme="majorEastAsia" w:hAnsi="Times New Roman" w:cstheme="majorBidi"/>
      <w:i/>
      <w:sz w:val="24"/>
      <w:szCs w:val="26"/>
      <w:lang w:eastAsia="fr-BE"/>
    </w:rPr>
  </w:style>
  <w:style w:type="character" w:customStyle="1" w:styleId="Titre1Car">
    <w:name w:val="Titre 1 Car"/>
    <w:basedOn w:val="Policepardfaut"/>
    <w:link w:val="Titre1"/>
    <w:uiPriority w:val="9"/>
    <w:rsid w:val="0076556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65563"/>
    <w:rPr>
      <w:rFonts w:ascii="Times New Roman" w:eastAsiaTheme="majorEastAsia" w:hAnsi="Times New Roman" w:cstheme="majorBidi"/>
      <w:sz w:val="24"/>
      <w:szCs w:val="24"/>
    </w:rPr>
  </w:style>
  <w:style w:type="paragraph" w:styleId="Notedebasdepage">
    <w:name w:val="footnote text"/>
    <w:link w:val="NotedebasdepageCar"/>
    <w:uiPriority w:val="99"/>
    <w:semiHidden/>
    <w:unhideWhenUsed/>
    <w:rsid w:val="00A11A4A"/>
    <w:rPr>
      <w:rFonts w:ascii="Times New Roman" w:hAnsi="Times New Roman" w:cs="Times New Roman"/>
      <w:sz w:val="20"/>
      <w:szCs w:val="20"/>
      <w:lang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1A4A"/>
    <w:rPr>
      <w:rFonts w:ascii="Times New Roman" w:hAnsi="Times New Roman" w:cs="Times New Roman"/>
      <w:sz w:val="20"/>
      <w:szCs w:val="20"/>
      <w:lang w:eastAsia="fr-B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7CD9"/>
    <w:pPr>
      <w:numPr>
        <w:ilvl w:val="1"/>
      </w:numPr>
      <w:spacing w:after="240"/>
      <w:ind w:firstLine="709"/>
      <w:jc w:val="center"/>
    </w:pPr>
    <w:rPr>
      <w:rFonts w:eastAsiaTheme="minorEastAsia" w:cstheme="minorBidi"/>
      <w:b/>
      <w:i/>
      <w:spacing w:val="15"/>
      <w:sz w:val="36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D7CD9"/>
    <w:rPr>
      <w:rFonts w:ascii="Times New Roman" w:eastAsiaTheme="minorEastAsia" w:hAnsi="Times New Roman"/>
      <w:b/>
      <w:i/>
      <w:spacing w:val="15"/>
      <w:sz w:val="36"/>
      <w:lang w:eastAsia="fr-B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2910C7"/>
    <w:pPr>
      <w:spacing w:before="320" w:after="320" w:line="240" w:lineRule="auto"/>
      <w:ind w:firstLine="0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10C7"/>
    <w:rPr>
      <w:rFonts w:ascii="Times New Roman" w:eastAsiaTheme="majorEastAsia" w:hAnsi="Times New Roman" w:cstheme="majorBidi"/>
      <w:spacing w:val="-10"/>
      <w:kern w:val="28"/>
      <w:sz w:val="40"/>
      <w:szCs w:val="56"/>
      <w:lang w:eastAsia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D455AD"/>
    <w:pPr>
      <w:spacing w:before="120" w:after="120" w:line="240" w:lineRule="auto"/>
      <w:ind w:left="851" w:firstLine="0"/>
      <w:contextualSpacing/>
    </w:pPr>
    <w:rPr>
      <w:i/>
      <w:iCs/>
      <w:noProof/>
      <w:lang w:val="la-Latn"/>
    </w:rPr>
  </w:style>
  <w:style w:type="character" w:customStyle="1" w:styleId="CitationCar">
    <w:name w:val="Citation Car"/>
    <w:basedOn w:val="Policepardfaut"/>
    <w:link w:val="Citation"/>
    <w:uiPriority w:val="29"/>
    <w:rsid w:val="00D455AD"/>
    <w:rPr>
      <w:rFonts w:ascii="Times New Roman" w:hAnsi="Times New Roman" w:cs="Times New Roman"/>
      <w:i/>
      <w:iCs/>
      <w:noProof/>
      <w:sz w:val="24"/>
      <w:szCs w:val="24"/>
      <w:lang w:val="la-Latn" w:eastAsia="fr-BE"/>
    </w:rPr>
  </w:style>
  <w:style w:type="paragraph" w:styleId="En-tte">
    <w:name w:val="header"/>
    <w:basedOn w:val="Normal"/>
    <w:link w:val="En-tteCar"/>
    <w:uiPriority w:val="99"/>
    <w:unhideWhenUsed/>
    <w:rsid w:val="0052331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315"/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2331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315"/>
    <w:rPr>
      <w:rFonts w:ascii="Times New Roman" w:hAnsi="Times New Roman" w:cs="Times New Roman"/>
      <w:kern w:val="0"/>
      <w:sz w:val="24"/>
      <w:szCs w:val="24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Venturelli</dc:creator>
  <cp:keywords/>
  <dc:description/>
  <cp:lastModifiedBy>Eléonore Venturelli</cp:lastModifiedBy>
  <cp:revision>6</cp:revision>
  <dcterms:created xsi:type="dcterms:W3CDTF">2023-06-01T13:49:00Z</dcterms:created>
  <dcterms:modified xsi:type="dcterms:W3CDTF">2023-06-12T09:33:00Z</dcterms:modified>
</cp:coreProperties>
</file>