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74C" w:rsidRPr="00DA49FD" w:rsidRDefault="00DA49FD" w:rsidP="00D1574C">
      <w:pPr>
        <w:jc w:val="both"/>
        <w:rPr>
          <w:sz w:val="32"/>
          <w:szCs w:val="32"/>
        </w:rPr>
      </w:pPr>
      <w:r w:rsidRPr="00DA49FD">
        <w:rPr>
          <w:sz w:val="32"/>
          <w:szCs w:val="32"/>
        </w:rPr>
        <w:t>T</w:t>
      </w:r>
      <w:r w:rsidR="00D1574C" w:rsidRPr="00DA49FD">
        <w:rPr>
          <w:sz w:val="32"/>
          <w:szCs w:val="32"/>
        </w:rPr>
        <w:t>rajectoires et âges de la vie</w:t>
      </w:r>
    </w:p>
    <w:p w:rsidR="00D1574C" w:rsidRPr="00DA49FD" w:rsidRDefault="00D1574C" w:rsidP="00D1574C">
      <w:pPr>
        <w:jc w:val="both"/>
        <w:rPr>
          <w:sz w:val="24"/>
          <w:szCs w:val="24"/>
        </w:rPr>
      </w:pPr>
      <w:r w:rsidRPr="00DA49FD">
        <w:rPr>
          <w:sz w:val="24"/>
          <w:szCs w:val="24"/>
        </w:rPr>
        <w:t>Préface</w:t>
      </w:r>
    </w:p>
    <w:p w:rsidR="00D1574C" w:rsidRPr="00DA49FD" w:rsidRDefault="00D1574C" w:rsidP="00D1574C">
      <w:pPr>
        <w:jc w:val="both"/>
        <w:rPr>
          <w:sz w:val="24"/>
          <w:szCs w:val="24"/>
        </w:rPr>
      </w:pPr>
      <w:r w:rsidRPr="00DA49FD">
        <w:rPr>
          <w:sz w:val="24"/>
          <w:szCs w:val="24"/>
        </w:rPr>
        <w:t xml:space="preserve">Sophie </w:t>
      </w:r>
      <w:proofErr w:type="spellStart"/>
      <w:r w:rsidRPr="00DA49FD">
        <w:rPr>
          <w:sz w:val="24"/>
          <w:szCs w:val="24"/>
        </w:rPr>
        <w:t>Pennec</w:t>
      </w:r>
      <w:proofErr w:type="spellEnd"/>
      <w:r w:rsidRPr="00DA49FD">
        <w:rPr>
          <w:sz w:val="24"/>
          <w:szCs w:val="24"/>
        </w:rPr>
        <w:t>, Chantal Girard et Jean-Paul Sanderson</w:t>
      </w:r>
    </w:p>
    <w:p w:rsidR="00DA49FD" w:rsidRDefault="00DA49FD" w:rsidP="00FE6E2B">
      <w:pPr>
        <w:jc w:val="both"/>
      </w:pPr>
    </w:p>
    <w:p w:rsidR="00F02723" w:rsidRDefault="00F02723" w:rsidP="00F02723">
      <w:pPr>
        <w:jc w:val="both"/>
      </w:pPr>
      <w:r>
        <w:t xml:space="preserve">Les premiers travaux sur les parcours de vie (citons Elder </w:t>
      </w:r>
      <w:r w:rsidR="0001518E">
        <w:t>(</w:t>
      </w:r>
      <w:r>
        <w:t xml:space="preserve">ouvrage </w:t>
      </w:r>
      <w:r w:rsidR="0001518E">
        <w:t xml:space="preserve">publié en 1974 </w:t>
      </w:r>
      <w:r>
        <w:t>a été réédité en 1998</w:t>
      </w:r>
      <w:r w:rsidR="005F79BA">
        <w:rPr>
          <w:rStyle w:val="Appelnotedebasdep"/>
        </w:rPr>
        <w:footnoteReference w:id="1"/>
      </w:r>
      <w:r w:rsidR="0001518E">
        <w:t>)</w:t>
      </w:r>
      <w:r>
        <w:t xml:space="preserve"> ; </w:t>
      </w:r>
      <w:r w:rsidR="005F79BA">
        <w:t>Sapin</w:t>
      </w:r>
      <w:r w:rsidR="005F79BA">
        <w:rPr>
          <w:rStyle w:val="Appelnotedebasdep"/>
        </w:rPr>
        <w:footnoteReference w:id="2"/>
      </w:r>
      <w:r w:rsidR="005F79BA">
        <w:t xml:space="preserve"> et </w:t>
      </w:r>
      <w:proofErr w:type="gramStart"/>
      <w:r w:rsidR="005F79BA" w:rsidRPr="0001518E">
        <w:rPr>
          <w:i/>
        </w:rPr>
        <w:t>al</w:t>
      </w:r>
      <w:r w:rsidR="005F79BA">
        <w:t>.</w:t>
      </w:r>
      <w:r w:rsidR="0001518E">
        <w:t> ;</w:t>
      </w:r>
      <w:proofErr w:type="gramEnd"/>
      <w:r w:rsidR="005F79BA">
        <w:t xml:space="preserve"> </w:t>
      </w:r>
      <w:proofErr w:type="spellStart"/>
      <w:r>
        <w:t>Kholi</w:t>
      </w:r>
      <w:proofErr w:type="spellEnd"/>
      <w:r w:rsidR="005F79BA">
        <w:rPr>
          <w:rStyle w:val="Appelnotedebasdep"/>
        </w:rPr>
        <w:footnoteReference w:id="3"/>
      </w:r>
      <w:r>
        <w:t> ; …) ont utilisé ce paradigme pour analyser les transformations survenues depuis le 19</w:t>
      </w:r>
      <w:r w:rsidRPr="00F02723">
        <w:rPr>
          <w:vertAlign w:val="superscript"/>
        </w:rPr>
        <w:t>e</w:t>
      </w:r>
      <w:r>
        <w:t xml:space="preserve"> siècle </w:t>
      </w:r>
      <w:r w:rsidR="00D25C17">
        <w:t>dans les pays du Nord</w:t>
      </w:r>
      <w:r>
        <w:t>.</w:t>
      </w:r>
      <w:r w:rsidR="00D25C17">
        <w:t xml:space="preserve"> Ils mettent en évidence une première phase qui s’achève dans les années 1960. L</w:t>
      </w:r>
      <w:r>
        <w:t>’institutionnalisation et la standardisation des parcours de vie dominent dans les pays du Nord. Ainsi, l’interdiction du travail des enfants et l’obligation scolaire ont défini un âge minimum pour entrer dans la vie active. Les législations sur les pensions ont également fixé un âge de sortie du marché du travail et d’accès à la retraite. Il en a résulté progressivement des images de parcours relativement linéaires</w:t>
      </w:r>
      <w:r w:rsidR="0001518E">
        <w:t>, prévisibles</w:t>
      </w:r>
      <w:r>
        <w:t xml:space="preserve">. Les années 1970 marquent un changement, les parcours tendraient à devenir moins standardisés, linéaires et moins prévisibles. </w:t>
      </w:r>
      <w:r w:rsidR="0001518E">
        <w:t>L’allongement de la période de formation scolaire va ainsi perturber les calendriers de l</w:t>
      </w:r>
      <w:r>
        <w:t xml:space="preserve">’entrée sur le marché du travail </w:t>
      </w:r>
      <w:r w:rsidR="0001518E">
        <w:t>et de</w:t>
      </w:r>
      <w:r>
        <w:t xml:space="preserve"> l’entrée dans la vie adulte (décohabitation, mise en couple). Parallèlement, les modalités de sortie du marché du travail en fin de parcours professionnel se sont diversifiées (retraite, pré-retraite, mais aussi chômage de longue durée, congés maladies, …) et celle-ci survient à des âges plus variés. A cela s’ajoutent des limites de plus en plus floues avec des formations qui sont reprises après l’entrée dans la vie active et des parcours professionnels qui se prolongent à titre complémentaire au-delà de l’âge à la retraite légale. </w:t>
      </w:r>
    </w:p>
    <w:p w:rsidR="00E20B1A" w:rsidRDefault="00E20B1A" w:rsidP="00F02723">
      <w:pPr>
        <w:jc w:val="both"/>
      </w:pPr>
      <w:r>
        <w:t>L’intérêt de ce paradigme pour le démographe est de le mettre dans une posture qui lui est familière celle des approches longitudinales ou pour employer un langage typiquement démographique, celle des approches par cohortes. En outre, ce paradigme entend appréhender les vies individuelles dans leur complexité, analysant les interactions entre les différentes trajectoires, qu’elles soient familiales, professionnelles, scolaires, migratoires</w:t>
      </w:r>
      <w:r w:rsidR="00ED6C60">
        <w:t xml:space="preserve">, </w:t>
      </w:r>
      <w:r>
        <w:t xml:space="preserve">… en prenant en compte le contexte socio-historique dans lequel elles s’inscrivent. </w:t>
      </w:r>
      <w:r w:rsidR="0001518E">
        <w:t>Ces caractéristiques</w:t>
      </w:r>
      <w:r w:rsidR="005F79BA">
        <w:t xml:space="preserve"> se retrouve</w:t>
      </w:r>
      <w:r w:rsidR="0001518E">
        <w:t>nt</w:t>
      </w:r>
      <w:r w:rsidR="005F79BA">
        <w:t xml:space="preserve"> dans la plupart des textes repris dans cet ouvrage</w:t>
      </w:r>
      <w:r>
        <w:t>.</w:t>
      </w:r>
    </w:p>
    <w:p w:rsidR="00F02723" w:rsidRDefault="00295BBC" w:rsidP="00F02723">
      <w:pPr>
        <w:jc w:val="both"/>
      </w:pPr>
      <w:r>
        <w:t>L</w:t>
      </w:r>
      <w:r w:rsidR="00D25C17">
        <w:t>e paradigme des parcours de vie</w:t>
      </w:r>
      <w:r>
        <w:t xml:space="preserve"> </w:t>
      </w:r>
      <w:r w:rsidR="0001518E">
        <w:t xml:space="preserve">qui </w:t>
      </w:r>
      <w:r>
        <w:t xml:space="preserve">apparaît ici comme une </w:t>
      </w:r>
      <w:r w:rsidR="00D25C17">
        <w:t>grille de lecture du temps présent et de l’histoire contemporaine</w:t>
      </w:r>
      <w:r w:rsidR="0001518E">
        <w:t>,</w:t>
      </w:r>
      <w:r w:rsidR="00D25C17">
        <w:t xml:space="preserve"> est, dans le cadre de cet ouvrage, appliqué tant aux réalités des pays du Nord qu’à celles des pays du Sud. Ainsi, </w:t>
      </w:r>
      <w:r w:rsidR="00B43B34">
        <w:t>l</w:t>
      </w:r>
      <w:r w:rsidR="00D25C17">
        <w:t xml:space="preserve">es textes </w:t>
      </w:r>
      <w:r w:rsidR="00B43B34">
        <w:t xml:space="preserve">qui composent cet ouvrage, </w:t>
      </w:r>
      <w:r w:rsidR="00D25C17">
        <w:t>ouvrent la possibilité d’un dialogue épistémologique dans des contextes souvent perçus</w:t>
      </w:r>
      <w:r w:rsidR="00B43B34">
        <w:t xml:space="preserve"> comme diamétralement opposés.</w:t>
      </w:r>
    </w:p>
    <w:p w:rsidR="00B43B34" w:rsidRDefault="00B43B34" w:rsidP="00B43B34">
      <w:pPr>
        <w:jc w:val="both"/>
      </w:pPr>
      <w:r>
        <w:t xml:space="preserve">Ces textes </w:t>
      </w:r>
      <w:r w:rsidR="00ED6C60">
        <w:t xml:space="preserve">issus du </w:t>
      </w:r>
      <w:r w:rsidR="00ED6C60">
        <w:t xml:space="preserve">XVIIIe colloque de l’Association Internationale des Démographes de Langue Française </w:t>
      </w:r>
      <w:r w:rsidR="00ED6C60">
        <w:t xml:space="preserve">qui s’est tenu à </w:t>
      </w:r>
      <w:r w:rsidR="00ED6C60">
        <w:t>Bari</w:t>
      </w:r>
      <w:r w:rsidR="00ED6C60">
        <w:t xml:space="preserve">, en 2014, </w:t>
      </w:r>
      <w:r>
        <w:t xml:space="preserve">répondent aux attentes des organisateurs du colloque et des membres du comité scientifique qui entendaient offrir un espace « pour présenter des recherches innovantes, pour mieux articuler études du parcours de vie et analyses des dynamiques et systèmes démographiques ». </w:t>
      </w:r>
    </w:p>
    <w:p w:rsidR="00ED6C60" w:rsidRDefault="00ED6C60" w:rsidP="00ED6C60">
      <w:pPr>
        <w:jc w:val="both"/>
      </w:pPr>
      <w:r>
        <w:t>Toutefois, cet ouvrage ne constitue pas pour autant les actes du colloque. En effet, e</w:t>
      </w:r>
      <w:r>
        <w:t>n 2014, le bureau de l’AIDELF décidait d’abandonner le principe de la publication des actes pour se tourner vers la publication d’un ouvrage reprenant une sélection d’articles issus des travaux présentés. Suite à cette décision, un comité a entrepris un travail de relecture</w:t>
      </w:r>
      <w:r>
        <w:t>, de sélection.</w:t>
      </w:r>
      <w:bookmarkStart w:id="0" w:name="_GoBack"/>
      <w:bookmarkEnd w:id="0"/>
      <w:r>
        <w:t xml:space="preserve"> Les textes retenus furent renvoyés vers les auteurs avec des demandes de correction d’ampleur variable. Les auteurs retenus ont parfaitement joué le jeu, acceptant de remettre sur le métier des textes déjà travaillés voire retravaillés. Le présent ouvrage, important tant numériquement que qualitativement, portant sur la thématique des « trajectoires et âges de la vie », est donc bien le fruit du XVIIIe colloque de l’AIDELF tout en étant un peu plus. </w:t>
      </w:r>
    </w:p>
    <w:p w:rsidR="00DA49FD" w:rsidRDefault="00D25C17" w:rsidP="00D25C17">
      <w:pPr>
        <w:jc w:val="both"/>
      </w:pPr>
      <w:r>
        <w:t>L’appel à communication identifiait trois grandes thématiques : l’épistémologie des trajectoires et âges de la vie ; les âges de la vie et les transitions de vie</w:t>
      </w:r>
      <w:r w:rsidR="00E92FA3">
        <w:t> ;</w:t>
      </w:r>
      <w:r>
        <w:t xml:space="preserve"> à travers les âges de la vie </w:t>
      </w:r>
      <w:r w:rsidR="00E92FA3">
        <w:t>(</w:t>
      </w:r>
      <w:r>
        <w:t>trajectoires et structures, structures des trajectoires</w:t>
      </w:r>
      <w:r w:rsidR="00E92FA3">
        <w:t>)</w:t>
      </w:r>
      <w:r>
        <w:t>. Ces trois thèmes se retrouvent dans cet ouvrage mais n’en constituent pas explicitement la structure. En effet, ces trois thématiques se retrouvent imbriquées dans les différents textes. Certes, tel auteur insiste davantage sur la dimension épistémologique, tel autre s’intéresse un peu plus à la construction des différentes phases, des différents âges</w:t>
      </w:r>
      <w:r w:rsidR="0001518E">
        <w:t>,</w:t>
      </w:r>
      <w:r>
        <w:t xml:space="preserve"> mais</w:t>
      </w:r>
      <w:r w:rsidR="0001518E">
        <w:t>,</w:t>
      </w:r>
      <w:r>
        <w:t xml:space="preserve"> pour la plupart</w:t>
      </w:r>
      <w:r w:rsidR="0001518E">
        <w:t>,</w:t>
      </w:r>
      <w:r>
        <w:t xml:space="preserve"> avec ce point commun de confronter ce paradigme né en sociologie aux préoccupations des démographes qu’elles soient techniques ou thématiques. </w:t>
      </w:r>
    </w:p>
    <w:p w:rsidR="00DA49FD" w:rsidRDefault="0079700B" w:rsidP="00D25C17">
      <w:pPr>
        <w:jc w:val="both"/>
      </w:pPr>
      <w:r>
        <w:t xml:space="preserve">Les textes ont été regroupés selon </w:t>
      </w:r>
      <w:r w:rsidR="00DA49FD">
        <w:t>la logique</w:t>
      </w:r>
      <w:r>
        <w:t> </w:t>
      </w:r>
      <w:r w:rsidR="00DA49FD">
        <w:t xml:space="preserve">imposée par le titre de l’ouvrage </w:t>
      </w:r>
      <w:r>
        <w:t>: les trajectoires et les âges</w:t>
      </w:r>
      <w:r w:rsidR="00DA49FD">
        <w:t xml:space="preserve"> de la vie</w:t>
      </w:r>
      <w:r>
        <w:t>.</w:t>
      </w:r>
      <w:r w:rsidR="00DA49FD">
        <w:t xml:space="preserve"> Il présente un ensemble de qualité dans lequel nous invitons le lecteur à puiser immodérément pour alimenter ses propres réflexions, trouver des réponses à certaines questions et identifier des pistes de recherches originales et des éléments susceptibles de l’aider à avancer dans ses propres travaux. Nous remercions les auteurs pour leur patience et l’importance du travail accompli.</w:t>
      </w:r>
    </w:p>
    <w:sectPr w:rsidR="00DA49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9BA" w:rsidRDefault="005F79BA" w:rsidP="005F79BA">
      <w:pPr>
        <w:spacing w:after="0" w:line="240" w:lineRule="auto"/>
      </w:pPr>
      <w:r>
        <w:separator/>
      </w:r>
    </w:p>
  </w:endnote>
  <w:endnote w:type="continuationSeparator" w:id="0">
    <w:p w:rsidR="005F79BA" w:rsidRDefault="005F79BA" w:rsidP="005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9BA" w:rsidRDefault="005F79BA" w:rsidP="005F79BA">
      <w:pPr>
        <w:spacing w:after="0" w:line="240" w:lineRule="auto"/>
      </w:pPr>
      <w:r>
        <w:separator/>
      </w:r>
    </w:p>
  </w:footnote>
  <w:footnote w:type="continuationSeparator" w:id="0">
    <w:p w:rsidR="005F79BA" w:rsidRDefault="005F79BA" w:rsidP="005F79BA">
      <w:pPr>
        <w:spacing w:after="0" w:line="240" w:lineRule="auto"/>
      </w:pPr>
      <w:r>
        <w:continuationSeparator/>
      </w:r>
    </w:p>
  </w:footnote>
  <w:footnote w:id="1">
    <w:p w:rsidR="005F79BA" w:rsidRPr="005F79BA" w:rsidRDefault="005F79BA" w:rsidP="005F79BA">
      <w:pPr>
        <w:spacing w:after="0"/>
        <w:ind w:left="426" w:hanging="426"/>
        <w:rPr>
          <w:lang w:val="en-US"/>
        </w:rPr>
      </w:pPr>
      <w:r>
        <w:rPr>
          <w:rStyle w:val="Appelnotedebasdep"/>
        </w:rPr>
        <w:footnoteRef/>
      </w:r>
      <w:r w:rsidRPr="00B43B34">
        <w:rPr>
          <w:lang w:val="en-US"/>
        </w:rPr>
        <w:t xml:space="preserve"> </w:t>
      </w:r>
      <w:r w:rsidRPr="005224B0">
        <w:rPr>
          <w:lang w:val="en-US"/>
        </w:rPr>
        <w:t xml:space="preserve">Elder, G.H., 1998, </w:t>
      </w:r>
      <w:r w:rsidRPr="005224B0">
        <w:rPr>
          <w:i/>
          <w:lang w:val="en-US"/>
        </w:rPr>
        <w:t>Children of the great depression: social change and life experience</w:t>
      </w:r>
      <w:r w:rsidRPr="005224B0">
        <w:rPr>
          <w:lang w:val="en-US"/>
        </w:rPr>
        <w:t>, Westview press, New York, 25th anniversary, Updated, 470 p.</w:t>
      </w:r>
    </w:p>
  </w:footnote>
  <w:footnote w:id="2">
    <w:p w:rsidR="005F79BA" w:rsidRDefault="005F79BA">
      <w:pPr>
        <w:pStyle w:val="Notedebasdepage"/>
      </w:pPr>
      <w:r>
        <w:rPr>
          <w:rStyle w:val="Appelnotedebasdep"/>
        </w:rPr>
        <w:footnoteRef/>
      </w:r>
      <w:r>
        <w:t xml:space="preserve"> </w:t>
      </w:r>
      <w:r w:rsidRPr="005224B0">
        <w:rPr>
          <w:rFonts w:cs="Arial"/>
          <w:color w:val="000000"/>
        </w:rPr>
        <w:t xml:space="preserve">Sapin M., </w:t>
      </w:r>
      <w:proofErr w:type="spellStart"/>
      <w:r w:rsidRPr="005224B0">
        <w:rPr>
          <w:rFonts w:cs="Arial"/>
          <w:color w:val="000000"/>
        </w:rPr>
        <w:t>Spini</w:t>
      </w:r>
      <w:proofErr w:type="spellEnd"/>
      <w:r w:rsidRPr="005224B0">
        <w:rPr>
          <w:rFonts w:cs="Arial"/>
          <w:color w:val="000000"/>
        </w:rPr>
        <w:t xml:space="preserve"> D. et Widmer E., 2007, </w:t>
      </w:r>
      <w:r w:rsidRPr="005224B0">
        <w:rPr>
          <w:rFonts w:cs="Arial"/>
          <w:i/>
          <w:iCs/>
          <w:color w:val="000000"/>
        </w:rPr>
        <w:t>Les parc</w:t>
      </w:r>
      <w:r w:rsidRPr="005224B0">
        <w:rPr>
          <w:rFonts w:cs="Arial,Italic"/>
          <w:i/>
          <w:iCs/>
          <w:color w:val="000000"/>
        </w:rPr>
        <w:t>ours de vie. De l’adolescence au grand âge</w:t>
      </w:r>
      <w:r w:rsidRPr="005224B0">
        <w:rPr>
          <w:rFonts w:cs="Arial"/>
          <w:color w:val="000000"/>
        </w:rPr>
        <w:t>, Lausanne, 135 p.</w:t>
      </w:r>
    </w:p>
  </w:footnote>
  <w:footnote w:id="3">
    <w:p w:rsidR="005F79BA" w:rsidRDefault="005F79BA">
      <w:pPr>
        <w:pStyle w:val="Notedebasdepage"/>
      </w:pPr>
      <w:r>
        <w:rPr>
          <w:rStyle w:val="Appelnotedebasdep"/>
        </w:rPr>
        <w:footnoteRef/>
      </w:r>
      <w:r w:rsidRPr="00B43B34">
        <w:rPr>
          <w:lang w:val="en-US"/>
        </w:rPr>
        <w:t xml:space="preserve"> </w:t>
      </w:r>
      <w:proofErr w:type="spellStart"/>
      <w:r w:rsidRPr="005224B0">
        <w:rPr>
          <w:rFonts w:cs="Arial"/>
          <w:color w:val="000000"/>
          <w:lang w:val="en-US"/>
        </w:rPr>
        <w:t>Kohli</w:t>
      </w:r>
      <w:proofErr w:type="spellEnd"/>
      <w:r w:rsidRPr="005224B0">
        <w:rPr>
          <w:rFonts w:cs="Arial"/>
          <w:color w:val="000000"/>
          <w:lang w:val="en-US"/>
        </w:rPr>
        <w:t xml:space="preserve"> M., 1986, « The world we </w:t>
      </w:r>
      <w:proofErr w:type="gramStart"/>
      <w:r w:rsidRPr="005224B0">
        <w:rPr>
          <w:rFonts w:cs="Arial"/>
          <w:color w:val="000000"/>
          <w:lang w:val="en-US"/>
        </w:rPr>
        <w:t>forgot :</w:t>
      </w:r>
      <w:proofErr w:type="gramEnd"/>
      <w:r w:rsidRPr="005224B0">
        <w:rPr>
          <w:rFonts w:cs="Arial"/>
          <w:color w:val="000000"/>
          <w:lang w:val="en-US"/>
        </w:rPr>
        <w:t xml:space="preserve"> a historical review of life course », V.W. Marshall (Ed.), </w:t>
      </w:r>
      <w:r w:rsidRPr="005224B0">
        <w:rPr>
          <w:rFonts w:cs="Arial"/>
          <w:i/>
          <w:iCs/>
          <w:color w:val="000000"/>
          <w:lang w:val="en-US"/>
        </w:rPr>
        <w:t xml:space="preserve">Later life. </w:t>
      </w:r>
      <w:r w:rsidRPr="005224B0">
        <w:rPr>
          <w:rFonts w:cs="Arial"/>
          <w:i/>
          <w:iCs/>
          <w:color w:val="000000"/>
        </w:rPr>
        <w:t xml:space="preserve">The social </w:t>
      </w:r>
      <w:proofErr w:type="spellStart"/>
      <w:r w:rsidRPr="005224B0">
        <w:rPr>
          <w:rFonts w:cs="Arial"/>
          <w:i/>
          <w:iCs/>
          <w:color w:val="000000"/>
        </w:rPr>
        <w:t>psychology</w:t>
      </w:r>
      <w:proofErr w:type="spellEnd"/>
      <w:r w:rsidRPr="005224B0">
        <w:rPr>
          <w:rFonts w:cs="Arial"/>
          <w:i/>
          <w:iCs/>
          <w:color w:val="000000"/>
        </w:rPr>
        <w:t xml:space="preserve"> of </w:t>
      </w:r>
      <w:proofErr w:type="spellStart"/>
      <w:r w:rsidRPr="005224B0">
        <w:rPr>
          <w:rFonts w:cs="Arial"/>
          <w:i/>
          <w:iCs/>
          <w:color w:val="000000"/>
        </w:rPr>
        <w:t>aging</w:t>
      </w:r>
      <w:proofErr w:type="spellEnd"/>
      <w:r w:rsidRPr="005224B0">
        <w:rPr>
          <w:rFonts w:cs="Arial"/>
          <w:color w:val="000000"/>
        </w:rPr>
        <w:t>, Londres, p. 271-303.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F30F5"/>
    <w:multiLevelType w:val="hybridMultilevel"/>
    <w:tmpl w:val="D69476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74C"/>
    <w:rsid w:val="0001518E"/>
    <w:rsid w:val="002508B7"/>
    <w:rsid w:val="002953F3"/>
    <w:rsid w:val="00295BBC"/>
    <w:rsid w:val="003247B6"/>
    <w:rsid w:val="005F79BA"/>
    <w:rsid w:val="0073395C"/>
    <w:rsid w:val="00775EED"/>
    <w:rsid w:val="0079700B"/>
    <w:rsid w:val="007B79C3"/>
    <w:rsid w:val="00B43B34"/>
    <w:rsid w:val="00D1574C"/>
    <w:rsid w:val="00D2549A"/>
    <w:rsid w:val="00D25C17"/>
    <w:rsid w:val="00D31D3B"/>
    <w:rsid w:val="00DA49FD"/>
    <w:rsid w:val="00DB3FFF"/>
    <w:rsid w:val="00E20B1A"/>
    <w:rsid w:val="00E92FA3"/>
    <w:rsid w:val="00EB3551"/>
    <w:rsid w:val="00ED6C60"/>
    <w:rsid w:val="00F02723"/>
    <w:rsid w:val="00F21A64"/>
    <w:rsid w:val="00FE6E2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09D13-5354-4585-A98D-2A77FF88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E2B"/>
    <w:pPr>
      <w:ind w:left="720"/>
      <w:contextualSpacing/>
    </w:pPr>
  </w:style>
  <w:style w:type="paragraph" w:customStyle="1" w:styleId="INDTitreNiv03">
    <w:name w:val="IND_TitreNiv03"/>
    <w:next w:val="Normal"/>
    <w:uiPriority w:val="1"/>
    <w:qFormat/>
    <w:rsid w:val="00F21A64"/>
    <w:pPr>
      <w:spacing w:before="360" w:after="240"/>
    </w:pPr>
    <w:rPr>
      <w:rFonts w:ascii="Arial" w:eastAsia="Arial" w:hAnsi="Arial"/>
      <w:color w:val="5497B7"/>
      <w:w w:val="75"/>
      <w:sz w:val="36"/>
      <w:szCs w:val="50"/>
      <w:lang w:val="en-US"/>
    </w:rPr>
  </w:style>
  <w:style w:type="paragraph" w:styleId="Textedebulles">
    <w:name w:val="Balloon Text"/>
    <w:basedOn w:val="Normal"/>
    <w:link w:val="TextedebullesCar"/>
    <w:uiPriority w:val="99"/>
    <w:semiHidden/>
    <w:unhideWhenUsed/>
    <w:rsid w:val="002508B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08B7"/>
    <w:rPr>
      <w:rFonts w:ascii="Segoe UI" w:hAnsi="Segoe UI" w:cs="Segoe UI"/>
      <w:sz w:val="18"/>
      <w:szCs w:val="18"/>
    </w:rPr>
  </w:style>
  <w:style w:type="paragraph" w:styleId="Notedebasdepage">
    <w:name w:val="footnote text"/>
    <w:basedOn w:val="Normal"/>
    <w:link w:val="NotedebasdepageCar"/>
    <w:uiPriority w:val="99"/>
    <w:semiHidden/>
    <w:unhideWhenUsed/>
    <w:rsid w:val="005F79B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F79BA"/>
    <w:rPr>
      <w:sz w:val="20"/>
      <w:szCs w:val="20"/>
    </w:rPr>
  </w:style>
  <w:style w:type="character" w:styleId="Appelnotedebasdep">
    <w:name w:val="footnote reference"/>
    <w:basedOn w:val="Policepardfaut"/>
    <w:uiPriority w:val="99"/>
    <w:semiHidden/>
    <w:unhideWhenUsed/>
    <w:rsid w:val="005F79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F2258-A049-4E9C-A634-DB054CBD6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Pages>
  <Words>797</Words>
  <Characters>4387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Sanderson</dc:creator>
  <cp:keywords/>
  <dc:description/>
  <cp:lastModifiedBy>Jean-Paul Sanderson</cp:lastModifiedBy>
  <cp:revision>8</cp:revision>
  <cp:lastPrinted>2016-12-09T11:16:00Z</cp:lastPrinted>
  <dcterms:created xsi:type="dcterms:W3CDTF">2016-12-09T09:38:00Z</dcterms:created>
  <dcterms:modified xsi:type="dcterms:W3CDTF">2016-12-16T16:14:00Z</dcterms:modified>
</cp:coreProperties>
</file>