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C78BC" w:rsidRPr="001E73CD" w:rsidRDefault="00AC78BC" w:rsidP="00460FB3">
      <w:pPr>
        <w:spacing w:after="0"/>
        <w:jc w:val="center"/>
        <w:rPr>
          <w:b/>
          <w:sz w:val="24"/>
        </w:rPr>
      </w:pPr>
      <w:r w:rsidRPr="001E73CD">
        <w:rPr>
          <w:b/>
          <w:sz w:val="24"/>
          <w:lang w:val="fr-FR"/>
        </w:rPr>
        <w:t>De la consultation à l’</w:t>
      </w:r>
      <w:r w:rsidRPr="001E73CD">
        <w:rPr>
          <w:b/>
          <w:i/>
          <w:iCs/>
          <w:sz w:val="24"/>
          <w:lang w:val="fr-FR"/>
        </w:rPr>
        <w:t xml:space="preserve">Instrumentum </w:t>
      </w:r>
      <w:proofErr w:type="spellStart"/>
      <w:r w:rsidRPr="001E73CD">
        <w:rPr>
          <w:b/>
          <w:i/>
          <w:iCs/>
          <w:sz w:val="24"/>
          <w:lang w:val="fr-FR"/>
        </w:rPr>
        <w:t>laboris</w:t>
      </w:r>
      <w:proofErr w:type="spellEnd"/>
      <w:r w:rsidRPr="001E73CD">
        <w:rPr>
          <w:b/>
          <w:i/>
          <w:iCs/>
          <w:sz w:val="24"/>
          <w:lang w:val="fr-FR"/>
        </w:rPr>
        <w:t xml:space="preserve"> </w:t>
      </w:r>
      <w:r w:rsidRPr="001E73CD">
        <w:rPr>
          <w:b/>
          <w:sz w:val="24"/>
          <w:lang w:val="fr-FR"/>
        </w:rPr>
        <w:t>dans les synodes diocésains.</w:t>
      </w:r>
    </w:p>
    <w:p w:rsidR="00AC78BC" w:rsidRPr="001E73CD" w:rsidRDefault="00AC78BC" w:rsidP="001E73CD">
      <w:pPr>
        <w:jc w:val="center"/>
        <w:rPr>
          <w:b/>
          <w:sz w:val="24"/>
        </w:rPr>
      </w:pPr>
      <w:r w:rsidRPr="001E73CD">
        <w:rPr>
          <w:b/>
          <w:sz w:val="24"/>
          <w:lang w:val="fr-FR"/>
        </w:rPr>
        <w:t>Typologie des processus et perspectives</w:t>
      </w:r>
    </w:p>
    <w:p w:rsidR="00CA6BAB" w:rsidRPr="00CA6BAB" w:rsidRDefault="00CA6BAB" w:rsidP="0048587A">
      <w:pPr>
        <w:rPr>
          <w:b/>
        </w:rPr>
      </w:pPr>
      <w:proofErr w:type="gramStart"/>
      <w:r w:rsidRPr="00CA6BAB">
        <w:rPr>
          <w:b/>
        </w:rPr>
        <w:t>résumé</w:t>
      </w:r>
      <w:proofErr w:type="gramEnd"/>
    </w:p>
    <w:p w:rsidR="00CA6BAB" w:rsidRPr="00DB29E7" w:rsidRDefault="00DB29E7" w:rsidP="0048587A">
      <w:r>
        <w:t xml:space="preserve">Les synodes diocésains sont devenus des processus commençant la plupart du temps par de vastes consultations des catholiques du diocèse. Ces réponses ainsi que les réflexions des équipes synodales servent de matériaux pour les assemblées synodales proprement dites. Elles constituent plus ou moins formellement des </w:t>
      </w:r>
      <w:r w:rsidR="00AC5E4A">
        <w:rPr>
          <w:i/>
        </w:rPr>
        <w:t>I</w:t>
      </w:r>
      <w:r>
        <w:rPr>
          <w:i/>
        </w:rPr>
        <w:t xml:space="preserve">nstrumentum </w:t>
      </w:r>
      <w:proofErr w:type="spellStart"/>
      <w:r>
        <w:rPr>
          <w:i/>
        </w:rPr>
        <w:t>laboris</w:t>
      </w:r>
      <w:proofErr w:type="spellEnd"/>
      <w:r>
        <w:rPr>
          <w:i/>
        </w:rPr>
        <w:t xml:space="preserve"> </w:t>
      </w:r>
      <w:r>
        <w:t xml:space="preserve">selon la terminologie romaine. Or passer des consultations aux documents rédigés ne va pas de soi et pose de nombreuses difficultés. En étudiant des sources </w:t>
      </w:r>
      <w:r w:rsidR="00AC5E4A">
        <w:t>émanant de</w:t>
      </w:r>
      <w:r>
        <w:t xml:space="preserve"> plusieurs synodes de par le monde, cet article esquisse une typologie. Cela permet de dégager des enseignements </w:t>
      </w:r>
      <w:r w:rsidR="008573FD">
        <w:t xml:space="preserve">à retenir pour les futurs synodes diocésains, et dès à présent pour la </w:t>
      </w:r>
      <w:r w:rsidR="002E64A5">
        <w:t xml:space="preserve">première </w:t>
      </w:r>
      <w:r w:rsidR="008573FD">
        <w:t>phase du synode romain des évêques sur la synodalité.</w:t>
      </w:r>
      <w:r>
        <w:t xml:space="preserve"> </w:t>
      </w:r>
    </w:p>
    <w:p w:rsidR="00CA6BAB" w:rsidRDefault="00CA6BAB" w:rsidP="0048587A">
      <w:pPr>
        <w:rPr>
          <w:b/>
        </w:rPr>
      </w:pPr>
      <w:proofErr w:type="gramStart"/>
      <w:r w:rsidRPr="00CA6BAB">
        <w:rPr>
          <w:b/>
        </w:rPr>
        <w:t>mots</w:t>
      </w:r>
      <w:proofErr w:type="gramEnd"/>
      <w:r w:rsidRPr="00CA6BAB">
        <w:rPr>
          <w:b/>
        </w:rPr>
        <w:t xml:space="preserve"> clés</w:t>
      </w:r>
    </w:p>
    <w:p w:rsidR="005D12D8" w:rsidRPr="00DB29E7" w:rsidRDefault="00262BCA" w:rsidP="0048587A">
      <w:proofErr w:type="gramStart"/>
      <w:r w:rsidRPr="00DB29E7">
        <w:t>synodalité</w:t>
      </w:r>
      <w:proofErr w:type="gramEnd"/>
      <w:r w:rsidRPr="00DB29E7">
        <w:t xml:space="preserve">, </w:t>
      </w:r>
      <w:r w:rsidR="005D12D8" w:rsidRPr="00DB29E7">
        <w:t xml:space="preserve">synode diocésain, instrumentum </w:t>
      </w:r>
      <w:proofErr w:type="spellStart"/>
      <w:r w:rsidR="005D12D8" w:rsidRPr="00DB29E7">
        <w:t>laboris</w:t>
      </w:r>
      <w:proofErr w:type="spellEnd"/>
      <w:r w:rsidR="005D12D8" w:rsidRPr="00DB29E7">
        <w:t>, ecclésiologie, consultation</w:t>
      </w:r>
    </w:p>
    <w:p w:rsidR="00CA6BAB" w:rsidRDefault="00CA6BAB" w:rsidP="0048587A"/>
    <w:p w:rsidR="00CA6BAB" w:rsidRDefault="00CA6BAB" w:rsidP="00CA6BAB">
      <w:pPr>
        <w:jc w:val="center"/>
      </w:pPr>
      <w:r>
        <w:t>*</w:t>
      </w:r>
      <w:r>
        <w:tab/>
        <w:t>*</w:t>
      </w:r>
      <w:r>
        <w:tab/>
        <w:t>*</w:t>
      </w:r>
    </w:p>
    <w:p w:rsidR="00861E45" w:rsidRPr="00861E45" w:rsidRDefault="00861E45" w:rsidP="0048587A">
      <w:r w:rsidRPr="00861E45">
        <w:t xml:space="preserve">Le synode romain sur la synodalité, ouvert le 11 octobre 2021 à Rome est sans conteste une nouveauté en raison de plusieurs éléments dont la phase locale diocésaine clôturée avant l’été 2022. Les diocèses sont donc sollicités pour mener une consultation la plus large possible et en rédiger une synthèse. Les 115 conférences épiscopales doivent ensuite rédiger leur rapport, à partir desquels un premier </w:t>
      </w:r>
      <w:r w:rsidR="002D2479">
        <w:rPr>
          <w:i/>
        </w:rPr>
        <w:t>I</w:t>
      </w:r>
      <w:r w:rsidRPr="00861E45">
        <w:rPr>
          <w:i/>
        </w:rPr>
        <w:t xml:space="preserve">nstrumentum </w:t>
      </w:r>
      <w:proofErr w:type="spellStart"/>
      <w:r w:rsidRPr="00861E45">
        <w:rPr>
          <w:i/>
        </w:rPr>
        <w:t>laboris</w:t>
      </w:r>
      <w:proofErr w:type="spellEnd"/>
      <w:r w:rsidRPr="00861E45">
        <w:rPr>
          <w:i/>
        </w:rPr>
        <w:t xml:space="preserve"> </w:t>
      </w:r>
      <w:r w:rsidR="002D2479">
        <w:t xml:space="preserve">(document de travail) </w:t>
      </w:r>
      <w:r w:rsidR="00F57865">
        <w:t>est</w:t>
      </w:r>
      <w:r w:rsidRPr="00861E45">
        <w:t xml:space="preserve"> élaboré et publié. L’Église catholique est ici confrontée à une procédure inédite pour passer de la consultation des fidèles au niveau local à un document universel</w:t>
      </w:r>
      <w:r w:rsidR="00457752">
        <w:t xml:space="preserve"> en vue d’un travail de discernement ultérieur</w:t>
      </w:r>
      <w:r w:rsidRPr="00861E45">
        <w:t xml:space="preserve">. Les consultations menées lors des précédents synodes des évêques ne déployaient pas ce niveau local. Elles sont </w:t>
      </w:r>
      <w:r w:rsidR="00F57865">
        <w:t>désormais</w:t>
      </w:r>
      <w:r w:rsidRPr="00861E45">
        <w:t xml:space="preserve"> exigées par la constitution apostolique </w:t>
      </w:r>
      <w:proofErr w:type="spellStart"/>
      <w:r w:rsidRPr="00861E45">
        <w:rPr>
          <w:i/>
        </w:rPr>
        <w:t>Episcopalis</w:t>
      </w:r>
      <w:proofErr w:type="spellEnd"/>
      <w:r w:rsidRPr="00861E45">
        <w:rPr>
          <w:i/>
        </w:rPr>
        <w:t xml:space="preserve"> </w:t>
      </w:r>
      <w:proofErr w:type="spellStart"/>
      <w:r w:rsidRPr="00861E45">
        <w:rPr>
          <w:i/>
        </w:rPr>
        <w:t>communio</w:t>
      </w:r>
      <w:proofErr w:type="spellEnd"/>
      <w:r w:rsidRPr="00861E45">
        <w:t xml:space="preserve"> (15/9/2018)</w:t>
      </w:r>
      <w:r w:rsidR="000B3AA1">
        <w:rPr>
          <w:rStyle w:val="Appelnotedebasdep"/>
        </w:rPr>
        <w:footnoteReference w:id="1"/>
      </w:r>
      <w:r w:rsidRPr="00861E45">
        <w:t>. Se posent alors</w:t>
      </w:r>
      <w:r>
        <w:t xml:space="preserve"> plusieurs questions</w:t>
      </w:r>
      <w:r w:rsidR="00457752">
        <w:t xml:space="preserve"> de </w:t>
      </w:r>
      <w:r>
        <w:t>méthode</w:t>
      </w:r>
      <w:r w:rsidR="00457752">
        <w:t>.</w:t>
      </w:r>
      <w:r w:rsidR="005D020A">
        <w:t xml:space="preserve"> </w:t>
      </w:r>
      <w:r w:rsidR="00457752">
        <w:t>U</w:t>
      </w:r>
      <w:r w:rsidR="005D020A">
        <w:t>ne commission de méthodologie a été créée spécialement pour tenter de les résoudre</w:t>
      </w:r>
      <w:r w:rsidR="005D020A">
        <w:rPr>
          <w:rStyle w:val="Appelnotedebasdep"/>
        </w:rPr>
        <w:footnoteReference w:id="2"/>
      </w:r>
      <w:r w:rsidR="005D020A">
        <w:t>.</w:t>
      </w:r>
      <w:r w:rsidRPr="00861E45">
        <w:t xml:space="preserve"> </w:t>
      </w:r>
    </w:p>
    <w:p w:rsidR="00B0679F" w:rsidRDefault="005D020A" w:rsidP="0048587A">
      <w:r>
        <w:t>Si cette phase locale est nouvelle dans le cadre d</w:t>
      </w:r>
      <w:r w:rsidR="00CA6BAB">
        <w:t>u</w:t>
      </w:r>
      <w:r>
        <w:t xml:space="preserve"> processus des synodes romains, les diocèses ne sont pas pour autant totalement dépourvus d’expérience.</w:t>
      </w:r>
      <w:r w:rsidR="00F57865">
        <w:t xml:space="preserve"> Un grand nombre d’entre eux ont célébré des synodes diocésains ou tenu des assemblées de type synodale. Il y eut souvent, presque toujours, des consultations initiales et des travaux d’équipes locales en vue de préparer ce qui serait discuté dans les assemblées proprement dites. Un « savoir-faire » a don</w:t>
      </w:r>
      <w:r w:rsidR="00457752">
        <w:t>c</w:t>
      </w:r>
      <w:r w:rsidR="00F57865">
        <w:t xml:space="preserve"> été développé depuis plusieurs décennies, entre hésitations, </w:t>
      </w:r>
      <w:r w:rsidR="00CA6BAB">
        <w:t>difficultés</w:t>
      </w:r>
      <w:r w:rsidR="00F57865">
        <w:t xml:space="preserve"> et réussites</w:t>
      </w:r>
      <w:r w:rsidR="00E06ECC">
        <w:t>. Tel est l’objet de la présente recherche, fondé</w:t>
      </w:r>
      <w:r w:rsidR="00CA6BAB">
        <w:t>e</w:t>
      </w:r>
      <w:r w:rsidR="00E06ECC">
        <w:t xml:space="preserve"> sur une étude des sources.</w:t>
      </w:r>
      <w:r w:rsidR="0096237C">
        <w:t xml:space="preserve"> Dès que </w:t>
      </w:r>
      <w:r w:rsidR="000F57AF">
        <w:t>nous essayons</w:t>
      </w:r>
      <w:r w:rsidR="0096237C">
        <w:t xml:space="preserve"> une approche globale des synodes diocésains, nous sommes confrontés à la quantité des processus, mais aussi</w:t>
      </w:r>
      <w:r w:rsidR="00CA6BAB">
        <w:t xml:space="preserve"> à</w:t>
      </w:r>
      <w:r w:rsidR="0096237C">
        <w:t xml:space="preserve"> leur diversité, </w:t>
      </w:r>
      <w:r w:rsidR="001E73CD">
        <w:t>la multiplicité des langues et</w:t>
      </w:r>
      <w:r w:rsidR="0096237C">
        <w:t xml:space="preserve"> la rareté des sources </w:t>
      </w:r>
      <w:r w:rsidR="00457752">
        <w:t xml:space="preserve">aisément accessibles, </w:t>
      </w:r>
      <w:r w:rsidR="0096237C">
        <w:t xml:space="preserve">autres que les Actes synodaux. </w:t>
      </w:r>
      <w:r w:rsidR="009522C3">
        <w:t xml:space="preserve">Ici, les références aux </w:t>
      </w:r>
      <w:r w:rsidR="00C51314">
        <w:t>3</w:t>
      </w:r>
      <w:r w:rsidR="00271125">
        <w:t>8</w:t>
      </w:r>
      <w:r w:rsidR="001E73CD">
        <w:t xml:space="preserve"> </w:t>
      </w:r>
      <w:r w:rsidR="009522C3">
        <w:lastRenderedPageBreak/>
        <w:t>synodes</w:t>
      </w:r>
      <w:r w:rsidR="00446F6B">
        <w:t xml:space="preserve"> et</w:t>
      </w:r>
      <w:r w:rsidR="001E73CD">
        <w:t xml:space="preserve"> </w:t>
      </w:r>
      <w:r w:rsidR="00271125">
        <w:t>21</w:t>
      </w:r>
      <w:r w:rsidR="001E73CD">
        <w:t xml:space="preserve"> pays</w:t>
      </w:r>
      <w:r w:rsidR="009522C3">
        <w:t xml:space="preserve"> </w:t>
      </w:r>
      <w:r w:rsidR="001E73CD">
        <w:t xml:space="preserve">pris en exemple </w:t>
      </w:r>
      <w:r w:rsidR="009522C3">
        <w:t xml:space="preserve">correspondent à des documents </w:t>
      </w:r>
      <w:r w:rsidR="00446F6B">
        <w:t>de première main</w:t>
      </w:r>
      <w:r w:rsidR="00CA6BAB">
        <w:rPr>
          <w:rStyle w:val="Appelnotedebasdep"/>
        </w:rPr>
        <w:footnoteReference w:id="3"/>
      </w:r>
      <w:r w:rsidR="009522C3">
        <w:t>.</w:t>
      </w:r>
      <w:r w:rsidR="00E06ECC">
        <w:t xml:space="preserve"> L’abondante littérature sur les synodes et la synodalité contient d’ailleurs peu de publications à partir des sources synodales diocésaines</w:t>
      </w:r>
      <w:r w:rsidR="00E06ECC">
        <w:rPr>
          <w:rStyle w:val="Appelnotedebasdep"/>
        </w:rPr>
        <w:footnoteReference w:id="4"/>
      </w:r>
      <w:r w:rsidR="00E06ECC">
        <w:t>.</w:t>
      </w:r>
    </w:p>
    <w:p w:rsidR="00AC78BC" w:rsidRDefault="00B0679F" w:rsidP="0048587A">
      <w:pPr>
        <w:rPr>
          <w:lang w:val="fr-FR"/>
        </w:rPr>
      </w:pPr>
      <w:r>
        <w:t xml:space="preserve">En préalable, </w:t>
      </w:r>
      <w:r w:rsidR="00506DAA">
        <w:t>il convient de relever quatre</w:t>
      </w:r>
      <w:r>
        <w:t xml:space="preserve"> nouveautés importantes pour notre sujet, conséquences de la valorisation du sacerdoce commun de tous les baptisés. </w:t>
      </w:r>
      <w:r w:rsidR="00AC78BC" w:rsidRPr="00AC78BC">
        <w:rPr>
          <w:lang w:val="fr-FR"/>
        </w:rPr>
        <w:t xml:space="preserve">Deux </w:t>
      </w:r>
      <w:r>
        <w:rPr>
          <w:lang w:val="fr-FR"/>
        </w:rPr>
        <w:t xml:space="preserve">sont </w:t>
      </w:r>
      <w:r w:rsidR="00AC78BC" w:rsidRPr="00AC78BC">
        <w:rPr>
          <w:lang w:val="fr-FR"/>
        </w:rPr>
        <w:t xml:space="preserve">des </w:t>
      </w:r>
      <w:r w:rsidR="00AC78BC" w:rsidRPr="00506DAA">
        <w:rPr>
          <w:bCs/>
          <w:lang w:val="fr-FR"/>
        </w:rPr>
        <w:t>nouveautés formelles</w:t>
      </w:r>
      <w:r w:rsidR="00AC78BC" w:rsidRPr="00AC78BC">
        <w:rPr>
          <w:b/>
          <w:bCs/>
          <w:lang w:val="fr-FR"/>
        </w:rPr>
        <w:t xml:space="preserve"> </w:t>
      </w:r>
      <w:r w:rsidR="00AC78BC" w:rsidRPr="00AC78BC">
        <w:rPr>
          <w:lang w:val="fr-FR"/>
        </w:rPr>
        <w:t>liées au concile Vatican II</w:t>
      </w:r>
      <w:r>
        <w:rPr>
          <w:lang w:val="fr-FR"/>
        </w:rPr>
        <w:t>. Dans les</w:t>
      </w:r>
      <w:r w:rsidR="00AC78BC" w:rsidRPr="00AC78BC">
        <w:rPr>
          <w:lang w:val="fr-FR"/>
        </w:rPr>
        <w:t xml:space="preserve"> synodes diocésains</w:t>
      </w:r>
      <w:r>
        <w:rPr>
          <w:lang w:val="fr-FR"/>
        </w:rPr>
        <w:t xml:space="preserve">, est désormais </w:t>
      </w:r>
      <w:r w:rsidR="00506DAA">
        <w:rPr>
          <w:lang w:val="fr-FR"/>
        </w:rPr>
        <w:t>effective</w:t>
      </w:r>
      <w:r>
        <w:rPr>
          <w:lang w:val="fr-FR"/>
        </w:rPr>
        <w:t xml:space="preserve"> la </w:t>
      </w:r>
      <w:r w:rsidR="00AC78BC" w:rsidRPr="00AC78BC">
        <w:rPr>
          <w:lang w:val="fr-FR"/>
        </w:rPr>
        <w:t>participation de baptisés non ordonnés, comme membres de droit ou membres invités</w:t>
      </w:r>
      <w:r>
        <w:rPr>
          <w:lang w:val="fr-FR"/>
        </w:rPr>
        <w:t xml:space="preserve"> (can. </w:t>
      </w:r>
      <w:r w:rsidR="00506DAA">
        <w:rPr>
          <w:lang w:val="fr-FR"/>
        </w:rPr>
        <w:t>463</w:t>
      </w:r>
      <w:r>
        <w:rPr>
          <w:lang w:val="fr-FR"/>
        </w:rPr>
        <w:t xml:space="preserve">). Une </w:t>
      </w:r>
      <w:r w:rsidR="00506DAA">
        <w:rPr>
          <w:lang w:val="fr-FR"/>
        </w:rPr>
        <w:t xml:space="preserve">seule </w:t>
      </w:r>
      <w:r w:rsidR="00AC78BC" w:rsidRPr="00AC78BC">
        <w:rPr>
          <w:lang w:val="fr-FR"/>
        </w:rPr>
        <w:t xml:space="preserve">obligation de consultation </w:t>
      </w:r>
      <w:r>
        <w:rPr>
          <w:lang w:val="fr-FR"/>
        </w:rPr>
        <w:t xml:space="preserve">existe avant toute convocation d’un synode, celle </w:t>
      </w:r>
      <w:r w:rsidR="00AC78BC" w:rsidRPr="00AC78BC">
        <w:rPr>
          <w:lang w:val="fr-FR"/>
        </w:rPr>
        <w:t xml:space="preserve">du conseil presbytéral </w:t>
      </w:r>
      <w:r>
        <w:rPr>
          <w:lang w:val="fr-FR"/>
        </w:rPr>
        <w:t xml:space="preserve">(can. </w:t>
      </w:r>
      <w:r w:rsidR="00506DAA">
        <w:rPr>
          <w:lang w:val="fr-FR"/>
        </w:rPr>
        <w:t>461 § 1</w:t>
      </w:r>
      <w:r>
        <w:rPr>
          <w:lang w:val="fr-FR"/>
        </w:rPr>
        <w:t>). Mais c’est surtout la pratique des synodes postconciliaires qui a ancré dans les processus des consultations larges, comme à</w:t>
      </w:r>
      <w:r w:rsidRPr="00AC78BC">
        <w:rPr>
          <w:lang w:val="fr-FR"/>
        </w:rPr>
        <w:t xml:space="preserve"> </w:t>
      </w:r>
      <w:r>
        <w:rPr>
          <w:lang w:val="fr-FR"/>
        </w:rPr>
        <w:t>Detroit 1969</w:t>
      </w:r>
      <w:r w:rsidR="00DA7A43">
        <w:rPr>
          <w:lang w:val="fr-FR"/>
        </w:rPr>
        <w:t xml:space="preserve"> aux États-Unis </w:t>
      </w:r>
      <w:r>
        <w:rPr>
          <w:lang w:val="fr-FR"/>
        </w:rPr>
        <w:t xml:space="preserve">: 89.000 </w:t>
      </w:r>
      <w:proofErr w:type="gramStart"/>
      <w:r>
        <w:rPr>
          <w:lang w:val="fr-FR"/>
        </w:rPr>
        <w:t>personnes  ou</w:t>
      </w:r>
      <w:proofErr w:type="gramEnd"/>
      <w:r>
        <w:rPr>
          <w:lang w:val="fr-FR"/>
        </w:rPr>
        <w:t xml:space="preserve"> à</w:t>
      </w:r>
      <w:r w:rsidRPr="00AC78BC">
        <w:rPr>
          <w:lang w:val="fr-FR"/>
        </w:rPr>
        <w:t xml:space="preserve"> Vienne 1968-70</w:t>
      </w:r>
      <w:r w:rsidR="00DA7A43">
        <w:rPr>
          <w:lang w:val="fr-FR"/>
        </w:rPr>
        <w:t xml:space="preserve"> </w:t>
      </w:r>
      <w:r w:rsidRPr="00AC78BC">
        <w:rPr>
          <w:lang w:val="fr-FR"/>
        </w:rPr>
        <w:t>: 100.000 personnes</w:t>
      </w:r>
      <w:r>
        <w:rPr>
          <w:lang w:val="fr-FR"/>
        </w:rPr>
        <w:t xml:space="preserve">. L’autre dimension est le travail de groupes en amont des assemblées synodales, par exemple à </w:t>
      </w:r>
      <w:r w:rsidR="00AC78BC" w:rsidRPr="00AC78BC">
        <w:rPr>
          <w:lang w:val="fr-FR"/>
        </w:rPr>
        <w:t>Cracovie 1971-79, Saint-Brieuc 1969-70</w:t>
      </w:r>
      <w:r w:rsidR="00DA7A43">
        <w:rPr>
          <w:lang w:val="fr-FR"/>
        </w:rPr>
        <w:t xml:space="preserve"> en France</w:t>
      </w:r>
      <w:r>
        <w:rPr>
          <w:lang w:val="fr-FR"/>
        </w:rPr>
        <w:t xml:space="preserve">, ou encore </w:t>
      </w:r>
      <w:r w:rsidR="00506DAA">
        <w:rPr>
          <w:lang w:val="fr-FR"/>
        </w:rPr>
        <w:t>lors du</w:t>
      </w:r>
      <w:r w:rsidR="00506DAA" w:rsidRPr="00B0679F">
        <w:rPr>
          <w:i/>
          <w:lang w:val="fr-FR"/>
        </w:rPr>
        <w:t xml:space="preserve"> </w:t>
      </w:r>
      <w:r w:rsidR="00506DAA" w:rsidRPr="00AC78BC">
        <w:rPr>
          <w:i/>
          <w:lang w:val="fr-FR"/>
        </w:rPr>
        <w:t xml:space="preserve">Synode 72 </w:t>
      </w:r>
      <w:r>
        <w:rPr>
          <w:lang w:val="fr-FR"/>
        </w:rPr>
        <w:t xml:space="preserve">dans les diocèses </w:t>
      </w:r>
      <w:r w:rsidR="00DA7A43">
        <w:rPr>
          <w:lang w:val="fr-FR"/>
        </w:rPr>
        <w:t>de S</w:t>
      </w:r>
      <w:r>
        <w:rPr>
          <w:lang w:val="fr-FR"/>
        </w:rPr>
        <w:t xml:space="preserve">uisse </w:t>
      </w:r>
      <w:r w:rsidRPr="00AC78BC">
        <w:rPr>
          <w:lang w:val="fr-FR"/>
        </w:rPr>
        <w:t>1972-75</w:t>
      </w:r>
      <w:r>
        <w:rPr>
          <w:lang w:val="fr-FR"/>
        </w:rPr>
        <w:t>.</w:t>
      </w:r>
    </w:p>
    <w:p w:rsidR="00B0679F" w:rsidRDefault="00B0679F" w:rsidP="0048587A">
      <w:pPr>
        <w:rPr>
          <w:lang w:val="fr-FR"/>
        </w:rPr>
      </w:pPr>
      <w:r w:rsidRPr="00D031FB">
        <w:rPr>
          <w:bCs/>
          <w:lang w:val="fr-FR"/>
        </w:rPr>
        <w:t>Combien</w:t>
      </w:r>
      <w:r w:rsidRPr="00B0679F">
        <w:rPr>
          <w:lang w:val="fr-FR"/>
        </w:rPr>
        <w:t xml:space="preserve"> de synodes </w:t>
      </w:r>
      <w:r w:rsidR="009F7EAC">
        <w:rPr>
          <w:lang w:val="fr-FR"/>
        </w:rPr>
        <w:t>diocésains</w:t>
      </w:r>
      <w:r>
        <w:rPr>
          <w:lang w:val="fr-FR"/>
        </w:rPr>
        <w:t xml:space="preserve"> </w:t>
      </w:r>
      <w:r w:rsidR="00D6450F">
        <w:rPr>
          <w:lang w:val="fr-FR"/>
        </w:rPr>
        <w:t xml:space="preserve">au sens strict </w:t>
      </w:r>
      <w:r w:rsidR="00D031FB">
        <w:rPr>
          <w:lang w:val="fr-FR"/>
        </w:rPr>
        <w:t xml:space="preserve">furent célébrés </w:t>
      </w:r>
      <w:r w:rsidR="00D6450F">
        <w:rPr>
          <w:lang w:val="fr-FR"/>
        </w:rPr>
        <w:t xml:space="preserve">selon cette ecclésiologie fondée sur le sacerdoce baptismal ? </w:t>
      </w:r>
      <w:r w:rsidRPr="00B0679F">
        <w:rPr>
          <w:lang w:val="fr-FR"/>
        </w:rPr>
        <w:t xml:space="preserve"> </w:t>
      </w:r>
      <w:r w:rsidR="00D6450F">
        <w:rPr>
          <w:lang w:val="fr-FR"/>
        </w:rPr>
        <w:t xml:space="preserve">Il n’existe aucune liste officielle. </w:t>
      </w:r>
      <w:r w:rsidR="00D031FB">
        <w:rPr>
          <w:lang w:val="fr-FR"/>
        </w:rPr>
        <w:t>Le nombre est d’</w:t>
      </w:r>
      <w:r w:rsidR="00D6450F">
        <w:rPr>
          <w:lang w:val="fr-FR"/>
        </w:rPr>
        <w:t>environ 1000</w:t>
      </w:r>
      <w:r w:rsidR="00D6450F">
        <w:rPr>
          <w:rStyle w:val="Appelnotedebasdep"/>
          <w:lang w:val="fr-FR"/>
        </w:rPr>
        <w:footnoteReference w:id="5"/>
      </w:r>
      <w:r w:rsidR="00D6450F">
        <w:rPr>
          <w:lang w:val="fr-FR"/>
        </w:rPr>
        <w:t>. C</w:t>
      </w:r>
      <w:r w:rsidRPr="00B0679F">
        <w:rPr>
          <w:lang w:val="fr-FR"/>
        </w:rPr>
        <w:t>omment furent-ils célébrés ?</w:t>
      </w:r>
      <w:r w:rsidR="009F7EAC">
        <w:rPr>
          <w:lang w:val="fr-FR"/>
        </w:rPr>
        <w:t xml:space="preserve"> </w:t>
      </w:r>
      <w:r w:rsidR="00D6450F">
        <w:rPr>
          <w:lang w:val="fr-FR"/>
        </w:rPr>
        <w:t xml:space="preserve">On détaille en général </w:t>
      </w:r>
      <w:r w:rsidR="00D031FB">
        <w:rPr>
          <w:lang w:val="fr-FR"/>
        </w:rPr>
        <w:t>trois</w:t>
      </w:r>
      <w:r w:rsidR="00D6450F">
        <w:rPr>
          <w:lang w:val="fr-FR"/>
        </w:rPr>
        <w:t xml:space="preserve"> ou </w:t>
      </w:r>
      <w:r w:rsidR="00D031FB">
        <w:rPr>
          <w:lang w:val="fr-FR"/>
        </w:rPr>
        <w:t>quatre</w:t>
      </w:r>
      <w:r w:rsidR="00D6450F">
        <w:rPr>
          <w:lang w:val="fr-FR"/>
        </w:rPr>
        <w:t xml:space="preserve"> phases du processus : u</w:t>
      </w:r>
      <w:r w:rsidRPr="00B0679F">
        <w:rPr>
          <w:lang w:val="fr-FR"/>
        </w:rPr>
        <w:t>ne phase de consultation (large ou ciblée, individuelle et/ou collective)</w:t>
      </w:r>
      <w:r w:rsidR="00D6450F">
        <w:rPr>
          <w:lang w:val="fr-FR"/>
        </w:rPr>
        <w:t>, u</w:t>
      </w:r>
      <w:r w:rsidRPr="00B0679F">
        <w:rPr>
          <w:lang w:val="fr-FR"/>
        </w:rPr>
        <w:t>ne phase de réflexion</w:t>
      </w:r>
      <w:r w:rsidR="00D6450F">
        <w:rPr>
          <w:lang w:val="fr-FR"/>
        </w:rPr>
        <w:t xml:space="preserve"> préparatoire</w:t>
      </w:r>
      <w:r w:rsidRPr="00B0679F">
        <w:rPr>
          <w:lang w:val="fr-FR"/>
        </w:rPr>
        <w:t xml:space="preserve"> (par équipes, sur </w:t>
      </w:r>
      <w:r w:rsidR="001E73CD">
        <w:rPr>
          <w:lang w:val="fr-FR"/>
        </w:rPr>
        <w:t>différents</w:t>
      </w:r>
      <w:r w:rsidRPr="00B0679F">
        <w:rPr>
          <w:lang w:val="fr-FR"/>
        </w:rPr>
        <w:t xml:space="preserve"> thèmes)</w:t>
      </w:r>
      <w:r w:rsidR="00D6450F">
        <w:rPr>
          <w:lang w:val="fr-FR"/>
        </w:rPr>
        <w:t>, u</w:t>
      </w:r>
      <w:r w:rsidRPr="00B0679F">
        <w:rPr>
          <w:lang w:val="fr-FR"/>
        </w:rPr>
        <w:t>ne phase de discernement et de décision (en assemblées synodales)</w:t>
      </w:r>
      <w:r w:rsidR="00D6450F">
        <w:rPr>
          <w:lang w:val="fr-FR"/>
        </w:rPr>
        <w:t>, u</w:t>
      </w:r>
      <w:r w:rsidRPr="00B0679F">
        <w:rPr>
          <w:lang w:val="fr-FR"/>
        </w:rPr>
        <w:t xml:space="preserve">ne phase de promulgation et d’action de grâce (dimension </w:t>
      </w:r>
      <w:r w:rsidR="00D6450F">
        <w:rPr>
          <w:lang w:val="fr-FR"/>
        </w:rPr>
        <w:t xml:space="preserve">canonique, </w:t>
      </w:r>
      <w:r w:rsidRPr="00B0679F">
        <w:rPr>
          <w:lang w:val="fr-FR"/>
        </w:rPr>
        <w:t>festive et événementielle)</w:t>
      </w:r>
      <w:r w:rsidR="00D6450F">
        <w:rPr>
          <w:lang w:val="fr-FR"/>
        </w:rPr>
        <w:t>.</w:t>
      </w:r>
      <w:r w:rsidR="00D031FB">
        <w:rPr>
          <w:lang w:val="fr-FR"/>
        </w:rPr>
        <w:t xml:space="preserve"> De nombreux exemples sont possibles sur tous les continents, ainsi </w:t>
      </w:r>
      <w:r w:rsidR="00D031FB" w:rsidRPr="00D031FB">
        <w:t xml:space="preserve">San Pedro </w:t>
      </w:r>
      <w:proofErr w:type="spellStart"/>
      <w:r w:rsidR="00D031FB" w:rsidRPr="00D031FB">
        <w:t>Sula</w:t>
      </w:r>
      <w:proofErr w:type="spellEnd"/>
      <w:r w:rsidR="00D031FB" w:rsidRPr="00D031FB">
        <w:t xml:space="preserve"> 2012-13</w:t>
      </w:r>
      <w:r w:rsidR="00D031FB">
        <w:t xml:space="preserve"> au Honduras.</w:t>
      </w:r>
      <w:r w:rsidR="00D6450F">
        <w:rPr>
          <w:lang w:val="fr-FR"/>
        </w:rPr>
        <w:t xml:space="preserve"> N’oublions pas d’ajouter la phase de réception, qui s’étend </w:t>
      </w:r>
      <w:r w:rsidR="00457752">
        <w:rPr>
          <w:lang w:val="fr-FR"/>
        </w:rPr>
        <w:t xml:space="preserve">ensuite </w:t>
      </w:r>
      <w:r w:rsidR="00D6450F">
        <w:rPr>
          <w:lang w:val="fr-FR"/>
        </w:rPr>
        <w:t xml:space="preserve">sur plusieurs années, de manière informelle. La question </w:t>
      </w:r>
      <w:r w:rsidR="00D031FB">
        <w:rPr>
          <w:lang w:val="fr-FR"/>
        </w:rPr>
        <w:t xml:space="preserve">étudiée </w:t>
      </w:r>
      <w:r w:rsidR="00D6450F">
        <w:rPr>
          <w:lang w:val="fr-FR"/>
        </w:rPr>
        <w:t xml:space="preserve">ici </w:t>
      </w:r>
      <w:r w:rsidR="009522C3">
        <w:rPr>
          <w:lang w:val="fr-FR"/>
        </w:rPr>
        <w:t>se situe</w:t>
      </w:r>
      <w:r w:rsidR="00D6450F">
        <w:rPr>
          <w:lang w:val="fr-FR"/>
        </w:rPr>
        <w:t xml:space="preserve"> entre les phases de consultation et de réflexion préparatoire à la phase de discernement et décision.</w:t>
      </w:r>
    </w:p>
    <w:p w:rsidR="009522C3" w:rsidRDefault="0050655C" w:rsidP="0048587A">
      <w:pPr>
        <w:rPr>
          <w:lang w:val="fr-FR"/>
        </w:rPr>
      </w:pPr>
      <w:r w:rsidRPr="0050655C">
        <w:rPr>
          <w:lang w:val="fr-FR"/>
        </w:rPr>
        <w:t xml:space="preserve">Comment </w:t>
      </w:r>
      <w:r>
        <w:rPr>
          <w:lang w:val="fr-FR"/>
        </w:rPr>
        <w:t xml:space="preserve">a-t-on produit </w:t>
      </w:r>
      <w:r w:rsidRPr="0050655C">
        <w:rPr>
          <w:lang w:val="fr-FR"/>
        </w:rPr>
        <w:t xml:space="preserve">un </w:t>
      </w:r>
      <w:r>
        <w:rPr>
          <w:i/>
          <w:lang w:val="fr-FR"/>
        </w:rPr>
        <w:t xml:space="preserve">Instrumentum </w:t>
      </w:r>
      <w:proofErr w:type="spellStart"/>
      <w:r>
        <w:rPr>
          <w:i/>
          <w:lang w:val="fr-FR"/>
        </w:rPr>
        <w:t>laboris</w:t>
      </w:r>
      <w:proofErr w:type="spellEnd"/>
      <w:r>
        <w:rPr>
          <w:i/>
          <w:lang w:val="fr-FR"/>
        </w:rPr>
        <w:t> </w:t>
      </w:r>
      <w:r>
        <w:rPr>
          <w:lang w:val="fr-FR"/>
        </w:rPr>
        <w:t>–</w:t>
      </w:r>
      <w:r w:rsidR="002D2479">
        <w:rPr>
          <w:lang w:val="fr-FR"/>
        </w:rPr>
        <w:t xml:space="preserve"> </w:t>
      </w:r>
      <w:r>
        <w:rPr>
          <w:lang w:val="fr-FR"/>
        </w:rPr>
        <w:t xml:space="preserve">cette </w:t>
      </w:r>
      <w:r w:rsidR="009522C3">
        <w:rPr>
          <w:lang w:val="fr-FR"/>
        </w:rPr>
        <w:t>dénomination</w:t>
      </w:r>
      <w:r>
        <w:rPr>
          <w:lang w:val="fr-FR"/>
        </w:rPr>
        <w:t xml:space="preserve"> est </w:t>
      </w:r>
      <w:r w:rsidR="002D2479">
        <w:rPr>
          <w:lang w:val="fr-FR"/>
        </w:rPr>
        <w:t xml:space="preserve">très </w:t>
      </w:r>
      <w:r>
        <w:rPr>
          <w:lang w:val="fr-FR"/>
        </w:rPr>
        <w:t>rarement utilisée – ou cahier synodal préparatoire</w:t>
      </w:r>
      <w:r w:rsidR="00457752">
        <w:rPr>
          <w:lang w:val="fr-FR"/>
        </w:rPr>
        <w:t> ?</w:t>
      </w:r>
      <w:r>
        <w:rPr>
          <w:lang w:val="fr-FR"/>
        </w:rPr>
        <w:t xml:space="preserve"> Il faut d’abord noter que les phases de </w:t>
      </w:r>
      <w:r w:rsidRPr="0050655C">
        <w:rPr>
          <w:lang w:val="fr-FR"/>
        </w:rPr>
        <w:t xml:space="preserve">consultation et de réflexion </w:t>
      </w:r>
      <w:r>
        <w:rPr>
          <w:lang w:val="fr-FR"/>
        </w:rPr>
        <w:t xml:space="preserve">ont toujours plus ou moins eu lieu, dans tous les synodes diocésains, au moins le travail de groupe s’il n’y a pas eu de consultation. C’est donc désormais une évidence de fait, pourtant absente du Code de droit canonique. Les assemblées synodales ont toujours travaillé sur une base préalable. </w:t>
      </w:r>
      <w:r w:rsidRPr="0050655C">
        <w:rPr>
          <w:lang w:val="fr-FR"/>
        </w:rPr>
        <w:t xml:space="preserve">La question </w:t>
      </w:r>
      <w:r w:rsidR="00D031FB">
        <w:rPr>
          <w:lang w:val="fr-FR"/>
        </w:rPr>
        <w:t xml:space="preserve">est </w:t>
      </w:r>
      <w:proofErr w:type="gramStart"/>
      <w:r w:rsidR="00D031FB">
        <w:rPr>
          <w:lang w:val="fr-FR"/>
        </w:rPr>
        <w:t>alors</w:t>
      </w:r>
      <w:r w:rsidRPr="0050655C">
        <w:rPr>
          <w:lang w:val="fr-FR"/>
        </w:rPr>
        <w:t>:</w:t>
      </w:r>
      <w:proofErr w:type="gramEnd"/>
      <w:r w:rsidRPr="0050655C">
        <w:rPr>
          <w:lang w:val="fr-FR"/>
        </w:rPr>
        <w:t xml:space="preserve"> </w:t>
      </w:r>
      <w:r w:rsidRPr="00D031FB">
        <w:rPr>
          <w:bCs/>
          <w:lang w:val="fr-FR"/>
        </w:rPr>
        <w:t>comment</w:t>
      </w:r>
      <w:r w:rsidRPr="0050655C">
        <w:rPr>
          <w:lang w:val="fr-FR"/>
        </w:rPr>
        <w:t xml:space="preserve"> a-t-on fait concrètement</w:t>
      </w:r>
      <w:r w:rsidR="00D031FB">
        <w:rPr>
          <w:lang w:val="fr-FR"/>
        </w:rPr>
        <w:t xml:space="preserve">, </w:t>
      </w:r>
      <w:r w:rsidRPr="0050655C">
        <w:rPr>
          <w:lang w:val="fr-FR"/>
        </w:rPr>
        <w:t>sachant qu’il n’y a aucune règle existante</w:t>
      </w:r>
      <w:r w:rsidR="00D031FB">
        <w:rPr>
          <w:lang w:val="fr-FR"/>
        </w:rPr>
        <w:t> ?</w:t>
      </w:r>
      <w:r w:rsidRPr="0050655C">
        <w:rPr>
          <w:lang w:val="fr-FR"/>
        </w:rPr>
        <w:t xml:space="preserve"> Les règlements synodaux </w:t>
      </w:r>
      <w:r w:rsidR="00B300FF">
        <w:rPr>
          <w:lang w:val="fr-FR"/>
        </w:rPr>
        <w:t>consulté</w:t>
      </w:r>
      <w:r w:rsidR="001E73CD">
        <w:rPr>
          <w:lang w:val="fr-FR"/>
        </w:rPr>
        <w:t>s</w:t>
      </w:r>
      <w:r w:rsidRPr="0050655C">
        <w:rPr>
          <w:lang w:val="fr-FR"/>
        </w:rPr>
        <w:t xml:space="preserve"> ne se préoccupent pas de formaliser ce travail d’élaboration de l’</w:t>
      </w:r>
      <w:r w:rsidRPr="002D2479">
        <w:rPr>
          <w:i/>
          <w:lang w:val="fr-FR"/>
        </w:rPr>
        <w:t xml:space="preserve">Instrumentum </w:t>
      </w:r>
      <w:proofErr w:type="spellStart"/>
      <w:r w:rsidRPr="002D2479">
        <w:rPr>
          <w:i/>
          <w:lang w:val="fr-FR"/>
        </w:rPr>
        <w:t>laboris</w:t>
      </w:r>
      <w:proofErr w:type="spellEnd"/>
      <w:r w:rsidR="009522C3">
        <w:rPr>
          <w:lang w:val="fr-FR"/>
        </w:rPr>
        <w:t xml:space="preserve">, règlementant tout de même parfois le </w:t>
      </w:r>
      <w:r w:rsidR="001E73CD">
        <w:rPr>
          <w:lang w:val="fr-FR"/>
        </w:rPr>
        <w:t>travail des équipes synodales, par exemple</w:t>
      </w:r>
      <w:r w:rsidR="009522C3">
        <w:rPr>
          <w:lang w:val="fr-FR"/>
        </w:rPr>
        <w:t xml:space="preserve"> à Amiens 2017-18</w:t>
      </w:r>
      <w:r w:rsidR="00457752">
        <w:rPr>
          <w:lang w:val="fr-FR"/>
        </w:rPr>
        <w:t xml:space="preserve"> en France</w:t>
      </w:r>
      <w:r w:rsidRPr="0050655C">
        <w:rPr>
          <w:lang w:val="fr-FR"/>
        </w:rPr>
        <w:t>.</w:t>
      </w:r>
      <w:r w:rsidR="00B300FF">
        <w:rPr>
          <w:lang w:val="fr-FR"/>
        </w:rPr>
        <w:t xml:space="preserve"> </w:t>
      </w:r>
    </w:p>
    <w:p w:rsidR="00B300FF" w:rsidRDefault="00B300FF" w:rsidP="0048587A">
      <w:pPr>
        <w:pStyle w:val="Titre1"/>
      </w:pPr>
      <w:r>
        <w:rPr>
          <w:lang w:val="fr-FR"/>
        </w:rPr>
        <w:lastRenderedPageBreak/>
        <w:t xml:space="preserve">1. </w:t>
      </w:r>
      <w:r w:rsidRPr="00B300FF">
        <w:t>Les points de départ</w:t>
      </w:r>
      <w:r>
        <w:t> </w:t>
      </w:r>
    </w:p>
    <w:p w:rsidR="00B300FF" w:rsidRDefault="00B300FF" w:rsidP="0048587A">
      <w:pPr>
        <w:rPr>
          <w:lang w:val="fr-FR"/>
        </w:rPr>
      </w:pPr>
      <w:r>
        <w:rPr>
          <w:lang w:val="fr-FR"/>
        </w:rPr>
        <w:t xml:space="preserve">En bref, il existe ici deux </w:t>
      </w:r>
      <w:r w:rsidR="009522C3">
        <w:rPr>
          <w:lang w:val="fr-FR"/>
        </w:rPr>
        <w:t xml:space="preserve">grandes catégories de synodes. La majorité </w:t>
      </w:r>
      <w:r w:rsidR="001E54E2">
        <w:rPr>
          <w:lang w:val="fr-FR"/>
        </w:rPr>
        <w:t>a</w:t>
      </w:r>
      <w:r w:rsidR="009522C3">
        <w:rPr>
          <w:lang w:val="fr-FR"/>
        </w:rPr>
        <w:t xml:space="preserve"> eu </w:t>
      </w:r>
      <w:r>
        <w:rPr>
          <w:lang w:val="fr-FR"/>
        </w:rPr>
        <w:t>u</w:t>
      </w:r>
      <w:r w:rsidR="00015954" w:rsidRPr="00B300FF">
        <w:rPr>
          <w:lang w:val="fr-FR"/>
        </w:rPr>
        <w:t>n ou plusieurs thèmes ou questions précisés</w:t>
      </w:r>
      <w:r w:rsidR="009522C3">
        <w:rPr>
          <w:lang w:val="fr-FR"/>
        </w:rPr>
        <w:t xml:space="preserve"> au départ. En général c’est assez clair, comme </w:t>
      </w:r>
      <w:r w:rsidR="001E54E2">
        <w:rPr>
          <w:lang w:val="fr-FR"/>
        </w:rPr>
        <w:t xml:space="preserve">à </w:t>
      </w:r>
      <w:r w:rsidR="009522C3">
        <w:rPr>
          <w:lang w:val="fr-FR"/>
        </w:rPr>
        <w:t>Wellington 2017</w:t>
      </w:r>
      <w:r w:rsidR="00772009">
        <w:rPr>
          <w:lang w:val="fr-FR"/>
        </w:rPr>
        <w:t xml:space="preserve"> en Nouvelle Zélande</w:t>
      </w:r>
      <w:r w:rsidR="009522C3">
        <w:rPr>
          <w:lang w:val="fr-FR"/>
        </w:rPr>
        <w:t xml:space="preserve">. Parfois, une confusion vient du trop grand nombre de thèmes et de questions, comme à </w:t>
      </w:r>
      <w:proofErr w:type="spellStart"/>
      <w:r w:rsidR="009522C3">
        <w:rPr>
          <w:lang w:val="fr-FR"/>
        </w:rPr>
        <w:t>Batouri</w:t>
      </w:r>
      <w:proofErr w:type="spellEnd"/>
      <w:r w:rsidR="009522C3">
        <w:rPr>
          <w:lang w:val="fr-FR"/>
        </w:rPr>
        <w:t xml:space="preserve"> 201</w:t>
      </w:r>
      <w:r w:rsidR="001E54E2">
        <w:rPr>
          <w:lang w:val="fr-FR"/>
        </w:rPr>
        <w:t>2</w:t>
      </w:r>
      <w:r w:rsidR="009522C3">
        <w:rPr>
          <w:lang w:val="fr-FR"/>
        </w:rPr>
        <w:t>-14</w:t>
      </w:r>
      <w:r w:rsidR="00772009">
        <w:rPr>
          <w:lang w:val="fr-FR"/>
        </w:rPr>
        <w:t xml:space="preserve"> au Cameroun</w:t>
      </w:r>
      <w:r w:rsidR="001E54E2">
        <w:rPr>
          <w:lang w:val="fr-FR"/>
        </w:rPr>
        <w:t xml:space="preserve"> avec 47 questions réparties en </w:t>
      </w:r>
      <w:r w:rsidR="00457752">
        <w:rPr>
          <w:lang w:val="fr-FR"/>
        </w:rPr>
        <w:t>sept</w:t>
      </w:r>
      <w:r w:rsidR="001E54E2">
        <w:rPr>
          <w:lang w:val="fr-FR"/>
        </w:rPr>
        <w:t xml:space="preserve"> domaines</w:t>
      </w:r>
      <w:r w:rsidR="009522C3">
        <w:rPr>
          <w:lang w:val="fr-FR"/>
        </w:rPr>
        <w:t>.</w:t>
      </w:r>
      <w:r w:rsidR="00772009">
        <w:rPr>
          <w:lang w:val="fr-FR"/>
        </w:rPr>
        <w:t xml:space="preserve"> </w:t>
      </w:r>
      <w:r w:rsidR="009522C3">
        <w:rPr>
          <w:lang w:val="fr-FR"/>
        </w:rPr>
        <w:t>L’autre catégorie regroupe les synodes</w:t>
      </w:r>
      <w:r>
        <w:rPr>
          <w:lang w:val="fr-FR"/>
        </w:rPr>
        <w:t xml:space="preserve"> qu’on peut nommer « généralistes »</w:t>
      </w:r>
      <w:r w:rsidR="00F66050">
        <w:rPr>
          <w:lang w:val="fr-FR"/>
        </w:rPr>
        <w:t>, sans délimitation au début</w:t>
      </w:r>
      <w:r>
        <w:rPr>
          <w:lang w:val="fr-FR"/>
        </w:rPr>
        <w:t xml:space="preserve">. Dans ce second cas, la consultation joue un rôle très important, puisqu’elle va servir à choisir </w:t>
      </w:r>
      <w:r w:rsidR="00F66050">
        <w:rPr>
          <w:lang w:val="fr-FR"/>
        </w:rPr>
        <w:t>les thèmes à travailler ensuite, comme à Beauvais 1986-89</w:t>
      </w:r>
      <w:r w:rsidR="00EF23C6">
        <w:rPr>
          <w:lang w:val="fr-FR"/>
        </w:rPr>
        <w:t xml:space="preserve"> en France</w:t>
      </w:r>
      <w:r w:rsidR="005447C1">
        <w:rPr>
          <w:rStyle w:val="Appelnotedebasdep"/>
          <w:lang w:val="fr-FR"/>
        </w:rPr>
        <w:footnoteReference w:id="6"/>
      </w:r>
      <w:r w:rsidR="00F66050">
        <w:rPr>
          <w:lang w:val="fr-FR"/>
        </w:rPr>
        <w:t>.</w:t>
      </w:r>
    </w:p>
    <w:p w:rsidR="00B300FF" w:rsidRPr="00B300FF" w:rsidRDefault="00772009" w:rsidP="0048587A">
      <w:r>
        <w:rPr>
          <w:lang w:val="fr-FR"/>
        </w:rPr>
        <w:t>En considérant</w:t>
      </w:r>
      <w:r w:rsidR="00B300FF">
        <w:rPr>
          <w:lang w:val="fr-FR"/>
        </w:rPr>
        <w:t xml:space="preserve"> l’ensemble des synodes</w:t>
      </w:r>
      <w:r>
        <w:rPr>
          <w:lang w:val="fr-FR"/>
        </w:rPr>
        <w:t xml:space="preserve"> étudiés</w:t>
      </w:r>
      <w:r w:rsidR="00B300FF">
        <w:rPr>
          <w:lang w:val="fr-FR"/>
        </w:rPr>
        <w:t xml:space="preserve">, il a été plus facile de </w:t>
      </w:r>
      <w:r w:rsidR="00B300FF" w:rsidRPr="00B300FF">
        <w:rPr>
          <w:lang w:val="fr-FR"/>
        </w:rPr>
        <w:t>parvenir à un</w:t>
      </w:r>
      <w:r w:rsidR="00B300FF" w:rsidRPr="00B300FF">
        <w:rPr>
          <w:b/>
          <w:lang w:val="fr-FR"/>
        </w:rPr>
        <w:t xml:space="preserve"> </w:t>
      </w:r>
      <w:r w:rsidR="00B300FF" w:rsidRPr="0093309B">
        <w:rPr>
          <w:i/>
          <w:lang w:val="fr-FR"/>
        </w:rPr>
        <w:t xml:space="preserve">Instrumentum </w:t>
      </w:r>
      <w:proofErr w:type="spellStart"/>
      <w:r w:rsidR="00B300FF" w:rsidRPr="0093309B">
        <w:rPr>
          <w:i/>
          <w:lang w:val="fr-FR"/>
        </w:rPr>
        <w:t>laboris</w:t>
      </w:r>
      <w:proofErr w:type="spellEnd"/>
      <w:r w:rsidR="00B300FF" w:rsidRPr="00B300FF">
        <w:rPr>
          <w:lang w:val="fr-FR"/>
        </w:rPr>
        <w:t xml:space="preserve"> lorsque le domaine du synode était délimité dès le départ</w:t>
      </w:r>
      <w:r w:rsidR="00F66050">
        <w:rPr>
          <w:lang w:val="fr-FR"/>
        </w:rPr>
        <w:t>, et avec des questions claires et pas trop nombreuses</w:t>
      </w:r>
      <w:r w:rsidR="00B300FF" w:rsidRPr="00B300FF">
        <w:rPr>
          <w:lang w:val="fr-FR"/>
        </w:rPr>
        <w:t>.</w:t>
      </w:r>
      <w:r w:rsidR="00B300FF">
        <w:rPr>
          <w:lang w:val="fr-FR"/>
        </w:rPr>
        <w:t xml:space="preserve"> </w:t>
      </w:r>
    </w:p>
    <w:p w:rsidR="00B300FF" w:rsidRPr="0050655C" w:rsidRDefault="00B300FF" w:rsidP="0048587A">
      <w:pPr>
        <w:pStyle w:val="Titre1"/>
      </w:pPr>
      <w:r>
        <w:t xml:space="preserve">2. </w:t>
      </w:r>
      <w:r w:rsidRPr="00B300FF">
        <w:t>Les méthodes de la phase de consultation</w:t>
      </w:r>
      <w:r>
        <w:t> </w:t>
      </w:r>
    </w:p>
    <w:p w:rsidR="001E54E2" w:rsidRDefault="00C74161" w:rsidP="0048587A">
      <w:r>
        <w:t xml:space="preserve">Une </w:t>
      </w:r>
      <w:r w:rsidR="00F66050">
        <w:t>majorité des synodes a procédé à</w:t>
      </w:r>
      <w:r>
        <w:t xml:space="preserve"> une ou plusieurs enquête</w:t>
      </w:r>
      <w:r w:rsidR="0093309B">
        <w:t>s</w:t>
      </w:r>
      <w:r>
        <w:t xml:space="preserve">, </w:t>
      </w:r>
      <w:r w:rsidR="00E014C0">
        <w:t>majoritairement à l’aide de questionnaires ouverts, et s’adressant le plus souvent exclusivement à des adultes</w:t>
      </w:r>
      <w:r w:rsidR="00C16232">
        <w:t xml:space="preserve">, sollicités individuellement, avec la possibilité de rendre des réponses collectives. </w:t>
      </w:r>
      <w:r w:rsidR="00457752">
        <w:t>Il est communément admis</w:t>
      </w:r>
      <w:r w:rsidR="00C16232">
        <w:t xml:space="preserve"> que l’exploitation des questionnaires ouverts est plus difficile que celle de questionnaires fermés. Mais il apparait que les questions ouvertes sont mieux adaptées à la dimension de </w:t>
      </w:r>
      <w:r w:rsidR="00F66050">
        <w:t>discernement,</w:t>
      </w:r>
      <w:r w:rsidR="00C16232">
        <w:t xml:space="preserve"> faisant place aux nuances, aux arguments</w:t>
      </w:r>
      <w:r w:rsidR="001E54E2">
        <w:t xml:space="preserve">, </w:t>
      </w:r>
      <w:r w:rsidR="00C16232">
        <w:t>aux faits</w:t>
      </w:r>
      <w:r w:rsidR="001E54E2">
        <w:t xml:space="preserve"> et aux récits</w:t>
      </w:r>
      <w:r w:rsidR="00C16232">
        <w:t>.</w:t>
      </w:r>
      <w:r w:rsidR="00F66050">
        <w:t xml:space="preserve"> La majorité des synodes </w:t>
      </w:r>
      <w:r w:rsidR="001E54E2">
        <w:t>a</w:t>
      </w:r>
      <w:r w:rsidR="00F66050">
        <w:t xml:space="preserve"> produit alors un ou plusieurs documents destinés au travail en équipes synodales. </w:t>
      </w:r>
      <w:r w:rsidR="00EF23C6">
        <w:t>Le 3</w:t>
      </w:r>
      <w:r w:rsidR="00EF23C6" w:rsidRPr="00EF23C6">
        <w:rPr>
          <w:vertAlign w:val="superscript"/>
        </w:rPr>
        <w:t>e</w:t>
      </w:r>
      <w:r w:rsidR="00EF23C6">
        <w:t xml:space="preserve"> synode de </w:t>
      </w:r>
      <w:r w:rsidR="00F66050">
        <w:t>Johannesburg</w:t>
      </w:r>
      <w:r w:rsidR="00EF23C6">
        <w:t xml:space="preserve"> </w:t>
      </w:r>
      <w:r w:rsidR="0093309B">
        <w:t xml:space="preserve">2007-08 </w:t>
      </w:r>
      <w:r w:rsidR="00EF23C6">
        <w:t>en Afrique du Sud</w:t>
      </w:r>
      <w:r w:rsidR="00F66050">
        <w:t xml:space="preserve"> </w:t>
      </w:r>
      <w:r w:rsidR="00EF23C6">
        <w:t xml:space="preserve">est </w:t>
      </w:r>
      <w:r w:rsidR="001E54E2">
        <w:t>très représentatif d’un tel processus complet.</w:t>
      </w:r>
    </w:p>
    <w:p w:rsidR="0051212A" w:rsidRDefault="0051212A" w:rsidP="0048587A">
      <w:pPr>
        <w:pStyle w:val="Titre2"/>
      </w:pPr>
      <w:r w:rsidRPr="0051212A">
        <w:t>2.a. Avec enquête</w:t>
      </w:r>
    </w:p>
    <w:p w:rsidR="00EF23C6" w:rsidRDefault="00EF23C6" w:rsidP="0048587A">
      <w:r>
        <w:t>Nous relevons</w:t>
      </w:r>
      <w:r w:rsidR="00F66050" w:rsidRPr="00EF23C6">
        <w:t xml:space="preserve"> trois difficultés majeures</w:t>
      </w:r>
      <w:r w:rsidR="00F66050">
        <w:t xml:space="preserve"> dans cette phase de la consultation. D’abord </w:t>
      </w:r>
      <w:r w:rsidR="00F66050" w:rsidRPr="00EF23C6">
        <w:t>le nombre</w:t>
      </w:r>
      <w:r w:rsidR="00F66050">
        <w:t xml:space="preserve"> de personnes consultées</w:t>
      </w:r>
      <w:r>
        <w:t xml:space="preserve"> est très élevé</w:t>
      </w:r>
      <w:r w:rsidR="00F66050">
        <w:t>, souvent plusieurs milliers, jusqu’à plusieurs dizaines de milliers</w:t>
      </w:r>
      <w:r w:rsidR="00C6354B">
        <w:t xml:space="preserve"> (comme 35000 à Montréal 1995-98</w:t>
      </w:r>
      <w:r w:rsidR="007A3BC8">
        <w:rPr>
          <w:rStyle w:val="Appelnotedebasdep"/>
        </w:rPr>
        <w:footnoteReference w:id="7"/>
      </w:r>
      <w:r w:rsidR="00C6354B">
        <w:t xml:space="preserve"> ou 12000 dans le petit diocèse</w:t>
      </w:r>
      <w:r>
        <w:t xml:space="preserve"> français</w:t>
      </w:r>
      <w:r w:rsidR="00C6354B">
        <w:t xml:space="preserve"> de Saint-Dié 1986-90</w:t>
      </w:r>
      <w:r w:rsidR="001E54E2">
        <w:t>)</w:t>
      </w:r>
      <w:r w:rsidR="00C6354B">
        <w:t>.</w:t>
      </w:r>
      <w:r w:rsidR="00F66050">
        <w:t xml:space="preserve"> La deuxième difficulté est méthodologique, lorsque des centaines de réponses émanaient de </w:t>
      </w:r>
      <w:r w:rsidR="00F66050" w:rsidRPr="00EF23C6">
        <w:t>groupes</w:t>
      </w:r>
      <w:r w:rsidR="00F66050">
        <w:t xml:space="preserve">. Comment faire pour honorer le fait qu’une réponse d’un groupe ne peut pas être considérée comme équivalente à une réponse individuelle ? C’est un vrai problème, que l’on rencontre </w:t>
      </w:r>
      <w:r w:rsidR="000E6F60">
        <w:t xml:space="preserve">encore dans le Synode romain </w:t>
      </w:r>
      <w:r>
        <w:t>des évêques sur la synodalité</w:t>
      </w:r>
      <w:r w:rsidR="000E6F60">
        <w:t xml:space="preserve">. </w:t>
      </w:r>
    </w:p>
    <w:p w:rsidR="00F66050" w:rsidRDefault="000E6F60" w:rsidP="0048587A">
      <w:r>
        <w:t xml:space="preserve">La troisième difficulté </w:t>
      </w:r>
      <w:r w:rsidR="00EF23C6">
        <w:t>est plus ecclésiologique : l’</w:t>
      </w:r>
      <w:r w:rsidRPr="00EF23C6">
        <w:t>absence de condition pour répondre. Des synodes ont invité tout le monde à répondre, catholiques pl</w:t>
      </w:r>
      <w:r>
        <w:t xml:space="preserve">us ou moins engagés, mais aussi chrétiens non catholiques, voire non chrétiens. Ici une clarification théologique est nécessaire. Si la consultation fait partie du processus synodal, alors seules les personnes baptisées et catholiques </w:t>
      </w:r>
      <w:r w:rsidR="00EF23C6">
        <w:t>pourraient logiquement</w:t>
      </w:r>
      <w:r>
        <w:t xml:space="preserve"> y répondre</w:t>
      </w:r>
      <w:r w:rsidR="00EF23C6">
        <w:rPr>
          <w:rStyle w:val="Appelnotedebasdep"/>
        </w:rPr>
        <w:footnoteReference w:id="8"/>
      </w:r>
      <w:r>
        <w:t xml:space="preserve">. Si c’est une </w:t>
      </w:r>
      <w:r w:rsidR="00EF23C6">
        <w:t xml:space="preserve">simple </w:t>
      </w:r>
      <w:r>
        <w:t>consultation pré</w:t>
      </w:r>
      <w:r w:rsidR="00EF23C6">
        <w:t>alable</w:t>
      </w:r>
      <w:r>
        <w:t>, alors pourquoi ne pas accueillir toutes les réponses. Enfin, il faut nuancer lorsqu’une personne non-catholique participe à une réponse d’un groupe</w:t>
      </w:r>
      <w:r w:rsidR="00457752">
        <w:t xml:space="preserve"> ; </w:t>
      </w:r>
      <w:r>
        <w:t xml:space="preserve">l’hospitalité concrète </w:t>
      </w:r>
      <w:r w:rsidR="00457752">
        <w:t>serait</w:t>
      </w:r>
      <w:r>
        <w:t xml:space="preserve"> suffisante pour accueillir sa contribution. Et qu’en est-il des personnes non-croyantes, y compris baptisées</w:t>
      </w:r>
      <w:r w:rsidR="001E54E2">
        <w:t xml:space="preserve"> catholiques</w:t>
      </w:r>
      <w:r>
        <w:t> ?</w:t>
      </w:r>
      <w:r w:rsidR="00EF23C6">
        <w:t xml:space="preserve"> On le voit, cette question est complexe.</w:t>
      </w:r>
    </w:p>
    <w:p w:rsidR="0048587A" w:rsidRDefault="000E6F60" w:rsidP="0048587A">
      <w:r w:rsidRPr="00EF23C6">
        <w:lastRenderedPageBreak/>
        <w:t>C</w:t>
      </w:r>
      <w:r w:rsidR="0051212A" w:rsidRPr="00EF23C6">
        <w:t xml:space="preserve">es enquêtes </w:t>
      </w:r>
      <w:r w:rsidRPr="00EF23C6">
        <w:t xml:space="preserve">furent </w:t>
      </w:r>
      <w:r w:rsidR="0048587A" w:rsidRPr="00EF23C6">
        <w:t>souvent</w:t>
      </w:r>
      <w:r w:rsidR="0051212A" w:rsidRPr="00EF23C6">
        <w:t xml:space="preserve"> diversifiées</w:t>
      </w:r>
      <w:r w:rsidRPr="00EF23C6">
        <w:t>.</w:t>
      </w:r>
      <w:r>
        <w:rPr>
          <w:b/>
        </w:rPr>
        <w:t xml:space="preserve"> </w:t>
      </w:r>
      <w:r w:rsidR="00457752">
        <w:t>D</w:t>
      </w:r>
      <w:r w:rsidR="0048587A">
        <w:t>es responsables ont voulu intégrer les enfants et les jeunes par des processus propres (consultations, équipes). On trouve deux types de documents fruits de cela : soit l’ajout de réponses d’enfants ou de jeunes dans le document global issu de la consultation des adultes. Dans ce cas, le risque d’être noyé est évident, ne faisant pas droit ni place à la spécificité de ces apports. L’autre option est celle d’un cahier synodal spécifique, annexé au document principal. Le risque ici est que l’assemblée synodale n’y fasse pas attention par la suite.</w:t>
      </w:r>
    </w:p>
    <w:p w:rsidR="0051212A" w:rsidRDefault="0048587A" w:rsidP="0048587A">
      <w:pPr>
        <w:rPr>
          <w:lang w:val="fr-FR"/>
        </w:rPr>
      </w:pPr>
      <w:r>
        <w:t>Une autre option, rarement choisie, était de séparer les répondants selon leur état</w:t>
      </w:r>
      <w:r w:rsidR="001E54E2">
        <w:t xml:space="preserve"> de vie et leur degré</w:t>
      </w:r>
      <w:r>
        <w:t xml:space="preserve"> d’appartenance, tout en ayant des questions assez proches. </w:t>
      </w:r>
      <w:r w:rsidR="00457752">
        <w:t xml:space="preserve">Au </w:t>
      </w:r>
      <w:r>
        <w:t xml:space="preserve">concile provincial </w:t>
      </w:r>
      <w:r w:rsidR="00457752">
        <w:t xml:space="preserve">de Lille 2013-15, </w:t>
      </w:r>
      <w:r>
        <w:t xml:space="preserve">ce choix fut mis en œuvre de manière cohérente et convaincante. </w:t>
      </w:r>
      <w:r w:rsidR="000E0A81">
        <w:t>I</w:t>
      </w:r>
      <w:r>
        <w:t>l y eut</w:t>
      </w:r>
      <w:r w:rsidR="0051212A" w:rsidRPr="0051212A">
        <w:t xml:space="preserve"> </w:t>
      </w:r>
      <w:r w:rsidR="000E0A81">
        <w:t>neuf</w:t>
      </w:r>
      <w:r w:rsidR="0051212A" w:rsidRPr="0051212A">
        <w:t xml:space="preserve"> </w:t>
      </w:r>
      <w:proofErr w:type="gramStart"/>
      <w:r w:rsidR="0051212A" w:rsidRPr="0051212A">
        <w:t>catégories</w:t>
      </w:r>
      <w:r w:rsidR="0051212A" w:rsidRPr="0051212A">
        <w:rPr>
          <w:lang w:val="fr-FR"/>
        </w:rPr>
        <w:t>:</w:t>
      </w:r>
      <w:proofErr w:type="gramEnd"/>
      <w:r w:rsidR="0051212A" w:rsidRPr="0051212A">
        <w:rPr>
          <w:lang w:val="fr-FR"/>
        </w:rPr>
        <w:t xml:space="preserve"> </w:t>
      </w:r>
      <w:r w:rsidR="0051212A" w:rsidRPr="0051212A">
        <w:rPr>
          <w:lang w:val="fr-CH"/>
        </w:rPr>
        <w:t>prêtres; diacres et animateurs en pastorale, religieux, religieuses; laïcs “attachés à une paroisse”; “moins de 25 ans”; “jeunes parents”; membres d’un mouvement chrétien”; membres d’une communauté nouvelle ou d’un groupe de prière”; “sans lien régulier dans la vie des communautés”; autres ne se reconnaissant dans aucune de ces catégories”</w:t>
      </w:r>
      <w:r>
        <w:rPr>
          <w:lang w:val="fr-CH"/>
        </w:rPr>
        <w:t>. Une telle option</w:t>
      </w:r>
      <w:r w:rsidR="0051212A" w:rsidRPr="0051212A">
        <w:rPr>
          <w:lang w:val="fr-FR"/>
        </w:rPr>
        <w:t xml:space="preserve"> facilite la rédaction de la synthèse par catégorie, puis la rédaction de dossiers thématiques par croisement des données</w:t>
      </w:r>
      <w:r>
        <w:rPr>
          <w:lang w:val="fr-FR"/>
        </w:rPr>
        <w:t>.</w:t>
      </w:r>
    </w:p>
    <w:p w:rsidR="0048587A" w:rsidRDefault="0048587A" w:rsidP="0048587A">
      <w:pPr>
        <w:rPr>
          <w:lang w:val="fr-FR"/>
        </w:rPr>
      </w:pPr>
      <w:r>
        <w:rPr>
          <w:lang w:val="fr-FR"/>
        </w:rPr>
        <w:t xml:space="preserve">Quelques synodes ont fait le choix de </w:t>
      </w:r>
      <w:r w:rsidRPr="00EF23C6">
        <w:rPr>
          <w:lang w:val="fr-FR"/>
        </w:rPr>
        <w:t>questionner les personnes selon différentes méthodes pour</w:t>
      </w:r>
      <w:r w:rsidRPr="0048587A">
        <w:rPr>
          <w:lang w:val="fr-FR"/>
        </w:rPr>
        <w:t xml:space="preserve"> avoir une vue </w:t>
      </w:r>
      <w:r>
        <w:rPr>
          <w:lang w:val="fr-FR"/>
        </w:rPr>
        <w:t xml:space="preserve">à la fois </w:t>
      </w:r>
      <w:r w:rsidRPr="0048587A">
        <w:rPr>
          <w:lang w:val="fr-FR"/>
        </w:rPr>
        <w:t>générale et approfondie</w:t>
      </w:r>
      <w:r>
        <w:rPr>
          <w:lang w:val="fr-FR"/>
        </w:rPr>
        <w:t xml:space="preserve">. </w:t>
      </w:r>
      <w:r w:rsidR="000E0A81">
        <w:rPr>
          <w:lang w:val="fr-FR"/>
        </w:rPr>
        <w:t xml:space="preserve">Ce fut </w:t>
      </w:r>
      <w:r>
        <w:rPr>
          <w:lang w:val="fr-FR"/>
        </w:rPr>
        <w:t xml:space="preserve">le cas </w:t>
      </w:r>
      <w:r w:rsidR="000E0A81">
        <w:rPr>
          <w:lang w:val="fr-FR"/>
        </w:rPr>
        <w:t xml:space="preserve">à </w:t>
      </w:r>
      <w:r>
        <w:rPr>
          <w:lang w:val="fr-FR"/>
        </w:rPr>
        <w:t>Moulins 1999-</w:t>
      </w:r>
      <w:r w:rsidR="001E54E2">
        <w:rPr>
          <w:lang w:val="fr-FR"/>
        </w:rPr>
        <w:t>20</w:t>
      </w:r>
      <w:r>
        <w:rPr>
          <w:lang w:val="fr-FR"/>
        </w:rPr>
        <w:t>01 </w:t>
      </w:r>
      <w:r w:rsidR="00EF23C6">
        <w:rPr>
          <w:lang w:val="fr-FR"/>
        </w:rPr>
        <w:t xml:space="preserve">en France </w:t>
      </w:r>
      <w:r w:rsidRPr="0048587A">
        <w:rPr>
          <w:lang w:val="fr-FR"/>
        </w:rPr>
        <w:t>: entretiens semi-directifs, “en général de deux heures, avec pour cible privilégiée les non-croyants et les catholiques non-pratiquants” ; des entretiens plus réduits et plus dirigés complétant la première série en fonction des orientations qui s’y étaient dégagées ; des travaux individuels ou en équipes pour les enfants, appelés à remplir un “cahier du synode” spécifique ; la même chose pour les jeunes ; “la consultation des groupes ou groupements formels et éventuellement informels travaillant à l’action pastorale dans le diocèse” ; une enquête individuelle dans un livret (à base de questions fermées) remis au cours d’une messe dominicale, visant donc les adultes pratiquants ; la possibilité d’écrire personnellement à l’évêque.</w:t>
      </w:r>
      <w:r>
        <w:rPr>
          <w:lang w:val="fr-FR"/>
        </w:rPr>
        <w:t xml:space="preserve"> Une telle variété de méthode permet de coller </w:t>
      </w:r>
      <w:r w:rsidRPr="0048587A">
        <w:rPr>
          <w:lang w:val="fr-FR"/>
        </w:rPr>
        <w:t>au plus pr</w:t>
      </w:r>
      <w:r>
        <w:rPr>
          <w:lang w:val="fr-FR"/>
        </w:rPr>
        <w:t>ès</w:t>
      </w:r>
      <w:r w:rsidRPr="0048587A">
        <w:rPr>
          <w:lang w:val="fr-FR"/>
        </w:rPr>
        <w:t xml:space="preserve"> de la réalité diocésaine, mais exige une équipe nombreuse pour le traitement des données</w:t>
      </w:r>
      <w:r>
        <w:rPr>
          <w:lang w:val="fr-FR"/>
        </w:rPr>
        <w:t>.</w:t>
      </w:r>
    </w:p>
    <w:p w:rsidR="00471444" w:rsidRDefault="00471444" w:rsidP="00471444">
      <w:pPr>
        <w:pStyle w:val="Titre2"/>
        <w:rPr>
          <w:lang w:val="fr-FR"/>
        </w:rPr>
      </w:pPr>
      <w:r>
        <w:rPr>
          <w:lang w:val="fr-FR"/>
        </w:rPr>
        <w:t>2.b. Sans enquête</w:t>
      </w:r>
    </w:p>
    <w:p w:rsidR="00CC1CAE" w:rsidRDefault="00CC1CAE" w:rsidP="008852D5">
      <w:pPr>
        <w:rPr>
          <w:bCs/>
        </w:rPr>
      </w:pPr>
      <w:r>
        <w:rPr>
          <w:bCs/>
        </w:rPr>
        <w:t>Des synodes n’ont pas eu d’enquête proprement dites. Le choix fut de faire une ou plusieurs assemblées préalables pour dégager les domaines que les assemblées synodales auraient à traiter ensuite. Il y eut parfois, mais rarement, une assemblée diocésain</w:t>
      </w:r>
      <w:r w:rsidR="001E54E2">
        <w:rPr>
          <w:bCs/>
        </w:rPr>
        <w:t>e</w:t>
      </w:r>
      <w:r>
        <w:rPr>
          <w:bCs/>
        </w:rPr>
        <w:t xml:space="preserve"> test. Le plus souvent dans ce cas </w:t>
      </w:r>
      <w:r w:rsidR="001E54E2">
        <w:rPr>
          <w:bCs/>
        </w:rPr>
        <w:t xml:space="preserve">on a </w:t>
      </w:r>
      <w:r>
        <w:rPr>
          <w:bCs/>
        </w:rPr>
        <w:t xml:space="preserve">une assemblée annuelle avec au bout de quelques années un synode diocésain officiel. Cette pratique est assez courante en Amérique latine. </w:t>
      </w:r>
      <w:r w:rsidR="00591CC2">
        <w:rPr>
          <w:bCs/>
        </w:rPr>
        <w:t xml:space="preserve">Dans le </w:t>
      </w:r>
      <w:r w:rsidR="008852D5">
        <w:rPr>
          <w:bCs/>
        </w:rPr>
        <w:t xml:space="preserve">diocèse de </w:t>
      </w:r>
      <w:r w:rsidR="0093309B">
        <w:rPr>
          <w:bCs/>
        </w:rPr>
        <w:t xml:space="preserve">San </w:t>
      </w:r>
      <w:r w:rsidR="00591CC2" w:rsidRPr="008852D5">
        <w:rPr>
          <w:bCs/>
          <w:lang w:val="it-IT"/>
        </w:rPr>
        <w:t xml:space="preserve">Carlos de Ancud </w:t>
      </w:r>
      <w:r w:rsidR="00591CC2">
        <w:rPr>
          <w:bCs/>
          <w:lang w:val="it-IT"/>
        </w:rPr>
        <w:t>au Chili, ce fut même une pratique systémati</w:t>
      </w:r>
      <w:r w:rsidR="002E789E">
        <w:rPr>
          <w:bCs/>
          <w:lang w:val="it-IT"/>
        </w:rPr>
        <w:t>que</w:t>
      </w:r>
      <w:r w:rsidR="00591CC2" w:rsidRPr="008852D5">
        <w:rPr>
          <w:bCs/>
          <w:lang w:val="it-IT"/>
        </w:rPr>
        <w:t xml:space="preserve"> de 1980 à 2000</w:t>
      </w:r>
      <w:r w:rsidR="00591CC2">
        <w:rPr>
          <w:bCs/>
          <w:lang w:val="it-IT"/>
        </w:rPr>
        <w:t xml:space="preserve">, avec </w:t>
      </w:r>
      <w:r w:rsidR="008852D5" w:rsidRPr="008852D5">
        <w:rPr>
          <w:bCs/>
        </w:rPr>
        <w:t xml:space="preserve">chaque année comme </w:t>
      </w:r>
      <w:r w:rsidR="00591CC2">
        <w:rPr>
          <w:bCs/>
        </w:rPr>
        <w:t xml:space="preserve">une étape d’un </w:t>
      </w:r>
      <w:r w:rsidR="008852D5" w:rsidRPr="008852D5">
        <w:rPr>
          <w:bCs/>
        </w:rPr>
        <w:t xml:space="preserve">processus de discernement élargi, alternant </w:t>
      </w:r>
      <w:r w:rsidR="000E0A81">
        <w:rPr>
          <w:bCs/>
        </w:rPr>
        <w:t>un synode</w:t>
      </w:r>
      <w:r w:rsidR="00591CC2">
        <w:rPr>
          <w:bCs/>
        </w:rPr>
        <w:t xml:space="preserve"> (</w:t>
      </w:r>
      <w:r w:rsidR="008852D5" w:rsidRPr="008852D5">
        <w:rPr>
          <w:bCs/>
          <w:i/>
          <w:iCs/>
          <w:lang w:val="it-IT"/>
        </w:rPr>
        <w:t>Sínodo Quinquenal</w:t>
      </w:r>
      <w:r w:rsidR="00591CC2">
        <w:rPr>
          <w:bCs/>
          <w:i/>
          <w:iCs/>
          <w:lang w:val="it-IT"/>
        </w:rPr>
        <w:t xml:space="preserve"> </w:t>
      </w:r>
      <w:r w:rsidR="00591CC2">
        <w:rPr>
          <w:bCs/>
          <w:iCs/>
          <w:lang w:val="it-IT"/>
        </w:rPr>
        <w:t>en 1980, 1985, 1990, 1995, 2000)</w:t>
      </w:r>
      <w:r w:rsidR="00B16E60">
        <w:rPr>
          <w:bCs/>
          <w:iCs/>
          <w:lang w:val="it-IT"/>
        </w:rPr>
        <w:t>. Ce</w:t>
      </w:r>
      <w:r w:rsidR="00591CC2">
        <w:rPr>
          <w:bCs/>
          <w:iCs/>
          <w:lang w:val="it-IT"/>
        </w:rPr>
        <w:t xml:space="preserve"> rythme </w:t>
      </w:r>
      <w:r w:rsidR="00B16E60">
        <w:rPr>
          <w:bCs/>
          <w:iCs/>
          <w:lang w:val="it-IT"/>
        </w:rPr>
        <w:t xml:space="preserve">fut </w:t>
      </w:r>
      <w:r w:rsidR="00591CC2">
        <w:rPr>
          <w:bCs/>
          <w:iCs/>
          <w:lang w:val="it-IT"/>
        </w:rPr>
        <w:t xml:space="preserve">interrompu, </w:t>
      </w:r>
      <w:r w:rsidR="00B16E60">
        <w:rPr>
          <w:bCs/>
          <w:iCs/>
          <w:lang w:val="it-IT"/>
        </w:rPr>
        <w:t xml:space="preserve">avec </w:t>
      </w:r>
      <w:r w:rsidR="0093309B">
        <w:rPr>
          <w:bCs/>
          <w:iCs/>
          <w:lang w:val="it-IT"/>
        </w:rPr>
        <w:t xml:space="preserve">seulement </w:t>
      </w:r>
      <w:r w:rsidR="00591CC2">
        <w:rPr>
          <w:bCs/>
          <w:iCs/>
          <w:lang w:val="it-IT"/>
        </w:rPr>
        <w:t xml:space="preserve">un synode en 2010-2013 précédé </w:t>
      </w:r>
      <w:r w:rsidR="00591CC2">
        <w:rPr>
          <w:color w:val="000000"/>
          <w:lang w:val="it-IT"/>
        </w:rPr>
        <w:t>de deux “</w:t>
      </w:r>
      <w:r w:rsidR="00591CC2" w:rsidRPr="004B7768">
        <w:rPr>
          <w:i/>
          <w:color w:val="000000"/>
          <w:lang w:val="it-IT"/>
        </w:rPr>
        <w:t>etapa</w:t>
      </w:r>
      <w:r w:rsidR="00591CC2">
        <w:rPr>
          <w:i/>
          <w:color w:val="000000"/>
          <w:lang w:val="it-IT"/>
        </w:rPr>
        <w:t>”</w:t>
      </w:r>
      <w:r w:rsidR="00591CC2">
        <w:rPr>
          <w:color w:val="000000"/>
          <w:lang w:val="it-IT"/>
        </w:rPr>
        <w:t xml:space="preserve">, que furent les </w:t>
      </w:r>
      <w:r w:rsidR="00591CC2">
        <w:rPr>
          <w:i/>
          <w:color w:val="000000"/>
          <w:lang w:val="it-IT"/>
        </w:rPr>
        <w:t xml:space="preserve">Asemblea sinodal </w:t>
      </w:r>
      <w:r w:rsidR="00591CC2">
        <w:rPr>
          <w:color w:val="000000"/>
          <w:lang w:val="it-IT"/>
        </w:rPr>
        <w:t>de 2011 et 2012</w:t>
      </w:r>
      <w:r w:rsidR="006810CE">
        <w:rPr>
          <w:color w:val="000000"/>
          <w:lang w:val="it-IT"/>
        </w:rPr>
        <w:t>; et plus de synode depuis 2013.</w:t>
      </w:r>
      <w:r w:rsidR="008852D5" w:rsidRPr="008852D5">
        <w:rPr>
          <w:bCs/>
          <w:lang w:val="it-IT"/>
        </w:rPr>
        <w:t xml:space="preserve"> </w:t>
      </w:r>
      <w:r>
        <w:rPr>
          <w:bCs/>
        </w:rPr>
        <w:t>Cette manière de faire est moins contraignante que des enquêtes, et permet aussi de développer une conscience diocésaine chez les baptisés.</w:t>
      </w:r>
      <w:r w:rsidR="00BC6B35">
        <w:rPr>
          <w:bCs/>
        </w:rPr>
        <w:t xml:space="preserve"> Un tel choix dépend largement de l’évêque</w:t>
      </w:r>
      <w:r w:rsidR="00BC6B35">
        <w:rPr>
          <w:rStyle w:val="Appelnotedebasdep"/>
          <w:color w:val="000000"/>
          <w:lang w:val="it-IT"/>
        </w:rPr>
        <w:footnoteReference w:id="9"/>
      </w:r>
      <w:r w:rsidR="00BC6B35">
        <w:rPr>
          <w:bCs/>
        </w:rPr>
        <w:t>.</w:t>
      </w:r>
      <w:r>
        <w:rPr>
          <w:bCs/>
        </w:rPr>
        <w:t xml:space="preserve"> </w:t>
      </w:r>
    </w:p>
    <w:p w:rsidR="00CC1CAE" w:rsidRDefault="00CC1CAE" w:rsidP="00471444">
      <w:pPr>
        <w:rPr>
          <w:bCs/>
        </w:rPr>
      </w:pPr>
      <w:r>
        <w:rPr>
          <w:bCs/>
        </w:rPr>
        <w:lastRenderedPageBreak/>
        <w:t>Des diocèses ont démultiplié les assemblées, pour être au plus proche des réalités locales et encourager la participation. Par exemple à Aix</w:t>
      </w:r>
      <w:r w:rsidR="00B1690E">
        <w:rPr>
          <w:bCs/>
        </w:rPr>
        <w:t>-en-Provence</w:t>
      </w:r>
      <w:r>
        <w:rPr>
          <w:bCs/>
        </w:rPr>
        <w:t xml:space="preserve"> 1988-89 avec 14 assemblées locales. Cela permet aussi de prendre en compte des milieux socioéconomiques et sociogéographiques différents au sein d’un même diocèse. La circulation de la parole est facilitée</w:t>
      </w:r>
      <w:r w:rsidR="00396E81">
        <w:rPr>
          <w:bCs/>
        </w:rPr>
        <w:t xml:space="preserve">. Les comptes-rendus sont ensuite synthétisés pour constituer </w:t>
      </w:r>
      <w:r w:rsidR="00396E81" w:rsidRPr="000E0A81">
        <w:rPr>
          <w:bCs/>
          <w:i/>
        </w:rPr>
        <w:t>l</w:t>
      </w:r>
      <w:r w:rsidR="000E0A81" w:rsidRPr="000E0A81">
        <w:rPr>
          <w:bCs/>
          <w:i/>
        </w:rPr>
        <w:t xml:space="preserve">’Instrumentum </w:t>
      </w:r>
      <w:proofErr w:type="spellStart"/>
      <w:r w:rsidR="000E0A81" w:rsidRPr="000E0A81">
        <w:rPr>
          <w:bCs/>
          <w:i/>
        </w:rPr>
        <w:t>laboris</w:t>
      </w:r>
      <w:proofErr w:type="spellEnd"/>
      <w:r w:rsidR="00396E81">
        <w:rPr>
          <w:bCs/>
        </w:rPr>
        <w:t>.</w:t>
      </w:r>
    </w:p>
    <w:p w:rsidR="007531A9" w:rsidRPr="00CC1CAE" w:rsidRDefault="007531A9" w:rsidP="00471444">
      <w:pPr>
        <w:rPr>
          <w:bCs/>
        </w:rPr>
      </w:pPr>
      <w:r>
        <w:rPr>
          <w:bCs/>
        </w:rPr>
        <w:t xml:space="preserve">Quelques synodes ont eu pour base un évènement synodal ou conciliaire précédent. Ainsi dans la </w:t>
      </w:r>
      <w:r w:rsidR="0093309B">
        <w:rPr>
          <w:bCs/>
        </w:rPr>
        <w:t xml:space="preserve">continuité de la </w:t>
      </w:r>
      <w:r>
        <w:rPr>
          <w:bCs/>
        </w:rPr>
        <w:t xml:space="preserve">tradition </w:t>
      </w:r>
      <w:r w:rsidR="00A36A45">
        <w:rPr>
          <w:bCs/>
        </w:rPr>
        <w:t xml:space="preserve">antique et médiévale, de nombreux synodes diocésains furent célébrés aux Philippines pour recevoir (au sens théologique) et mettre en œuvre le Concile plénier </w:t>
      </w:r>
      <w:r w:rsidR="00A01438">
        <w:rPr>
          <w:bCs/>
        </w:rPr>
        <w:t>1990-91</w:t>
      </w:r>
      <w:r w:rsidR="00A36A45">
        <w:rPr>
          <w:bCs/>
        </w:rPr>
        <w:t xml:space="preserve">. En Indonésie, il y eut par exemple </w:t>
      </w:r>
      <w:r w:rsidR="00B1690E">
        <w:rPr>
          <w:bCs/>
        </w:rPr>
        <w:t>trois</w:t>
      </w:r>
      <w:r w:rsidR="00A36A45">
        <w:rPr>
          <w:bCs/>
        </w:rPr>
        <w:t xml:space="preserve"> synodes à Denpasar en 2001, 2006 et 2012-2016, à cha</w:t>
      </w:r>
      <w:r w:rsidR="001E54E2">
        <w:rPr>
          <w:bCs/>
        </w:rPr>
        <w:t>que fois dans la continuité du</w:t>
      </w:r>
      <w:r w:rsidR="00A36A45">
        <w:rPr>
          <w:bCs/>
        </w:rPr>
        <w:t xml:space="preserve"> processus national SADKI</w:t>
      </w:r>
      <w:r w:rsidR="00B1690E">
        <w:rPr>
          <w:rStyle w:val="Appelnotedebasdep"/>
          <w:bCs/>
        </w:rPr>
        <w:footnoteReference w:id="10"/>
      </w:r>
      <w:r w:rsidR="00A36A45">
        <w:rPr>
          <w:bCs/>
        </w:rPr>
        <w:t>. Plus original, mentionn</w:t>
      </w:r>
      <w:r w:rsidR="0093309B">
        <w:rPr>
          <w:bCs/>
        </w:rPr>
        <w:t>ons</w:t>
      </w:r>
      <w:r w:rsidR="00A36A45">
        <w:rPr>
          <w:bCs/>
        </w:rPr>
        <w:t xml:space="preserve"> le synode de Vác 1995</w:t>
      </w:r>
      <w:r w:rsidR="00BA5668">
        <w:rPr>
          <w:bCs/>
        </w:rPr>
        <w:t xml:space="preserve"> en Hongrie</w:t>
      </w:r>
      <w:r w:rsidR="00A36A45">
        <w:rPr>
          <w:bCs/>
        </w:rPr>
        <w:t xml:space="preserve"> à partir des Actes synodaux de Budapest 1994, ou le synode d’Évry 1996-97</w:t>
      </w:r>
      <w:r w:rsidR="0093309B">
        <w:rPr>
          <w:bCs/>
        </w:rPr>
        <w:t xml:space="preserve"> en France</w:t>
      </w:r>
      <w:r w:rsidR="00A36A45">
        <w:rPr>
          <w:bCs/>
        </w:rPr>
        <w:t xml:space="preserve"> à partir du synode précédent de ce même diocèse</w:t>
      </w:r>
      <w:r w:rsidR="00BA5668">
        <w:rPr>
          <w:bCs/>
        </w:rPr>
        <w:t xml:space="preserve"> en 1987-90</w:t>
      </w:r>
      <w:r w:rsidR="00A36A45">
        <w:rPr>
          <w:bCs/>
        </w:rPr>
        <w:t xml:space="preserve">. Dans tous ces cas, </w:t>
      </w:r>
      <w:r w:rsidR="00A36A45" w:rsidRPr="000E0A81">
        <w:rPr>
          <w:bCs/>
        </w:rPr>
        <w:t>l</w:t>
      </w:r>
      <w:r w:rsidR="000E0A81" w:rsidRPr="000E0A81">
        <w:rPr>
          <w:bCs/>
        </w:rPr>
        <w:t>’</w:t>
      </w:r>
      <w:r w:rsidR="000E0A81" w:rsidRPr="000E0A81">
        <w:rPr>
          <w:bCs/>
          <w:i/>
        </w:rPr>
        <w:t xml:space="preserve">instrumentum </w:t>
      </w:r>
      <w:proofErr w:type="spellStart"/>
      <w:r w:rsidR="000E0A81" w:rsidRPr="000E0A81">
        <w:rPr>
          <w:bCs/>
          <w:i/>
        </w:rPr>
        <w:t>laboris</w:t>
      </w:r>
      <w:proofErr w:type="spellEnd"/>
      <w:r w:rsidR="00A36A45">
        <w:rPr>
          <w:bCs/>
        </w:rPr>
        <w:t xml:space="preserve"> des assemblées synodales est très différent d’une consultation d’une Église locale.</w:t>
      </w:r>
    </w:p>
    <w:p w:rsidR="00B300FF" w:rsidRDefault="00B300FF" w:rsidP="0048587A">
      <w:pPr>
        <w:pStyle w:val="Titre1"/>
      </w:pPr>
      <w:r>
        <w:t xml:space="preserve">3. </w:t>
      </w:r>
      <w:r w:rsidRPr="00B300FF">
        <w:t xml:space="preserve">Les </w:t>
      </w:r>
      <w:r w:rsidRPr="00B300FF">
        <w:rPr>
          <w:lang w:val="fr-FR"/>
        </w:rPr>
        <w:t>“</w:t>
      </w:r>
      <w:r w:rsidRPr="00B300FF">
        <w:t>interprètes</w:t>
      </w:r>
      <w:r w:rsidRPr="00B300FF">
        <w:rPr>
          <w:lang w:val="fr-FR"/>
        </w:rPr>
        <w:t xml:space="preserve">” </w:t>
      </w:r>
      <w:r w:rsidRPr="00B300FF">
        <w:t>des enquêtes</w:t>
      </w:r>
      <w:r>
        <w:t> </w:t>
      </w:r>
    </w:p>
    <w:p w:rsidR="00616514" w:rsidRDefault="00616514" w:rsidP="00616514">
      <w:pPr>
        <w:pStyle w:val="Titre2"/>
      </w:pPr>
      <w:r>
        <w:t>3.a. Qui dépouille et analyse les réponses ?</w:t>
      </w:r>
    </w:p>
    <w:p w:rsidR="00A36A45" w:rsidRDefault="00A36A45" w:rsidP="00A36A45">
      <w:r>
        <w:t xml:space="preserve">Certaines personnes jouent un rôle essentiel dans la préparation de ces documents en vue des assemblées synodales. Ceux et celles qui font la synthèse des consultations furent souvent dans les années 1980-1990 des </w:t>
      </w:r>
      <w:r w:rsidRPr="00BA5668">
        <w:t>bénévoles</w:t>
      </w:r>
      <w:r>
        <w:t xml:space="preserve"> peu ou pas formés à cela. Dans certains synodes, ils furent débordés, rendant l’enquête presque inutile, en tout cas loin de la rigueur nécessaire.</w:t>
      </w:r>
    </w:p>
    <w:p w:rsidR="00A36A45" w:rsidRPr="00A36A45" w:rsidRDefault="00A36A45" w:rsidP="00A36A45">
      <w:r>
        <w:t xml:space="preserve">Une deuxième option est de faire appel à des professionnels, donc des </w:t>
      </w:r>
      <w:r w:rsidRPr="00BA5668">
        <w:t>sociologues</w:t>
      </w:r>
      <w:r>
        <w:t xml:space="preserve">. C’est une option </w:t>
      </w:r>
      <w:r w:rsidR="00BA5668">
        <w:t>assez</w:t>
      </w:r>
      <w:r>
        <w:t xml:space="preserve"> commune depuis les années 2000. On voit même ce travail confié à des instituts spécialisés, comme à Rancagua 2008-10 </w:t>
      </w:r>
      <w:r w:rsidRPr="00A36A45">
        <w:rPr>
          <w:lang w:val="fr-FR"/>
        </w:rPr>
        <w:t xml:space="preserve">par l’Instituto de </w:t>
      </w:r>
      <w:proofErr w:type="spellStart"/>
      <w:r w:rsidRPr="00A36A45">
        <w:rPr>
          <w:lang w:val="fr-FR"/>
        </w:rPr>
        <w:t>sociología</w:t>
      </w:r>
      <w:proofErr w:type="spellEnd"/>
      <w:r>
        <w:rPr>
          <w:lang w:val="fr-FR"/>
        </w:rPr>
        <w:t xml:space="preserve"> </w:t>
      </w:r>
      <w:r w:rsidRPr="00A36A45">
        <w:rPr>
          <w:lang w:val="es-ES"/>
        </w:rPr>
        <w:t>de la Pontificia Universidad Católica de Chile</w:t>
      </w:r>
      <w:r>
        <w:rPr>
          <w:lang w:val="es-ES"/>
        </w:rPr>
        <w:t xml:space="preserve">. </w:t>
      </w:r>
      <w:r w:rsidRPr="00616514">
        <w:t xml:space="preserve">L’apparition d’outils informatiques performants depuis les années 2000 offre des opportunités, mais aussi des dangers d’un traitement de données sans faire place aux dimensions spécifiques et théologales d’un processus </w:t>
      </w:r>
      <w:r w:rsidR="00616514" w:rsidRPr="00616514">
        <w:t>sy</w:t>
      </w:r>
      <w:r w:rsidRPr="00616514">
        <w:t>nodal.</w:t>
      </w:r>
    </w:p>
    <w:p w:rsidR="00FE5045" w:rsidRDefault="00616514" w:rsidP="00A36A45">
      <w:pPr>
        <w:rPr>
          <w:lang w:val="fr-FR"/>
        </w:rPr>
      </w:pPr>
      <w:r>
        <w:rPr>
          <w:lang w:val="fr-FR"/>
        </w:rPr>
        <w:t xml:space="preserve">La troisième option qui évite ce risque est de recourir à </w:t>
      </w:r>
      <w:r w:rsidR="00A36A45" w:rsidRPr="00A36A45">
        <w:rPr>
          <w:lang w:val="fr-FR"/>
        </w:rPr>
        <w:t>des professionnels de la pastorale</w:t>
      </w:r>
      <w:r>
        <w:rPr>
          <w:lang w:val="fr-FR"/>
        </w:rPr>
        <w:t xml:space="preserve">, en lien avec des théologiens. C’est l’option à privilégier, avec </w:t>
      </w:r>
      <w:r w:rsidR="00A01438">
        <w:rPr>
          <w:lang w:val="fr-FR"/>
        </w:rPr>
        <w:t xml:space="preserve">encore le risque </w:t>
      </w:r>
      <w:r>
        <w:rPr>
          <w:lang w:val="fr-FR"/>
        </w:rPr>
        <w:t>d’un amateurisme. L</w:t>
      </w:r>
      <w:r w:rsidR="00A36A45" w:rsidRPr="00A36A45">
        <w:rPr>
          <w:lang w:val="fr-FR"/>
        </w:rPr>
        <w:t xml:space="preserve">’idéal est </w:t>
      </w:r>
      <w:r>
        <w:rPr>
          <w:lang w:val="fr-FR"/>
        </w:rPr>
        <w:t xml:space="preserve">donc d’associer </w:t>
      </w:r>
      <w:r w:rsidRPr="00BA5668">
        <w:rPr>
          <w:lang w:val="fr-FR"/>
        </w:rPr>
        <w:t>professionnels des sciences sociales et professionnels de la pastorale</w:t>
      </w:r>
      <w:r>
        <w:rPr>
          <w:lang w:val="fr-FR"/>
        </w:rPr>
        <w:t>, au moins lorsque c’est possible</w:t>
      </w:r>
      <w:r w:rsidR="00BA5668">
        <w:rPr>
          <w:lang w:val="fr-FR"/>
        </w:rPr>
        <w:t>, comme à Trêves 2013-1</w:t>
      </w:r>
      <w:r w:rsidR="00AD1D03">
        <w:rPr>
          <w:lang w:val="fr-FR"/>
        </w:rPr>
        <w:t>6</w:t>
      </w:r>
      <w:r w:rsidR="00BA5668">
        <w:rPr>
          <w:lang w:val="fr-FR"/>
        </w:rPr>
        <w:t xml:space="preserve"> en Allemagne</w:t>
      </w:r>
      <w:r w:rsidR="007A3BC8">
        <w:rPr>
          <w:rStyle w:val="Appelnotedebasdep"/>
          <w:lang w:val="fr-FR"/>
        </w:rPr>
        <w:footnoteReference w:id="11"/>
      </w:r>
      <w:r>
        <w:rPr>
          <w:lang w:val="fr-FR"/>
        </w:rPr>
        <w:t xml:space="preserve">. </w:t>
      </w:r>
    </w:p>
    <w:p w:rsidR="00A36A45" w:rsidRPr="00616514" w:rsidRDefault="00616514" w:rsidP="00A36A45">
      <w:r>
        <w:rPr>
          <w:lang w:val="fr-FR"/>
        </w:rPr>
        <w:t xml:space="preserve">Dans tous les cas des méthodes de lectures croisées à plusieurs semblent </w:t>
      </w:r>
      <w:r w:rsidR="00BA5668">
        <w:rPr>
          <w:lang w:val="fr-FR"/>
        </w:rPr>
        <w:t xml:space="preserve">avoir été </w:t>
      </w:r>
      <w:r>
        <w:rPr>
          <w:lang w:val="fr-FR"/>
        </w:rPr>
        <w:t>bénéfiques</w:t>
      </w:r>
      <w:r w:rsidR="00BA5668">
        <w:rPr>
          <w:lang w:val="fr-FR"/>
        </w:rPr>
        <w:t>, ainsi au concile de Lille 2013-15</w:t>
      </w:r>
      <w:r>
        <w:rPr>
          <w:lang w:val="fr-FR"/>
        </w:rPr>
        <w:t xml:space="preserve">. D’un point de vue théologique, </w:t>
      </w:r>
      <w:r w:rsidRPr="00616514">
        <w:rPr>
          <w:lang w:val="fr-FR"/>
        </w:rPr>
        <w:t>l</w:t>
      </w:r>
      <w:r w:rsidR="00A36A45" w:rsidRPr="00616514">
        <w:rPr>
          <w:bCs/>
          <w:lang w:val="fr-FR"/>
        </w:rPr>
        <w:t xml:space="preserve">e dépouillement fait </w:t>
      </w:r>
      <w:r>
        <w:rPr>
          <w:bCs/>
          <w:lang w:val="fr-FR"/>
        </w:rPr>
        <w:t>partie du discernement synodal.</w:t>
      </w:r>
    </w:p>
    <w:p w:rsidR="00B300FF" w:rsidRDefault="00616514" w:rsidP="00616514">
      <w:pPr>
        <w:pStyle w:val="Titre2"/>
      </w:pPr>
      <w:r>
        <w:t>3.b. L’exploitation des comptes rendus des équipes synodales</w:t>
      </w:r>
    </w:p>
    <w:p w:rsidR="00616514" w:rsidRDefault="00616514" w:rsidP="00616514">
      <w:pPr>
        <w:rPr>
          <w:lang w:val="fr-FR"/>
        </w:rPr>
      </w:pPr>
      <w:r w:rsidRPr="00616514">
        <w:rPr>
          <w:lang w:val="fr-FR"/>
        </w:rPr>
        <w:lastRenderedPageBreak/>
        <w:t>Les comptes rendus des</w:t>
      </w:r>
      <w:r>
        <w:rPr>
          <w:lang w:val="fr-FR"/>
        </w:rPr>
        <w:t xml:space="preserve"> équipes synodales de réflexion sont des</w:t>
      </w:r>
      <w:r w:rsidRPr="00616514">
        <w:rPr>
          <w:lang w:val="fr-FR"/>
        </w:rPr>
        <w:t xml:space="preserve"> </w:t>
      </w:r>
      <w:r>
        <w:rPr>
          <w:lang w:val="fr-FR"/>
        </w:rPr>
        <w:t xml:space="preserve">documents essentiels dans le processus. Ils sont peu accessibles pour une recherche d’ensemble dans le monde, mais on </w:t>
      </w:r>
      <w:r w:rsidR="00D61007">
        <w:rPr>
          <w:lang w:val="fr-FR"/>
        </w:rPr>
        <w:t xml:space="preserve">y accède </w:t>
      </w:r>
      <w:r w:rsidR="000E0A81">
        <w:rPr>
          <w:lang w:val="fr-FR"/>
        </w:rPr>
        <w:t>parfois</w:t>
      </w:r>
      <w:r>
        <w:rPr>
          <w:lang w:val="fr-FR"/>
        </w:rPr>
        <w:t xml:space="preserve"> </w:t>
      </w:r>
      <w:r w:rsidR="00BA5668">
        <w:rPr>
          <w:lang w:val="fr-FR"/>
        </w:rPr>
        <w:t>grâce à</w:t>
      </w:r>
      <w:r>
        <w:rPr>
          <w:lang w:val="fr-FR"/>
        </w:rPr>
        <w:t xml:space="preserve"> des travaux universitaires.</w:t>
      </w:r>
      <w:r w:rsidR="000A0C21">
        <w:rPr>
          <w:lang w:val="fr-FR"/>
        </w:rPr>
        <w:t xml:space="preserve"> La plupart des diocèses ont fait ici un réel effort de publication, comme à Sées 1992-93 en France.</w:t>
      </w:r>
    </w:p>
    <w:p w:rsidR="006275D6" w:rsidRDefault="00616514" w:rsidP="00616514">
      <w:pPr>
        <w:rPr>
          <w:lang w:val="fr-FR"/>
        </w:rPr>
      </w:pPr>
      <w:r>
        <w:rPr>
          <w:lang w:val="fr-FR"/>
        </w:rPr>
        <w:t xml:space="preserve">Les obstacles principaux sont le </w:t>
      </w:r>
      <w:r w:rsidR="00827962" w:rsidRPr="00616514">
        <w:rPr>
          <w:lang w:val="fr-FR"/>
        </w:rPr>
        <w:t>nombre d’équipes et de suggestions</w:t>
      </w:r>
      <w:r>
        <w:rPr>
          <w:lang w:val="fr-FR"/>
        </w:rPr>
        <w:t xml:space="preserve"> d’une part, et la variété des « </w:t>
      </w:r>
      <w:r w:rsidR="00827962" w:rsidRPr="00616514">
        <w:rPr>
          <w:lang w:val="fr-FR"/>
        </w:rPr>
        <w:t>milieux</w:t>
      </w:r>
      <w:r>
        <w:rPr>
          <w:lang w:val="fr-FR"/>
        </w:rPr>
        <w:t xml:space="preserve"> » des équipes, </w:t>
      </w:r>
      <w:r w:rsidR="00827962" w:rsidRPr="00616514">
        <w:rPr>
          <w:lang w:val="fr-FR"/>
        </w:rPr>
        <w:t xml:space="preserve">plus ou moins qualifiés </w:t>
      </w:r>
      <w:r>
        <w:rPr>
          <w:lang w:val="fr-FR"/>
        </w:rPr>
        <w:t xml:space="preserve">ou formés. En effet, faut-il intégrer différemment les apports des </w:t>
      </w:r>
      <w:r w:rsidR="00827962" w:rsidRPr="00616514">
        <w:rPr>
          <w:lang w:val="fr-FR"/>
        </w:rPr>
        <w:t xml:space="preserve">équipes de religieuses, de prêtres, de prisonniers en milieu carcéral, </w:t>
      </w:r>
      <w:r>
        <w:rPr>
          <w:lang w:val="fr-FR"/>
        </w:rPr>
        <w:t xml:space="preserve">de </w:t>
      </w:r>
      <w:r w:rsidR="00827962" w:rsidRPr="00616514">
        <w:rPr>
          <w:lang w:val="fr-FR"/>
        </w:rPr>
        <w:t>membres de mouvement spiritue</w:t>
      </w:r>
      <w:r>
        <w:rPr>
          <w:lang w:val="fr-FR"/>
        </w:rPr>
        <w:t>l, de paroissiens de base, etc. ?</w:t>
      </w:r>
    </w:p>
    <w:p w:rsidR="00616514" w:rsidRDefault="00616514" w:rsidP="00616514">
      <w:pPr>
        <w:rPr>
          <w:bCs/>
          <w:lang w:val="fr-FR"/>
        </w:rPr>
      </w:pPr>
      <w:r w:rsidRPr="00616514">
        <w:rPr>
          <w:lang w:val="fr-FR"/>
        </w:rPr>
        <w:t>La seule manière de résoudre ces difficultés est de bien choisir les membres de l’équipe de pilotage du synode, et de considérer que l</w:t>
      </w:r>
      <w:r w:rsidRPr="00616514">
        <w:rPr>
          <w:bCs/>
          <w:lang w:val="fr-FR"/>
        </w:rPr>
        <w:t>e</w:t>
      </w:r>
      <w:r w:rsidR="00BA5668">
        <w:rPr>
          <w:bCs/>
          <w:lang w:val="fr-FR"/>
        </w:rPr>
        <w:t>ur</w:t>
      </w:r>
      <w:r w:rsidRPr="00616514">
        <w:rPr>
          <w:bCs/>
          <w:lang w:val="fr-FR"/>
        </w:rPr>
        <w:t xml:space="preserve"> travail de synthétisation, d’ordonnancement, de sélection, fait partie du discernement synodal.</w:t>
      </w:r>
    </w:p>
    <w:p w:rsidR="00AE2FE4" w:rsidRPr="00616514" w:rsidRDefault="00AE2FE4" w:rsidP="00AE2FE4">
      <w:pPr>
        <w:pStyle w:val="Titre1"/>
      </w:pPr>
      <w:r>
        <w:rPr>
          <w:lang w:val="fr-FR"/>
        </w:rPr>
        <w:t>4. Sans phase de réflexion en équipes</w:t>
      </w:r>
    </w:p>
    <w:p w:rsidR="006275D6" w:rsidRDefault="00D82EDA" w:rsidP="00D82EDA">
      <w:pPr>
        <w:rPr>
          <w:lang w:val="fr-FR"/>
        </w:rPr>
      </w:pPr>
      <w:r>
        <w:t xml:space="preserve">Des synodes n’ont pas connu ce long moment du travail des équipes locales. Le travail </w:t>
      </w:r>
      <w:r w:rsidR="00D61007">
        <w:t>d’élaboration</w:t>
      </w:r>
      <w:r>
        <w:t xml:space="preserve"> a alors été mené par d</w:t>
      </w:r>
      <w:r w:rsidRPr="00D82EDA">
        <w:rPr>
          <w:lang w:val="fr-FR"/>
        </w:rPr>
        <w:t xml:space="preserve">es commissions préparatoires, </w:t>
      </w:r>
      <w:r>
        <w:rPr>
          <w:lang w:val="fr-FR"/>
        </w:rPr>
        <w:t>précédées ou non de larges réunions de consultation comme décrit</w:t>
      </w:r>
      <w:r w:rsidR="000E0A81">
        <w:rPr>
          <w:lang w:val="fr-FR"/>
        </w:rPr>
        <w:t>es</w:t>
      </w:r>
      <w:r>
        <w:rPr>
          <w:lang w:val="fr-FR"/>
        </w:rPr>
        <w:t xml:space="preserve"> plus haut. Par exemple au synode de</w:t>
      </w:r>
      <w:r w:rsidR="00827962" w:rsidRPr="00D82EDA">
        <w:rPr>
          <w:lang w:val="fr-FR"/>
        </w:rPr>
        <w:t xml:space="preserve"> Charleston 1990-95</w:t>
      </w:r>
      <w:r>
        <w:rPr>
          <w:lang w:val="fr-FR"/>
        </w:rPr>
        <w:t> </w:t>
      </w:r>
      <w:r w:rsidR="00AD1D03">
        <w:rPr>
          <w:lang w:val="fr-FR"/>
        </w:rPr>
        <w:t>aux États-</w:t>
      </w:r>
      <w:proofErr w:type="gramStart"/>
      <w:r w:rsidR="00AD1D03">
        <w:rPr>
          <w:lang w:val="fr-FR"/>
        </w:rPr>
        <w:t>Unis</w:t>
      </w:r>
      <w:r>
        <w:rPr>
          <w:lang w:val="fr-FR"/>
        </w:rPr>
        <w:t>:</w:t>
      </w:r>
      <w:proofErr w:type="gramEnd"/>
      <w:r w:rsidR="00827962" w:rsidRPr="00D82EDA">
        <w:rPr>
          <w:lang w:val="fr-FR"/>
        </w:rPr>
        <w:t xml:space="preserve"> </w:t>
      </w:r>
      <w:r w:rsidR="00765466">
        <w:rPr>
          <w:lang w:val="fr-FR"/>
        </w:rPr>
        <w:t xml:space="preserve">en </w:t>
      </w:r>
      <w:r w:rsidR="00827962" w:rsidRPr="00D82EDA">
        <w:rPr>
          <w:lang w:val="fr-FR"/>
        </w:rPr>
        <w:t>1991-92</w:t>
      </w:r>
      <w:r w:rsidR="00765466">
        <w:rPr>
          <w:lang w:val="fr-FR"/>
        </w:rPr>
        <w:t xml:space="preserve"> de</w:t>
      </w:r>
      <w:r w:rsidR="00827962" w:rsidRPr="00D82EDA">
        <w:rPr>
          <w:lang w:val="fr-FR"/>
        </w:rPr>
        <w:t xml:space="preserve"> </w:t>
      </w:r>
      <w:r w:rsidR="00765466">
        <w:rPr>
          <w:lang w:val="fr-FR"/>
        </w:rPr>
        <w:t>larges réunions de consultation ; en</w:t>
      </w:r>
      <w:r w:rsidR="00827962" w:rsidRPr="00D82EDA">
        <w:rPr>
          <w:lang w:val="fr-FR"/>
        </w:rPr>
        <w:t xml:space="preserve"> 1993-94 </w:t>
      </w:r>
      <w:r w:rsidR="00765466">
        <w:rPr>
          <w:lang w:val="fr-FR"/>
        </w:rPr>
        <w:t xml:space="preserve">le </w:t>
      </w:r>
      <w:r w:rsidR="00827962" w:rsidRPr="00D82EDA">
        <w:rPr>
          <w:lang w:val="fr-FR"/>
        </w:rPr>
        <w:t xml:space="preserve">travail </w:t>
      </w:r>
      <w:r w:rsidR="00765466">
        <w:rPr>
          <w:lang w:val="fr-FR"/>
        </w:rPr>
        <w:t>de 12 commissions préparatoires ; en 1994-95 les</w:t>
      </w:r>
      <w:r w:rsidR="00827962" w:rsidRPr="00D82EDA">
        <w:rPr>
          <w:lang w:val="fr-FR"/>
        </w:rPr>
        <w:t xml:space="preserve"> </w:t>
      </w:r>
      <w:r w:rsidR="000E0A81">
        <w:rPr>
          <w:lang w:val="fr-FR"/>
        </w:rPr>
        <w:t>trois</w:t>
      </w:r>
      <w:r w:rsidR="00827962" w:rsidRPr="00D82EDA">
        <w:rPr>
          <w:lang w:val="fr-FR"/>
        </w:rPr>
        <w:t xml:space="preserve"> sessions,</w:t>
      </w:r>
      <w:r>
        <w:rPr>
          <w:lang w:val="fr-FR"/>
        </w:rPr>
        <w:t xml:space="preserve"> les</w:t>
      </w:r>
      <w:r w:rsidR="00827962" w:rsidRPr="00D82EDA">
        <w:rPr>
          <w:lang w:val="fr-FR"/>
        </w:rPr>
        <w:t xml:space="preserve"> votes </w:t>
      </w:r>
      <w:r>
        <w:rPr>
          <w:lang w:val="fr-FR"/>
        </w:rPr>
        <w:t xml:space="preserve">ayant lieu </w:t>
      </w:r>
      <w:r w:rsidR="00827962" w:rsidRPr="00D82EDA">
        <w:rPr>
          <w:lang w:val="fr-FR"/>
        </w:rPr>
        <w:t>à la 3</w:t>
      </w:r>
      <w:r w:rsidR="00827962" w:rsidRPr="00D82EDA">
        <w:rPr>
          <w:vertAlign w:val="superscript"/>
          <w:lang w:val="fr-FR"/>
        </w:rPr>
        <w:t>e</w:t>
      </w:r>
      <w:r>
        <w:rPr>
          <w:lang w:val="fr-FR"/>
        </w:rPr>
        <w:t xml:space="preserve"> session. Ailleurs le travail des commissions fut mené en alternance avec les assemblées synodales, comme à Tr</w:t>
      </w:r>
      <w:r w:rsidR="00AD1D03">
        <w:rPr>
          <w:lang w:val="fr-FR"/>
        </w:rPr>
        <w:t>êves</w:t>
      </w:r>
      <w:r w:rsidR="00827962" w:rsidRPr="00D82EDA">
        <w:rPr>
          <w:lang w:val="fr-FR"/>
        </w:rPr>
        <w:t xml:space="preserve"> 2013-16</w:t>
      </w:r>
      <w:r w:rsidR="00D61007">
        <w:rPr>
          <w:lang w:val="fr-FR"/>
        </w:rPr>
        <w:t xml:space="preserve"> ou Dax 1990-92</w:t>
      </w:r>
      <w:r>
        <w:rPr>
          <w:lang w:val="fr-FR"/>
        </w:rPr>
        <w:t>.</w:t>
      </w:r>
      <w:r w:rsidR="00765466">
        <w:rPr>
          <w:lang w:val="fr-FR"/>
        </w:rPr>
        <w:t xml:space="preserve"> Il est ici logique que les rapports et propositions des commissions constituent ensemble </w:t>
      </w:r>
      <w:r w:rsidR="000E0A81">
        <w:rPr>
          <w:lang w:val="fr-FR"/>
        </w:rPr>
        <w:t>l’</w:t>
      </w:r>
      <w:r w:rsidR="00765466" w:rsidRPr="000E0A81">
        <w:rPr>
          <w:i/>
          <w:lang w:val="fr-FR"/>
        </w:rPr>
        <w:t xml:space="preserve">Instrumentum </w:t>
      </w:r>
      <w:proofErr w:type="spellStart"/>
      <w:r w:rsidR="00765466" w:rsidRPr="000E0A81">
        <w:rPr>
          <w:i/>
          <w:lang w:val="fr-FR"/>
        </w:rPr>
        <w:t>laboris</w:t>
      </w:r>
      <w:proofErr w:type="spellEnd"/>
      <w:r w:rsidR="00765466">
        <w:rPr>
          <w:lang w:val="fr-FR"/>
        </w:rPr>
        <w:t>.</w:t>
      </w:r>
    </w:p>
    <w:p w:rsidR="00AE1348" w:rsidRPr="009412B2" w:rsidRDefault="009412B2" w:rsidP="009412B2">
      <w:r w:rsidRPr="009412B2">
        <w:rPr>
          <w:lang w:val="fr-FR"/>
        </w:rPr>
        <w:t xml:space="preserve">Une variante rare fut l’ajout d’autres rassemblements pour enrichir la phase de réflexion. </w:t>
      </w:r>
      <w:r>
        <w:rPr>
          <w:lang w:val="fr-FR"/>
        </w:rPr>
        <w:t>À</w:t>
      </w:r>
      <w:r w:rsidRPr="009412B2">
        <w:rPr>
          <w:lang w:val="fr-FR"/>
        </w:rPr>
        <w:t xml:space="preserve"> Tr</w:t>
      </w:r>
      <w:r w:rsidR="00AD1D03">
        <w:rPr>
          <w:lang w:val="fr-FR"/>
        </w:rPr>
        <w:t>êves</w:t>
      </w:r>
      <w:r w:rsidRPr="009412B2">
        <w:rPr>
          <w:lang w:val="fr-FR"/>
        </w:rPr>
        <w:t xml:space="preserve"> 2013-16, il y eut </w:t>
      </w:r>
      <w:r w:rsidR="00C877D3">
        <w:rPr>
          <w:lang w:val="fr-FR"/>
        </w:rPr>
        <w:t>trois</w:t>
      </w:r>
      <w:r w:rsidRPr="009412B2">
        <w:rPr>
          <w:lang w:val="fr-FR"/>
        </w:rPr>
        <w:t xml:space="preserve"> forums thématiques</w:t>
      </w:r>
      <w:r w:rsidR="007C5D0D">
        <w:rPr>
          <w:lang w:val="fr-FR"/>
        </w:rPr>
        <w:t xml:space="preserve"> sur </w:t>
      </w:r>
      <w:r w:rsidR="00C877D3">
        <w:rPr>
          <w:lang w:val="fr-FR"/>
        </w:rPr>
        <w:t>les personnes divorcées et remariées, sur les questions liées à la sexualité et sur les femmes</w:t>
      </w:r>
      <w:r w:rsidR="00C877D3">
        <w:rPr>
          <w:rStyle w:val="Appelnotedebasdep"/>
          <w:lang w:val="fr-FR"/>
        </w:rPr>
        <w:footnoteReference w:id="12"/>
      </w:r>
      <w:r w:rsidR="007C5D0D">
        <w:rPr>
          <w:lang w:val="fr-FR"/>
        </w:rPr>
        <w:t>,</w:t>
      </w:r>
      <w:r w:rsidRPr="009412B2">
        <w:rPr>
          <w:lang w:val="fr-FR"/>
        </w:rPr>
        <w:t xml:space="preserve"> insérés entre les assemblées synodales</w:t>
      </w:r>
      <w:r>
        <w:rPr>
          <w:lang w:val="fr-FR"/>
        </w:rPr>
        <w:t xml:space="preserve">. À </w:t>
      </w:r>
      <w:r w:rsidRPr="009412B2">
        <w:rPr>
          <w:lang w:val="fr-FR"/>
        </w:rPr>
        <w:t>Sherbrooke 1995-97</w:t>
      </w:r>
      <w:r w:rsidR="00EA3EE0">
        <w:rPr>
          <w:lang w:val="fr-FR"/>
        </w:rPr>
        <w:t xml:space="preserve"> </w:t>
      </w:r>
      <w:r w:rsidR="00AD1D03">
        <w:rPr>
          <w:lang w:val="fr-FR"/>
        </w:rPr>
        <w:t xml:space="preserve">au Canada </w:t>
      </w:r>
      <w:r w:rsidR="00EA3EE0">
        <w:rPr>
          <w:lang w:val="fr-FR"/>
        </w:rPr>
        <w:t>fu</w:t>
      </w:r>
      <w:r w:rsidR="00AD1D03">
        <w:rPr>
          <w:lang w:val="fr-FR"/>
        </w:rPr>
        <w:t>t</w:t>
      </w:r>
      <w:r>
        <w:rPr>
          <w:lang w:val="fr-FR"/>
        </w:rPr>
        <w:t xml:space="preserve"> organisé un « </w:t>
      </w:r>
      <w:r w:rsidR="00C84D2C" w:rsidRPr="009412B2">
        <w:rPr>
          <w:lang w:val="fr-FR"/>
        </w:rPr>
        <w:t>congrès des conseils paroissiaux</w:t>
      </w:r>
      <w:r>
        <w:rPr>
          <w:lang w:val="fr-FR"/>
        </w:rPr>
        <w:t xml:space="preserve"> » afin d’associer </w:t>
      </w:r>
      <w:r w:rsidR="00C877D3">
        <w:rPr>
          <w:lang w:val="fr-FR"/>
        </w:rPr>
        <w:t xml:space="preserve">le </w:t>
      </w:r>
      <w:r>
        <w:rPr>
          <w:lang w:val="fr-FR"/>
        </w:rPr>
        <w:t xml:space="preserve">plus de personnes </w:t>
      </w:r>
      <w:r w:rsidR="00C877D3">
        <w:rPr>
          <w:lang w:val="fr-FR"/>
        </w:rPr>
        <w:t xml:space="preserve">possibles </w:t>
      </w:r>
      <w:r>
        <w:rPr>
          <w:lang w:val="fr-FR"/>
        </w:rPr>
        <w:t xml:space="preserve">à la réflexion et </w:t>
      </w:r>
      <w:r w:rsidR="00EA3EE0">
        <w:rPr>
          <w:lang w:val="fr-FR"/>
        </w:rPr>
        <w:t xml:space="preserve">permettant </w:t>
      </w:r>
      <w:r>
        <w:rPr>
          <w:lang w:val="fr-FR"/>
        </w:rPr>
        <w:t xml:space="preserve">en même temps </w:t>
      </w:r>
      <w:r w:rsidR="00EA3EE0">
        <w:rPr>
          <w:lang w:val="fr-FR"/>
        </w:rPr>
        <w:t xml:space="preserve">de faire vivre plus largement </w:t>
      </w:r>
      <w:r>
        <w:rPr>
          <w:lang w:val="fr-FR"/>
        </w:rPr>
        <w:t>la dimension d’événement synodal.</w:t>
      </w:r>
      <w:r w:rsidR="00C84D2C" w:rsidRPr="009412B2">
        <w:rPr>
          <w:lang w:val="fr-FR"/>
        </w:rPr>
        <w:t xml:space="preserve">  </w:t>
      </w:r>
    </w:p>
    <w:p w:rsidR="00B300FF" w:rsidRDefault="00B300FF" w:rsidP="0048587A">
      <w:pPr>
        <w:pStyle w:val="Titre1"/>
      </w:pPr>
      <w:r>
        <w:t>5. L</w:t>
      </w:r>
      <w:r w:rsidRPr="00B300FF">
        <w:t xml:space="preserve">es documents </w:t>
      </w:r>
      <w:r w:rsidR="00765466">
        <w:t xml:space="preserve">livrés </w:t>
      </w:r>
      <w:r w:rsidRPr="00B300FF">
        <w:t>pour le travail des assemblées</w:t>
      </w:r>
      <w:r w:rsidR="00765466">
        <w:t xml:space="preserve"> synodales</w:t>
      </w:r>
    </w:p>
    <w:p w:rsidR="00765466" w:rsidRPr="00765466" w:rsidRDefault="00765466" w:rsidP="00765466">
      <w:r>
        <w:rPr>
          <w:lang w:val="fr-FR"/>
        </w:rPr>
        <w:t>Le contenu</w:t>
      </w:r>
      <w:r w:rsidR="00D61007">
        <w:rPr>
          <w:lang w:val="fr-FR"/>
        </w:rPr>
        <w:t xml:space="preserve"> des cahiers synodaux</w:t>
      </w:r>
      <w:r>
        <w:rPr>
          <w:lang w:val="fr-FR"/>
        </w:rPr>
        <w:t xml:space="preserve"> est plus ou moins rédigé et considéré comme abouti ou non. </w:t>
      </w:r>
      <w:r w:rsidRPr="00765466">
        <w:rPr>
          <w:lang w:val="fr-FR"/>
        </w:rPr>
        <w:t>Un paramètre important est le nombre de sessions de l’assemblée synodale (</w:t>
      </w:r>
      <w:r w:rsidR="00DB1562">
        <w:rPr>
          <w:lang w:val="fr-FR"/>
        </w:rPr>
        <w:t>deux</w:t>
      </w:r>
      <w:r w:rsidRPr="00765466">
        <w:rPr>
          <w:lang w:val="fr-FR"/>
        </w:rPr>
        <w:t xml:space="preserve"> à </w:t>
      </w:r>
      <w:r w:rsidR="00DB1562">
        <w:rPr>
          <w:lang w:val="fr-FR"/>
        </w:rPr>
        <w:t>quatre</w:t>
      </w:r>
      <w:r w:rsidRPr="00765466">
        <w:rPr>
          <w:lang w:val="fr-FR"/>
        </w:rPr>
        <w:t xml:space="preserve"> en général</w:t>
      </w:r>
      <w:r>
        <w:rPr>
          <w:lang w:val="fr-FR"/>
        </w:rPr>
        <w:t xml:space="preserve">). En Hongrie où tous les synodes </w:t>
      </w:r>
      <w:r w:rsidR="00DB1562">
        <w:rPr>
          <w:lang w:val="fr-FR"/>
        </w:rPr>
        <w:t>de la première vague post-communiste</w:t>
      </w:r>
      <w:r w:rsidR="005447C1">
        <w:rPr>
          <w:rStyle w:val="Appelnotedebasdep"/>
          <w:lang w:val="fr-FR"/>
        </w:rPr>
        <w:footnoteReference w:id="13"/>
      </w:r>
      <w:r>
        <w:rPr>
          <w:lang w:val="fr-FR"/>
        </w:rPr>
        <w:t xml:space="preserve"> n’ont eu qu’une seule assemblée synodale (sauf à </w:t>
      </w:r>
      <w:proofErr w:type="spellStart"/>
      <w:r w:rsidR="00DB1562" w:rsidRPr="000452F3">
        <w:rPr>
          <w:lang w:val="de-DE"/>
        </w:rPr>
        <w:t>Kalocsa</w:t>
      </w:r>
      <w:proofErr w:type="spellEnd"/>
      <w:r w:rsidR="00DB1562" w:rsidRPr="000452F3">
        <w:rPr>
          <w:lang w:val="de-DE"/>
        </w:rPr>
        <w:t>-Kecskemét</w:t>
      </w:r>
      <w:r w:rsidR="00DB1562">
        <w:rPr>
          <w:lang w:val="de-DE"/>
        </w:rPr>
        <w:t xml:space="preserve"> 1995-2000</w:t>
      </w:r>
      <w:r>
        <w:rPr>
          <w:lang w:val="fr-FR"/>
        </w:rPr>
        <w:t xml:space="preserve">), il est évident que le document préparatoire est un </w:t>
      </w:r>
      <w:r w:rsidR="002F7053">
        <w:rPr>
          <w:i/>
          <w:lang w:val="fr-FR"/>
        </w:rPr>
        <w:t>I</w:t>
      </w:r>
      <w:r w:rsidRPr="00DB1562">
        <w:rPr>
          <w:i/>
          <w:lang w:val="fr-FR"/>
        </w:rPr>
        <w:t xml:space="preserve">nstrumentum </w:t>
      </w:r>
      <w:proofErr w:type="spellStart"/>
      <w:r w:rsidRPr="00DB1562">
        <w:rPr>
          <w:i/>
          <w:lang w:val="fr-FR"/>
        </w:rPr>
        <w:t>laboris</w:t>
      </w:r>
      <w:proofErr w:type="spellEnd"/>
      <w:r>
        <w:rPr>
          <w:lang w:val="fr-FR"/>
        </w:rPr>
        <w:t xml:space="preserve"> très avancé et </w:t>
      </w:r>
      <w:r w:rsidR="003E0052">
        <w:rPr>
          <w:lang w:val="fr-FR"/>
        </w:rPr>
        <w:t>rédigé</w:t>
      </w:r>
      <w:r>
        <w:rPr>
          <w:lang w:val="fr-FR"/>
        </w:rPr>
        <w:t>.</w:t>
      </w:r>
      <w:r w:rsidR="00DB1562">
        <w:rPr>
          <w:lang w:val="fr-FR"/>
        </w:rPr>
        <w:t xml:space="preserve"> </w:t>
      </w:r>
      <w:r>
        <w:rPr>
          <w:lang w:val="fr-FR"/>
        </w:rPr>
        <w:t xml:space="preserve">On peut classer </w:t>
      </w:r>
      <w:r w:rsidR="00D61007">
        <w:rPr>
          <w:lang w:val="fr-FR"/>
        </w:rPr>
        <w:t>c</w:t>
      </w:r>
      <w:r>
        <w:rPr>
          <w:lang w:val="fr-FR"/>
        </w:rPr>
        <w:t xml:space="preserve">es </w:t>
      </w:r>
      <w:r w:rsidR="00D61007">
        <w:rPr>
          <w:lang w:val="fr-FR"/>
        </w:rPr>
        <w:t>documents</w:t>
      </w:r>
      <w:r>
        <w:rPr>
          <w:lang w:val="fr-FR"/>
        </w:rPr>
        <w:t xml:space="preserve"> en </w:t>
      </w:r>
      <w:r w:rsidR="00C51314">
        <w:rPr>
          <w:lang w:val="fr-FR"/>
        </w:rPr>
        <w:t>quatre</w:t>
      </w:r>
      <w:r>
        <w:rPr>
          <w:lang w:val="fr-FR"/>
        </w:rPr>
        <w:t xml:space="preserve"> types.</w:t>
      </w:r>
    </w:p>
    <w:p w:rsidR="006275D6" w:rsidRDefault="003E0052" w:rsidP="003E0052">
      <w:pPr>
        <w:rPr>
          <w:lang w:val="fr-FR"/>
        </w:rPr>
      </w:pPr>
      <w:r>
        <w:rPr>
          <w:lang w:val="fr-FR"/>
        </w:rPr>
        <w:t>Très souvent, c’est un r</w:t>
      </w:r>
      <w:r w:rsidR="00827962" w:rsidRPr="00765466">
        <w:rPr>
          <w:lang w:val="fr-FR"/>
        </w:rPr>
        <w:t xml:space="preserve">ecueil de dossiers thématiques “bruts”, </w:t>
      </w:r>
      <w:r>
        <w:rPr>
          <w:lang w:val="fr-FR"/>
        </w:rPr>
        <w:t xml:space="preserve">aussi parfois en </w:t>
      </w:r>
      <w:r w:rsidR="00D61007">
        <w:rPr>
          <w:lang w:val="fr-FR"/>
        </w:rPr>
        <w:t>plusieurs</w:t>
      </w:r>
      <w:r>
        <w:rPr>
          <w:lang w:val="fr-FR"/>
        </w:rPr>
        <w:t xml:space="preserve"> fascicules. Le texte n’est pas rédigé. Il présente des listes de points plus ou moins détaillés, et intègre des</w:t>
      </w:r>
      <w:r w:rsidR="00827962" w:rsidRPr="00765466">
        <w:rPr>
          <w:lang w:val="fr-FR"/>
        </w:rPr>
        <w:t xml:space="preserve"> citations</w:t>
      </w:r>
      <w:r>
        <w:rPr>
          <w:lang w:val="fr-FR"/>
        </w:rPr>
        <w:t xml:space="preserve">, donc des extraits des consultations. À partir de ce document, l’assemblée synodale travaille soit par dossier successif au fil des sessions, votant ainsi par chapitres du document final comme à São José </w:t>
      </w:r>
      <w:r>
        <w:rPr>
          <w:lang w:val="fr-FR"/>
        </w:rPr>
        <w:lastRenderedPageBreak/>
        <w:t xml:space="preserve">dos Campos 2008-10 </w:t>
      </w:r>
      <w:r w:rsidR="00DB1562">
        <w:rPr>
          <w:lang w:val="fr-FR"/>
        </w:rPr>
        <w:t xml:space="preserve">au Brésil </w:t>
      </w:r>
      <w:r>
        <w:rPr>
          <w:lang w:val="fr-FR"/>
        </w:rPr>
        <w:t xml:space="preserve">ou </w:t>
      </w:r>
      <w:r w:rsidR="00DB1562">
        <w:rPr>
          <w:lang w:val="fr-FR"/>
        </w:rPr>
        <w:t xml:space="preserve">à </w:t>
      </w:r>
      <w:r>
        <w:rPr>
          <w:lang w:val="fr-FR"/>
        </w:rPr>
        <w:t>Brindisi 2008-10</w:t>
      </w:r>
      <w:r w:rsidR="00DB1562">
        <w:rPr>
          <w:lang w:val="fr-FR"/>
        </w:rPr>
        <w:t xml:space="preserve"> en Italie</w:t>
      </w:r>
      <w:r w:rsidR="00F235EF">
        <w:rPr>
          <w:lang w:val="fr-FR"/>
        </w:rPr>
        <w:t>, ou encore 10 cahiers synodaux à Port-Louis 1997-2000</w:t>
      </w:r>
      <w:r w:rsidR="00DB1562">
        <w:rPr>
          <w:lang w:val="fr-FR"/>
        </w:rPr>
        <w:t xml:space="preserve"> à l’Ile Maurice</w:t>
      </w:r>
      <w:r>
        <w:rPr>
          <w:lang w:val="fr-FR"/>
        </w:rPr>
        <w:t> ; soit par une lecture globale, où les dossiers sont modifiés en même temps, progressivement ou en une seule fois, comme à Assisi 2012-15.</w:t>
      </w:r>
    </w:p>
    <w:p w:rsidR="00C51314" w:rsidRPr="00765466" w:rsidRDefault="00C51314" w:rsidP="003E0052">
      <w:r>
        <w:rPr>
          <w:lang w:val="fr-FR"/>
        </w:rPr>
        <w:t>Un deuxième type consiste en d</w:t>
      </w:r>
      <w:r w:rsidR="00C84D2C" w:rsidRPr="00C51314">
        <w:rPr>
          <w:lang w:val="fr-FR"/>
        </w:rPr>
        <w:t xml:space="preserve">es cahiers thématiques rédigés, </w:t>
      </w:r>
      <w:r>
        <w:rPr>
          <w:lang w:val="fr-FR"/>
        </w:rPr>
        <w:t xml:space="preserve">dont l’assemblée synodale fait un </w:t>
      </w:r>
      <w:proofErr w:type="spellStart"/>
      <w:r w:rsidR="00C84D2C" w:rsidRPr="00C51314">
        <w:rPr>
          <w:lang w:val="fr-FR"/>
        </w:rPr>
        <w:t>un</w:t>
      </w:r>
      <w:proofErr w:type="spellEnd"/>
      <w:r w:rsidR="00C84D2C" w:rsidRPr="00C51314">
        <w:rPr>
          <w:lang w:val="fr-FR"/>
        </w:rPr>
        <w:t xml:space="preserve"> </w:t>
      </w:r>
      <w:r w:rsidR="002F7053">
        <w:rPr>
          <w:i/>
          <w:lang w:val="fr-FR"/>
        </w:rPr>
        <w:t>I</w:t>
      </w:r>
      <w:r w:rsidRPr="00DB1562">
        <w:rPr>
          <w:i/>
          <w:lang w:val="fr-FR"/>
        </w:rPr>
        <w:t xml:space="preserve">nstrumentum </w:t>
      </w:r>
      <w:proofErr w:type="spellStart"/>
      <w:r w:rsidRPr="00DB1562">
        <w:rPr>
          <w:i/>
          <w:lang w:val="fr-FR"/>
        </w:rPr>
        <w:t>laboris</w:t>
      </w:r>
      <w:proofErr w:type="spellEnd"/>
      <w:r>
        <w:rPr>
          <w:lang w:val="fr-FR"/>
        </w:rPr>
        <w:t xml:space="preserve"> soumis </w:t>
      </w:r>
      <w:r w:rsidR="00C84D2C" w:rsidRPr="00C51314">
        <w:rPr>
          <w:lang w:val="fr-FR"/>
        </w:rPr>
        <w:t>à amendement</w:t>
      </w:r>
      <w:r>
        <w:rPr>
          <w:lang w:val="fr-FR"/>
        </w:rPr>
        <w:t>s puis au vote</w:t>
      </w:r>
      <w:r w:rsidR="00C84D2C" w:rsidRPr="00C51314">
        <w:rPr>
          <w:lang w:val="fr-FR"/>
        </w:rPr>
        <w:t>,</w:t>
      </w:r>
      <w:r>
        <w:rPr>
          <w:lang w:val="fr-FR"/>
        </w:rPr>
        <w:t xml:space="preserve"> comme à</w:t>
      </w:r>
      <w:r w:rsidR="00C84D2C" w:rsidRPr="00C51314">
        <w:rPr>
          <w:lang w:val="fr-FR"/>
        </w:rPr>
        <w:t xml:space="preserve"> Braga 1994-97</w:t>
      </w:r>
      <w:r w:rsidR="00DB1562">
        <w:rPr>
          <w:lang w:val="fr-FR"/>
        </w:rPr>
        <w:t xml:space="preserve"> au Portugal</w:t>
      </w:r>
      <w:r>
        <w:rPr>
          <w:lang w:val="fr-FR"/>
        </w:rPr>
        <w:t xml:space="preserve">. </w:t>
      </w:r>
    </w:p>
    <w:p w:rsidR="006275D6" w:rsidRPr="00765466" w:rsidRDefault="003E0052" w:rsidP="003E0052">
      <w:r>
        <w:rPr>
          <w:lang w:val="fr-FR"/>
        </w:rPr>
        <w:t xml:space="preserve">Le </w:t>
      </w:r>
      <w:r w:rsidR="00C51314">
        <w:rPr>
          <w:lang w:val="fr-FR"/>
        </w:rPr>
        <w:t>troisième</w:t>
      </w:r>
      <w:r>
        <w:rPr>
          <w:lang w:val="fr-FR"/>
        </w:rPr>
        <w:t xml:space="preserve"> type est un </w:t>
      </w:r>
      <w:r w:rsidR="00827962" w:rsidRPr="00765466">
        <w:rPr>
          <w:lang w:val="fr-FR"/>
        </w:rPr>
        <w:t>document unique déjà organisé, plus ou moins rédigé</w:t>
      </w:r>
      <w:r>
        <w:rPr>
          <w:lang w:val="fr-FR"/>
        </w:rPr>
        <w:t>. L’</w:t>
      </w:r>
      <w:r w:rsidR="00827962" w:rsidRPr="00765466">
        <w:rPr>
          <w:lang w:val="fr-FR"/>
        </w:rPr>
        <w:t>assemblée élabore le tout du texte unique, par amélioration</w:t>
      </w:r>
      <w:r w:rsidR="00D61007">
        <w:rPr>
          <w:lang w:val="fr-FR"/>
        </w:rPr>
        <w:t>s</w:t>
      </w:r>
      <w:r w:rsidR="00827962" w:rsidRPr="00765466">
        <w:rPr>
          <w:lang w:val="fr-FR"/>
        </w:rPr>
        <w:t xml:space="preserve"> successive</w:t>
      </w:r>
      <w:r w:rsidR="00D61007">
        <w:rPr>
          <w:lang w:val="fr-FR"/>
        </w:rPr>
        <w:t>s</w:t>
      </w:r>
      <w:r w:rsidR="00827962" w:rsidRPr="00765466">
        <w:rPr>
          <w:lang w:val="fr-FR"/>
        </w:rPr>
        <w:t>, de session en session,</w:t>
      </w:r>
      <w:r w:rsidR="00695596">
        <w:rPr>
          <w:lang w:val="fr-FR"/>
        </w:rPr>
        <w:t xml:space="preserve"> par exemple à</w:t>
      </w:r>
      <w:r w:rsidR="00827962" w:rsidRPr="00765466">
        <w:rPr>
          <w:lang w:val="fr-FR"/>
        </w:rPr>
        <w:t xml:space="preserve"> Tournai 2011-13</w:t>
      </w:r>
      <w:r w:rsidR="00DB1562">
        <w:rPr>
          <w:lang w:val="fr-FR"/>
        </w:rPr>
        <w:t xml:space="preserve"> en Belgique</w:t>
      </w:r>
      <w:r w:rsidR="00AD791C">
        <w:rPr>
          <w:rStyle w:val="Appelnotedebasdep"/>
          <w:lang w:val="fr-FR"/>
        </w:rPr>
        <w:footnoteReference w:id="14"/>
      </w:r>
      <w:r w:rsidR="00695596">
        <w:rPr>
          <w:lang w:val="fr-FR"/>
        </w:rPr>
        <w:t>.</w:t>
      </w:r>
    </w:p>
    <w:p w:rsidR="006275D6" w:rsidRPr="00765466" w:rsidRDefault="00695596" w:rsidP="00695596">
      <w:r>
        <w:rPr>
          <w:lang w:val="fr-FR"/>
        </w:rPr>
        <w:t xml:space="preserve">La </w:t>
      </w:r>
      <w:r w:rsidR="00C51314">
        <w:rPr>
          <w:lang w:val="fr-FR"/>
        </w:rPr>
        <w:t>quatrième</w:t>
      </w:r>
      <w:r>
        <w:rPr>
          <w:lang w:val="fr-FR"/>
        </w:rPr>
        <w:t xml:space="preserve"> situation </w:t>
      </w:r>
      <w:r w:rsidR="00FA4F4B">
        <w:rPr>
          <w:lang w:val="fr-FR"/>
        </w:rPr>
        <w:t>est</w:t>
      </w:r>
      <w:r>
        <w:rPr>
          <w:lang w:val="fr-FR"/>
        </w:rPr>
        <w:t xml:space="preserve"> plus r</w:t>
      </w:r>
      <w:r w:rsidR="00827962" w:rsidRPr="00765466">
        <w:rPr>
          <w:lang w:val="fr-FR"/>
        </w:rPr>
        <w:t>are</w:t>
      </w:r>
      <w:r>
        <w:rPr>
          <w:lang w:val="fr-FR"/>
        </w:rPr>
        <w:t>. C’est un</w:t>
      </w:r>
      <w:r w:rsidR="00827962" w:rsidRPr="00765466">
        <w:rPr>
          <w:lang w:val="fr-FR"/>
        </w:rPr>
        <w:t xml:space="preserve"> document rédigé</w:t>
      </w:r>
      <w:r w:rsidR="00C51314">
        <w:rPr>
          <w:lang w:val="fr-FR"/>
        </w:rPr>
        <w:t xml:space="preserve"> déjà en amont des assemblées synodales</w:t>
      </w:r>
      <w:r>
        <w:rPr>
          <w:lang w:val="fr-FR"/>
        </w:rPr>
        <w:t>, soumis à discussion et à des modifications du type des amendements. Par exemple pour l’Ordinariat militaire d’Autriche 2012-14, ou Digne 1991-94</w:t>
      </w:r>
      <w:r w:rsidR="00FA4F4B">
        <w:rPr>
          <w:lang w:val="fr-FR"/>
        </w:rPr>
        <w:t xml:space="preserve"> en France</w:t>
      </w:r>
      <w:r>
        <w:rPr>
          <w:lang w:val="fr-FR"/>
        </w:rPr>
        <w:t>.</w:t>
      </w:r>
    </w:p>
    <w:p w:rsidR="00AC78BC" w:rsidRDefault="00FA4F4B" w:rsidP="003D271D">
      <w:pPr>
        <w:pStyle w:val="Titre1"/>
      </w:pPr>
      <w:r>
        <w:t xml:space="preserve">6. </w:t>
      </w:r>
      <w:r w:rsidR="003D271D">
        <w:t>Quel</w:t>
      </w:r>
      <w:r>
        <w:t>s enseignements et quel</w:t>
      </w:r>
      <w:r w:rsidR="003D271D">
        <w:t>les p</w:t>
      </w:r>
      <w:r w:rsidR="003D271D" w:rsidRPr="003D271D">
        <w:t xml:space="preserve">erspectives pour le synode romain </w:t>
      </w:r>
      <w:r>
        <w:t xml:space="preserve">sur la synodalité </w:t>
      </w:r>
      <w:r w:rsidR="003D271D" w:rsidRPr="003D271D">
        <w:t>?</w:t>
      </w:r>
    </w:p>
    <w:p w:rsidR="003D271D" w:rsidRPr="003D271D" w:rsidRDefault="00FA4F4B" w:rsidP="003D271D">
      <w:r>
        <w:t xml:space="preserve">Pour conclure, voici </w:t>
      </w:r>
      <w:r w:rsidR="00D61007">
        <w:t xml:space="preserve">six </w:t>
      </w:r>
      <w:r w:rsidR="003D271D">
        <w:t>points d’attention</w:t>
      </w:r>
      <w:r>
        <w:t xml:space="preserve"> à retenir de ces décennies de pratique synodale diocésaine</w:t>
      </w:r>
      <w:r w:rsidR="003D271D">
        <w:t>.</w:t>
      </w:r>
      <w:r w:rsidR="000E0A81">
        <w:t xml:space="preserve"> </w:t>
      </w:r>
      <w:r w:rsidR="007A3BC8">
        <w:t>Ils sont mis en perspective avec l</w:t>
      </w:r>
      <w:r w:rsidR="000E0A81">
        <w:t>a phase locale du synode romain des évêques</w:t>
      </w:r>
      <w:r w:rsidR="007A3BC8">
        <w:t>.</w:t>
      </w:r>
    </w:p>
    <w:p w:rsidR="00525C9F" w:rsidRPr="003D271D" w:rsidRDefault="00D22B1F" w:rsidP="009D1BC9">
      <w:pPr>
        <w:numPr>
          <w:ilvl w:val="0"/>
          <w:numId w:val="11"/>
        </w:numPr>
      </w:pPr>
      <w:r w:rsidRPr="003D271D">
        <w:t xml:space="preserve">Plus </w:t>
      </w:r>
      <w:r w:rsidR="003D271D">
        <w:t>la consultation est</w:t>
      </w:r>
      <w:r w:rsidRPr="003D271D">
        <w:t xml:space="preserve"> large</w:t>
      </w:r>
      <w:r w:rsidR="003D271D">
        <w:t>, plus</w:t>
      </w:r>
      <w:r w:rsidRPr="003D271D">
        <w:t xml:space="preserve"> il y a de risques (impossibilité </w:t>
      </w:r>
      <w:proofErr w:type="gramStart"/>
      <w:r w:rsidRPr="003D271D">
        <w:t>d’exploitation;</w:t>
      </w:r>
      <w:proofErr w:type="gramEnd"/>
      <w:r w:rsidRPr="003D271D">
        <w:t xml:space="preserve"> synthétisation excessive, frustration, </w:t>
      </w:r>
      <w:r w:rsidR="00D61007">
        <w:t xml:space="preserve">manipulation involontaire par projection, </w:t>
      </w:r>
      <w:r w:rsidRPr="003D271D">
        <w:t>etc.)</w:t>
      </w:r>
    </w:p>
    <w:p w:rsidR="00525C9F" w:rsidRPr="003D271D" w:rsidRDefault="00D22B1F" w:rsidP="009D1BC9">
      <w:pPr>
        <w:numPr>
          <w:ilvl w:val="0"/>
          <w:numId w:val="11"/>
        </w:numPr>
      </w:pPr>
      <w:r w:rsidRPr="003D271D">
        <w:t xml:space="preserve">Dans tous les cas, </w:t>
      </w:r>
      <w:r w:rsidR="003D271D">
        <w:t xml:space="preserve">il est nécessaire de mener le travail sur les consultations </w:t>
      </w:r>
      <w:r w:rsidR="00D61007">
        <w:t>de manière professionnelle</w:t>
      </w:r>
      <w:r w:rsidRPr="003D271D">
        <w:t xml:space="preserve"> et transparen</w:t>
      </w:r>
      <w:r w:rsidR="00D61007">
        <w:t>t</w:t>
      </w:r>
      <w:r w:rsidRPr="003D271D">
        <w:t>e</w:t>
      </w:r>
      <w:r w:rsidR="003D271D">
        <w:t xml:space="preserve">. </w:t>
      </w:r>
      <w:r w:rsidR="00FA4F4B">
        <w:t xml:space="preserve">Pour le synode romain, </w:t>
      </w:r>
      <w:r w:rsidR="003D271D">
        <w:t xml:space="preserve">les </w:t>
      </w:r>
      <w:r w:rsidR="007A3BC8">
        <w:t>synthèses</w:t>
      </w:r>
      <w:r w:rsidR="003D271D">
        <w:t xml:space="preserve"> de la première phase dans les Églises locales et </w:t>
      </w:r>
      <w:r w:rsidR="007A3BC8">
        <w:t>celles</w:t>
      </w:r>
      <w:r w:rsidR="003D271D">
        <w:t xml:space="preserve"> des conférences épiscopales devraient être </w:t>
      </w:r>
      <w:r w:rsidR="002F7053">
        <w:t xml:space="preserve">rendues </w:t>
      </w:r>
      <w:r w:rsidR="003D271D">
        <w:t>publiques, ainsi que les noms des « interprètes » à chacun de ces niveaux</w:t>
      </w:r>
      <w:r w:rsidR="00FA4F4B">
        <w:t xml:space="preserve">. Il serait intéressant d’indiquer aussi </w:t>
      </w:r>
      <w:r w:rsidR="003D271D">
        <w:t>la ou les méthodes utilisées.</w:t>
      </w:r>
    </w:p>
    <w:p w:rsidR="00525C9F" w:rsidRPr="003D271D" w:rsidRDefault="003D271D" w:rsidP="009D1BC9">
      <w:pPr>
        <w:numPr>
          <w:ilvl w:val="0"/>
          <w:numId w:val="11"/>
        </w:numPr>
      </w:pPr>
      <w:r>
        <w:t xml:space="preserve">Dans </w:t>
      </w:r>
      <w:r w:rsidR="002F7053">
        <w:t>une</w:t>
      </w:r>
      <w:r>
        <w:t xml:space="preserve"> première phase</w:t>
      </w:r>
      <w:r w:rsidR="002F7053">
        <w:t xml:space="preserve"> de consultation</w:t>
      </w:r>
      <w:r>
        <w:t xml:space="preserve">, il est important de ne </w:t>
      </w:r>
      <w:r w:rsidR="00D22B1F" w:rsidRPr="003D271D">
        <w:t>pas trop rédiger</w:t>
      </w:r>
      <w:r>
        <w:t xml:space="preserve">, pour ne pas perdre le style et les grandes tendances de la consultation. Il faudrait </w:t>
      </w:r>
      <w:r w:rsidR="00D22B1F" w:rsidRPr="003D271D">
        <w:t xml:space="preserve">privilégier </w:t>
      </w:r>
      <w:r w:rsidR="00FA4F4B">
        <w:t>d</w:t>
      </w:r>
      <w:r w:rsidR="00D22B1F" w:rsidRPr="003D271D">
        <w:t xml:space="preserve">es textes </w:t>
      </w:r>
      <w:r w:rsidR="00D22B1F" w:rsidRPr="003D271D">
        <w:rPr>
          <w:lang w:val="fr-FR"/>
        </w:rPr>
        <w:t>“</w:t>
      </w:r>
      <w:r w:rsidR="00D22B1F" w:rsidRPr="003D271D">
        <w:t>bruts</w:t>
      </w:r>
      <w:r w:rsidR="00D22B1F" w:rsidRPr="003D271D">
        <w:rPr>
          <w:lang w:val="fr-FR"/>
        </w:rPr>
        <w:t>”</w:t>
      </w:r>
      <w:r>
        <w:rPr>
          <w:lang w:val="fr-FR"/>
        </w:rPr>
        <w:t>.</w:t>
      </w:r>
    </w:p>
    <w:p w:rsidR="00525C9F" w:rsidRPr="003D271D" w:rsidRDefault="00D22B1F" w:rsidP="009D1BC9">
      <w:pPr>
        <w:numPr>
          <w:ilvl w:val="0"/>
          <w:numId w:val="11"/>
        </w:numPr>
      </w:pPr>
      <w:r w:rsidRPr="003D271D">
        <w:rPr>
          <w:lang w:val="fr-FR"/>
        </w:rPr>
        <w:t>Une rédaction</w:t>
      </w:r>
      <w:r w:rsidR="003D271D">
        <w:rPr>
          <w:lang w:val="fr-FR"/>
        </w:rPr>
        <w:t xml:space="preserve"> d</w:t>
      </w:r>
      <w:r w:rsidR="002F7053">
        <w:rPr>
          <w:lang w:val="fr-FR"/>
        </w:rPr>
        <w:t>e la synthèse</w:t>
      </w:r>
      <w:r w:rsidR="003D271D">
        <w:rPr>
          <w:lang w:val="fr-FR"/>
        </w:rPr>
        <w:t xml:space="preserve"> </w:t>
      </w:r>
      <w:r w:rsidRPr="003D271D">
        <w:rPr>
          <w:lang w:val="fr-FR"/>
        </w:rPr>
        <w:t xml:space="preserve">à plusieurs mains </w:t>
      </w:r>
      <w:r w:rsidRPr="002F7053">
        <w:rPr>
          <w:iCs/>
          <w:lang w:val="fr-FR"/>
        </w:rPr>
        <w:t>(</w:t>
      </w:r>
      <w:r w:rsidR="002F7053">
        <w:rPr>
          <w:iCs/>
          <w:lang w:val="fr-FR"/>
        </w:rPr>
        <w:t xml:space="preserve">les équipes synodales </w:t>
      </w:r>
      <w:r w:rsidRPr="003D271D">
        <w:rPr>
          <w:lang w:val="fr-FR"/>
        </w:rPr>
        <w:t>diocésain</w:t>
      </w:r>
      <w:r w:rsidR="002F7053">
        <w:rPr>
          <w:lang w:val="fr-FR"/>
        </w:rPr>
        <w:t>es</w:t>
      </w:r>
      <w:r w:rsidRPr="003D271D">
        <w:rPr>
          <w:lang w:val="fr-FR"/>
        </w:rPr>
        <w:t xml:space="preserve">) </w:t>
      </w:r>
      <w:r w:rsidR="003D271D">
        <w:rPr>
          <w:lang w:val="fr-FR"/>
        </w:rPr>
        <w:t xml:space="preserve">est </w:t>
      </w:r>
      <w:r w:rsidR="002F7053">
        <w:rPr>
          <w:lang w:val="fr-FR"/>
        </w:rPr>
        <w:t xml:space="preserve">toujours </w:t>
      </w:r>
      <w:r w:rsidR="003D271D">
        <w:rPr>
          <w:lang w:val="fr-FR"/>
        </w:rPr>
        <w:t xml:space="preserve">préférable à un auteur unique. C’est déjà </w:t>
      </w:r>
      <w:r w:rsidRPr="003D271D">
        <w:rPr>
          <w:lang w:val="fr-FR"/>
        </w:rPr>
        <w:t>un exercice de synodalité</w:t>
      </w:r>
      <w:r w:rsidR="003D271D">
        <w:rPr>
          <w:lang w:val="fr-FR"/>
        </w:rPr>
        <w:t xml:space="preserve"> et une partie du discernement souhaité. Cela vaut aussi pour les synthèses des conférences épiscopales.</w:t>
      </w:r>
    </w:p>
    <w:p w:rsidR="00525C9F" w:rsidRPr="003D271D" w:rsidRDefault="00D61007" w:rsidP="009D1BC9">
      <w:pPr>
        <w:numPr>
          <w:ilvl w:val="0"/>
          <w:numId w:val="11"/>
        </w:numPr>
      </w:pPr>
      <w:r>
        <w:t xml:space="preserve">Un </w:t>
      </w:r>
      <w:r w:rsidR="00D22B1F" w:rsidRPr="003D271D">
        <w:t xml:space="preserve">défi </w:t>
      </w:r>
      <w:r>
        <w:t>est grand</w:t>
      </w:r>
      <w:r w:rsidRPr="003D271D">
        <w:t xml:space="preserve"> </w:t>
      </w:r>
      <w:r>
        <w:t xml:space="preserve">pour </w:t>
      </w:r>
      <w:r w:rsidR="00D22B1F" w:rsidRPr="003D271D">
        <w:t xml:space="preserve">faire place aux </w:t>
      </w:r>
      <w:r w:rsidR="00D22B1F" w:rsidRPr="003D271D">
        <w:rPr>
          <w:lang w:val="fr-FR"/>
        </w:rPr>
        <w:t>“</w:t>
      </w:r>
      <w:r w:rsidR="00D22B1F" w:rsidRPr="003D271D">
        <w:t>petites voix</w:t>
      </w:r>
      <w:r w:rsidR="00D22B1F" w:rsidRPr="003D271D">
        <w:rPr>
          <w:lang w:val="fr-FR"/>
        </w:rPr>
        <w:t>”</w:t>
      </w:r>
      <w:r w:rsidR="003D271D">
        <w:t xml:space="preserve"> (personnes vulnérables, marginalisées, distantes des communautés, etc.) comme souhaité dans le </w:t>
      </w:r>
      <w:r w:rsidR="003D271D" w:rsidRPr="00D61007">
        <w:rPr>
          <w:i/>
        </w:rPr>
        <w:t>Document préparatoire</w:t>
      </w:r>
      <w:r w:rsidR="003D271D">
        <w:t xml:space="preserve">. </w:t>
      </w:r>
      <w:r w:rsidR="00FA4F4B">
        <w:t xml:space="preserve">Un moyen pour cela est </w:t>
      </w:r>
      <w:r w:rsidR="009C1C8A">
        <w:t xml:space="preserve">de </w:t>
      </w:r>
      <w:r w:rsidR="00FA4F4B">
        <w:t xml:space="preserve">sélectionner </w:t>
      </w:r>
      <w:r w:rsidR="003D271D">
        <w:t xml:space="preserve">des </w:t>
      </w:r>
      <w:r w:rsidR="00D22B1F" w:rsidRPr="003D271D">
        <w:t xml:space="preserve">expressions </w:t>
      </w:r>
      <w:r w:rsidR="003D271D">
        <w:t xml:space="preserve">jugées </w:t>
      </w:r>
      <w:r w:rsidR="00D22B1F" w:rsidRPr="003D271D">
        <w:t>significatives</w:t>
      </w:r>
      <w:r w:rsidR="00FA4F4B" w:rsidRPr="00FA4F4B">
        <w:t xml:space="preserve"> </w:t>
      </w:r>
      <w:r w:rsidR="00FA4F4B">
        <w:t>dans les rapports des équipes locales</w:t>
      </w:r>
      <w:r w:rsidR="009C1C8A">
        <w:t>. Cela s’est fait dans plusieurs synodes diocésains,</w:t>
      </w:r>
      <w:r w:rsidR="00D22B1F" w:rsidRPr="003D271D">
        <w:t xml:space="preserve"> y compris jusqu’aux </w:t>
      </w:r>
      <w:r w:rsidR="009C1C8A">
        <w:t xml:space="preserve">Actes synodaux comme à </w:t>
      </w:r>
      <w:r w:rsidR="00D22B1F" w:rsidRPr="003D271D">
        <w:t>Évreux 1988-91</w:t>
      </w:r>
      <w:r w:rsidR="00FA4F4B">
        <w:t xml:space="preserve"> en France</w:t>
      </w:r>
      <w:r w:rsidR="009C1C8A">
        <w:t xml:space="preserve">. C’est important, </w:t>
      </w:r>
      <w:r w:rsidR="00FA4F4B">
        <w:t>tout en sachant</w:t>
      </w:r>
      <w:r w:rsidR="009C1C8A">
        <w:t xml:space="preserve"> </w:t>
      </w:r>
      <w:r w:rsidR="002F7053">
        <w:t>qu’</w:t>
      </w:r>
      <w:r w:rsidR="009C1C8A">
        <w:t>il y a alors un risque de créer de la confusion et de ne plus voir les grandes lignes de la consultation.</w:t>
      </w:r>
      <w:r w:rsidR="00D22B1F" w:rsidRPr="003D271D">
        <w:t xml:space="preserve"> </w:t>
      </w:r>
    </w:p>
    <w:p w:rsidR="008F2024" w:rsidRPr="008F2024" w:rsidRDefault="009C1C8A" w:rsidP="00460FB3">
      <w:pPr>
        <w:numPr>
          <w:ilvl w:val="0"/>
          <w:numId w:val="11"/>
        </w:numPr>
      </w:pPr>
      <w:r>
        <w:rPr>
          <w:bCs/>
        </w:rPr>
        <w:t xml:space="preserve">Dans tous les cas, il est crucial de réaffirmer </w:t>
      </w:r>
      <w:r w:rsidRPr="00FA4F4B">
        <w:rPr>
          <w:bCs/>
        </w:rPr>
        <w:t>que l</w:t>
      </w:r>
      <w:r w:rsidR="00D22B1F" w:rsidRPr="00FA4F4B">
        <w:rPr>
          <w:bCs/>
        </w:rPr>
        <w:t xml:space="preserve">e dépouillement et la rédaction des </w:t>
      </w:r>
      <w:r w:rsidR="00FA4F4B" w:rsidRPr="00FA4F4B">
        <w:rPr>
          <w:bCs/>
        </w:rPr>
        <w:t>synthèses</w:t>
      </w:r>
      <w:r w:rsidR="008F2024">
        <w:rPr>
          <w:bCs/>
        </w:rPr>
        <w:t>,</w:t>
      </w:r>
      <w:r w:rsidRPr="00FA4F4B">
        <w:rPr>
          <w:bCs/>
        </w:rPr>
        <w:t xml:space="preserve"> </w:t>
      </w:r>
      <w:r w:rsidR="00FA4F4B" w:rsidRPr="00FA4F4B">
        <w:rPr>
          <w:bCs/>
        </w:rPr>
        <w:t xml:space="preserve">tant au </w:t>
      </w:r>
      <w:r w:rsidRPr="00FA4F4B">
        <w:rPr>
          <w:bCs/>
        </w:rPr>
        <w:t xml:space="preserve">niveau diocésain </w:t>
      </w:r>
      <w:r w:rsidR="00FA4F4B" w:rsidRPr="00FA4F4B">
        <w:rPr>
          <w:bCs/>
        </w:rPr>
        <w:t xml:space="preserve">qu’au niveau </w:t>
      </w:r>
      <w:r w:rsidRPr="00FA4F4B">
        <w:rPr>
          <w:bCs/>
        </w:rPr>
        <w:t>national</w:t>
      </w:r>
      <w:r w:rsidR="008F2024">
        <w:rPr>
          <w:bCs/>
        </w:rPr>
        <w:t>,</w:t>
      </w:r>
      <w:r w:rsidRPr="00FA4F4B">
        <w:rPr>
          <w:bCs/>
        </w:rPr>
        <w:t xml:space="preserve"> </w:t>
      </w:r>
      <w:r w:rsidR="00D22B1F" w:rsidRPr="00FA4F4B">
        <w:rPr>
          <w:bCs/>
        </w:rPr>
        <w:t xml:space="preserve">font partie du discernement </w:t>
      </w:r>
      <w:r w:rsidR="00D22B1F" w:rsidRPr="00FA4F4B">
        <w:rPr>
          <w:bCs/>
        </w:rPr>
        <w:lastRenderedPageBreak/>
        <w:t>synodal</w:t>
      </w:r>
      <w:r w:rsidRPr="00FA4F4B">
        <w:rPr>
          <w:bCs/>
        </w:rPr>
        <w:t xml:space="preserve">. </w:t>
      </w:r>
      <w:r w:rsidR="008F2024">
        <w:rPr>
          <w:bCs/>
        </w:rPr>
        <w:t>Qui dit discernement évoque un processus spirituel, nécessitant donc des attentions spécifiques.</w:t>
      </w:r>
    </w:p>
    <w:p w:rsidR="004676BB" w:rsidRPr="00CA6BAB" w:rsidRDefault="008F2024" w:rsidP="008F2024">
      <w:pPr>
        <w:ind w:left="360" w:firstLine="0"/>
      </w:pPr>
      <w:r>
        <w:rPr>
          <w:bCs/>
        </w:rPr>
        <w:t xml:space="preserve">Notre étude montre qu’une </w:t>
      </w:r>
      <w:r w:rsidR="00D200A7" w:rsidRPr="00FA4F4B">
        <w:rPr>
          <w:bCs/>
        </w:rPr>
        <w:t xml:space="preserve">grande mutation théologique des synodes </w:t>
      </w:r>
      <w:r w:rsidR="00D61007" w:rsidRPr="00FA4F4B">
        <w:rPr>
          <w:bCs/>
        </w:rPr>
        <w:t xml:space="preserve">actuels </w:t>
      </w:r>
      <w:r w:rsidR="00D200A7" w:rsidRPr="00FA4F4B">
        <w:rPr>
          <w:bCs/>
        </w:rPr>
        <w:t xml:space="preserve">est </w:t>
      </w:r>
      <w:r w:rsidR="009C1585" w:rsidRPr="00FA4F4B">
        <w:rPr>
          <w:bCs/>
        </w:rPr>
        <w:t>l’intégration des phases de consultation et de réflexion</w:t>
      </w:r>
      <w:r w:rsidR="00FA4F4B" w:rsidRPr="00FA4F4B">
        <w:rPr>
          <w:bCs/>
        </w:rPr>
        <w:t>. Le synode</w:t>
      </w:r>
      <w:r w:rsidR="00FA4F4B">
        <w:rPr>
          <w:bCs/>
        </w:rPr>
        <w:t xml:space="preserve"> ne se réduit plus à la seule </w:t>
      </w:r>
      <w:r w:rsidR="009C1585">
        <w:rPr>
          <w:bCs/>
        </w:rPr>
        <w:t xml:space="preserve">assemblée synodale proprement dite. Pour le dire autrement, </w:t>
      </w:r>
      <w:r w:rsidR="00FA4F4B">
        <w:rPr>
          <w:bCs/>
        </w:rPr>
        <w:t>ces organes de gouvernance sont clairement désormais des processus et non plus des évènements ponctuels.</w:t>
      </w:r>
      <w:r w:rsidR="00D61007">
        <w:rPr>
          <w:bCs/>
        </w:rPr>
        <w:t xml:space="preserve"> </w:t>
      </w:r>
      <w:r>
        <w:rPr>
          <w:bCs/>
        </w:rPr>
        <w:t>Le synode romain des évêques évolue lui aussi dans ce sens.</w:t>
      </w:r>
    </w:p>
    <w:p w:rsidR="00CA6BAB" w:rsidRDefault="00CA6BAB" w:rsidP="00CA6BAB"/>
    <w:p w:rsidR="00CA6BAB" w:rsidRDefault="00CA6BAB" w:rsidP="00CA6BAB">
      <w:pPr>
        <w:autoSpaceDE w:val="0"/>
        <w:autoSpaceDN w:val="0"/>
        <w:adjustRightInd w:val="0"/>
        <w:spacing w:after="0" w:line="240" w:lineRule="auto"/>
        <w:ind w:firstLine="0"/>
        <w:jc w:val="left"/>
        <w:rPr>
          <w:rFonts w:ascii="AGaramondPro-Regular" w:hAnsi="AGaramondPro-Regular" w:cs="AGaramondPro-Regular"/>
        </w:rPr>
      </w:pPr>
      <w:r>
        <w:rPr>
          <w:rFonts w:ascii="AGaramondPro-Regular" w:hAnsi="AGaramondPro-Regular" w:cs="AGaramondPro-Regular"/>
        </w:rPr>
        <w:t xml:space="preserve">Be – 1348 Louvain-la-Neuve </w:t>
      </w:r>
      <w:r>
        <w:rPr>
          <w:rFonts w:ascii="AGaramondPro-Regular" w:hAnsi="AGaramondPro-Regular" w:cs="AGaramondPro-Regular"/>
        </w:rPr>
        <w:tab/>
      </w:r>
      <w:r>
        <w:rPr>
          <w:rFonts w:ascii="AGaramondPro-Regular" w:hAnsi="AGaramondPro-Regular" w:cs="AGaramondPro-Regular"/>
        </w:rPr>
        <w:tab/>
      </w:r>
      <w:r>
        <w:rPr>
          <w:rFonts w:ascii="AGaramondPro-Regular" w:hAnsi="AGaramondPro-Regular" w:cs="AGaramondPro-Regular"/>
        </w:rPr>
        <w:tab/>
      </w:r>
      <w:r>
        <w:rPr>
          <w:rFonts w:ascii="AGaramondPro-Regular" w:hAnsi="AGaramondPro-Regular" w:cs="AGaramondPro-Regular"/>
        </w:rPr>
        <w:tab/>
      </w:r>
      <w:r>
        <w:rPr>
          <w:rFonts w:ascii="AGaramondPro-Regular" w:hAnsi="AGaramondPro-Regular" w:cs="AGaramondPro-Regular"/>
        </w:rPr>
        <w:tab/>
        <w:t>Arnaud Join-Lambert</w:t>
      </w:r>
    </w:p>
    <w:p w:rsidR="00CA6BAB" w:rsidRDefault="00CA6BAB" w:rsidP="00CA6BAB">
      <w:pPr>
        <w:autoSpaceDE w:val="0"/>
        <w:autoSpaceDN w:val="0"/>
        <w:adjustRightInd w:val="0"/>
        <w:spacing w:after="0" w:line="240" w:lineRule="auto"/>
        <w:ind w:firstLine="0"/>
        <w:jc w:val="left"/>
        <w:rPr>
          <w:rFonts w:ascii="AGaramondPro-Regular" w:hAnsi="AGaramondPro-Regular" w:cs="AGaramondPro-Regular"/>
        </w:rPr>
      </w:pPr>
      <w:r>
        <w:rPr>
          <w:rFonts w:ascii="AGaramondPro-Regular" w:hAnsi="AGaramondPro-Regular" w:cs="AGaramondPro-Regular"/>
        </w:rPr>
        <w:t xml:space="preserve">Grand-place, 45 </w:t>
      </w:r>
      <w:r>
        <w:rPr>
          <w:rFonts w:ascii="AGaramondPro-Regular" w:hAnsi="AGaramondPro-Regular" w:cs="AGaramondPro-Regular"/>
        </w:rPr>
        <w:tab/>
      </w:r>
      <w:r>
        <w:rPr>
          <w:rFonts w:ascii="AGaramondPro-Regular" w:hAnsi="AGaramondPro-Regular" w:cs="AGaramondPro-Regular"/>
        </w:rPr>
        <w:tab/>
      </w:r>
      <w:r>
        <w:rPr>
          <w:rFonts w:ascii="AGaramondPro-Regular" w:hAnsi="AGaramondPro-Regular" w:cs="AGaramondPro-Regular"/>
        </w:rPr>
        <w:tab/>
      </w:r>
      <w:r>
        <w:rPr>
          <w:rFonts w:ascii="AGaramondPro-Regular" w:hAnsi="AGaramondPro-Regular" w:cs="AGaramondPro-Regular"/>
        </w:rPr>
        <w:tab/>
      </w:r>
      <w:r>
        <w:rPr>
          <w:rFonts w:ascii="AGaramondPro-Regular" w:hAnsi="AGaramondPro-Regular" w:cs="AGaramondPro-Regular"/>
        </w:rPr>
        <w:tab/>
      </w:r>
      <w:r>
        <w:rPr>
          <w:rFonts w:ascii="AGaramondPro-Regular" w:hAnsi="AGaramondPro-Regular" w:cs="AGaramondPro-Regular"/>
        </w:rPr>
        <w:tab/>
        <w:t>Prof. Faculté de théologie</w:t>
      </w:r>
    </w:p>
    <w:p w:rsidR="00CA6BAB" w:rsidRDefault="00DB0D08" w:rsidP="00CA6BAB">
      <w:pPr>
        <w:ind w:firstLine="0"/>
      </w:pPr>
      <w:hyperlink r:id="rId8" w:history="1">
        <w:r w:rsidR="00CA6BAB" w:rsidRPr="00135174">
          <w:rPr>
            <w:rStyle w:val="Lienhypertexte"/>
            <w:rFonts w:ascii="AGaramondPro-Regular" w:hAnsi="AGaramondPro-Regular" w:cs="AGaramondPro-Regular"/>
          </w:rPr>
          <w:t>arnaud.join-lambert@uclouvain.be</w:t>
        </w:r>
      </w:hyperlink>
      <w:r w:rsidR="00CA6BAB">
        <w:rPr>
          <w:rFonts w:ascii="AGaramondPro-Regular" w:hAnsi="AGaramondPro-Regular" w:cs="AGaramondPro-Regular"/>
        </w:rPr>
        <w:t xml:space="preserve"> </w:t>
      </w:r>
      <w:r w:rsidR="00CA6BAB">
        <w:rPr>
          <w:rFonts w:ascii="AGaramondPro-Regular" w:hAnsi="AGaramondPro-Regular" w:cs="AGaramondPro-Regular"/>
        </w:rPr>
        <w:tab/>
      </w:r>
      <w:r w:rsidR="00CA6BAB">
        <w:rPr>
          <w:rFonts w:ascii="AGaramondPro-Regular" w:hAnsi="AGaramondPro-Regular" w:cs="AGaramondPro-Regular"/>
        </w:rPr>
        <w:tab/>
      </w:r>
      <w:r w:rsidR="00CA6BAB">
        <w:rPr>
          <w:rFonts w:ascii="AGaramondPro-Regular" w:hAnsi="AGaramondPro-Regular" w:cs="AGaramondPro-Regular"/>
        </w:rPr>
        <w:tab/>
      </w:r>
      <w:r w:rsidR="00CA6BAB">
        <w:rPr>
          <w:rFonts w:ascii="AGaramondPro-Regular" w:hAnsi="AGaramondPro-Regular" w:cs="AGaramondPro-Regular"/>
        </w:rPr>
        <w:tab/>
        <w:t>UCLouvain</w:t>
      </w:r>
    </w:p>
    <w:sectPr w:rsidR="00CA6BAB" w:rsidSect="00460FB3">
      <w:headerReference w:type="default" r:id="rId9"/>
      <w:footerReference w:type="default" r:id="rId10"/>
      <w:pgSz w:w="11906" w:h="16838"/>
      <w:pgMar w:top="1276" w:right="1417" w:bottom="1276"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A93E2C" w:rsidRDefault="00A93E2C" w:rsidP="0048587A">
      <w:r>
        <w:separator/>
      </w:r>
    </w:p>
  </w:endnote>
  <w:endnote w:type="continuationSeparator" w:id="0">
    <w:p w:rsidR="00A93E2C" w:rsidRDefault="00A93E2C" w:rsidP="0048587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3">
    <w:panose1 w:val="050401020108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GaramondPro-Regular">
    <w:altName w:val="Cambria"/>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221023340"/>
      <w:docPartObj>
        <w:docPartGallery w:val="Page Numbers (Bottom of Page)"/>
        <w:docPartUnique/>
      </w:docPartObj>
    </w:sdtPr>
    <w:sdtEndPr/>
    <w:sdtContent>
      <w:p w:rsidR="00AC78BC" w:rsidRDefault="00AC78BC" w:rsidP="0048587A">
        <w:pPr>
          <w:pStyle w:val="Pieddepage"/>
        </w:pPr>
        <w:r>
          <w:fldChar w:fldCharType="begin"/>
        </w:r>
        <w:r>
          <w:instrText>PAGE   \* MERGEFORMAT</w:instrText>
        </w:r>
        <w:r>
          <w:fldChar w:fldCharType="separate"/>
        </w:r>
        <w:r w:rsidR="00A01438" w:rsidRPr="00A01438">
          <w:rPr>
            <w:noProof/>
            <w:lang w:val="fr-FR"/>
          </w:rPr>
          <w:t>7</w:t>
        </w:r>
        <w:r>
          <w:fldChar w:fldCharType="end"/>
        </w:r>
      </w:p>
    </w:sdtContent>
  </w:sdt>
  <w:p w:rsidR="00AC78BC" w:rsidRDefault="00AC78BC" w:rsidP="0048587A">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A93E2C" w:rsidRDefault="00A93E2C" w:rsidP="0048587A">
      <w:r>
        <w:separator/>
      </w:r>
    </w:p>
  </w:footnote>
  <w:footnote w:type="continuationSeparator" w:id="0">
    <w:p w:rsidR="00A93E2C" w:rsidRDefault="00A93E2C" w:rsidP="0048587A">
      <w:r>
        <w:continuationSeparator/>
      </w:r>
    </w:p>
  </w:footnote>
  <w:footnote w:id="1">
    <w:p w:rsidR="000B3AA1" w:rsidRDefault="000B3AA1" w:rsidP="000B3AA1">
      <w:pPr>
        <w:pStyle w:val="Notedebasdepage"/>
      </w:pPr>
      <w:r>
        <w:rPr>
          <w:rStyle w:val="Appelnotedebasdep"/>
        </w:rPr>
        <w:footnoteRef/>
      </w:r>
      <w:r>
        <w:t xml:space="preserve"> A. </w:t>
      </w:r>
      <w:r w:rsidRPr="00F91C2C">
        <w:rPr>
          <w:smallCaps/>
        </w:rPr>
        <w:t>Borras</w:t>
      </w:r>
      <w:r>
        <w:t>, « </w:t>
      </w:r>
      <w:proofErr w:type="spellStart"/>
      <w:r w:rsidRPr="000B3AA1">
        <w:rPr>
          <w:i/>
        </w:rPr>
        <w:t>Episcopalis</w:t>
      </w:r>
      <w:proofErr w:type="spellEnd"/>
      <w:r w:rsidRPr="000B3AA1">
        <w:rPr>
          <w:i/>
        </w:rPr>
        <w:t xml:space="preserve"> </w:t>
      </w:r>
      <w:proofErr w:type="spellStart"/>
      <w:r w:rsidRPr="000B3AA1">
        <w:rPr>
          <w:i/>
        </w:rPr>
        <w:t>communio</w:t>
      </w:r>
      <w:proofErr w:type="spellEnd"/>
      <w:r>
        <w:t xml:space="preserve">, mérites et limites d’une réforme institutionnelle », </w:t>
      </w:r>
      <w:r w:rsidRPr="000B3AA1">
        <w:rPr>
          <w:i/>
        </w:rPr>
        <w:t>NRT</w:t>
      </w:r>
      <w:r>
        <w:t xml:space="preserve"> 141 (2019) p. 66-88.</w:t>
      </w:r>
    </w:p>
  </w:footnote>
  <w:footnote w:id="2">
    <w:p w:rsidR="005D020A" w:rsidRDefault="005D020A" w:rsidP="005D020A">
      <w:pPr>
        <w:pStyle w:val="Notedebasdepage"/>
      </w:pPr>
      <w:r>
        <w:rPr>
          <w:rStyle w:val="Appelnotedebasdep"/>
        </w:rPr>
        <w:footnoteRef/>
      </w:r>
      <w:r>
        <w:t xml:space="preserve"> Cet article est issu d’une intervention lors </w:t>
      </w:r>
      <w:r w:rsidR="00DA7A43">
        <w:t>de la</w:t>
      </w:r>
      <w:r w:rsidRPr="005D020A">
        <w:t xml:space="preserve"> </w:t>
      </w:r>
      <w:r>
        <w:t>session commune aux quatre commissions pour le Synode romain des évêques sur la synodalité, à Rome le 12 octobre 2021.</w:t>
      </w:r>
    </w:p>
  </w:footnote>
  <w:footnote w:id="3">
    <w:p w:rsidR="00CA6BAB" w:rsidRDefault="00CA6BAB">
      <w:pPr>
        <w:pStyle w:val="Notedebasdepage"/>
      </w:pPr>
      <w:r>
        <w:rPr>
          <w:rStyle w:val="Appelnotedebasdep"/>
        </w:rPr>
        <w:footnoteRef/>
      </w:r>
      <w:r>
        <w:t xml:space="preserve"> Choisis parmi d’autres aussi disponibles à Louvain-la-Neuve</w:t>
      </w:r>
      <w:r w:rsidR="006F57E4">
        <w:t>, qui confirmeraient les propos de notre étude</w:t>
      </w:r>
      <w:r>
        <w:t>.</w:t>
      </w:r>
      <w:r w:rsidR="0026422B">
        <w:t xml:space="preserve"> Depuis la diffusion d’Internet, l’accès à ce type de sources est facilité pour les chercheurs et chercheuses, même si c’est souvent seulement temporaire.</w:t>
      </w:r>
    </w:p>
  </w:footnote>
  <w:footnote w:id="4">
    <w:p w:rsidR="00E06ECC" w:rsidRPr="00E06ECC" w:rsidRDefault="00E06ECC" w:rsidP="00E06ECC">
      <w:pPr>
        <w:spacing w:afterLines="60" w:after="144" w:line="240" w:lineRule="auto"/>
        <w:ind w:right="-142" w:firstLine="283"/>
        <w:rPr>
          <w:rFonts w:cstheme="minorHAnsi"/>
          <w:sz w:val="20"/>
        </w:rPr>
      </w:pPr>
      <w:r w:rsidRPr="00E06ECC">
        <w:rPr>
          <w:rStyle w:val="Appelnotedebasdep"/>
          <w:rFonts w:cstheme="minorHAnsi"/>
          <w:sz w:val="20"/>
        </w:rPr>
        <w:footnoteRef/>
      </w:r>
      <w:r w:rsidRPr="00E06ECC">
        <w:rPr>
          <w:rFonts w:cstheme="minorHAnsi"/>
          <w:sz w:val="20"/>
        </w:rPr>
        <w:t xml:space="preserve"> </w:t>
      </w:r>
      <w:r w:rsidR="00457752">
        <w:rPr>
          <w:rFonts w:cstheme="minorHAnsi"/>
          <w:sz w:val="20"/>
        </w:rPr>
        <w:t>Se reporter aux</w:t>
      </w:r>
      <w:r w:rsidR="00714D2B">
        <w:rPr>
          <w:rFonts w:cstheme="minorHAnsi"/>
          <w:sz w:val="20"/>
        </w:rPr>
        <w:t xml:space="preserve"> </w:t>
      </w:r>
      <w:r w:rsidRPr="00E06ECC">
        <w:rPr>
          <w:rFonts w:cstheme="minorHAnsi"/>
          <w:sz w:val="20"/>
        </w:rPr>
        <w:t xml:space="preserve">trois bibliographies : </w:t>
      </w:r>
      <w:bookmarkStart w:id="0" w:name="_Hlk95314482"/>
      <w:bookmarkStart w:id="1" w:name="_GoBack"/>
      <w:r w:rsidRPr="00E06ECC">
        <w:rPr>
          <w:rFonts w:cstheme="minorHAnsi"/>
          <w:sz w:val="20"/>
        </w:rPr>
        <w:t>A</w:t>
      </w:r>
      <w:r>
        <w:rPr>
          <w:rFonts w:cstheme="minorHAnsi"/>
          <w:sz w:val="20"/>
        </w:rPr>
        <w:t>.</w:t>
      </w:r>
      <w:r w:rsidRPr="00E06ECC">
        <w:rPr>
          <w:rFonts w:cstheme="minorHAnsi"/>
          <w:sz w:val="20"/>
        </w:rPr>
        <w:t xml:space="preserve"> </w:t>
      </w:r>
      <w:r w:rsidRPr="00E06ECC">
        <w:rPr>
          <w:rFonts w:cstheme="minorHAnsi"/>
          <w:smallCaps/>
          <w:sz w:val="20"/>
        </w:rPr>
        <w:t xml:space="preserve">Dal </w:t>
      </w:r>
      <w:proofErr w:type="spellStart"/>
      <w:r w:rsidRPr="00E06ECC">
        <w:rPr>
          <w:rFonts w:cstheme="minorHAnsi"/>
          <w:smallCaps/>
          <w:sz w:val="20"/>
        </w:rPr>
        <w:t>Pozzolo</w:t>
      </w:r>
      <w:proofErr w:type="spellEnd"/>
      <w:r w:rsidRPr="00E06ECC">
        <w:rPr>
          <w:rFonts w:cstheme="minorHAnsi"/>
          <w:sz w:val="20"/>
        </w:rPr>
        <w:t>, S</w:t>
      </w:r>
      <w:r>
        <w:rPr>
          <w:rFonts w:cstheme="minorHAnsi"/>
          <w:sz w:val="20"/>
        </w:rPr>
        <w:t>.</w:t>
      </w:r>
      <w:r w:rsidRPr="00E06ECC">
        <w:rPr>
          <w:rFonts w:cstheme="minorHAnsi"/>
          <w:sz w:val="20"/>
        </w:rPr>
        <w:t xml:space="preserve"> </w:t>
      </w:r>
      <w:proofErr w:type="spellStart"/>
      <w:r w:rsidRPr="00E06ECC">
        <w:rPr>
          <w:rFonts w:cstheme="minorHAnsi"/>
          <w:smallCaps/>
          <w:sz w:val="20"/>
        </w:rPr>
        <w:t>Segolini</w:t>
      </w:r>
      <w:proofErr w:type="spellEnd"/>
      <w:r w:rsidRPr="00E06ECC">
        <w:rPr>
          <w:rFonts w:cstheme="minorHAnsi"/>
          <w:smallCaps/>
          <w:sz w:val="20"/>
        </w:rPr>
        <w:t xml:space="preserve"> </w:t>
      </w:r>
      <w:proofErr w:type="spellStart"/>
      <w:r w:rsidRPr="00E06ECC">
        <w:rPr>
          <w:rFonts w:cstheme="minorHAnsi"/>
          <w:smallCaps/>
          <w:sz w:val="20"/>
        </w:rPr>
        <w:t>Ruta</w:t>
      </w:r>
      <w:proofErr w:type="spellEnd"/>
      <w:r w:rsidRPr="00E06ECC">
        <w:rPr>
          <w:rFonts w:cstheme="minorHAnsi"/>
          <w:sz w:val="20"/>
        </w:rPr>
        <w:t xml:space="preserve">, </w:t>
      </w:r>
      <w:r w:rsidR="00714D2B">
        <w:rPr>
          <w:rFonts w:cstheme="minorHAnsi"/>
          <w:sz w:val="20"/>
        </w:rPr>
        <w:t>« </w:t>
      </w:r>
      <w:proofErr w:type="spellStart"/>
      <w:r w:rsidRPr="00E06ECC">
        <w:rPr>
          <w:rFonts w:cstheme="minorHAnsi"/>
          <w:sz w:val="20"/>
        </w:rPr>
        <w:t>Bibliografia</w:t>
      </w:r>
      <w:proofErr w:type="spellEnd"/>
      <w:r w:rsidRPr="00E06ECC">
        <w:rPr>
          <w:rFonts w:cstheme="minorHAnsi"/>
          <w:sz w:val="20"/>
        </w:rPr>
        <w:t xml:space="preserve"> </w:t>
      </w:r>
      <w:proofErr w:type="spellStart"/>
      <w:r w:rsidRPr="00E06ECC">
        <w:rPr>
          <w:rFonts w:cstheme="minorHAnsi"/>
          <w:sz w:val="20"/>
        </w:rPr>
        <w:t>internazionale</w:t>
      </w:r>
      <w:proofErr w:type="spellEnd"/>
      <w:r w:rsidRPr="00E06ECC">
        <w:rPr>
          <w:rFonts w:cstheme="minorHAnsi"/>
          <w:sz w:val="20"/>
        </w:rPr>
        <w:t xml:space="preserve"> </w:t>
      </w:r>
      <w:proofErr w:type="spellStart"/>
      <w:r w:rsidRPr="00E06ECC">
        <w:rPr>
          <w:rFonts w:cstheme="minorHAnsi"/>
          <w:sz w:val="20"/>
        </w:rPr>
        <w:t>sulla</w:t>
      </w:r>
      <w:proofErr w:type="spellEnd"/>
      <w:r w:rsidRPr="00E06ECC">
        <w:rPr>
          <w:rFonts w:cstheme="minorHAnsi"/>
          <w:sz w:val="20"/>
        </w:rPr>
        <w:t xml:space="preserve"> </w:t>
      </w:r>
      <w:proofErr w:type="spellStart"/>
      <w:r w:rsidRPr="00E06ECC">
        <w:rPr>
          <w:rFonts w:cstheme="minorHAnsi"/>
          <w:sz w:val="20"/>
        </w:rPr>
        <w:t>sin</w:t>
      </w:r>
      <w:r w:rsidR="008D43FF">
        <w:rPr>
          <w:rFonts w:cstheme="minorHAnsi"/>
          <w:sz w:val="20"/>
        </w:rPr>
        <w:t>o</w:t>
      </w:r>
      <w:r w:rsidRPr="00E06ECC">
        <w:rPr>
          <w:rFonts w:cstheme="minorHAnsi"/>
          <w:sz w:val="20"/>
        </w:rPr>
        <w:t>dalità</w:t>
      </w:r>
      <w:proofErr w:type="spellEnd"/>
      <w:r w:rsidRPr="00E06ECC">
        <w:rPr>
          <w:rFonts w:cstheme="minorHAnsi"/>
          <w:sz w:val="20"/>
        </w:rPr>
        <w:t xml:space="preserve"> (2005-2019)</w:t>
      </w:r>
      <w:r w:rsidR="008C7B4F">
        <w:rPr>
          <w:rFonts w:cstheme="minorHAnsi"/>
          <w:sz w:val="20"/>
        </w:rPr>
        <w:t> »</w:t>
      </w:r>
      <w:r w:rsidRPr="00E06ECC">
        <w:rPr>
          <w:rFonts w:cstheme="minorHAnsi"/>
          <w:sz w:val="20"/>
        </w:rPr>
        <w:t xml:space="preserve">, </w:t>
      </w:r>
      <w:proofErr w:type="gramStart"/>
      <w:r w:rsidRPr="00E06ECC">
        <w:rPr>
          <w:rFonts w:cstheme="minorHAnsi"/>
          <w:sz w:val="20"/>
        </w:rPr>
        <w:t>in:</w:t>
      </w:r>
      <w:proofErr w:type="gramEnd"/>
      <w:r w:rsidRPr="00E06ECC">
        <w:rPr>
          <w:rFonts w:cstheme="minorHAnsi"/>
          <w:sz w:val="20"/>
        </w:rPr>
        <w:t xml:space="preserve"> R</w:t>
      </w:r>
      <w:r>
        <w:rPr>
          <w:rFonts w:cstheme="minorHAnsi"/>
          <w:sz w:val="20"/>
        </w:rPr>
        <w:t>.</w:t>
      </w:r>
      <w:r w:rsidRPr="00E06ECC">
        <w:rPr>
          <w:rFonts w:cstheme="minorHAnsi"/>
          <w:sz w:val="20"/>
        </w:rPr>
        <w:t xml:space="preserve"> </w:t>
      </w:r>
      <w:proofErr w:type="spellStart"/>
      <w:r w:rsidRPr="00E06ECC">
        <w:rPr>
          <w:rFonts w:cstheme="minorHAnsi"/>
          <w:smallCaps/>
          <w:sz w:val="20"/>
        </w:rPr>
        <w:t>Battocchio</w:t>
      </w:r>
      <w:proofErr w:type="spellEnd"/>
      <w:r w:rsidRPr="00E06ECC">
        <w:rPr>
          <w:rFonts w:cstheme="minorHAnsi"/>
          <w:sz w:val="20"/>
        </w:rPr>
        <w:t>, L</w:t>
      </w:r>
      <w:r>
        <w:rPr>
          <w:rFonts w:cstheme="minorHAnsi"/>
          <w:sz w:val="20"/>
        </w:rPr>
        <w:t>.</w:t>
      </w:r>
      <w:r w:rsidRPr="00E06ECC">
        <w:rPr>
          <w:rFonts w:cstheme="minorHAnsi"/>
          <w:sz w:val="20"/>
        </w:rPr>
        <w:t xml:space="preserve"> </w:t>
      </w:r>
      <w:proofErr w:type="spellStart"/>
      <w:r w:rsidRPr="00E06ECC">
        <w:rPr>
          <w:rFonts w:cstheme="minorHAnsi"/>
          <w:smallCaps/>
          <w:sz w:val="20"/>
        </w:rPr>
        <w:t>Tonello</w:t>
      </w:r>
      <w:proofErr w:type="spellEnd"/>
      <w:r w:rsidRPr="00E06ECC">
        <w:rPr>
          <w:rFonts w:cstheme="minorHAnsi"/>
          <w:smallCaps/>
          <w:sz w:val="20"/>
        </w:rPr>
        <w:t xml:space="preserve"> </w:t>
      </w:r>
      <w:r w:rsidRPr="00E06ECC">
        <w:rPr>
          <w:rFonts w:cstheme="minorHAnsi"/>
          <w:sz w:val="20"/>
        </w:rPr>
        <w:t>(</w:t>
      </w:r>
      <w:proofErr w:type="spellStart"/>
      <w:r w:rsidRPr="00E06ECC">
        <w:rPr>
          <w:rFonts w:cstheme="minorHAnsi"/>
          <w:sz w:val="20"/>
        </w:rPr>
        <w:t>ed</w:t>
      </w:r>
      <w:proofErr w:type="spellEnd"/>
      <w:r w:rsidRPr="00E06ECC">
        <w:rPr>
          <w:rFonts w:cstheme="minorHAnsi"/>
          <w:sz w:val="20"/>
        </w:rPr>
        <w:t xml:space="preserve">.), </w:t>
      </w:r>
      <w:proofErr w:type="spellStart"/>
      <w:r w:rsidRPr="00E06ECC">
        <w:rPr>
          <w:rFonts w:cstheme="minorHAnsi"/>
          <w:i/>
          <w:sz w:val="20"/>
        </w:rPr>
        <w:t>Sinodalità</w:t>
      </w:r>
      <w:proofErr w:type="spellEnd"/>
      <w:r w:rsidRPr="00E06ECC">
        <w:rPr>
          <w:rFonts w:cstheme="minorHAnsi"/>
          <w:i/>
          <w:sz w:val="20"/>
        </w:rPr>
        <w:t xml:space="preserve">. </w:t>
      </w:r>
      <w:proofErr w:type="spellStart"/>
      <w:r w:rsidRPr="00E06ECC">
        <w:rPr>
          <w:rFonts w:cstheme="minorHAnsi"/>
          <w:i/>
          <w:sz w:val="20"/>
        </w:rPr>
        <w:t>Dimensione</w:t>
      </w:r>
      <w:proofErr w:type="spellEnd"/>
      <w:r w:rsidRPr="00E06ECC">
        <w:rPr>
          <w:rFonts w:cstheme="minorHAnsi"/>
          <w:i/>
          <w:sz w:val="20"/>
        </w:rPr>
        <w:t xml:space="preserve"> </w:t>
      </w:r>
      <w:proofErr w:type="spellStart"/>
      <w:r w:rsidRPr="00E06ECC">
        <w:rPr>
          <w:rFonts w:cstheme="minorHAnsi"/>
          <w:i/>
          <w:sz w:val="20"/>
        </w:rPr>
        <w:t>della</w:t>
      </w:r>
      <w:proofErr w:type="spellEnd"/>
      <w:r w:rsidRPr="00E06ECC">
        <w:rPr>
          <w:rFonts w:cstheme="minorHAnsi"/>
          <w:i/>
          <w:sz w:val="20"/>
        </w:rPr>
        <w:t xml:space="preserve"> </w:t>
      </w:r>
      <w:proofErr w:type="spellStart"/>
      <w:r w:rsidRPr="00E06ECC">
        <w:rPr>
          <w:rFonts w:cstheme="minorHAnsi"/>
          <w:i/>
          <w:sz w:val="20"/>
        </w:rPr>
        <w:t>Chiesa</w:t>
      </w:r>
      <w:proofErr w:type="spellEnd"/>
      <w:r w:rsidRPr="00E06ECC">
        <w:rPr>
          <w:rFonts w:cstheme="minorHAnsi"/>
          <w:i/>
          <w:sz w:val="20"/>
        </w:rPr>
        <w:t xml:space="preserve">, </w:t>
      </w:r>
      <w:proofErr w:type="spellStart"/>
      <w:r w:rsidRPr="00E06ECC">
        <w:rPr>
          <w:rFonts w:cstheme="minorHAnsi"/>
          <w:i/>
          <w:sz w:val="20"/>
        </w:rPr>
        <w:t>pratiche</w:t>
      </w:r>
      <w:proofErr w:type="spellEnd"/>
      <w:r w:rsidRPr="00E06ECC">
        <w:rPr>
          <w:rFonts w:cstheme="minorHAnsi"/>
          <w:i/>
          <w:sz w:val="20"/>
        </w:rPr>
        <w:t xml:space="preserve"> </w:t>
      </w:r>
      <w:proofErr w:type="spellStart"/>
      <w:r w:rsidRPr="00E06ECC">
        <w:rPr>
          <w:rFonts w:cstheme="minorHAnsi"/>
          <w:i/>
          <w:sz w:val="20"/>
        </w:rPr>
        <w:t>nella</w:t>
      </w:r>
      <w:proofErr w:type="spellEnd"/>
      <w:r w:rsidRPr="00E06ECC">
        <w:rPr>
          <w:rFonts w:cstheme="minorHAnsi"/>
          <w:i/>
          <w:sz w:val="20"/>
        </w:rPr>
        <w:t xml:space="preserve"> </w:t>
      </w:r>
      <w:proofErr w:type="spellStart"/>
      <w:r w:rsidRPr="00E06ECC">
        <w:rPr>
          <w:rFonts w:cstheme="minorHAnsi"/>
          <w:i/>
          <w:sz w:val="20"/>
        </w:rPr>
        <w:t>Chiesa</w:t>
      </w:r>
      <w:proofErr w:type="spellEnd"/>
      <w:r>
        <w:rPr>
          <w:rFonts w:cstheme="minorHAnsi"/>
          <w:sz w:val="20"/>
        </w:rPr>
        <w:t xml:space="preserve">, coll. </w:t>
      </w:r>
      <w:r w:rsidRPr="00E06ECC">
        <w:rPr>
          <w:rFonts w:cstheme="minorHAnsi"/>
          <w:sz w:val="20"/>
        </w:rPr>
        <w:t xml:space="preserve">Sophia / </w:t>
      </w:r>
      <w:proofErr w:type="spellStart"/>
      <w:r w:rsidRPr="00E06ECC">
        <w:rPr>
          <w:rFonts w:cstheme="minorHAnsi"/>
          <w:sz w:val="20"/>
        </w:rPr>
        <w:t>Episteme</w:t>
      </w:r>
      <w:proofErr w:type="spellEnd"/>
      <w:r w:rsidRPr="00E06ECC">
        <w:rPr>
          <w:rFonts w:cstheme="minorHAnsi"/>
          <w:sz w:val="20"/>
        </w:rPr>
        <w:t xml:space="preserve"> – </w:t>
      </w:r>
      <w:proofErr w:type="spellStart"/>
      <w:r w:rsidRPr="00E06ECC">
        <w:rPr>
          <w:rFonts w:cstheme="minorHAnsi"/>
          <w:sz w:val="20"/>
        </w:rPr>
        <w:t>Studi</w:t>
      </w:r>
      <w:proofErr w:type="spellEnd"/>
      <w:r w:rsidRPr="00E06ECC">
        <w:rPr>
          <w:rFonts w:cstheme="minorHAnsi"/>
          <w:sz w:val="20"/>
        </w:rPr>
        <w:t xml:space="preserve"> e </w:t>
      </w:r>
      <w:proofErr w:type="spellStart"/>
      <w:r w:rsidRPr="00E06ECC">
        <w:rPr>
          <w:rFonts w:cstheme="minorHAnsi"/>
          <w:sz w:val="20"/>
        </w:rPr>
        <w:t>ricerche</w:t>
      </w:r>
      <w:proofErr w:type="spellEnd"/>
      <w:r w:rsidRPr="00E06ECC">
        <w:rPr>
          <w:rFonts w:cstheme="minorHAnsi"/>
          <w:sz w:val="20"/>
        </w:rPr>
        <w:t xml:space="preserve"> 22, </w:t>
      </w:r>
      <w:proofErr w:type="spellStart"/>
      <w:r w:rsidRPr="00E06ECC">
        <w:rPr>
          <w:rFonts w:cstheme="minorHAnsi"/>
          <w:sz w:val="20"/>
        </w:rPr>
        <w:t>Padova</w:t>
      </w:r>
      <w:proofErr w:type="spellEnd"/>
      <w:r w:rsidRPr="00E06ECC">
        <w:rPr>
          <w:rFonts w:cstheme="minorHAnsi"/>
          <w:sz w:val="20"/>
        </w:rPr>
        <w:t xml:space="preserve">, </w:t>
      </w:r>
      <w:proofErr w:type="spellStart"/>
      <w:r w:rsidRPr="00E06ECC">
        <w:rPr>
          <w:rFonts w:cstheme="minorHAnsi"/>
          <w:sz w:val="20"/>
        </w:rPr>
        <w:t>Messagero</w:t>
      </w:r>
      <w:proofErr w:type="spellEnd"/>
      <w:r w:rsidRPr="00E06ECC">
        <w:rPr>
          <w:rFonts w:cstheme="minorHAnsi"/>
          <w:sz w:val="20"/>
        </w:rPr>
        <w:t>, 2020, p. 377-395 ; J</w:t>
      </w:r>
      <w:r>
        <w:rPr>
          <w:rFonts w:cstheme="minorHAnsi"/>
          <w:sz w:val="20"/>
        </w:rPr>
        <w:t>.</w:t>
      </w:r>
      <w:r w:rsidRPr="00E06ECC">
        <w:rPr>
          <w:rFonts w:cstheme="minorHAnsi"/>
          <w:sz w:val="20"/>
        </w:rPr>
        <w:t xml:space="preserve"> C</w:t>
      </w:r>
      <w:r>
        <w:rPr>
          <w:rFonts w:cstheme="minorHAnsi"/>
          <w:sz w:val="20"/>
        </w:rPr>
        <w:t>.</w:t>
      </w:r>
      <w:r w:rsidRPr="00E06ECC">
        <w:rPr>
          <w:rFonts w:cstheme="minorHAnsi"/>
          <w:sz w:val="20"/>
        </w:rPr>
        <w:t xml:space="preserve"> </w:t>
      </w:r>
      <w:r w:rsidRPr="00E06ECC">
        <w:rPr>
          <w:rFonts w:cstheme="minorHAnsi"/>
          <w:smallCaps/>
          <w:sz w:val="20"/>
        </w:rPr>
        <w:t xml:space="preserve">Fernández </w:t>
      </w:r>
      <w:proofErr w:type="spellStart"/>
      <w:r w:rsidRPr="00E06ECC">
        <w:rPr>
          <w:rFonts w:cstheme="minorHAnsi"/>
          <w:smallCaps/>
          <w:sz w:val="20"/>
        </w:rPr>
        <w:t>Menes</w:t>
      </w:r>
      <w:proofErr w:type="spellEnd"/>
      <w:r w:rsidRPr="00E06ECC">
        <w:rPr>
          <w:rFonts w:cstheme="minorHAnsi"/>
          <w:sz w:val="20"/>
        </w:rPr>
        <w:t xml:space="preserve">, </w:t>
      </w:r>
      <w:r w:rsidR="008C7B4F">
        <w:rPr>
          <w:rFonts w:cstheme="minorHAnsi"/>
          <w:sz w:val="20"/>
        </w:rPr>
        <w:t>« </w:t>
      </w:r>
      <w:proofErr w:type="spellStart"/>
      <w:r w:rsidRPr="00E06ECC">
        <w:rPr>
          <w:rFonts w:cstheme="minorHAnsi"/>
          <w:sz w:val="20"/>
        </w:rPr>
        <w:t>Bibliografía</w:t>
      </w:r>
      <w:proofErr w:type="spellEnd"/>
      <w:r w:rsidRPr="00E06ECC">
        <w:rPr>
          <w:rFonts w:cstheme="minorHAnsi"/>
          <w:sz w:val="20"/>
        </w:rPr>
        <w:t xml:space="preserve"> sobre la </w:t>
      </w:r>
      <w:proofErr w:type="spellStart"/>
      <w:r w:rsidRPr="00E06ECC">
        <w:rPr>
          <w:rFonts w:cstheme="minorHAnsi"/>
          <w:sz w:val="20"/>
        </w:rPr>
        <w:t>sinodalidad</w:t>
      </w:r>
      <w:proofErr w:type="spellEnd"/>
      <w:r w:rsidR="008C7B4F">
        <w:rPr>
          <w:rFonts w:cstheme="minorHAnsi"/>
          <w:sz w:val="20"/>
        </w:rPr>
        <w:t> »</w:t>
      </w:r>
      <w:r w:rsidRPr="00E06ECC">
        <w:rPr>
          <w:rFonts w:cstheme="minorHAnsi"/>
          <w:sz w:val="20"/>
        </w:rPr>
        <w:t>,</w:t>
      </w:r>
      <w:r>
        <w:rPr>
          <w:rFonts w:cstheme="minorHAnsi"/>
          <w:sz w:val="20"/>
        </w:rPr>
        <w:t xml:space="preserve"> </w:t>
      </w:r>
      <w:proofErr w:type="spellStart"/>
      <w:r w:rsidRPr="00E06ECC">
        <w:rPr>
          <w:rFonts w:cstheme="minorHAnsi"/>
          <w:i/>
          <w:sz w:val="20"/>
        </w:rPr>
        <w:t>Salmanticensis</w:t>
      </w:r>
      <w:proofErr w:type="spellEnd"/>
      <w:r w:rsidRPr="00E06ECC">
        <w:rPr>
          <w:rFonts w:cstheme="minorHAnsi"/>
          <w:sz w:val="20"/>
        </w:rPr>
        <w:t>,</w:t>
      </w:r>
      <w:r w:rsidRPr="00E06ECC">
        <w:rPr>
          <w:rFonts w:cstheme="minorHAnsi"/>
          <w:i/>
          <w:sz w:val="20"/>
        </w:rPr>
        <w:t xml:space="preserve"> </w:t>
      </w:r>
      <w:r w:rsidRPr="00E06ECC">
        <w:rPr>
          <w:rFonts w:cstheme="minorHAnsi"/>
          <w:sz w:val="20"/>
        </w:rPr>
        <w:t>68/2 (2021) p. 351-381</w:t>
      </w:r>
      <w:r>
        <w:rPr>
          <w:rFonts w:cstheme="minorHAnsi"/>
          <w:sz w:val="20"/>
        </w:rPr>
        <w:t> </w:t>
      </w:r>
      <w:bookmarkEnd w:id="0"/>
      <w:bookmarkEnd w:id="1"/>
      <w:r>
        <w:rPr>
          <w:rFonts w:cstheme="minorHAnsi"/>
          <w:sz w:val="20"/>
        </w:rPr>
        <w:t xml:space="preserve">; A. Join-Lambert, </w:t>
      </w:r>
      <w:r w:rsidRPr="00E06ECC">
        <w:rPr>
          <w:rFonts w:cstheme="minorHAnsi"/>
          <w:i/>
          <w:sz w:val="20"/>
        </w:rPr>
        <w:t xml:space="preserve">Synodes diocésains, « </w:t>
      </w:r>
      <w:proofErr w:type="spellStart"/>
      <w:r w:rsidRPr="00E06ECC">
        <w:rPr>
          <w:rFonts w:cstheme="minorHAnsi"/>
          <w:i/>
          <w:sz w:val="20"/>
        </w:rPr>
        <w:t>parasynodes</w:t>
      </w:r>
      <w:proofErr w:type="spellEnd"/>
      <w:r w:rsidRPr="00E06ECC">
        <w:rPr>
          <w:rFonts w:cstheme="minorHAnsi"/>
          <w:i/>
          <w:sz w:val="20"/>
        </w:rPr>
        <w:t xml:space="preserve"> » et conciles particuliers dans l’Église catholique depuis le concile Vatican II. Liste, bibliographie, ressources</w:t>
      </w:r>
      <w:r>
        <w:rPr>
          <w:rFonts w:cstheme="minorHAnsi"/>
          <w:sz w:val="20"/>
        </w:rPr>
        <w:t>,</w:t>
      </w:r>
      <w:r>
        <w:rPr>
          <w:rFonts w:cstheme="minorHAnsi"/>
          <w:i/>
          <w:sz w:val="20"/>
        </w:rPr>
        <w:t xml:space="preserve"> </w:t>
      </w:r>
      <w:r>
        <w:rPr>
          <w:rFonts w:cstheme="minorHAnsi"/>
          <w:sz w:val="20"/>
        </w:rPr>
        <w:t xml:space="preserve">coll. </w:t>
      </w:r>
      <w:r w:rsidRPr="00E06ECC">
        <w:rPr>
          <w:rFonts w:cstheme="minorHAnsi"/>
          <w:sz w:val="20"/>
        </w:rPr>
        <w:t>C</w:t>
      </w:r>
      <w:r w:rsidR="00776E82">
        <w:rPr>
          <w:rFonts w:cstheme="minorHAnsi"/>
          <w:sz w:val="20"/>
        </w:rPr>
        <w:t>ITP</w:t>
      </w:r>
      <w:r w:rsidRPr="00E06ECC">
        <w:rPr>
          <w:rFonts w:cstheme="minorHAnsi"/>
          <w:sz w:val="20"/>
        </w:rPr>
        <w:t xml:space="preserve"> "Documents" n° 3, Louvain-la-Neuve/Paris/Québec/Fribourg, </w:t>
      </w:r>
      <w:r>
        <w:rPr>
          <w:rFonts w:cstheme="minorHAnsi"/>
          <w:sz w:val="20"/>
        </w:rPr>
        <w:t xml:space="preserve">en </w:t>
      </w:r>
      <w:r w:rsidRPr="00E06ECC">
        <w:rPr>
          <w:rFonts w:cstheme="minorHAnsi"/>
          <w:sz w:val="20"/>
        </w:rPr>
        <w:t>ligne www.pastoralis.org, 2021, 9</w:t>
      </w:r>
      <w:r w:rsidRPr="00E06ECC">
        <w:rPr>
          <w:rFonts w:cstheme="minorHAnsi"/>
          <w:sz w:val="20"/>
          <w:vertAlign w:val="superscript"/>
        </w:rPr>
        <w:t>e</w:t>
      </w:r>
      <w:r>
        <w:rPr>
          <w:rFonts w:cstheme="minorHAnsi"/>
          <w:sz w:val="20"/>
        </w:rPr>
        <w:t xml:space="preserve"> </w:t>
      </w:r>
      <w:r w:rsidRPr="00E06ECC">
        <w:rPr>
          <w:rFonts w:cstheme="minorHAnsi"/>
          <w:sz w:val="20"/>
        </w:rPr>
        <w:t>édition</w:t>
      </w:r>
      <w:r>
        <w:rPr>
          <w:rFonts w:cstheme="minorHAnsi"/>
          <w:sz w:val="20"/>
        </w:rPr>
        <w:t>, p. 90-99</w:t>
      </w:r>
      <w:r w:rsidR="00D031FB">
        <w:rPr>
          <w:rFonts w:cstheme="minorHAnsi"/>
          <w:sz w:val="20"/>
        </w:rPr>
        <w:t xml:space="preserve">, </w:t>
      </w:r>
      <w:r w:rsidR="00D031FB" w:rsidRPr="00D031FB">
        <w:rPr>
          <w:rFonts w:cstheme="minorHAnsi"/>
          <w:sz w:val="20"/>
        </w:rPr>
        <w:t>http://bit.ly/30OkvWh</w:t>
      </w:r>
      <w:r>
        <w:rPr>
          <w:rFonts w:cstheme="minorHAnsi"/>
          <w:sz w:val="20"/>
        </w:rPr>
        <w:t>.</w:t>
      </w:r>
    </w:p>
  </w:footnote>
  <w:footnote w:id="5">
    <w:p w:rsidR="00D6450F" w:rsidRDefault="00D6450F" w:rsidP="0048587A">
      <w:pPr>
        <w:pStyle w:val="Notedebasdepage"/>
      </w:pPr>
      <w:r>
        <w:rPr>
          <w:rStyle w:val="Appelnotedebasdep"/>
        </w:rPr>
        <w:footnoteRef/>
      </w:r>
      <w:r w:rsidR="00D031FB">
        <w:t xml:space="preserve"> Voir </w:t>
      </w:r>
      <w:r w:rsidR="00D031FB" w:rsidRPr="00F91C2C">
        <w:rPr>
          <w:rFonts w:cstheme="minorHAnsi"/>
          <w:smallCaps/>
        </w:rPr>
        <w:t>Join-Lambert</w:t>
      </w:r>
      <w:r w:rsidR="00D031FB">
        <w:rPr>
          <w:rFonts w:cstheme="minorHAnsi"/>
        </w:rPr>
        <w:t xml:space="preserve">, </w:t>
      </w:r>
      <w:r w:rsidR="00D031FB" w:rsidRPr="00E06ECC">
        <w:rPr>
          <w:rFonts w:cstheme="minorHAnsi"/>
          <w:i/>
        </w:rPr>
        <w:t>Synodes diocésains</w:t>
      </w:r>
      <w:r w:rsidR="00D031FB">
        <w:rPr>
          <w:rFonts w:cstheme="minorHAnsi"/>
          <w:i/>
        </w:rPr>
        <w:t xml:space="preserve"> </w:t>
      </w:r>
      <w:r w:rsidR="00D031FB">
        <w:rPr>
          <w:rFonts w:cstheme="minorHAnsi"/>
        </w:rPr>
        <w:t>(</w:t>
      </w:r>
      <w:r w:rsidR="0093309B">
        <w:rPr>
          <w:rFonts w:cstheme="minorHAnsi"/>
        </w:rPr>
        <w:t>infra</w:t>
      </w:r>
      <w:r w:rsidR="00D031FB">
        <w:rPr>
          <w:rFonts w:cstheme="minorHAnsi"/>
        </w:rPr>
        <w:t>).</w:t>
      </w:r>
      <w:r w:rsidR="00D031FB">
        <w:t xml:space="preserve"> </w:t>
      </w:r>
      <w:r w:rsidR="00EF23C6">
        <w:t>On trouve dans ce document de nombreux hyperliens vers de la documentation en ligne.</w:t>
      </w:r>
    </w:p>
  </w:footnote>
  <w:footnote w:id="6">
    <w:p w:rsidR="005447C1" w:rsidRPr="005447C1" w:rsidRDefault="005447C1">
      <w:pPr>
        <w:pStyle w:val="Notedebasdepage"/>
      </w:pPr>
      <w:r w:rsidRPr="005447C1">
        <w:rPr>
          <w:rStyle w:val="Appelnotedebasdep"/>
        </w:rPr>
        <w:footnoteRef/>
      </w:r>
      <w:r w:rsidRPr="005447C1">
        <w:t xml:space="preserve"> A.-M. </w:t>
      </w:r>
      <w:r w:rsidRPr="005447C1">
        <w:rPr>
          <w:smallCaps/>
        </w:rPr>
        <w:t>Hardy</w:t>
      </w:r>
      <w:r w:rsidRPr="005447C1">
        <w:t xml:space="preserve">, </w:t>
      </w:r>
      <w:r w:rsidRPr="005447C1">
        <w:rPr>
          <w:i/>
        </w:rPr>
        <w:t>La grâce d’un synode diocésain.</w:t>
      </w:r>
      <w:r w:rsidRPr="005447C1">
        <w:t xml:space="preserve"> Paris</w:t>
      </w:r>
      <w:r>
        <w:t>, Beauchesne,</w:t>
      </w:r>
      <w:r w:rsidRPr="005447C1">
        <w:t xml:space="preserve"> 1991.</w:t>
      </w:r>
    </w:p>
  </w:footnote>
  <w:footnote w:id="7">
    <w:p w:rsidR="007A3BC8" w:rsidRPr="007A3BC8" w:rsidRDefault="007A3BC8">
      <w:pPr>
        <w:pStyle w:val="Notedebasdepage"/>
      </w:pPr>
      <w:r w:rsidRPr="007A3BC8">
        <w:rPr>
          <w:rStyle w:val="Appelnotedebasdep"/>
        </w:rPr>
        <w:footnoteRef/>
      </w:r>
      <w:r w:rsidRPr="007A3BC8">
        <w:t xml:space="preserve"> M</w:t>
      </w:r>
      <w:r>
        <w:t>.</w:t>
      </w:r>
      <w:r w:rsidRPr="007A3BC8">
        <w:rPr>
          <w:smallCaps/>
        </w:rPr>
        <w:t xml:space="preserve"> Lefebvre</w:t>
      </w:r>
      <w:r w:rsidRPr="007A3BC8">
        <w:t xml:space="preserve">, </w:t>
      </w:r>
      <w:r w:rsidRPr="007A3BC8">
        <w:rPr>
          <w:i/>
        </w:rPr>
        <w:t>Le synode diocésain de Montréal, 1995-1998. Les deux premières étapes.</w:t>
      </w:r>
      <w:r w:rsidRPr="007A3BC8">
        <w:t xml:space="preserve"> </w:t>
      </w:r>
      <w:r>
        <w:t>Montréal, Fides,</w:t>
      </w:r>
      <w:r w:rsidRPr="007A3BC8">
        <w:t xml:space="preserve"> 1997</w:t>
      </w:r>
      <w:r>
        <w:t>.</w:t>
      </w:r>
    </w:p>
  </w:footnote>
  <w:footnote w:id="8">
    <w:p w:rsidR="00EF23C6" w:rsidRDefault="00EF23C6">
      <w:pPr>
        <w:pStyle w:val="Notedebasdepage"/>
      </w:pPr>
      <w:r>
        <w:rPr>
          <w:rStyle w:val="Appelnotedebasdep"/>
        </w:rPr>
        <w:footnoteRef/>
      </w:r>
      <w:r>
        <w:t xml:space="preserve"> Notons que lors du Synode </w:t>
      </w:r>
      <w:r w:rsidR="0093309B">
        <w:t xml:space="preserve">romain </w:t>
      </w:r>
      <w:r>
        <w:t>des évêques actuel, il a clairement été précisé que la phase diocésaine fait vraiment partie du synode.</w:t>
      </w:r>
    </w:p>
  </w:footnote>
  <w:footnote w:id="9">
    <w:p w:rsidR="00BC6B35" w:rsidRDefault="00BC6B35" w:rsidP="00BC6B35">
      <w:pPr>
        <w:pStyle w:val="Notedebasdepage"/>
      </w:pPr>
      <w:r>
        <w:rPr>
          <w:rStyle w:val="Appelnotedebasdep"/>
        </w:rPr>
        <w:footnoteRef/>
      </w:r>
      <w:r>
        <w:t xml:space="preserve"> Pour comprendre de tels choix, il faut relier cette chronologie aux épiscopats. L’exemple est ici significatif. Ce diocèse eut en effet un très long épiscopat de Mgr Juan Luis </w:t>
      </w:r>
      <w:proofErr w:type="spellStart"/>
      <w:r>
        <w:t>Ysern</w:t>
      </w:r>
      <w:proofErr w:type="spellEnd"/>
      <w:r>
        <w:t xml:space="preserve"> de </w:t>
      </w:r>
      <w:proofErr w:type="spellStart"/>
      <w:r>
        <w:t>Arce</w:t>
      </w:r>
      <w:proofErr w:type="spellEnd"/>
      <w:r>
        <w:t xml:space="preserve"> de 1974 à 2005. Les assemblées synodales annuelles commencent de fait en 1976 suivi par le premier synode de son épiscopat en 1980. Un seul évêque lui a succédé jusqu’à aujourd’hui (coadjuteur déjà en 2001). Le lien entre synodalité diocésaine et épiscopat concret est un champ d’étude encore largement inexploré.</w:t>
      </w:r>
    </w:p>
  </w:footnote>
  <w:footnote w:id="10">
    <w:p w:rsidR="00B1690E" w:rsidRDefault="00B1690E">
      <w:pPr>
        <w:pStyle w:val="Notedebasdepage"/>
      </w:pPr>
      <w:r>
        <w:rPr>
          <w:rStyle w:val="Appelnotedebasdep"/>
        </w:rPr>
        <w:footnoteRef/>
      </w:r>
      <w:r>
        <w:t xml:space="preserve"> </w:t>
      </w:r>
      <w:r w:rsidR="00D673A5">
        <w:t xml:space="preserve">A. </w:t>
      </w:r>
      <w:r w:rsidR="00D673A5" w:rsidRPr="00D673A5">
        <w:rPr>
          <w:smallCaps/>
        </w:rPr>
        <w:t>Join-Lambert</w:t>
      </w:r>
      <w:r w:rsidR="00D673A5">
        <w:t xml:space="preserve">, </w:t>
      </w:r>
      <w:r w:rsidRPr="00B1690E">
        <w:t>A</w:t>
      </w:r>
      <w:r w:rsidR="00D673A5">
        <w:t>.</w:t>
      </w:r>
      <w:r w:rsidRPr="00B1690E">
        <w:t xml:space="preserve"> </w:t>
      </w:r>
      <w:proofErr w:type="spellStart"/>
      <w:r w:rsidRPr="00D673A5">
        <w:rPr>
          <w:smallCaps/>
        </w:rPr>
        <w:t>Y</w:t>
      </w:r>
      <w:r w:rsidR="00D673A5" w:rsidRPr="00D673A5">
        <w:rPr>
          <w:smallCaps/>
        </w:rPr>
        <w:t>udistiro</w:t>
      </w:r>
      <w:proofErr w:type="spellEnd"/>
      <w:r w:rsidR="00D673A5" w:rsidRPr="00D673A5">
        <w:rPr>
          <w:smallCaps/>
        </w:rPr>
        <w:t xml:space="preserve"> </w:t>
      </w:r>
      <w:proofErr w:type="spellStart"/>
      <w:r w:rsidR="00D673A5" w:rsidRPr="00D673A5">
        <w:rPr>
          <w:smallCaps/>
        </w:rPr>
        <w:t>Adifitri</w:t>
      </w:r>
      <w:proofErr w:type="spellEnd"/>
      <w:r w:rsidR="00D673A5" w:rsidRPr="00D673A5">
        <w:rPr>
          <w:smallCaps/>
        </w:rPr>
        <w:t xml:space="preserve"> </w:t>
      </w:r>
      <w:proofErr w:type="spellStart"/>
      <w:r w:rsidR="00D673A5" w:rsidRPr="00D673A5">
        <w:rPr>
          <w:smallCaps/>
        </w:rPr>
        <w:t>T</w:t>
      </w:r>
      <w:r w:rsidR="00CB5793">
        <w:rPr>
          <w:smallCaps/>
        </w:rPr>
        <w:t>y</w:t>
      </w:r>
      <w:r w:rsidR="00D673A5" w:rsidRPr="00D673A5">
        <w:rPr>
          <w:smallCaps/>
        </w:rPr>
        <w:t>assanto</w:t>
      </w:r>
      <w:proofErr w:type="spellEnd"/>
      <w:r w:rsidRPr="00B1690E">
        <w:t xml:space="preserve">, </w:t>
      </w:r>
      <w:r w:rsidR="00D673A5">
        <w:t>« </w:t>
      </w:r>
      <w:r w:rsidRPr="00B1690E">
        <w:t xml:space="preserve">La </w:t>
      </w:r>
      <w:proofErr w:type="spellStart"/>
      <w:r w:rsidRPr="00B1690E">
        <w:t>conciliarité</w:t>
      </w:r>
      <w:proofErr w:type="spellEnd"/>
      <w:r w:rsidRPr="00B1690E">
        <w:t xml:space="preserve"> en Indonésie. Nouveautés et enjeux ecclésiologiques</w:t>
      </w:r>
      <w:r w:rsidR="00D673A5">
        <w:t> »</w:t>
      </w:r>
      <w:r w:rsidRPr="00B1690E">
        <w:t xml:space="preserve">, </w:t>
      </w:r>
      <w:r w:rsidRPr="00D673A5">
        <w:rPr>
          <w:i/>
        </w:rPr>
        <w:t>Revue théologique de Louvain</w:t>
      </w:r>
      <w:r w:rsidRPr="00B1690E">
        <w:t xml:space="preserve"> </w:t>
      </w:r>
      <w:r w:rsidRPr="00A11062">
        <w:t>46 (2015)</w:t>
      </w:r>
      <w:r w:rsidR="00D673A5">
        <w:t xml:space="preserve"> p.</w:t>
      </w:r>
      <w:r w:rsidRPr="00A11062">
        <w:t xml:space="preserve"> 225-247</w:t>
      </w:r>
      <w:r w:rsidR="00D673A5">
        <w:t>,</w:t>
      </w:r>
      <w:r w:rsidRPr="00A11062">
        <w:t xml:space="preserve"> www.academia.edu</w:t>
      </w:r>
      <w:r w:rsidRPr="00B1690E">
        <w:t>/15712663</w:t>
      </w:r>
      <w:r w:rsidR="00D673A5">
        <w:t>.</w:t>
      </w:r>
    </w:p>
  </w:footnote>
  <w:footnote w:id="11">
    <w:p w:rsidR="007A3BC8" w:rsidRPr="007A3BC8" w:rsidRDefault="007A3BC8">
      <w:pPr>
        <w:pStyle w:val="Notedebasdepage"/>
        <w:rPr>
          <w:lang w:val="en-US"/>
        </w:rPr>
      </w:pPr>
      <w:r w:rsidRPr="007A3BC8">
        <w:rPr>
          <w:rStyle w:val="Appelnotedebasdep"/>
        </w:rPr>
        <w:footnoteRef/>
      </w:r>
      <w:r w:rsidRPr="007A3BC8">
        <w:t xml:space="preserve"> Une très intéressante analyse des données fut publiée, dont </w:t>
      </w:r>
      <w:r>
        <w:t xml:space="preserve">fait écho </w:t>
      </w:r>
      <w:r w:rsidRPr="007A3BC8">
        <w:rPr>
          <w:lang w:val="de-DE"/>
        </w:rPr>
        <w:t>M</w:t>
      </w:r>
      <w:r>
        <w:rPr>
          <w:lang w:val="de-DE"/>
        </w:rPr>
        <w:t>.</w:t>
      </w:r>
      <w:r w:rsidRPr="007A3BC8">
        <w:rPr>
          <w:lang w:val="de-DE"/>
        </w:rPr>
        <w:t xml:space="preserve"> </w:t>
      </w:r>
      <w:proofErr w:type="spellStart"/>
      <w:r w:rsidRPr="007A3BC8">
        <w:rPr>
          <w:smallCaps/>
          <w:lang w:val="de-DE"/>
        </w:rPr>
        <w:t>Lörsch</w:t>
      </w:r>
      <w:proofErr w:type="spellEnd"/>
      <w:r w:rsidRPr="007A3BC8">
        <w:rPr>
          <w:lang w:val="de-DE"/>
        </w:rPr>
        <w:t xml:space="preserve">, </w:t>
      </w:r>
      <w:r w:rsidRPr="007A3BC8">
        <w:t>« </w:t>
      </w:r>
      <w:r w:rsidRPr="007A3BC8">
        <w:rPr>
          <w:lang w:val="de-DE"/>
        </w:rPr>
        <w:t>Hören auf das Volk Gottes. Vorstellung einer wissenschaftlichen Datenanalyse der Eingaben zur Synode im Bistum Trier</w:t>
      </w:r>
      <w:r>
        <w:rPr>
          <w:lang w:val="de-DE"/>
        </w:rPr>
        <w:t xml:space="preserve"> </w:t>
      </w:r>
      <w:r w:rsidRPr="007A3BC8">
        <w:rPr>
          <w:lang w:val="en-US"/>
        </w:rPr>
        <w:t>»</w:t>
      </w:r>
      <w:r w:rsidRPr="007A3BC8">
        <w:rPr>
          <w:lang w:val="de-DE"/>
        </w:rPr>
        <w:t>,</w:t>
      </w:r>
      <w:r w:rsidRPr="007A3BC8">
        <w:rPr>
          <w:lang w:val="it-IT"/>
        </w:rPr>
        <w:t xml:space="preserve"> </w:t>
      </w:r>
      <w:r w:rsidRPr="007A3BC8">
        <w:rPr>
          <w:i/>
          <w:lang w:val="it-IT"/>
        </w:rPr>
        <w:t>Trierer Theologische Zeitschrift</w:t>
      </w:r>
      <w:r w:rsidRPr="007A3BC8">
        <w:rPr>
          <w:lang w:val="it-IT"/>
        </w:rPr>
        <w:t xml:space="preserve"> 125 (2016) </w:t>
      </w:r>
      <w:r>
        <w:rPr>
          <w:lang w:val="it-IT"/>
        </w:rPr>
        <w:t xml:space="preserve">p. </w:t>
      </w:r>
      <w:r w:rsidRPr="007A3BC8">
        <w:rPr>
          <w:lang w:val="it-IT"/>
        </w:rPr>
        <w:t>250-256</w:t>
      </w:r>
      <w:r>
        <w:rPr>
          <w:lang w:val="it-IT"/>
        </w:rPr>
        <w:t>.</w:t>
      </w:r>
    </w:p>
  </w:footnote>
  <w:footnote w:id="12">
    <w:p w:rsidR="00C877D3" w:rsidRPr="008D43FF" w:rsidRDefault="00C877D3">
      <w:pPr>
        <w:pStyle w:val="Notedebasdepage"/>
        <w:rPr>
          <w:lang w:val="en-US"/>
        </w:rPr>
      </w:pPr>
      <w:r>
        <w:rPr>
          <w:rStyle w:val="Appelnotedebasdep"/>
        </w:rPr>
        <w:footnoteRef/>
      </w:r>
      <w:r w:rsidRPr="008D43FF">
        <w:rPr>
          <w:lang w:val="en-US"/>
        </w:rPr>
        <w:t xml:space="preserve"> https://www.bistum-trier.de/suchergebnisse/?L=0&amp;id=180&amp;tx_solr%5Bq%5D=forum</w:t>
      </w:r>
    </w:p>
  </w:footnote>
  <w:footnote w:id="13">
    <w:p w:rsidR="005447C1" w:rsidRPr="00DF4823" w:rsidRDefault="005447C1">
      <w:pPr>
        <w:pStyle w:val="Notedebasdepage"/>
        <w:rPr>
          <w:lang w:val="en-US"/>
        </w:rPr>
      </w:pPr>
      <w:r w:rsidRPr="00DF4823">
        <w:rPr>
          <w:rStyle w:val="Appelnotedebasdep"/>
        </w:rPr>
        <w:footnoteRef/>
      </w:r>
      <w:r w:rsidRPr="00DF4823">
        <w:rPr>
          <w:lang w:val="en-US"/>
        </w:rPr>
        <w:t xml:space="preserve"> P. </w:t>
      </w:r>
      <w:proofErr w:type="spellStart"/>
      <w:r w:rsidRPr="00DF4823">
        <w:rPr>
          <w:smallCaps/>
          <w:lang w:val="de-DE"/>
        </w:rPr>
        <w:t>Erdö</w:t>
      </w:r>
      <w:proofErr w:type="spellEnd"/>
      <w:r w:rsidRPr="00DF4823">
        <w:rPr>
          <w:lang w:val="de-DE"/>
        </w:rPr>
        <w:t xml:space="preserve">, </w:t>
      </w:r>
      <w:r w:rsidRPr="00DF4823">
        <w:rPr>
          <w:lang w:val="en-US"/>
        </w:rPr>
        <w:t>« </w:t>
      </w:r>
      <w:r w:rsidRPr="00DF4823">
        <w:rPr>
          <w:lang w:val="de-DE"/>
        </w:rPr>
        <w:t>Die Diözesansynoden in Ungarn nach der Wende von 1989-1990</w:t>
      </w:r>
      <w:r w:rsidR="00DF4823" w:rsidRPr="00DF4823">
        <w:rPr>
          <w:lang w:val="en-US"/>
        </w:rPr>
        <w:t> »</w:t>
      </w:r>
      <w:r w:rsidRPr="00DF4823">
        <w:rPr>
          <w:lang w:val="de-DE"/>
        </w:rPr>
        <w:t xml:space="preserve">, </w:t>
      </w:r>
      <w:r w:rsidRPr="00DF4823">
        <w:rPr>
          <w:i/>
          <w:lang w:val="de-DE"/>
        </w:rPr>
        <w:t xml:space="preserve">Annuarium </w:t>
      </w:r>
      <w:proofErr w:type="spellStart"/>
      <w:r w:rsidRPr="00DF4823">
        <w:rPr>
          <w:i/>
          <w:lang w:val="de-DE"/>
        </w:rPr>
        <w:t>historiae</w:t>
      </w:r>
      <w:proofErr w:type="spellEnd"/>
      <w:r w:rsidRPr="00DF4823">
        <w:rPr>
          <w:i/>
          <w:lang w:val="de-DE"/>
        </w:rPr>
        <w:t xml:space="preserve"> </w:t>
      </w:r>
      <w:proofErr w:type="spellStart"/>
      <w:r w:rsidRPr="00DF4823">
        <w:rPr>
          <w:i/>
          <w:lang w:val="de-DE"/>
        </w:rPr>
        <w:t>conciliorum</w:t>
      </w:r>
      <w:proofErr w:type="spellEnd"/>
      <w:r w:rsidRPr="00DF4823">
        <w:rPr>
          <w:lang w:val="de-DE"/>
        </w:rPr>
        <w:t xml:space="preserve"> </w:t>
      </w:r>
      <w:r w:rsidRPr="00DF4823">
        <w:rPr>
          <w:bCs/>
          <w:lang w:val="de-DE"/>
        </w:rPr>
        <w:t>42 (2010) p. 373-378.</w:t>
      </w:r>
    </w:p>
  </w:footnote>
  <w:footnote w:id="14">
    <w:p w:rsidR="00AD791C" w:rsidRPr="00AD791C" w:rsidRDefault="00AD791C">
      <w:pPr>
        <w:pStyle w:val="Notedebasdepage"/>
      </w:pPr>
      <w:r w:rsidRPr="00AD791C">
        <w:rPr>
          <w:rStyle w:val="Appelnotedebasdep"/>
        </w:rPr>
        <w:footnoteRef/>
      </w:r>
      <w:r w:rsidRPr="00AD791C">
        <w:t xml:space="preserve"> </w:t>
      </w:r>
      <w:r>
        <w:t xml:space="preserve">G. </w:t>
      </w:r>
      <w:proofErr w:type="spellStart"/>
      <w:r w:rsidRPr="00AD791C">
        <w:rPr>
          <w:smallCaps/>
        </w:rPr>
        <w:t>Harpigny</w:t>
      </w:r>
      <w:proofErr w:type="spellEnd"/>
      <w:r w:rsidRPr="00AD791C">
        <w:t xml:space="preserve">, </w:t>
      </w:r>
      <w:r w:rsidRPr="00AD791C">
        <w:rPr>
          <w:i/>
        </w:rPr>
        <w:t>Pour que tous aient la Vie, la Vie en abondance (</w:t>
      </w:r>
      <w:proofErr w:type="spellStart"/>
      <w:r w:rsidRPr="00AD791C">
        <w:rPr>
          <w:i/>
        </w:rPr>
        <w:t>Jn</w:t>
      </w:r>
      <w:proofErr w:type="spellEnd"/>
      <w:r w:rsidRPr="00AD791C">
        <w:rPr>
          <w:i/>
        </w:rPr>
        <w:t xml:space="preserve"> 10,10)</w:t>
      </w:r>
      <w:r w:rsidRPr="00AD791C">
        <w:t>, Diocèse de Tournai, Tournai, 2014.</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C78BC" w:rsidRPr="001E73CD" w:rsidRDefault="00AC78BC" w:rsidP="0048587A">
    <w:pPr>
      <w:pStyle w:val="En-tte"/>
      <w:rPr>
        <w:sz w:val="18"/>
      </w:rPr>
    </w:pPr>
    <w:r w:rsidRPr="001E73CD">
      <w:rPr>
        <w:sz w:val="18"/>
      </w:rPr>
      <w:t>Prof. Arnaud Join-Lambert, Université catholique de Louvain, Belgique</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AE779B"/>
    <w:multiLevelType w:val="hybridMultilevel"/>
    <w:tmpl w:val="959C0FE6"/>
    <w:lvl w:ilvl="0" w:tplc="3DAEBDB2">
      <w:start w:val="1"/>
      <w:numFmt w:val="bullet"/>
      <w:lvlText w:val="•"/>
      <w:lvlJc w:val="left"/>
      <w:pPr>
        <w:tabs>
          <w:tab w:val="num" w:pos="720"/>
        </w:tabs>
        <w:ind w:left="720" w:hanging="360"/>
      </w:pPr>
      <w:rPr>
        <w:rFonts w:ascii="Arial" w:hAnsi="Arial" w:hint="default"/>
      </w:rPr>
    </w:lvl>
    <w:lvl w:ilvl="1" w:tplc="0FAC973A" w:tentative="1">
      <w:start w:val="1"/>
      <w:numFmt w:val="bullet"/>
      <w:lvlText w:val="•"/>
      <w:lvlJc w:val="left"/>
      <w:pPr>
        <w:tabs>
          <w:tab w:val="num" w:pos="1440"/>
        </w:tabs>
        <w:ind w:left="1440" w:hanging="360"/>
      </w:pPr>
      <w:rPr>
        <w:rFonts w:ascii="Arial" w:hAnsi="Arial" w:hint="default"/>
      </w:rPr>
    </w:lvl>
    <w:lvl w:ilvl="2" w:tplc="F35A712E" w:tentative="1">
      <w:start w:val="1"/>
      <w:numFmt w:val="bullet"/>
      <w:lvlText w:val="•"/>
      <w:lvlJc w:val="left"/>
      <w:pPr>
        <w:tabs>
          <w:tab w:val="num" w:pos="2160"/>
        </w:tabs>
        <w:ind w:left="2160" w:hanging="360"/>
      </w:pPr>
      <w:rPr>
        <w:rFonts w:ascii="Arial" w:hAnsi="Arial" w:hint="default"/>
      </w:rPr>
    </w:lvl>
    <w:lvl w:ilvl="3" w:tplc="80EEBA9E" w:tentative="1">
      <w:start w:val="1"/>
      <w:numFmt w:val="bullet"/>
      <w:lvlText w:val="•"/>
      <w:lvlJc w:val="left"/>
      <w:pPr>
        <w:tabs>
          <w:tab w:val="num" w:pos="2880"/>
        </w:tabs>
        <w:ind w:left="2880" w:hanging="360"/>
      </w:pPr>
      <w:rPr>
        <w:rFonts w:ascii="Arial" w:hAnsi="Arial" w:hint="default"/>
      </w:rPr>
    </w:lvl>
    <w:lvl w:ilvl="4" w:tplc="CE5C573C" w:tentative="1">
      <w:start w:val="1"/>
      <w:numFmt w:val="bullet"/>
      <w:lvlText w:val="•"/>
      <w:lvlJc w:val="left"/>
      <w:pPr>
        <w:tabs>
          <w:tab w:val="num" w:pos="3600"/>
        </w:tabs>
        <w:ind w:left="3600" w:hanging="360"/>
      </w:pPr>
      <w:rPr>
        <w:rFonts w:ascii="Arial" w:hAnsi="Arial" w:hint="default"/>
      </w:rPr>
    </w:lvl>
    <w:lvl w:ilvl="5" w:tplc="19A2C078" w:tentative="1">
      <w:start w:val="1"/>
      <w:numFmt w:val="bullet"/>
      <w:lvlText w:val="•"/>
      <w:lvlJc w:val="left"/>
      <w:pPr>
        <w:tabs>
          <w:tab w:val="num" w:pos="4320"/>
        </w:tabs>
        <w:ind w:left="4320" w:hanging="360"/>
      </w:pPr>
      <w:rPr>
        <w:rFonts w:ascii="Arial" w:hAnsi="Arial" w:hint="default"/>
      </w:rPr>
    </w:lvl>
    <w:lvl w:ilvl="6" w:tplc="4D623306" w:tentative="1">
      <w:start w:val="1"/>
      <w:numFmt w:val="bullet"/>
      <w:lvlText w:val="•"/>
      <w:lvlJc w:val="left"/>
      <w:pPr>
        <w:tabs>
          <w:tab w:val="num" w:pos="5040"/>
        </w:tabs>
        <w:ind w:left="5040" w:hanging="360"/>
      </w:pPr>
      <w:rPr>
        <w:rFonts w:ascii="Arial" w:hAnsi="Arial" w:hint="default"/>
      </w:rPr>
    </w:lvl>
    <w:lvl w:ilvl="7" w:tplc="D7D24716" w:tentative="1">
      <w:start w:val="1"/>
      <w:numFmt w:val="bullet"/>
      <w:lvlText w:val="•"/>
      <w:lvlJc w:val="left"/>
      <w:pPr>
        <w:tabs>
          <w:tab w:val="num" w:pos="5760"/>
        </w:tabs>
        <w:ind w:left="5760" w:hanging="360"/>
      </w:pPr>
      <w:rPr>
        <w:rFonts w:ascii="Arial" w:hAnsi="Arial" w:hint="default"/>
      </w:rPr>
    </w:lvl>
    <w:lvl w:ilvl="8" w:tplc="70E6A242"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13816A25"/>
    <w:multiLevelType w:val="hybridMultilevel"/>
    <w:tmpl w:val="9C5292EE"/>
    <w:lvl w:ilvl="0" w:tplc="1C345A8E">
      <w:start w:val="1"/>
      <w:numFmt w:val="bullet"/>
      <w:lvlText w:val="•"/>
      <w:lvlJc w:val="left"/>
      <w:pPr>
        <w:tabs>
          <w:tab w:val="num" w:pos="720"/>
        </w:tabs>
        <w:ind w:left="720" w:hanging="360"/>
      </w:pPr>
      <w:rPr>
        <w:rFonts w:ascii="Arial" w:hAnsi="Arial" w:hint="default"/>
      </w:rPr>
    </w:lvl>
    <w:lvl w:ilvl="1" w:tplc="552CE9C2" w:tentative="1">
      <w:start w:val="1"/>
      <w:numFmt w:val="bullet"/>
      <w:lvlText w:val="•"/>
      <w:lvlJc w:val="left"/>
      <w:pPr>
        <w:tabs>
          <w:tab w:val="num" w:pos="1440"/>
        </w:tabs>
        <w:ind w:left="1440" w:hanging="360"/>
      </w:pPr>
      <w:rPr>
        <w:rFonts w:ascii="Arial" w:hAnsi="Arial" w:hint="default"/>
      </w:rPr>
    </w:lvl>
    <w:lvl w:ilvl="2" w:tplc="67BC3808" w:tentative="1">
      <w:start w:val="1"/>
      <w:numFmt w:val="bullet"/>
      <w:lvlText w:val="•"/>
      <w:lvlJc w:val="left"/>
      <w:pPr>
        <w:tabs>
          <w:tab w:val="num" w:pos="2160"/>
        </w:tabs>
        <w:ind w:left="2160" w:hanging="360"/>
      </w:pPr>
      <w:rPr>
        <w:rFonts w:ascii="Arial" w:hAnsi="Arial" w:hint="default"/>
      </w:rPr>
    </w:lvl>
    <w:lvl w:ilvl="3" w:tplc="0812EFA4" w:tentative="1">
      <w:start w:val="1"/>
      <w:numFmt w:val="bullet"/>
      <w:lvlText w:val="•"/>
      <w:lvlJc w:val="left"/>
      <w:pPr>
        <w:tabs>
          <w:tab w:val="num" w:pos="2880"/>
        </w:tabs>
        <w:ind w:left="2880" w:hanging="360"/>
      </w:pPr>
      <w:rPr>
        <w:rFonts w:ascii="Arial" w:hAnsi="Arial" w:hint="default"/>
      </w:rPr>
    </w:lvl>
    <w:lvl w:ilvl="4" w:tplc="0716444E" w:tentative="1">
      <w:start w:val="1"/>
      <w:numFmt w:val="bullet"/>
      <w:lvlText w:val="•"/>
      <w:lvlJc w:val="left"/>
      <w:pPr>
        <w:tabs>
          <w:tab w:val="num" w:pos="3600"/>
        </w:tabs>
        <w:ind w:left="3600" w:hanging="360"/>
      </w:pPr>
      <w:rPr>
        <w:rFonts w:ascii="Arial" w:hAnsi="Arial" w:hint="default"/>
      </w:rPr>
    </w:lvl>
    <w:lvl w:ilvl="5" w:tplc="F5B02CBA" w:tentative="1">
      <w:start w:val="1"/>
      <w:numFmt w:val="bullet"/>
      <w:lvlText w:val="•"/>
      <w:lvlJc w:val="left"/>
      <w:pPr>
        <w:tabs>
          <w:tab w:val="num" w:pos="4320"/>
        </w:tabs>
        <w:ind w:left="4320" w:hanging="360"/>
      </w:pPr>
      <w:rPr>
        <w:rFonts w:ascii="Arial" w:hAnsi="Arial" w:hint="default"/>
      </w:rPr>
    </w:lvl>
    <w:lvl w:ilvl="6" w:tplc="247C21DE" w:tentative="1">
      <w:start w:val="1"/>
      <w:numFmt w:val="bullet"/>
      <w:lvlText w:val="•"/>
      <w:lvlJc w:val="left"/>
      <w:pPr>
        <w:tabs>
          <w:tab w:val="num" w:pos="5040"/>
        </w:tabs>
        <w:ind w:left="5040" w:hanging="360"/>
      </w:pPr>
      <w:rPr>
        <w:rFonts w:ascii="Arial" w:hAnsi="Arial" w:hint="default"/>
      </w:rPr>
    </w:lvl>
    <w:lvl w:ilvl="7" w:tplc="846CB59A" w:tentative="1">
      <w:start w:val="1"/>
      <w:numFmt w:val="bullet"/>
      <w:lvlText w:val="•"/>
      <w:lvlJc w:val="left"/>
      <w:pPr>
        <w:tabs>
          <w:tab w:val="num" w:pos="5760"/>
        </w:tabs>
        <w:ind w:left="5760" w:hanging="360"/>
      </w:pPr>
      <w:rPr>
        <w:rFonts w:ascii="Arial" w:hAnsi="Arial" w:hint="default"/>
      </w:rPr>
    </w:lvl>
    <w:lvl w:ilvl="8" w:tplc="55AE54D4"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142F1130"/>
    <w:multiLevelType w:val="hybridMultilevel"/>
    <w:tmpl w:val="16F4E934"/>
    <w:lvl w:ilvl="0" w:tplc="0C58E5C2">
      <w:start w:val="1"/>
      <w:numFmt w:val="bullet"/>
      <w:lvlText w:val="•"/>
      <w:lvlJc w:val="left"/>
      <w:pPr>
        <w:tabs>
          <w:tab w:val="num" w:pos="720"/>
        </w:tabs>
        <w:ind w:left="720" w:hanging="360"/>
      </w:pPr>
      <w:rPr>
        <w:rFonts w:ascii="Arial" w:hAnsi="Arial" w:hint="default"/>
      </w:rPr>
    </w:lvl>
    <w:lvl w:ilvl="1" w:tplc="C9CAF09E" w:tentative="1">
      <w:start w:val="1"/>
      <w:numFmt w:val="bullet"/>
      <w:lvlText w:val="•"/>
      <w:lvlJc w:val="left"/>
      <w:pPr>
        <w:tabs>
          <w:tab w:val="num" w:pos="1440"/>
        </w:tabs>
        <w:ind w:left="1440" w:hanging="360"/>
      </w:pPr>
      <w:rPr>
        <w:rFonts w:ascii="Arial" w:hAnsi="Arial" w:hint="default"/>
      </w:rPr>
    </w:lvl>
    <w:lvl w:ilvl="2" w:tplc="A6F0F4E8" w:tentative="1">
      <w:start w:val="1"/>
      <w:numFmt w:val="bullet"/>
      <w:lvlText w:val="•"/>
      <w:lvlJc w:val="left"/>
      <w:pPr>
        <w:tabs>
          <w:tab w:val="num" w:pos="2160"/>
        </w:tabs>
        <w:ind w:left="2160" w:hanging="360"/>
      </w:pPr>
      <w:rPr>
        <w:rFonts w:ascii="Arial" w:hAnsi="Arial" w:hint="default"/>
      </w:rPr>
    </w:lvl>
    <w:lvl w:ilvl="3" w:tplc="EC8C4F92" w:tentative="1">
      <w:start w:val="1"/>
      <w:numFmt w:val="bullet"/>
      <w:lvlText w:val="•"/>
      <w:lvlJc w:val="left"/>
      <w:pPr>
        <w:tabs>
          <w:tab w:val="num" w:pos="2880"/>
        </w:tabs>
        <w:ind w:left="2880" w:hanging="360"/>
      </w:pPr>
      <w:rPr>
        <w:rFonts w:ascii="Arial" w:hAnsi="Arial" w:hint="default"/>
      </w:rPr>
    </w:lvl>
    <w:lvl w:ilvl="4" w:tplc="EBA84FC4" w:tentative="1">
      <w:start w:val="1"/>
      <w:numFmt w:val="bullet"/>
      <w:lvlText w:val="•"/>
      <w:lvlJc w:val="left"/>
      <w:pPr>
        <w:tabs>
          <w:tab w:val="num" w:pos="3600"/>
        </w:tabs>
        <w:ind w:left="3600" w:hanging="360"/>
      </w:pPr>
      <w:rPr>
        <w:rFonts w:ascii="Arial" w:hAnsi="Arial" w:hint="default"/>
      </w:rPr>
    </w:lvl>
    <w:lvl w:ilvl="5" w:tplc="8DDE087A" w:tentative="1">
      <w:start w:val="1"/>
      <w:numFmt w:val="bullet"/>
      <w:lvlText w:val="•"/>
      <w:lvlJc w:val="left"/>
      <w:pPr>
        <w:tabs>
          <w:tab w:val="num" w:pos="4320"/>
        </w:tabs>
        <w:ind w:left="4320" w:hanging="360"/>
      </w:pPr>
      <w:rPr>
        <w:rFonts w:ascii="Arial" w:hAnsi="Arial" w:hint="default"/>
      </w:rPr>
    </w:lvl>
    <w:lvl w:ilvl="6" w:tplc="AEE27F06" w:tentative="1">
      <w:start w:val="1"/>
      <w:numFmt w:val="bullet"/>
      <w:lvlText w:val="•"/>
      <w:lvlJc w:val="left"/>
      <w:pPr>
        <w:tabs>
          <w:tab w:val="num" w:pos="5040"/>
        </w:tabs>
        <w:ind w:left="5040" w:hanging="360"/>
      </w:pPr>
      <w:rPr>
        <w:rFonts w:ascii="Arial" w:hAnsi="Arial" w:hint="default"/>
      </w:rPr>
    </w:lvl>
    <w:lvl w:ilvl="7" w:tplc="9136560A" w:tentative="1">
      <w:start w:val="1"/>
      <w:numFmt w:val="bullet"/>
      <w:lvlText w:val="•"/>
      <w:lvlJc w:val="left"/>
      <w:pPr>
        <w:tabs>
          <w:tab w:val="num" w:pos="5760"/>
        </w:tabs>
        <w:ind w:left="5760" w:hanging="360"/>
      </w:pPr>
      <w:rPr>
        <w:rFonts w:ascii="Arial" w:hAnsi="Arial" w:hint="default"/>
      </w:rPr>
    </w:lvl>
    <w:lvl w:ilvl="8" w:tplc="43F432C4"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16265739"/>
    <w:multiLevelType w:val="hybridMultilevel"/>
    <w:tmpl w:val="BED0C63A"/>
    <w:lvl w:ilvl="0" w:tplc="080C000F">
      <w:start w:val="1"/>
      <w:numFmt w:val="decimal"/>
      <w:lvlText w:val="%1."/>
      <w:lvlJc w:val="left"/>
      <w:pPr>
        <w:tabs>
          <w:tab w:val="num" w:pos="720"/>
        </w:tabs>
        <w:ind w:left="720" w:hanging="360"/>
      </w:pPr>
      <w:rPr>
        <w:rFonts w:hint="default"/>
      </w:rPr>
    </w:lvl>
    <w:lvl w:ilvl="1" w:tplc="C344ABA8" w:tentative="1">
      <w:start w:val="1"/>
      <w:numFmt w:val="bullet"/>
      <w:lvlText w:val=""/>
      <w:lvlJc w:val="left"/>
      <w:pPr>
        <w:tabs>
          <w:tab w:val="num" w:pos="1440"/>
        </w:tabs>
        <w:ind w:left="1440" w:hanging="360"/>
      </w:pPr>
      <w:rPr>
        <w:rFonts w:ascii="Wingdings 3" w:hAnsi="Wingdings 3" w:hint="default"/>
      </w:rPr>
    </w:lvl>
    <w:lvl w:ilvl="2" w:tplc="DFFAFF0E" w:tentative="1">
      <w:start w:val="1"/>
      <w:numFmt w:val="bullet"/>
      <w:lvlText w:val=""/>
      <w:lvlJc w:val="left"/>
      <w:pPr>
        <w:tabs>
          <w:tab w:val="num" w:pos="2160"/>
        </w:tabs>
        <w:ind w:left="2160" w:hanging="360"/>
      </w:pPr>
      <w:rPr>
        <w:rFonts w:ascii="Wingdings 3" w:hAnsi="Wingdings 3" w:hint="default"/>
      </w:rPr>
    </w:lvl>
    <w:lvl w:ilvl="3" w:tplc="693EE52A" w:tentative="1">
      <w:start w:val="1"/>
      <w:numFmt w:val="bullet"/>
      <w:lvlText w:val=""/>
      <w:lvlJc w:val="left"/>
      <w:pPr>
        <w:tabs>
          <w:tab w:val="num" w:pos="2880"/>
        </w:tabs>
        <w:ind w:left="2880" w:hanging="360"/>
      </w:pPr>
      <w:rPr>
        <w:rFonts w:ascii="Wingdings 3" w:hAnsi="Wingdings 3" w:hint="default"/>
      </w:rPr>
    </w:lvl>
    <w:lvl w:ilvl="4" w:tplc="37EE08B0" w:tentative="1">
      <w:start w:val="1"/>
      <w:numFmt w:val="bullet"/>
      <w:lvlText w:val=""/>
      <w:lvlJc w:val="left"/>
      <w:pPr>
        <w:tabs>
          <w:tab w:val="num" w:pos="3600"/>
        </w:tabs>
        <w:ind w:left="3600" w:hanging="360"/>
      </w:pPr>
      <w:rPr>
        <w:rFonts w:ascii="Wingdings 3" w:hAnsi="Wingdings 3" w:hint="default"/>
      </w:rPr>
    </w:lvl>
    <w:lvl w:ilvl="5" w:tplc="9B4A172E" w:tentative="1">
      <w:start w:val="1"/>
      <w:numFmt w:val="bullet"/>
      <w:lvlText w:val=""/>
      <w:lvlJc w:val="left"/>
      <w:pPr>
        <w:tabs>
          <w:tab w:val="num" w:pos="4320"/>
        </w:tabs>
        <w:ind w:left="4320" w:hanging="360"/>
      </w:pPr>
      <w:rPr>
        <w:rFonts w:ascii="Wingdings 3" w:hAnsi="Wingdings 3" w:hint="default"/>
      </w:rPr>
    </w:lvl>
    <w:lvl w:ilvl="6" w:tplc="8FE4CB4C" w:tentative="1">
      <w:start w:val="1"/>
      <w:numFmt w:val="bullet"/>
      <w:lvlText w:val=""/>
      <w:lvlJc w:val="left"/>
      <w:pPr>
        <w:tabs>
          <w:tab w:val="num" w:pos="5040"/>
        </w:tabs>
        <w:ind w:left="5040" w:hanging="360"/>
      </w:pPr>
      <w:rPr>
        <w:rFonts w:ascii="Wingdings 3" w:hAnsi="Wingdings 3" w:hint="default"/>
      </w:rPr>
    </w:lvl>
    <w:lvl w:ilvl="7" w:tplc="A0125748" w:tentative="1">
      <w:start w:val="1"/>
      <w:numFmt w:val="bullet"/>
      <w:lvlText w:val=""/>
      <w:lvlJc w:val="left"/>
      <w:pPr>
        <w:tabs>
          <w:tab w:val="num" w:pos="5760"/>
        </w:tabs>
        <w:ind w:left="5760" w:hanging="360"/>
      </w:pPr>
      <w:rPr>
        <w:rFonts w:ascii="Wingdings 3" w:hAnsi="Wingdings 3" w:hint="default"/>
      </w:rPr>
    </w:lvl>
    <w:lvl w:ilvl="8" w:tplc="D310C848" w:tentative="1">
      <w:start w:val="1"/>
      <w:numFmt w:val="bullet"/>
      <w:lvlText w:val=""/>
      <w:lvlJc w:val="left"/>
      <w:pPr>
        <w:tabs>
          <w:tab w:val="num" w:pos="6480"/>
        </w:tabs>
        <w:ind w:left="6480" w:hanging="360"/>
      </w:pPr>
      <w:rPr>
        <w:rFonts w:ascii="Wingdings 3" w:hAnsi="Wingdings 3" w:hint="default"/>
      </w:rPr>
    </w:lvl>
  </w:abstractNum>
  <w:abstractNum w:abstractNumId="4" w15:restartNumberingAfterBreak="0">
    <w:nsid w:val="1BB35E11"/>
    <w:multiLevelType w:val="hybridMultilevel"/>
    <w:tmpl w:val="05E0D524"/>
    <w:lvl w:ilvl="0" w:tplc="740C6E66">
      <w:start w:val="1"/>
      <w:numFmt w:val="decimal"/>
      <w:lvlText w:val="%1."/>
      <w:lvlJc w:val="left"/>
      <w:pPr>
        <w:tabs>
          <w:tab w:val="num" w:pos="720"/>
        </w:tabs>
        <w:ind w:left="720" w:hanging="360"/>
      </w:pPr>
    </w:lvl>
    <w:lvl w:ilvl="1" w:tplc="A61E6676">
      <w:start w:val="1"/>
      <w:numFmt w:val="lowerLetter"/>
      <w:lvlText w:val="%2."/>
      <w:lvlJc w:val="left"/>
      <w:pPr>
        <w:tabs>
          <w:tab w:val="num" w:pos="1440"/>
        </w:tabs>
        <w:ind w:left="1440" w:hanging="360"/>
      </w:pPr>
    </w:lvl>
    <w:lvl w:ilvl="2" w:tplc="3AE84D74" w:tentative="1">
      <w:start w:val="1"/>
      <w:numFmt w:val="decimal"/>
      <w:lvlText w:val="%3."/>
      <w:lvlJc w:val="left"/>
      <w:pPr>
        <w:tabs>
          <w:tab w:val="num" w:pos="2160"/>
        </w:tabs>
        <w:ind w:left="2160" w:hanging="360"/>
      </w:pPr>
    </w:lvl>
    <w:lvl w:ilvl="3" w:tplc="A8F442EC" w:tentative="1">
      <w:start w:val="1"/>
      <w:numFmt w:val="decimal"/>
      <w:lvlText w:val="%4."/>
      <w:lvlJc w:val="left"/>
      <w:pPr>
        <w:tabs>
          <w:tab w:val="num" w:pos="2880"/>
        </w:tabs>
        <w:ind w:left="2880" w:hanging="360"/>
      </w:pPr>
    </w:lvl>
    <w:lvl w:ilvl="4" w:tplc="B28A0222" w:tentative="1">
      <w:start w:val="1"/>
      <w:numFmt w:val="decimal"/>
      <w:lvlText w:val="%5."/>
      <w:lvlJc w:val="left"/>
      <w:pPr>
        <w:tabs>
          <w:tab w:val="num" w:pos="3600"/>
        </w:tabs>
        <w:ind w:left="3600" w:hanging="360"/>
      </w:pPr>
    </w:lvl>
    <w:lvl w:ilvl="5" w:tplc="4DDA0D04" w:tentative="1">
      <w:start w:val="1"/>
      <w:numFmt w:val="decimal"/>
      <w:lvlText w:val="%6."/>
      <w:lvlJc w:val="left"/>
      <w:pPr>
        <w:tabs>
          <w:tab w:val="num" w:pos="4320"/>
        </w:tabs>
        <w:ind w:left="4320" w:hanging="360"/>
      </w:pPr>
    </w:lvl>
    <w:lvl w:ilvl="6" w:tplc="C84239FE" w:tentative="1">
      <w:start w:val="1"/>
      <w:numFmt w:val="decimal"/>
      <w:lvlText w:val="%7."/>
      <w:lvlJc w:val="left"/>
      <w:pPr>
        <w:tabs>
          <w:tab w:val="num" w:pos="5040"/>
        </w:tabs>
        <w:ind w:left="5040" w:hanging="360"/>
      </w:pPr>
    </w:lvl>
    <w:lvl w:ilvl="7" w:tplc="286882B4" w:tentative="1">
      <w:start w:val="1"/>
      <w:numFmt w:val="decimal"/>
      <w:lvlText w:val="%8."/>
      <w:lvlJc w:val="left"/>
      <w:pPr>
        <w:tabs>
          <w:tab w:val="num" w:pos="5760"/>
        </w:tabs>
        <w:ind w:left="5760" w:hanging="360"/>
      </w:pPr>
    </w:lvl>
    <w:lvl w:ilvl="8" w:tplc="B9DA6FAE" w:tentative="1">
      <w:start w:val="1"/>
      <w:numFmt w:val="decimal"/>
      <w:lvlText w:val="%9."/>
      <w:lvlJc w:val="left"/>
      <w:pPr>
        <w:tabs>
          <w:tab w:val="num" w:pos="6480"/>
        </w:tabs>
        <w:ind w:left="6480" w:hanging="360"/>
      </w:pPr>
    </w:lvl>
  </w:abstractNum>
  <w:abstractNum w:abstractNumId="5" w15:restartNumberingAfterBreak="0">
    <w:nsid w:val="24C133C6"/>
    <w:multiLevelType w:val="hybridMultilevel"/>
    <w:tmpl w:val="BCD60ECC"/>
    <w:lvl w:ilvl="0" w:tplc="29AC0430">
      <w:start w:val="1"/>
      <w:numFmt w:val="bullet"/>
      <w:lvlText w:val="•"/>
      <w:lvlJc w:val="left"/>
      <w:pPr>
        <w:tabs>
          <w:tab w:val="num" w:pos="720"/>
        </w:tabs>
        <w:ind w:left="720" w:hanging="360"/>
      </w:pPr>
      <w:rPr>
        <w:rFonts w:ascii="Arial" w:hAnsi="Arial" w:hint="default"/>
      </w:rPr>
    </w:lvl>
    <w:lvl w:ilvl="1" w:tplc="F4226F36" w:tentative="1">
      <w:start w:val="1"/>
      <w:numFmt w:val="bullet"/>
      <w:lvlText w:val="•"/>
      <w:lvlJc w:val="left"/>
      <w:pPr>
        <w:tabs>
          <w:tab w:val="num" w:pos="1440"/>
        </w:tabs>
        <w:ind w:left="1440" w:hanging="360"/>
      </w:pPr>
      <w:rPr>
        <w:rFonts w:ascii="Arial" w:hAnsi="Arial" w:hint="default"/>
      </w:rPr>
    </w:lvl>
    <w:lvl w:ilvl="2" w:tplc="ED487DD8" w:tentative="1">
      <w:start w:val="1"/>
      <w:numFmt w:val="bullet"/>
      <w:lvlText w:val="•"/>
      <w:lvlJc w:val="left"/>
      <w:pPr>
        <w:tabs>
          <w:tab w:val="num" w:pos="2160"/>
        </w:tabs>
        <w:ind w:left="2160" w:hanging="360"/>
      </w:pPr>
      <w:rPr>
        <w:rFonts w:ascii="Arial" w:hAnsi="Arial" w:hint="default"/>
      </w:rPr>
    </w:lvl>
    <w:lvl w:ilvl="3" w:tplc="2B4A3A40" w:tentative="1">
      <w:start w:val="1"/>
      <w:numFmt w:val="bullet"/>
      <w:lvlText w:val="•"/>
      <w:lvlJc w:val="left"/>
      <w:pPr>
        <w:tabs>
          <w:tab w:val="num" w:pos="2880"/>
        </w:tabs>
        <w:ind w:left="2880" w:hanging="360"/>
      </w:pPr>
      <w:rPr>
        <w:rFonts w:ascii="Arial" w:hAnsi="Arial" w:hint="default"/>
      </w:rPr>
    </w:lvl>
    <w:lvl w:ilvl="4" w:tplc="1ED890B2" w:tentative="1">
      <w:start w:val="1"/>
      <w:numFmt w:val="bullet"/>
      <w:lvlText w:val="•"/>
      <w:lvlJc w:val="left"/>
      <w:pPr>
        <w:tabs>
          <w:tab w:val="num" w:pos="3600"/>
        </w:tabs>
        <w:ind w:left="3600" w:hanging="360"/>
      </w:pPr>
      <w:rPr>
        <w:rFonts w:ascii="Arial" w:hAnsi="Arial" w:hint="default"/>
      </w:rPr>
    </w:lvl>
    <w:lvl w:ilvl="5" w:tplc="8EE8FB7E" w:tentative="1">
      <w:start w:val="1"/>
      <w:numFmt w:val="bullet"/>
      <w:lvlText w:val="•"/>
      <w:lvlJc w:val="left"/>
      <w:pPr>
        <w:tabs>
          <w:tab w:val="num" w:pos="4320"/>
        </w:tabs>
        <w:ind w:left="4320" w:hanging="360"/>
      </w:pPr>
      <w:rPr>
        <w:rFonts w:ascii="Arial" w:hAnsi="Arial" w:hint="default"/>
      </w:rPr>
    </w:lvl>
    <w:lvl w:ilvl="6" w:tplc="D212B5E0" w:tentative="1">
      <w:start w:val="1"/>
      <w:numFmt w:val="bullet"/>
      <w:lvlText w:val="•"/>
      <w:lvlJc w:val="left"/>
      <w:pPr>
        <w:tabs>
          <w:tab w:val="num" w:pos="5040"/>
        </w:tabs>
        <w:ind w:left="5040" w:hanging="360"/>
      </w:pPr>
      <w:rPr>
        <w:rFonts w:ascii="Arial" w:hAnsi="Arial" w:hint="default"/>
      </w:rPr>
    </w:lvl>
    <w:lvl w:ilvl="7" w:tplc="F0382B16" w:tentative="1">
      <w:start w:val="1"/>
      <w:numFmt w:val="bullet"/>
      <w:lvlText w:val="•"/>
      <w:lvlJc w:val="left"/>
      <w:pPr>
        <w:tabs>
          <w:tab w:val="num" w:pos="5760"/>
        </w:tabs>
        <w:ind w:left="5760" w:hanging="360"/>
      </w:pPr>
      <w:rPr>
        <w:rFonts w:ascii="Arial" w:hAnsi="Arial" w:hint="default"/>
      </w:rPr>
    </w:lvl>
    <w:lvl w:ilvl="8" w:tplc="60284526"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2B383B7C"/>
    <w:multiLevelType w:val="hybridMultilevel"/>
    <w:tmpl w:val="6C28A79E"/>
    <w:lvl w:ilvl="0" w:tplc="E28827D6">
      <w:start w:val="1"/>
      <w:numFmt w:val="decimal"/>
      <w:lvlText w:val="%1."/>
      <w:lvlJc w:val="left"/>
      <w:pPr>
        <w:tabs>
          <w:tab w:val="num" w:pos="720"/>
        </w:tabs>
        <w:ind w:left="720" w:hanging="360"/>
      </w:pPr>
    </w:lvl>
    <w:lvl w:ilvl="1" w:tplc="A45A7C78" w:tentative="1">
      <w:start w:val="1"/>
      <w:numFmt w:val="decimal"/>
      <w:lvlText w:val="%2."/>
      <w:lvlJc w:val="left"/>
      <w:pPr>
        <w:tabs>
          <w:tab w:val="num" w:pos="1440"/>
        </w:tabs>
        <w:ind w:left="1440" w:hanging="360"/>
      </w:pPr>
    </w:lvl>
    <w:lvl w:ilvl="2" w:tplc="7900900C" w:tentative="1">
      <w:start w:val="1"/>
      <w:numFmt w:val="decimal"/>
      <w:lvlText w:val="%3."/>
      <w:lvlJc w:val="left"/>
      <w:pPr>
        <w:tabs>
          <w:tab w:val="num" w:pos="2160"/>
        </w:tabs>
        <w:ind w:left="2160" w:hanging="360"/>
      </w:pPr>
    </w:lvl>
    <w:lvl w:ilvl="3" w:tplc="A3E4106A" w:tentative="1">
      <w:start w:val="1"/>
      <w:numFmt w:val="decimal"/>
      <w:lvlText w:val="%4."/>
      <w:lvlJc w:val="left"/>
      <w:pPr>
        <w:tabs>
          <w:tab w:val="num" w:pos="2880"/>
        </w:tabs>
        <w:ind w:left="2880" w:hanging="360"/>
      </w:pPr>
    </w:lvl>
    <w:lvl w:ilvl="4" w:tplc="03B6D2C4" w:tentative="1">
      <w:start w:val="1"/>
      <w:numFmt w:val="decimal"/>
      <w:lvlText w:val="%5."/>
      <w:lvlJc w:val="left"/>
      <w:pPr>
        <w:tabs>
          <w:tab w:val="num" w:pos="3600"/>
        </w:tabs>
        <w:ind w:left="3600" w:hanging="360"/>
      </w:pPr>
    </w:lvl>
    <w:lvl w:ilvl="5" w:tplc="289C4C42" w:tentative="1">
      <w:start w:val="1"/>
      <w:numFmt w:val="decimal"/>
      <w:lvlText w:val="%6."/>
      <w:lvlJc w:val="left"/>
      <w:pPr>
        <w:tabs>
          <w:tab w:val="num" w:pos="4320"/>
        </w:tabs>
        <w:ind w:left="4320" w:hanging="360"/>
      </w:pPr>
    </w:lvl>
    <w:lvl w:ilvl="6" w:tplc="E920F11E" w:tentative="1">
      <w:start w:val="1"/>
      <w:numFmt w:val="decimal"/>
      <w:lvlText w:val="%7."/>
      <w:lvlJc w:val="left"/>
      <w:pPr>
        <w:tabs>
          <w:tab w:val="num" w:pos="5040"/>
        </w:tabs>
        <w:ind w:left="5040" w:hanging="360"/>
      </w:pPr>
    </w:lvl>
    <w:lvl w:ilvl="7" w:tplc="9B101F40" w:tentative="1">
      <w:start w:val="1"/>
      <w:numFmt w:val="decimal"/>
      <w:lvlText w:val="%8."/>
      <w:lvlJc w:val="left"/>
      <w:pPr>
        <w:tabs>
          <w:tab w:val="num" w:pos="5760"/>
        </w:tabs>
        <w:ind w:left="5760" w:hanging="360"/>
      </w:pPr>
    </w:lvl>
    <w:lvl w:ilvl="8" w:tplc="3D8CB272" w:tentative="1">
      <w:start w:val="1"/>
      <w:numFmt w:val="decimal"/>
      <w:lvlText w:val="%9."/>
      <w:lvlJc w:val="left"/>
      <w:pPr>
        <w:tabs>
          <w:tab w:val="num" w:pos="6480"/>
        </w:tabs>
        <w:ind w:left="6480" w:hanging="360"/>
      </w:pPr>
    </w:lvl>
  </w:abstractNum>
  <w:abstractNum w:abstractNumId="7" w15:restartNumberingAfterBreak="0">
    <w:nsid w:val="2CD348C4"/>
    <w:multiLevelType w:val="hybridMultilevel"/>
    <w:tmpl w:val="B386BBE6"/>
    <w:lvl w:ilvl="0" w:tplc="EFAC3CFA">
      <w:start w:val="1"/>
      <w:numFmt w:val="decimal"/>
      <w:lvlText w:val="%1."/>
      <w:lvlJc w:val="left"/>
      <w:pPr>
        <w:tabs>
          <w:tab w:val="num" w:pos="720"/>
        </w:tabs>
        <w:ind w:left="720" w:hanging="360"/>
      </w:pPr>
    </w:lvl>
    <w:lvl w:ilvl="1" w:tplc="B0986808" w:tentative="1">
      <w:start w:val="1"/>
      <w:numFmt w:val="decimal"/>
      <w:lvlText w:val="%2."/>
      <w:lvlJc w:val="left"/>
      <w:pPr>
        <w:tabs>
          <w:tab w:val="num" w:pos="1440"/>
        </w:tabs>
        <w:ind w:left="1440" w:hanging="360"/>
      </w:pPr>
    </w:lvl>
    <w:lvl w:ilvl="2" w:tplc="76CCEFCE" w:tentative="1">
      <w:start w:val="1"/>
      <w:numFmt w:val="decimal"/>
      <w:lvlText w:val="%3."/>
      <w:lvlJc w:val="left"/>
      <w:pPr>
        <w:tabs>
          <w:tab w:val="num" w:pos="2160"/>
        </w:tabs>
        <w:ind w:left="2160" w:hanging="360"/>
      </w:pPr>
    </w:lvl>
    <w:lvl w:ilvl="3" w:tplc="7902DF46" w:tentative="1">
      <w:start w:val="1"/>
      <w:numFmt w:val="decimal"/>
      <w:lvlText w:val="%4."/>
      <w:lvlJc w:val="left"/>
      <w:pPr>
        <w:tabs>
          <w:tab w:val="num" w:pos="2880"/>
        </w:tabs>
        <w:ind w:left="2880" w:hanging="360"/>
      </w:pPr>
    </w:lvl>
    <w:lvl w:ilvl="4" w:tplc="18A61B40" w:tentative="1">
      <w:start w:val="1"/>
      <w:numFmt w:val="decimal"/>
      <w:lvlText w:val="%5."/>
      <w:lvlJc w:val="left"/>
      <w:pPr>
        <w:tabs>
          <w:tab w:val="num" w:pos="3600"/>
        </w:tabs>
        <w:ind w:left="3600" w:hanging="360"/>
      </w:pPr>
    </w:lvl>
    <w:lvl w:ilvl="5" w:tplc="AE580130" w:tentative="1">
      <w:start w:val="1"/>
      <w:numFmt w:val="decimal"/>
      <w:lvlText w:val="%6."/>
      <w:lvlJc w:val="left"/>
      <w:pPr>
        <w:tabs>
          <w:tab w:val="num" w:pos="4320"/>
        </w:tabs>
        <w:ind w:left="4320" w:hanging="360"/>
      </w:pPr>
    </w:lvl>
    <w:lvl w:ilvl="6" w:tplc="10F250AA" w:tentative="1">
      <w:start w:val="1"/>
      <w:numFmt w:val="decimal"/>
      <w:lvlText w:val="%7."/>
      <w:lvlJc w:val="left"/>
      <w:pPr>
        <w:tabs>
          <w:tab w:val="num" w:pos="5040"/>
        </w:tabs>
        <w:ind w:left="5040" w:hanging="360"/>
      </w:pPr>
    </w:lvl>
    <w:lvl w:ilvl="7" w:tplc="EE328D7C" w:tentative="1">
      <w:start w:val="1"/>
      <w:numFmt w:val="decimal"/>
      <w:lvlText w:val="%8."/>
      <w:lvlJc w:val="left"/>
      <w:pPr>
        <w:tabs>
          <w:tab w:val="num" w:pos="5760"/>
        </w:tabs>
        <w:ind w:left="5760" w:hanging="360"/>
      </w:pPr>
    </w:lvl>
    <w:lvl w:ilvl="8" w:tplc="4C445C04" w:tentative="1">
      <w:start w:val="1"/>
      <w:numFmt w:val="decimal"/>
      <w:lvlText w:val="%9."/>
      <w:lvlJc w:val="left"/>
      <w:pPr>
        <w:tabs>
          <w:tab w:val="num" w:pos="6480"/>
        </w:tabs>
        <w:ind w:left="6480" w:hanging="360"/>
      </w:pPr>
    </w:lvl>
  </w:abstractNum>
  <w:abstractNum w:abstractNumId="8" w15:restartNumberingAfterBreak="0">
    <w:nsid w:val="305E452C"/>
    <w:multiLevelType w:val="hybridMultilevel"/>
    <w:tmpl w:val="BF0483F0"/>
    <w:lvl w:ilvl="0" w:tplc="2C646458">
      <w:start w:val="1"/>
      <w:numFmt w:val="decimal"/>
      <w:lvlText w:val="%1."/>
      <w:lvlJc w:val="left"/>
      <w:pPr>
        <w:tabs>
          <w:tab w:val="num" w:pos="720"/>
        </w:tabs>
        <w:ind w:left="720" w:hanging="360"/>
      </w:pPr>
    </w:lvl>
    <w:lvl w:ilvl="1" w:tplc="F48E746C">
      <w:numFmt w:val="bullet"/>
      <w:lvlText w:val=""/>
      <w:lvlJc w:val="left"/>
      <w:pPr>
        <w:tabs>
          <w:tab w:val="num" w:pos="1440"/>
        </w:tabs>
        <w:ind w:left="1440" w:hanging="360"/>
      </w:pPr>
      <w:rPr>
        <w:rFonts w:ascii="Wingdings" w:hAnsi="Wingdings" w:hint="default"/>
      </w:rPr>
    </w:lvl>
    <w:lvl w:ilvl="2" w:tplc="D244151A" w:tentative="1">
      <w:start w:val="1"/>
      <w:numFmt w:val="decimal"/>
      <w:lvlText w:val="%3."/>
      <w:lvlJc w:val="left"/>
      <w:pPr>
        <w:tabs>
          <w:tab w:val="num" w:pos="2160"/>
        </w:tabs>
        <w:ind w:left="2160" w:hanging="360"/>
      </w:pPr>
    </w:lvl>
    <w:lvl w:ilvl="3" w:tplc="F1804F18" w:tentative="1">
      <w:start w:val="1"/>
      <w:numFmt w:val="decimal"/>
      <w:lvlText w:val="%4."/>
      <w:lvlJc w:val="left"/>
      <w:pPr>
        <w:tabs>
          <w:tab w:val="num" w:pos="2880"/>
        </w:tabs>
        <w:ind w:left="2880" w:hanging="360"/>
      </w:pPr>
    </w:lvl>
    <w:lvl w:ilvl="4" w:tplc="CBBA1510" w:tentative="1">
      <w:start w:val="1"/>
      <w:numFmt w:val="decimal"/>
      <w:lvlText w:val="%5."/>
      <w:lvlJc w:val="left"/>
      <w:pPr>
        <w:tabs>
          <w:tab w:val="num" w:pos="3600"/>
        </w:tabs>
        <w:ind w:left="3600" w:hanging="360"/>
      </w:pPr>
    </w:lvl>
    <w:lvl w:ilvl="5" w:tplc="4FFC054A" w:tentative="1">
      <w:start w:val="1"/>
      <w:numFmt w:val="decimal"/>
      <w:lvlText w:val="%6."/>
      <w:lvlJc w:val="left"/>
      <w:pPr>
        <w:tabs>
          <w:tab w:val="num" w:pos="4320"/>
        </w:tabs>
        <w:ind w:left="4320" w:hanging="360"/>
      </w:pPr>
    </w:lvl>
    <w:lvl w:ilvl="6" w:tplc="2E6C3FCA" w:tentative="1">
      <w:start w:val="1"/>
      <w:numFmt w:val="decimal"/>
      <w:lvlText w:val="%7."/>
      <w:lvlJc w:val="left"/>
      <w:pPr>
        <w:tabs>
          <w:tab w:val="num" w:pos="5040"/>
        </w:tabs>
        <w:ind w:left="5040" w:hanging="360"/>
      </w:pPr>
    </w:lvl>
    <w:lvl w:ilvl="7" w:tplc="9BC09424" w:tentative="1">
      <w:start w:val="1"/>
      <w:numFmt w:val="decimal"/>
      <w:lvlText w:val="%8."/>
      <w:lvlJc w:val="left"/>
      <w:pPr>
        <w:tabs>
          <w:tab w:val="num" w:pos="5760"/>
        </w:tabs>
        <w:ind w:left="5760" w:hanging="360"/>
      </w:pPr>
    </w:lvl>
    <w:lvl w:ilvl="8" w:tplc="8BF82F3A" w:tentative="1">
      <w:start w:val="1"/>
      <w:numFmt w:val="decimal"/>
      <w:lvlText w:val="%9."/>
      <w:lvlJc w:val="left"/>
      <w:pPr>
        <w:tabs>
          <w:tab w:val="num" w:pos="6480"/>
        </w:tabs>
        <w:ind w:left="6480" w:hanging="360"/>
      </w:pPr>
    </w:lvl>
  </w:abstractNum>
  <w:abstractNum w:abstractNumId="9" w15:restartNumberingAfterBreak="0">
    <w:nsid w:val="4F472A41"/>
    <w:multiLevelType w:val="hybridMultilevel"/>
    <w:tmpl w:val="64E2CD70"/>
    <w:lvl w:ilvl="0" w:tplc="D3FE710A">
      <w:start w:val="1"/>
      <w:numFmt w:val="decimal"/>
      <w:lvlText w:val="%1."/>
      <w:lvlJc w:val="left"/>
      <w:pPr>
        <w:tabs>
          <w:tab w:val="num" w:pos="720"/>
        </w:tabs>
        <w:ind w:left="720" w:hanging="360"/>
      </w:pPr>
    </w:lvl>
    <w:lvl w:ilvl="1" w:tplc="1F1E2E82" w:tentative="1">
      <w:start w:val="1"/>
      <w:numFmt w:val="decimal"/>
      <w:lvlText w:val="%2."/>
      <w:lvlJc w:val="left"/>
      <w:pPr>
        <w:tabs>
          <w:tab w:val="num" w:pos="1440"/>
        </w:tabs>
        <w:ind w:left="1440" w:hanging="360"/>
      </w:pPr>
    </w:lvl>
    <w:lvl w:ilvl="2" w:tplc="B36EF318" w:tentative="1">
      <w:start w:val="1"/>
      <w:numFmt w:val="decimal"/>
      <w:lvlText w:val="%3."/>
      <w:lvlJc w:val="left"/>
      <w:pPr>
        <w:tabs>
          <w:tab w:val="num" w:pos="2160"/>
        </w:tabs>
        <w:ind w:left="2160" w:hanging="360"/>
      </w:pPr>
    </w:lvl>
    <w:lvl w:ilvl="3" w:tplc="9366308C" w:tentative="1">
      <w:start w:val="1"/>
      <w:numFmt w:val="decimal"/>
      <w:lvlText w:val="%4."/>
      <w:lvlJc w:val="left"/>
      <w:pPr>
        <w:tabs>
          <w:tab w:val="num" w:pos="2880"/>
        </w:tabs>
        <w:ind w:left="2880" w:hanging="360"/>
      </w:pPr>
    </w:lvl>
    <w:lvl w:ilvl="4" w:tplc="B746AFAC" w:tentative="1">
      <w:start w:val="1"/>
      <w:numFmt w:val="decimal"/>
      <w:lvlText w:val="%5."/>
      <w:lvlJc w:val="left"/>
      <w:pPr>
        <w:tabs>
          <w:tab w:val="num" w:pos="3600"/>
        </w:tabs>
        <w:ind w:left="3600" w:hanging="360"/>
      </w:pPr>
    </w:lvl>
    <w:lvl w:ilvl="5" w:tplc="FA38F392" w:tentative="1">
      <w:start w:val="1"/>
      <w:numFmt w:val="decimal"/>
      <w:lvlText w:val="%6."/>
      <w:lvlJc w:val="left"/>
      <w:pPr>
        <w:tabs>
          <w:tab w:val="num" w:pos="4320"/>
        </w:tabs>
        <w:ind w:left="4320" w:hanging="360"/>
      </w:pPr>
    </w:lvl>
    <w:lvl w:ilvl="6" w:tplc="C4C8D4FE" w:tentative="1">
      <w:start w:val="1"/>
      <w:numFmt w:val="decimal"/>
      <w:lvlText w:val="%7."/>
      <w:lvlJc w:val="left"/>
      <w:pPr>
        <w:tabs>
          <w:tab w:val="num" w:pos="5040"/>
        </w:tabs>
        <w:ind w:left="5040" w:hanging="360"/>
      </w:pPr>
    </w:lvl>
    <w:lvl w:ilvl="7" w:tplc="B7109696" w:tentative="1">
      <w:start w:val="1"/>
      <w:numFmt w:val="decimal"/>
      <w:lvlText w:val="%8."/>
      <w:lvlJc w:val="left"/>
      <w:pPr>
        <w:tabs>
          <w:tab w:val="num" w:pos="5760"/>
        </w:tabs>
        <w:ind w:left="5760" w:hanging="360"/>
      </w:pPr>
    </w:lvl>
    <w:lvl w:ilvl="8" w:tplc="93C68BDE" w:tentative="1">
      <w:start w:val="1"/>
      <w:numFmt w:val="decimal"/>
      <w:lvlText w:val="%9."/>
      <w:lvlJc w:val="left"/>
      <w:pPr>
        <w:tabs>
          <w:tab w:val="num" w:pos="6480"/>
        </w:tabs>
        <w:ind w:left="6480" w:hanging="360"/>
      </w:pPr>
    </w:lvl>
  </w:abstractNum>
  <w:abstractNum w:abstractNumId="10" w15:restartNumberingAfterBreak="0">
    <w:nsid w:val="5F0053E3"/>
    <w:multiLevelType w:val="hybridMultilevel"/>
    <w:tmpl w:val="CD164826"/>
    <w:lvl w:ilvl="0" w:tplc="3B8CBDD2">
      <w:start w:val="1"/>
      <w:numFmt w:val="bullet"/>
      <w:lvlText w:val=""/>
      <w:lvlJc w:val="left"/>
      <w:pPr>
        <w:tabs>
          <w:tab w:val="num" w:pos="720"/>
        </w:tabs>
        <w:ind w:left="720" w:hanging="360"/>
      </w:pPr>
      <w:rPr>
        <w:rFonts w:ascii="Wingdings 3" w:hAnsi="Wingdings 3" w:hint="default"/>
      </w:rPr>
    </w:lvl>
    <w:lvl w:ilvl="1" w:tplc="C344ABA8" w:tentative="1">
      <w:start w:val="1"/>
      <w:numFmt w:val="bullet"/>
      <w:lvlText w:val=""/>
      <w:lvlJc w:val="left"/>
      <w:pPr>
        <w:tabs>
          <w:tab w:val="num" w:pos="1440"/>
        </w:tabs>
        <w:ind w:left="1440" w:hanging="360"/>
      </w:pPr>
      <w:rPr>
        <w:rFonts w:ascii="Wingdings 3" w:hAnsi="Wingdings 3" w:hint="default"/>
      </w:rPr>
    </w:lvl>
    <w:lvl w:ilvl="2" w:tplc="DFFAFF0E" w:tentative="1">
      <w:start w:val="1"/>
      <w:numFmt w:val="bullet"/>
      <w:lvlText w:val=""/>
      <w:lvlJc w:val="left"/>
      <w:pPr>
        <w:tabs>
          <w:tab w:val="num" w:pos="2160"/>
        </w:tabs>
        <w:ind w:left="2160" w:hanging="360"/>
      </w:pPr>
      <w:rPr>
        <w:rFonts w:ascii="Wingdings 3" w:hAnsi="Wingdings 3" w:hint="default"/>
      </w:rPr>
    </w:lvl>
    <w:lvl w:ilvl="3" w:tplc="693EE52A" w:tentative="1">
      <w:start w:val="1"/>
      <w:numFmt w:val="bullet"/>
      <w:lvlText w:val=""/>
      <w:lvlJc w:val="left"/>
      <w:pPr>
        <w:tabs>
          <w:tab w:val="num" w:pos="2880"/>
        </w:tabs>
        <w:ind w:left="2880" w:hanging="360"/>
      </w:pPr>
      <w:rPr>
        <w:rFonts w:ascii="Wingdings 3" w:hAnsi="Wingdings 3" w:hint="default"/>
      </w:rPr>
    </w:lvl>
    <w:lvl w:ilvl="4" w:tplc="37EE08B0" w:tentative="1">
      <w:start w:val="1"/>
      <w:numFmt w:val="bullet"/>
      <w:lvlText w:val=""/>
      <w:lvlJc w:val="left"/>
      <w:pPr>
        <w:tabs>
          <w:tab w:val="num" w:pos="3600"/>
        </w:tabs>
        <w:ind w:left="3600" w:hanging="360"/>
      </w:pPr>
      <w:rPr>
        <w:rFonts w:ascii="Wingdings 3" w:hAnsi="Wingdings 3" w:hint="default"/>
      </w:rPr>
    </w:lvl>
    <w:lvl w:ilvl="5" w:tplc="9B4A172E" w:tentative="1">
      <w:start w:val="1"/>
      <w:numFmt w:val="bullet"/>
      <w:lvlText w:val=""/>
      <w:lvlJc w:val="left"/>
      <w:pPr>
        <w:tabs>
          <w:tab w:val="num" w:pos="4320"/>
        </w:tabs>
        <w:ind w:left="4320" w:hanging="360"/>
      </w:pPr>
      <w:rPr>
        <w:rFonts w:ascii="Wingdings 3" w:hAnsi="Wingdings 3" w:hint="default"/>
      </w:rPr>
    </w:lvl>
    <w:lvl w:ilvl="6" w:tplc="8FE4CB4C" w:tentative="1">
      <w:start w:val="1"/>
      <w:numFmt w:val="bullet"/>
      <w:lvlText w:val=""/>
      <w:lvlJc w:val="left"/>
      <w:pPr>
        <w:tabs>
          <w:tab w:val="num" w:pos="5040"/>
        </w:tabs>
        <w:ind w:left="5040" w:hanging="360"/>
      </w:pPr>
      <w:rPr>
        <w:rFonts w:ascii="Wingdings 3" w:hAnsi="Wingdings 3" w:hint="default"/>
      </w:rPr>
    </w:lvl>
    <w:lvl w:ilvl="7" w:tplc="A0125748" w:tentative="1">
      <w:start w:val="1"/>
      <w:numFmt w:val="bullet"/>
      <w:lvlText w:val=""/>
      <w:lvlJc w:val="left"/>
      <w:pPr>
        <w:tabs>
          <w:tab w:val="num" w:pos="5760"/>
        </w:tabs>
        <w:ind w:left="5760" w:hanging="360"/>
      </w:pPr>
      <w:rPr>
        <w:rFonts w:ascii="Wingdings 3" w:hAnsi="Wingdings 3" w:hint="default"/>
      </w:rPr>
    </w:lvl>
    <w:lvl w:ilvl="8" w:tplc="D310C848" w:tentative="1">
      <w:start w:val="1"/>
      <w:numFmt w:val="bullet"/>
      <w:lvlText w:val=""/>
      <w:lvlJc w:val="left"/>
      <w:pPr>
        <w:tabs>
          <w:tab w:val="num" w:pos="6480"/>
        </w:tabs>
        <w:ind w:left="6480" w:hanging="360"/>
      </w:pPr>
      <w:rPr>
        <w:rFonts w:ascii="Wingdings 3" w:hAnsi="Wingdings 3" w:hint="default"/>
      </w:rPr>
    </w:lvl>
  </w:abstractNum>
  <w:abstractNum w:abstractNumId="11" w15:restartNumberingAfterBreak="0">
    <w:nsid w:val="61B655C2"/>
    <w:multiLevelType w:val="hybridMultilevel"/>
    <w:tmpl w:val="7930C800"/>
    <w:lvl w:ilvl="0" w:tplc="5D4477A8">
      <w:start w:val="1"/>
      <w:numFmt w:val="decimal"/>
      <w:lvlText w:val="%1."/>
      <w:lvlJc w:val="left"/>
      <w:pPr>
        <w:tabs>
          <w:tab w:val="num" w:pos="720"/>
        </w:tabs>
        <w:ind w:left="720" w:hanging="360"/>
      </w:pPr>
    </w:lvl>
    <w:lvl w:ilvl="1" w:tplc="DF02DFEC" w:tentative="1">
      <w:start w:val="1"/>
      <w:numFmt w:val="decimal"/>
      <w:lvlText w:val="%2."/>
      <w:lvlJc w:val="left"/>
      <w:pPr>
        <w:tabs>
          <w:tab w:val="num" w:pos="1440"/>
        </w:tabs>
        <w:ind w:left="1440" w:hanging="360"/>
      </w:pPr>
    </w:lvl>
    <w:lvl w:ilvl="2" w:tplc="0D70DF74" w:tentative="1">
      <w:start w:val="1"/>
      <w:numFmt w:val="decimal"/>
      <w:lvlText w:val="%3."/>
      <w:lvlJc w:val="left"/>
      <w:pPr>
        <w:tabs>
          <w:tab w:val="num" w:pos="2160"/>
        </w:tabs>
        <w:ind w:left="2160" w:hanging="360"/>
      </w:pPr>
    </w:lvl>
    <w:lvl w:ilvl="3" w:tplc="18BE99DC" w:tentative="1">
      <w:start w:val="1"/>
      <w:numFmt w:val="decimal"/>
      <w:lvlText w:val="%4."/>
      <w:lvlJc w:val="left"/>
      <w:pPr>
        <w:tabs>
          <w:tab w:val="num" w:pos="2880"/>
        </w:tabs>
        <w:ind w:left="2880" w:hanging="360"/>
      </w:pPr>
    </w:lvl>
    <w:lvl w:ilvl="4" w:tplc="32DA56C0" w:tentative="1">
      <w:start w:val="1"/>
      <w:numFmt w:val="decimal"/>
      <w:lvlText w:val="%5."/>
      <w:lvlJc w:val="left"/>
      <w:pPr>
        <w:tabs>
          <w:tab w:val="num" w:pos="3600"/>
        </w:tabs>
        <w:ind w:left="3600" w:hanging="360"/>
      </w:pPr>
    </w:lvl>
    <w:lvl w:ilvl="5" w:tplc="91922240" w:tentative="1">
      <w:start w:val="1"/>
      <w:numFmt w:val="decimal"/>
      <w:lvlText w:val="%6."/>
      <w:lvlJc w:val="left"/>
      <w:pPr>
        <w:tabs>
          <w:tab w:val="num" w:pos="4320"/>
        </w:tabs>
        <w:ind w:left="4320" w:hanging="360"/>
      </w:pPr>
    </w:lvl>
    <w:lvl w:ilvl="6" w:tplc="6C0A2996" w:tentative="1">
      <w:start w:val="1"/>
      <w:numFmt w:val="decimal"/>
      <w:lvlText w:val="%7."/>
      <w:lvlJc w:val="left"/>
      <w:pPr>
        <w:tabs>
          <w:tab w:val="num" w:pos="5040"/>
        </w:tabs>
        <w:ind w:left="5040" w:hanging="360"/>
      </w:pPr>
    </w:lvl>
    <w:lvl w:ilvl="7" w:tplc="E4A6592C" w:tentative="1">
      <w:start w:val="1"/>
      <w:numFmt w:val="decimal"/>
      <w:lvlText w:val="%8."/>
      <w:lvlJc w:val="left"/>
      <w:pPr>
        <w:tabs>
          <w:tab w:val="num" w:pos="5760"/>
        </w:tabs>
        <w:ind w:left="5760" w:hanging="360"/>
      </w:pPr>
    </w:lvl>
    <w:lvl w:ilvl="8" w:tplc="7B44600E" w:tentative="1">
      <w:start w:val="1"/>
      <w:numFmt w:val="decimal"/>
      <w:lvlText w:val="%9."/>
      <w:lvlJc w:val="left"/>
      <w:pPr>
        <w:tabs>
          <w:tab w:val="num" w:pos="6480"/>
        </w:tabs>
        <w:ind w:left="6480" w:hanging="360"/>
      </w:pPr>
    </w:lvl>
  </w:abstractNum>
  <w:abstractNum w:abstractNumId="12" w15:restartNumberingAfterBreak="0">
    <w:nsid w:val="63D47FF1"/>
    <w:multiLevelType w:val="hybridMultilevel"/>
    <w:tmpl w:val="277AC7E4"/>
    <w:lvl w:ilvl="0" w:tplc="F0E4FE9C">
      <w:start w:val="1"/>
      <w:numFmt w:val="decimal"/>
      <w:lvlText w:val="%1."/>
      <w:lvlJc w:val="left"/>
      <w:pPr>
        <w:tabs>
          <w:tab w:val="num" w:pos="720"/>
        </w:tabs>
        <w:ind w:left="720" w:hanging="360"/>
      </w:pPr>
    </w:lvl>
    <w:lvl w:ilvl="1" w:tplc="35C07F14" w:tentative="1">
      <w:start w:val="1"/>
      <w:numFmt w:val="decimal"/>
      <w:lvlText w:val="%2."/>
      <w:lvlJc w:val="left"/>
      <w:pPr>
        <w:tabs>
          <w:tab w:val="num" w:pos="1440"/>
        </w:tabs>
        <w:ind w:left="1440" w:hanging="360"/>
      </w:pPr>
    </w:lvl>
    <w:lvl w:ilvl="2" w:tplc="92DEFA76" w:tentative="1">
      <w:start w:val="1"/>
      <w:numFmt w:val="decimal"/>
      <w:lvlText w:val="%3."/>
      <w:lvlJc w:val="left"/>
      <w:pPr>
        <w:tabs>
          <w:tab w:val="num" w:pos="2160"/>
        </w:tabs>
        <w:ind w:left="2160" w:hanging="360"/>
      </w:pPr>
    </w:lvl>
    <w:lvl w:ilvl="3" w:tplc="43E2C13C" w:tentative="1">
      <w:start w:val="1"/>
      <w:numFmt w:val="decimal"/>
      <w:lvlText w:val="%4."/>
      <w:lvlJc w:val="left"/>
      <w:pPr>
        <w:tabs>
          <w:tab w:val="num" w:pos="2880"/>
        </w:tabs>
        <w:ind w:left="2880" w:hanging="360"/>
      </w:pPr>
    </w:lvl>
    <w:lvl w:ilvl="4" w:tplc="8C5ABDF8" w:tentative="1">
      <w:start w:val="1"/>
      <w:numFmt w:val="decimal"/>
      <w:lvlText w:val="%5."/>
      <w:lvlJc w:val="left"/>
      <w:pPr>
        <w:tabs>
          <w:tab w:val="num" w:pos="3600"/>
        </w:tabs>
        <w:ind w:left="3600" w:hanging="360"/>
      </w:pPr>
    </w:lvl>
    <w:lvl w:ilvl="5" w:tplc="70F0014C" w:tentative="1">
      <w:start w:val="1"/>
      <w:numFmt w:val="decimal"/>
      <w:lvlText w:val="%6."/>
      <w:lvlJc w:val="left"/>
      <w:pPr>
        <w:tabs>
          <w:tab w:val="num" w:pos="4320"/>
        </w:tabs>
        <w:ind w:left="4320" w:hanging="360"/>
      </w:pPr>
    </w:lvl>
    <w:lvl w:ilvl="6" w:tplc="2B56F6FC" w:tentative="1">
      <w:start w:val="1"/>
      <w:numFmt w:val="decimal"/>
      <w:lvlText w:val="%7."/>
      <w:lvlJc w:val="left"/>
      <w:pPr>
        <w:tabs>
          <w:tab w:val="num" w:pos="5040"/>
        </w:tabs>
        <w:ind w:left="5040" w:hanging="360"/>
      </w:pPr>
    </w:lvl>
    <w:lvl w:ilvl="7" w:tplc="A6383D96" w:tentative="1">
      <w:start w:val="1"/>
      <w:numFmt w:val="decimal"/>
      <w:lvlText w:val="%8."/>
      <w:lvlJc w:val="left"/>
      <w:pPr>
        <w:tabs>
          <w:tab w:val="num" w:pos="5760"/>
        </w:tabs>
        <w:ind w:left="5760" w:hanging="360"/>
      </w:pPr>
    </w:lvl>
    <w:lvl w:ilvl="8" w:tplc="03D08D14" w:tentative="1">
      <w:start w:val="1"/>
      <w:numFmt w:val="decimal"/>
      <w:lvlText w:val="%9."/>
      <w:lvlJc w:val="left"/>
      <w:pPr>
        <w:tabs>
          <w:tab w:val="num" w:pos="6480"/>
        </w:tabs>
        <w:ind w:left="6480" w:hanging="360"/>
      </w:pPr>
    </w:lvl>
  </w:abstractNum>
  <w:num w:numId="1">
    <w:abstractNumId w:val="4"/>
  </w:num>
  <w:num w:numId="2">
    <w:abstractNumId w:val="12"/>
  </w:num>
  <w:num w:numId="3">
    <w:abstractNumId w:val="11"/>
  </w:num>
  <w:num w:numId="4">
    <w:abstractNumId w:val="6"/>
  </w:num>
  <w:num w:numId="5">
    <w:abstractNumId w:val="2"/>
  </w:num>
  <w:num w:numId="6">
    <w:abstractNumId w:val="7"/>
  </w:num>
  <w:num w:numId="7">
    <w:abstractNumId w:val="0"/>
  </w:num>
  <w:num w:numId="8">
    <w:abstractNumId w:val="5"/>
  </w:num>
  <w:num w:numId="9">
    <w:abstractNumId w:val="8"/>
  </w:num>
  <w:num w:numId="10">
    <w:abstractNumId w:val="10"/>
  </w:num>
  <w:num w:numId="11">
    <w:abstractNumId w:val="3"/>
  </w:num>
  <w:num w:numId="12">
    <w:abstractNumId w:val="9"/>
  </w:num>
  <w:num w:numId="1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C78BC"/>
    <w:rsid w:val="00015954"/>
    <w:rsid w:val="000331AE"/>
    <w:rsid w:val="000A0C21"/>
    <w:rsid w:val="000B3AA1"/>
    <w:rsid w:val="000E0A81"/>
    <w:rsid w:val="000E6F60"/>
    <w:rsid w:val="000F57AF"/>
    <w:rsid w:val="00135880"/>
    <w:rsid w:val="0017779B"/>
    <w:rsid w:val="001907BD"/>
    <w:rsid w:val="001E54E2"/>
    <w:rsid w:val="001E73CD"/>
    <w:rsid w:val="002328B3"/>
    <w:rsid w:val="00262BCA"/>
    <w:rsid w:val="0026422B"/>
    <w:rsid w:val="00271125"/>
    <w:rsid w:val="002D2479"/>
    <w:rsid w:val="002E64A5"/>
    <w:rsid w:val="002E789E"/>
    <w:rsid w:val="002F0978"/>
    <w:rsid w:val="002F7053"/>
    <w:rsid w:val="00356B79"/>
    <w:rsid w:val="00396E81"/>
    <w:rsid w:val="003A0CF1"/>
    <w:rsid w:val="003D271D"/>
    <w:rsid w:val="003D5823"/>
    <w:rsid w:val="003E0052"/>
    <w:rsid w:val="00446F6B"/>
    <w:rsid w:val="00457752"/>
    <w:rsid w:val="00460FB3"/>
    <w:rsid w:val="004676BB"/>
    <w:rsid w:val="00471444"/>
    <w:rsid w:val="0048587A"/>
    <w:rsid w:val="004C500E"/>
    <w:rsid w:val="0050655C"/>
    <w:rsid w:val="00506DAA"/>
    <w:rsid w:val="0051212A"/>
    <w:rsid w:val="00517E09"/>
    <w:rsid w:val="00525C9F"/>
    <w:rsid w:val="005447C1"/>
    <w:rsid w:val="00591CC2"/>
    <w:rsid w:val="005D020A"/>
    <w:rsid w:val="005D12D8"/>
    <w:rsid w:val="005E063E"/>
    <w:rsid w:val="00616514"/>
    <w:rsid w:val="006275D6"/>
    <w:rsid w:val="006810CE"/>
    <w:rsid w:val="00695596"/>
    <w:rsid w:val="006F57E4"/>
    <w:rsid w:val="00714D2B"/>
    <w:rsid w:val="007531A9"/>
    <w:rsid w:val="00765466"/>
    <w:rsid w:val="00772009"/>
    <w:rsid w:val="00776E82"/>
    <w:rsid w:val="007A3BC8"/>
    <w:rsid w:val="007C5D0D"/>
    <w:rsid w:val="00827962"/>
    <w:rsid w:val="008279D5"/>
    <w:rsid w:val="008573FD"/>
    <w:rsid w:val="00861E45"/>
    <w:rsid w:val="008852D5"/>
    <w:rsid w:val="008C7B4F"/>
    <w:rsid w:val="008D43FF"/>
    <w:rsid w:val="008F2024"/>
    <w:rsid w:val="0093309B"/>
    <w:rsid w:val="00934D86"/>
    <w:rsid w:val="009412B2"/>
    <w:rsid w:val="009522C3"/>
    <w:rsid w:val="0096237C"/>
    <w:rsid w:val="009C1585"/>
    <w:rsid w:val="009C1C8A"/>
    <w:rsid w:val="009D1BC9"/>
    <w:rsid w:val="009F7EAC"/>
    <w:rsid w:val="00A01438"/>
    <w:rsid w:val="00A11062"/>
    <w:rsid w:val="00A36A45"/>
    <w:rsid w:val="00A709FA"/>
    <w:rsid w:val="00A93E2C"/>
    <w:rsid w:val="00AC5E4A"/>
    <w:rsid w:val="00AC78BC"/>
    <w:rsid w:val="00AD1D03"/>
    <w:rsid w:val="00AD791C"/>
    <w:rsid w:val="00AE1348"/>
    <w:rsid w:val="00AE2FE4"/>
    <w:rsid w:val="00B0679F"/>
    <w:rsid w:val="00B1690E"/>
    <w:rsid w:val="00B16E60"/>
    <w:rsid w:val="00B300FF"/>
    <w:rsid w:val="00B3540A"/>
    <w:rsid w:val="00BA5668"/>
    <w:rsid w:val="00BA73EB"/>
    <w:rsid w:val="00BC6B35"/>
    <w:rsid w:val="00C16232"/>
    <w:rsid w:val="00C37EBD"/>
    <w:rsid w:val="00C414EA"/>
    <w:rsid w:val="00C42C99"/>
    <w:rsid w:val="00C51314"/>
    <w:rsid w:val="00C6354B"/>
    <w:rsid w:val="00C71E74"/>
    <w:rsid w:val="00C74161"/>
    <w:rsid w:val="00C84D2C"/>
    <w:rsid w:val="00C877D3"/>
    <w:rsid w:val="00CA6BAB"/>
    <w:rsid w:val="00CB5793"/>
    <w:rsid w:val="00CC1CAE"/>
    <w:rsid w:val="00D031FB"/>
    <w:rsid w:val="00D200A7"/>
    <w:rsid w:val="00D22B1F"/>
    <w:rsid w:val="00D61007"/>
    <w:rsid w:val="00D6450F"/>
    <w:rsid w:val="00D673A5"/>
    <w:rsid w:val="00D82EDA"/>
    <w:rsid w:val="00DA7A43"/>
    <w:rsid w:val="00DB0D08"/>
    <w:rsid w:val="00DB1562"/>
    <w:rsid w:val="00DB29E7"/>
    <w:rsid w:val="00DF4823"/>
    <w:rsid w:val="00E014C0"/>
    <w:rsid w:val="00E06ECC"/>
    <w:rsid w:val="00E80683"/>
    <w:rsid w:val="00EA3EE0"/>
    <w:rsid w:val="00EF23C6"/>
    <w:rsid w:val="00F235EF"/>
    <w:rsid w:val="00F57865"/>
    <w:rsid w:val="00F66050"/>
    <w:rsid w:val="00F91C2C"/>
    <w:rsid w:val="00FA4F4B"/>
    <w:rsid w:val="00FE5045"/>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E7A69E"/>
  <w15:docId w15:val="{D627C441-72EA-4139-A07D-97F1132FE1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fr-BE"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48587A"/>
    <w:pPr>
      <w:ind w:firstLine="284"/>
      <w:jc w:val="both"/>
    </w:pPr>
  </w:style>
  <w:style w:type="paragraph" w:styleId="Titre1">
    <w:name w:val="heading 1"/>
    <w:basedOn w:val="Normal"/>
    <w:next w:val="Normal"/>
    <w:link w:val="Titre1Car"/>
    <w:uiPriority w:val="9"/>
    <w:qFormat/>
    <w:rsid w:val="0050655C"/>
    <w:pPr>
      <w:outlineLvl w:val="0"/>
    </w:pPr>
    <w:rPr>
      <w:b/>
      <w:iCs/>
    </w:rPr>
  </w:style>
  <w:style w:type="paragraph" w:styleId="Titre2">
    <w:name w:val="heading 2"/>
    <w:basedOn w:val="Normal"/>
    <w:next w:val="Normal"/>
    <w:link w:val="Titre2Car"/>
    <w:uiPriority w:val="9"/>
    <w:unhideWhenUsed/>
    <w:qFormat/>
    <w:rsid w:val="0051212A"/>
    <w:pPr>
      <w:ind w:firstLine="708"/>
      <w:outlineLvl w:val="1"/>
    </w:pPr>
    <w:rPr>
      <w:b/>
      <w:i/>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AC78BC"/>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AC78BC"/>
    <w:rPr>
      <w:rFonts w:ascii="Tahoma" w:hAnsi="Tahoma" w:cs="Tahoma"/>
      <w:sz w:val="16"/>
      <w:szCs w:val="16"/>
    </w:rPr>
  </w:style>
  <w:style w:type="paragraph" w:styleId="En-tte">
    <w:name w:val="header"/>
    <w:basedOn w:val="Normal"/>
    <w:link w:val="En-tteCar"/>
    <w:uiPriority w:val="99"/>
    <w:unhideWhenUsed/>
    <w:rsid w:val="00AC78BC"/>
    <w:pPr>
      <w:tabs>
        <w:tab w:val="center" w:pos="4536"/>
        <w:tab w:val="right" w:pos="9072"/>
      </w:tabs>
      <w:spacing w:after="0" w:line="240" w:lineRule="auto"/>
    </w:pPr>
  </w:style>
  <w:style w:type="character" w:customStyle="1" w:styleId="En-tteCar">
    <w:name w:val="En-tête Car"/>
    <w:basedOn w:val="Policepardfaut"/>
    <w:link w:val="En-tte"/>
    <w:uiPriority w:val="99"/>
    <w:rsid w:val="00AC78BC"/>
  </w:style>
  <w:style w:type="paragraph" w:styleId="Pieddepage">
    <w:name w:val="footer"/>
    <w:basedOn w:val="Normal"/>
    <w:link w:val="PieddepageCar"/>
    <w:uiPriority w:val="99"/>
    <w:unhideWhenUsed/>
    <w:rsid w:val="00AC78BC"/>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AC78BC"/>
  </w:style>
  <w:style w:type="character" w:styleId="Lienhypertexte">
    <w:name w:val="Hyperlink"/>
    <w:basedOn w:val="Policepardfaut"/>
    <w:uiPriority w:val="99"/>
    <w:unhideWhenUsed/>
    <w:rsid w:val="00B0679F"/>
    <w:rPr>
      <w:color w:val="0000FF" w:themeColor="hyperlink"/>
      <w:u w:val="single"/>
    </w:rPr>
  </w:style>
  <w:style w:type="paragraph" w:styleId="Notedebasdepage">
    <w:name w:val="footnote text"/>
    <w:basedOn w:val="Normal"/>
    <w:link w:val="NotedebasdepageCar"/>
    <w:uiPriority w:val="99"/>
    <w:unhideWhenUsed/>
    <w:rsid w:val="00D6450F"/>
    <w:pPr>
      <w:spacing w:after="0" w:line="240" w:lineRule="auto"/>
    </w:pPr>
    <w:rPr>
      <w:sz w:val="20"/>
      <w:szCs w:val="20"/>
    </w:rPr>
  </w:style>
  <w:style w:type="character" w:customStyle="1" w:styleId="NotedebasdepageCar">
    <w:name w:val="Note de bas de page Car"/>
    <w:basedOn w:val="Policepardfaut"/>
    <w:link w:val="Notedebasdepage"/>
    <w:uiPriority w:val="99"/>
    <w:rsid w:val="00D6450F"/>
    <w:rPr>
      <w:sz w:val="20"/>
      <w:szCs w:val="20"/>
    </w:rPr>
  </w:style>
  <w:style w:type="character" w:styleId="Appelnotedebasdep">
    <w:name w:val="footnote reference"/>
    <w:basedOn w:val="Policepardfaut"/>
    <w:uiPriority w:val="99"/>
    <w:semiHidden/>
    <w:unhideWhenUsed/>
    <w:rsid w:val="00D6450F"/>
    <w:rPr>
      <w:vertAlign w:val="superscript"/>
    </w:rPr>
  </w:style>
  <w:style w:type="character" w:customStyle="1" w:styleId="Titre1Car">
    <w:name w:val="Titre 1 Car"/>
    <w:basedOn w:val="Policepardfaut"/>
    <w:link w:val="Titre1"/>
    <w:uiPriority w:val="9"/>
    <w:rsid w:val="0050655C"/>
    <w:rPr>
      <w:b/>
      <w:iCs/>
    </w:rPr>
  </w:style>
  <w:style w:type="paragraph" w:styleId="Paragraphedeliste">
    <w:name w:val="List Paragraph"/>
    <w:basedOn w:val="Normal"/>
    <w:uiPriority w:val="34"/>
    <w:qFormat/>
    <w:rsid w:val="00B300FF"/>
    <w:pPr>
      <w:spacing w:after="0" w:line="240" w:lineRule="auto"/>
      <w:ind w:left="720"/>
      <w:contextualSpacing/>
    </w:pPr>
    <w:rPr>
      <w:rFonts w:ascii="Times New Roman" w:eastAsia="Times New Roman" w:hAnsi="Times New Roman" w:cs="Times New Roman"/>
      <w:sz w:val="24"/>
      <w:szCs w:val="24"/>
      <w:lang w:eastAsia="fr-BE"/>
    </w:rPr>
  </w:style>
  <w:style w:type="character" w:customStyle="1" w:styleId="Titre2Car">
    <w:name w:val="Titre 2 Car"/>
    <w:basedOn w:val="Policepardfaut"/>
    <w:link w:val="Titre2"/>
    <w:uiPriority w:val="9"/>
    <w:rsid w:val="0051212A"/>
    <w:rPr>
      <w:b/>
      <w:i/>
    </w:rPr>
  </w:style>
  <w:style w:type="paragraph" w:styleId="NormalWeb">
    <w:name w:val="Normal (Web)"/>
    <w:basedOn w:val="Normal"/>
    <w:uiPriority w:val="99"/>
    <w:semiHidden/>
    <w:unhideWhenUsed/>
    <w:rsid w:val="0048587A"/>
    <w:pPr>
      <w:spacing w:before="100" w:beforeAutospacing="1" w:after="100" w:afterAutospacing="1" w:line="240" w:lineRule="auto"/>
      <w:ind w:firstLine="0"/>
      <w:jc w:val="left"/>
    </w:pPr>
    <w:rPr>
      <w:rFonts w:ascii="Times New Roman" w:eastAsia="Times New Roman" w:hAnsi="Times New Roman" w:cs="Times New Roman"/>
      <w:sz w:val="24"/>
      <w:szCs w:val="24"/>
      <w:lang w:eastAsia="fr-BE"/>
    </w:rPr>
  </w:style>
  <w:style w:type="paragraph" w:styleId="TM5">
    <w:name w:val="toc 5"/>
    <w:basedOn w:val="Normal"/>
    <w:next w:val="Normal"/>
    <w:autoRedefine/>
    <w:uiPriority w:val="39"/>
    <w:rsid w:val="00E06ECC"/>
    <w:pPr>
      <w:spacing w:after="0" w:line="240" w:lineRule="auto"/>
      <w:ind w:left="600" w:firstLine="0"/>
      <w:jc w:val="left"/>
    </w:pPr>
    <w:rPr>
      <w:rFonts w:ascii="Times New Roman" w:eastAsia="Times New Roman" w:hAnsi="Times New Roman" w:cs="Times New Roman"/>
      <w:sz w:val="20"/>
      <w:szCs w:val="20"/>
      <w:lang w:val="fr-FR" w:eastAsia="fr-CH"/>
    </w:rPr>
  </w:style>
  <w:style w:type="character" w:styleId="Mentionnonrsolue">
    <w:name w:val="Unresolved Mention"/>
    <w:basedOn w:val="Policepardfaut"/>
    <w:uiPriority w:val="99"/>
    <w:semiHidden/>
    <w:unhideWhenUsed/>
    <w:rsid w:val="00CA6BA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1173832">
      <w:bodyDiv w:val="1"/>
      <w:marLeft w:val="0"/>
      <w:marRight w:val="0"/>
      <w:marTop w:val="0"/>
      <w:marBottom w:val="0"/>
      <w:divBdr>
        <w:top w:val="none" w:sz="0" w:space="0" w:color="auto"/>
        <w:left w:val="none" w:sz="0" w:space="0" w:color="auto"/>
        <w:bottom w:val="none" w:sz="0" w:space="0" w:color="auto"/>
        <w:right w:val="none" w:sz="0" w:space="0" w:color="auto"/>
      </w:divBdr>
      <w:divsChild>
        <w:div w:id="1297104917">
          <w:marLeft w:val="720"/>
          <w:marRight w:val="0"/>
          <w:marTop w:val="0"/>
          <w:marBottom w:val="0"/>
          <w:divBdr>
            <w:top w:val="none" w:sz="0" w:space="0" w:color="auto"/>
            <w:left w:val="none" w:sz="0" w:space="0" w:color="auto"/>
            <w:bottom w:val="none" w:sz="0" w:space="0" w:color="auto"/>
            <w:right w:val="none" w:sz="0" w:space="0" w:color="auto"/>
          </w:divBdr>
        </w:div>
      </w:divsChild>
    </w:div>
    <w:div w:id="69281832">
      <w:bodyDiv w:val="1"/>
      <w:marLeft w:val="0"/>
      <w:marRight w:val="0"/>
      <w:marTop w:val="0"/>
      <w:marBottom w:val="0"/>
      <w:divBdr>
        <w:top w:val="none" w:sz="0" w:space="0" w:color="auto"/>
        <w:left w:val="none" w:sz="0" w:space="0" w:color="auto"/>
        <w:bottom w:val="none" w:sz="0" w:space="0" w:color="auto"/>
        <w:right w:val="none" w:sz="0" w:space="0" w:color="auto"/>
      </w:divBdr>
      <w:divsChild>
        <w:div w:id="474106562">
          <w:marLeft w:val="720"/>
          <w:marRight w:val="0"/>
          <w:marTop w:val="0"/>
          <w:marBottom w:val="0"/>
          <w:divBdr>
            <w:top w:val="none" w:sz="0" w:space="0" w:color="auto"/>
            <w:left w:val="none" w:sz="0" w:space="0" w:color="auto"/>
            <w:bottom w:val="none" w:sz="0" w:space="0" w:color="auto"/>
            <w:right w:val="none" w:sz="0" w:space="0" w:color="auto"/>
          </w:divBdr>
        </w:div>
        <w:div w:id="829833975">
          <w:marLeft w:val="547"/>
          <w:marRight w:val="0"/>
          <w:marTop w:val="0"/>
          <w:marBottom w:val="0"/>
          <w:divBdr>
            <w:top w:val="none" w:sz="0" w:space="0" w:color="auto"/>
            <w:left w:val="none" w:sz="0" w:space="0" w:color="auto"/>
            <w:bottom w:val="none" w:sz="0" w:space="0" w:color="auto"/>
            <w:right w:val="none" w:sz="0" w:space="0" w:color="auto"/>
          </w:divBdr>
        </w:div>
        <w:div w:id="1567300214">
          <w:marLeft w:val="547"/>
          <w:marRight w:val="0"/>
          <w:marTop w:val="0"/>
          <w:marBottom w:val="0"/>
          <w:divBdr>
            <w:top w:val="none" w:sz="0" w:space="0" w:color="auto"/>
            <w:left w:val="none" w:sz="0" w:space="0" w:color="auto"/>
            <w:bottom w:val="none" w:sz="0" w:space="0" w:color="auto"/>
            <w:right w:val="none" w:sz="0" w:space="0" w:color="auto"/>
          </w:divBdr>
        </w:div>
        <w:div w:id="1681665838">
          <w:marLeft w:val="547"/>
          <w:marRight w:val="0"/>
          <w:marTop w:val="0"/>
          <w:marBottom w:val="0"/>
          <w:divBdr>
            <w:top w:val="none" w:sz="0" w:space="0" w:color="auto"/>
            <w:left w:val="none" w:sz="0" w:space="0" w:color="auto"/>
            <w:bottom w:val="none" w:sz="0" w:space="0" w:color="auto"/>
            <w:right w:val="none" w:sz="0" w:space="0" w:color="auto"/>
          </w:divBdr>
        </w:div>
      </w:divsChild>
    </w:div>
    <w:div w:id="147408964">
      <w:bodyDiv w:val="1"/>
      <w:marLeft w:val="0"/>
      <w:marRight w:val="0"/>
      <w:marTop w:val="0"/>
      <w:marBottom w:val="0"/>
      <w:divBdr>
        <w:top w:val="none" w:sz="0" w:space="0" w:color="auto"/>
        <w:left w:val="none" w:sz="0" w:space="0" w:color="auto"/>
        <w:bottom w:val="none" w:sz="0" w:space="0" w:color="auto"/>
        <w:right w:val="none" w:sz="0" w:space="0" w:color="auto"/>
      </w:divBdr>
    </w:div>
    <w:div w:id="238371385">
      <w:bodyDiv w:val="1"/>
      <w:marLeft w:val="0"/>
      <w:marRight w:val="0"/>
      <w:marTop w:val="0"/>
      <w:marBottom w:val="0"/>
      <w:divBdr>
        <w:top w:val="none" w:sz="0" w:space="0" w:color="auto"/>
        <w:left w:val="none" w:sz="0" w:space="0" w:color="auto"/>
        <w:bottom w:val="none" w:sz="0" w:space="0" w:color="auto"/>
        <w:right w:val="none" w:sz="0" w:space="0" w:color="auto"/>
      </w:divBdr>
    </w:div>
    <w:div w:id="285085194">
      <w:bodyDiv w:val="1"/>
      <w:marLeft w:val="0"/>
      <w:marRight w:val="0"/>
      <w:marTop w:val="0"/>
      <w:marBottom w:val="0"/>
      <w:divBdr>
        <w:top w:val="none" w:sz="0" w:space="0" w:color="auto"/>
        <w:left w:val="none" w:sz="0" w:space="0" w:color="auto"/>
        <w:bottom w:val="none" w:sz="0" w:space="0" w:color="auto"/>
        <w:right w:val="none" w:sz="0" w:space="0" w:color="auto"/>
      </w:divBdr>
    </w:div>
    <w:div w:id="289676539">
      <w:bodyDiv w:val="1"/>
      <w:marLeft w:val="0"/>
      <w:marRight w:val="0"/>
      <w:marTop w:val="0"/>
      <w:marBottom w:val="0"/>
      <w:divBdr>
        <w:top w:val="none" w:sz="0" w:space="0" w:color="auto"/>
        <w:left w:val="none" w:sz="0" w:space="0" w:color="auto"/>
        <w:bottom w:val="none" w:sz="0" w:space="0" w:color="auto"/>
        <w:right w:val="none" w:sz="0" w:space="0" w:color="auto"/>
      </w:divBdr>
      <w:divsChild>
        <w:div w:id="1641036983">
          <w:marLeft w:val="720"/>
          <w:marRight w:val="0"/>
          <w:marTop w:val="0"/>
          <w:marBottom w:val="0"/>
          <w:divBdr>
            <w:top w:val="none" w:sz="0" w:space="0" w:color="auto"/>
            <w:left w:val="none" w:sz="0" w:space="0" w:color="auto"/>
            <w:bottom w:val="none" w:sz="0" w:space="0" w:color="auto"/>
            <w:right w:val="none" w:sz="0" w:space="0" w:color="auto"/>
          </w:divBdr>
        </w:div>
        <w:div w:id="1985964319">
          <w:marLeft w:val="1354"/>
          <w:marRight w:val="0"/>
          <w:marTop w:val="0"/>
          <w:marBottom w:val="0"/>
          <w:divBdr>
            <w:top w:val="none" w:sz="0" w:space="0" w:color="auto"/>
            <w:left w:val="none" w:sz="0" w:space="0" w:color="auto"/>
            <w:bottom w:val="none" w:sz="0" w:space="0" w:color="auto"/>
            <w:right w:val="none" w:sz="0" w:space="0" w:color="auto"/>
          </w:divBdr>
        </w:div>
        <w:div w:id="557204163">
          <w:marLeft w:val="1354"/>
          <w:marRight w:val="0"/>
          <w:marTop w:val="0"/>
          <w:marBottom w:val="0"/>
          <w:divBdr>
            <w:top w:val="none" w:sz="0" w:space="0" w:color="auto"/>
            <w:left w:val="none" w:sz="0" w:space="0" w:color="auto"/>
            <w:bottom w:val="none" w:sz="0" w:space="0" w:color="auto"/>
            <w:right w:val="none" w:sz="0" w:space="0" w:color="auto"/>
          </w:divBdr>
        </w:div>
        <w:div w:id="535198984">
          <w:marLeft w:val="720"/>
          <w:marRight w:val="0"/>
          <w:marTop w:val="0"/>
          <w:marBottom w:val="0"/>
          <w:divBdr>
            <w:top w:val="none" w:sz="0" w:space="0" w:color="auto"/>
            <w:left w:val="none" w:sz="0" w:space="0" w:color="auto"/>
            <w:bottom w:val="none" w:sz="0" w:space="0" w:color="auto"/>
            <w:right w:val="none" w:sz="0" w:space="0" w:color="auto"/>
          </w:divBdr>
        </w:div>
        <w:div w:id="387454600">
          <w:marLeft w:val="1354"/>
          <w:marRight w:val="0"/>
          <w:marTop w:val="0"/>
          <w:marBottom w:val="0"/>
          <w:divBdr>
            <w:top w:val="none" w:sz="0" w:space="0" w:color="auto"/>
            <w:left w:val="none" w:sz="0" w:space="0" w:color="auto"/>
            <w:bottom w:val="none" w:sz="0" w:space="0" w:color="auto"/>
            <w:right w:val="none" w:sz="0" w:space="0" w:color="auto"/>
          </w:divBdr>
        </w:div>
        <w:div w:id="1671181593">
          <w:marLeft w:val="720"/>
          <w:marRight w:val="0"/>
          <w:marTop w:val="0"/>
          <w:marBottom w:val="0"/>
          <w:divBdr>
            <w:top w:val="none" w:sz="0" w:space="0" w:color="auto"/>
            <w:left w:val="none" w:sz="0" w:space="0" w:color="auto"/>
            <w:bottom w:val="none" w:sz="0" w:space="0" w:color="auto"/>
            <w:right w:val="none" w:sz="0" w:space="0" w:color="auto"/>
          </w:divBdr>
        </w:div>
      </w:divsChild>
    </w:div>
    <w:div w:id="492725282">
      <w:bodyDiv w:val="1"/>
      <w:marLeft w:val="0"/>
      <w:marRight w:val="0"/>
      <w:marTop w:val="0"/>
      <w:marBottom w:val="0"/>
      <w:divBdr>
        <w:top w:val="none" w:sz="0" w:space="0" w:color="auto"/>
        <w:left w:val="none" w:sz="0" w:space="0" w:color="auto"/>
        <w:bottom w:val="none" w:sz="0" w:space="0" w:color="auto"/>
        <w:right w:val="none" w:sz="0" w:space="0" w:color="auto"/>
      </w:divBdr>
      <w:divsChild>
        <w:div w:id="479158686">
          <w:marLeft w:val="0"/>
          <w:marRight w:val="0"/>
          <w:marTop w:val="0"/>
          <w:marBottom w:val="0"/>
          <w:divBdr>
            <w:top w:val="none" w:sz="0" w:space="0" w:color="auto"/>
            <w:left w:val="none" w:sz="0" w:space="0" w:color="auto"/>
            <w:bottom w:val="none" w:sz="0" w:space="0" w:color="auto"/>
            <w:right w:val="none" w:sz="0" w:space="0" w:color="auto"/>
          </w:divBdr>
          <w:divsChild>
            <w:div w:id="448013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1899312">
      <w:bodyDiv w:val="1"/>
      <w:marLeft w:val="0"/>
      <w:marRight w:val="0"/>
      <w:marTop w:val="0"/>
      <w:marBottom w:val="0"/>
      <w:divBdr>
        <w:top w:val="none" w:sz="0" w:space="0" w:color="auto"/>
        <w:left w:val="none" w:sz="0" w:space="0" w:color="auto"/>
        <w:bottom w:val="none" w:sz="0" w:space="0" w:color="auto"/>
        <w:right w:val="none" w:sz="0" w:space="0" w:color="auto"/>
      </w:divBdr>
    </w:div>
    <w:div w:id="724376062">
      <w:bodyDiv w:val="1"/>
      <w:marLeft w:val="0"/>
      <w:marRight w:val="0"/>
      <w:marTop w:val="0"/>
      <w:marBottom w:val="0"/>
      <w:divBdr>
        <w:top w:val="none" w:sz="0" w:space="0" w:color="auto"/>
        <w:left w:val="none" w:sz="0" w:space="0" w:color="auto"/>
        <w:bottom w:val="none" w:sz="0" w:space="0" w:color="auto"/>
        <w:right w:val="none" w:sz="0" w:space="0" w:color="auto"/>
      </w:divBdr>
      <w:divsChild>
        <w:div w:id="573245768">
          <w:marLeft w:val="720"/>
          <w:marRight w:val="0"/>
          <w:marTop w:val="0"/>
          <w:marBottom w:val="0"/>
          <w:divBdr>
            <w:top w:val="none" w:sz="0" w:space="0" w:color="auto"/>
            <w:left w:val="none" w:sz="0" w:space="0" w:color="auto"/>
            <w:bottom w:val="none" w:sz="0" w:space="0" w:color="auto"/>
            <w:right w:val="none" w:sz="0" w:space="0" w:color="auto"/>
          </w:divBdr>
        </w:div>
      </w:divsChild>
    </w:div>
    <w:div w:id="1576276231">
      <w:bodyDiv w:val="1"/>
      <w:marLeft w:val="0"/>
      <w:marRight w:val="0"/>
      <w:marTop w:val="0"/>
      <w:marBottom w:val="0"/>
      <w:divBdr>
        <w:top w:val="none" w:sz="0" w:space="0" w:color="auto"/>
        <w:left w:val="none" w:sz="0" w:space="0" w:color="auto"/>
        <w:bottom w:val="none" w:sz="0" w:space="0" w:color="auto"/>
        <w:right w:val="none" w:sz="0" w:space="0" w:color="auto"/>
      </w:divBdr>
    </w:div>
    <w:div w:id="1580561015">
      <w:bodyDiv w:val="1"/>
      <w:marLeft w:val="0"/>
      <w:marRight w:val="0"/>
      <w:marTop w:val="0"/>
      <w:marBottom w:val="0"/>
      <w:divBdr>
        <w:top w:val="none" w:sz="0" w:space="0" w:color="auto"/>
        <w:left w:val="none" w:sz="0" w:space="0" w:color="auto"/>
        <w:bottom w:val="none" w:sz="0" w:space="0" w:color="auto"/>
        <w:right w:val="none" w:sz="0" w:space="0" w:color="auto"/>
      </w:divBdr>
    </w:div>
    <w:div w:id="1627393402">
      <w:bodyDiv w:val="1"/>
      <w:marLeft w:val="0"/>
      <w:marRight w:val="0"/>
      <w:marTop w:val="0"/>
      <w:marBottom w:val="0"/>
      <w:divBdr>
        <w:top w:val="none" w:sz="0" w:space="0" w:color="auto"/>
        <w:left w:val="none" w:sz="0" w:space="0" w:color="auto"/>
        <w:bottom w:val="none" w:sz="0" w:space="0" w:color="auto"/>
        <w:right w:val="none" w:sz="0" w:space="0" w:color="auto"/>
      </w:divBdr>
      <w:divsChild>
        <w:div w:id="1277835727">
          <w:marLeft w:val="720"/>
          <w:marRight w:val="0"/>
          <w:marTop w:val="0"/>
          <w:marBottom w:val="0"/>
          <w:divBdr>
            <w:top w:val="none" w:sz="0" w:space="0" w:color="auto"/>
            <w:left w:val="none" w:sz="0" w:space="0" w:color="auto"/>
            <w:bottom w:val="none" w:sz="0" w:space="0" w:color="auto"/>
            <w:right w:val="none" w:sz="0" w:space="0" w:color="auto"/>
          </w:divBdr>
        </w:div>
      </w:divsChild>
    </w:div>
    <w:div w:id="1714689118">
      <w:bodyDiv w:val="1"/>
      <w:marLeft w:val="0"/>
      <w:marRight w:val="0"/>
      <w:marTop w:val="0"/>
      <w:marBottom w:val="0"/>
      <w:divBdr>
        <w:top w:val="none" w:sz="0" w:space="0" w:color="auto"/>
        <w:left w:val="none" w:sz="0" w:space="0" w:color="auto"/>
        <w:bottom w:val="none" w:sz="0" w:space="0" w:color="auto"/>
        <w:right w:val="none" w:sz="0" w:space="0" w:color="auto"/>
      </w:divBdr>
      <w:divsChild>
        <w:div w:id="746920304">
          <w:marLeft w:val="720"/>
          <w:marRight w:val="0"/>
          <w:marTop w:val="0"/>
          <w:marBottom w:val="0"/>
          <w:divBdr>
            <w:top w:val="none" w:sz="0" w:space="0" w:color="auto"/>
            <w:left w:val="none" w:sz="0" w:space="0" w:color="auto"/>
            <w:bottom w:val="none" w:sz="0" w:space="0" w:color="auto"/>
            <w:right w:val="none" w:sz="0" w:space="0" w:color="auto"/>
          </w:divBdr>
        </w:div>
      </w:divsChild>
    </w:div>
    <w:div w:id="1751731862">
      <w:bodyDiv w:val="1"/>
      <w:marLeft w:val="0"/>
      <w:marRight w:val="0"/>
      <w:marTop w:val="0"/>
      <w:marBottom w:val="0"/>
      <w:divBdr>
        <w:top w:val="none" w:sz="0" w:space="0" w:color="auto"/>
        <w:left w:val="none" w:sz="0" w:space="0" w:color="auto"/>
        <w:bottom w:val="none" w:sz="0" w:space="0" w:color="auto"/>
        <w:right w:val="none" w:sz="0" w:space="0" w:color="auto"/>
      </w:divBdr>
    </w:div>
    <w:div w:id="1855024479">
      <w:bodyDiv w:val="1"/>
      <w:marLeft w:val="0"/>
      <w:marRight w:val="0"/>
      <w:marTop w:val="0"/>
      <w:marBottom w:val="0"/>
      <w:divBdr>
        <w:top w:val="none" w:sz="0" w:space="0" w:color="auto"/>
        <w:left w:val="none" w:sz="0" w:space="0" w:color="auto"/>
        <w:bottom w:val="none" w:sz="0" w:space="0" w:color="auto"/>
        <w:right w:val="none" w:sz="0" w:space="0" w:color="auto"/>
      </w:divBdr>
      <w:divsChild>
        <w:div w:id="49884534">
          <w:marLeft w:val="547"/>
          <w:marRight w:val="0"/>
          <w:marTop w:val="200"/>
          <w:marBottom w:val="0"/>
          <w:divBdr>
            <w:top w:val="none" w:sz="0" w:space="0" w:color="auto"/>
            <w:left w:val="none" w:sz="0" w:space="0" w:color="auto"/>
            <w:bottom w:val="none" w:sz="0" w:space="0" w:color="auto"/>
            <w:right w:val="none" w:sz="0" w:space="0" w:color="auto"/>
          </w:divBdr>
        </w:div>
        <w:div w:id="1290285929">
          <w:marLeft w:val="547"/>
          <w:marRight w:val="0"/>
          <w:marTop w:val="200"/>
          <w:marBottom w:val="0"/>
          <w:divBdr>
            <w:top w:val="none" w:sz="0" w:space="0" w:color="auto"/>
            <w:left w:val="none" w:sz="0" w:space="0" w:color="auto"/>
            <w:bottom w:val="none" w:sz="0" w:space="0" w:color="auto"/>
            <w:right w:val="none" w:sz="0" w:space="0" w:color="auto"/>
          </w:divBdr>
        </w:div>
        <w:div w:id="566457401">
          <w:marLeft w:val="547"/>
          <w:marRight w:val="0"/>
          <w:marTop w:val="200"/>
          <w:marBottom w:val="0"/>
          <w:divBdr>
            <w:top w:val="none" w:sz="0" w:space="0" w:color="auto"/>
            <w:left w:val="none" w:sz="0" w:space="0" w:color="auto"/>
            <w:bottom w:val="none" w:sz="0" w:space="0" w:color="auto"/>
            <w:right w:val="none" w:sz="0" w:space="0" w:color="auto"/>
          </w:divBdr>
        </w:div>
        <w:div w:id="1240214091">
          <w:marLeft w:val="547"/>
          <w:marRight w:val="0"/>
          <w:marTop w:val="200"/>
          <w:marBottom w:val="0"/>
          <w:divBdr>
            <w:top w:val="none" w:sz="0" w:space="0" w:color="auto"/>
            <w:left w:val="none" w:sz="0" w:space="0" w:color="auto"/>
            <w:bottom w:val="none" w:sz="0" w:space="0" w:color="auto"/>
            <w:right w:val="none" w:sz="0" w:space="0" w:color="auto"/>
          </w:divBdr>
        </w:div>
        <w:div w:id="1999260747">
          <w:marLeft w:val="547"/>
          <w:marRight w:val="0"/>
          <w:marTop w:val="200"/>
          <w:marBottom w:val="0"/>
          <w:divBdr>
            <w:top w:val="none" w:sz="0" w:space="0" w:color="auto"/>
            <w:left w:val="none" w:sz="0" w:space="0" w:color="auto"/>
            <w:bottom w:val="none" w:sz="0" w:space="0" w:color="auto"/>
            <w:right w:val="none" w:sz="0" w:space="0" w:color="auto"/>
          </w:divBdr>
        </w:div>
        <w:div w:id="1313674628">
          <w:marLeft w:val="547"/>
          <w:marRight w:val="0"/>
          <w:marTop w:val="200"/>
          <w:marBottom w:val="0"/>
          <w:divBdr>
            <w:top w:val="none" w:sz="0" w:space="0" w:color="auto"/>
            <w:left w:val="none" w:sz="0" w:space="0" w:color="auto"/>
            <w:bottom w:val="none" w:sz="0" w:space="0" w:color="auto"/>
            <w:right w:val="none" w:sz="0" w:space="0" w:color="auto"/>
          </w:divBdr>
        </w:div>
      </w:divsChild>
    </w:div>
    <w:div w:id="1869416246">
      <w:bodyDiv w:val="1"/>
      <w:marLeft w:val="0"/>
      <w:marRight w:val="0"/>
      <w:marTop w:val="0"/>
      <w:marBottom w:val="0"/>
      <w:divBdr>
        <w:top w:val="none" w:sz="0" w:space="0" w:color="auto"/>
        <w:left w:val="none" w:sz="0" w:space="0" w:color="auto"/>
        <w:bottom w:val="none" w:sz="0" w:space="0" w:color="auto"/>
        <w:right w:val="none" w:sz="0" w:space="0" w:color="auto"/>
      </w:divBdr>
    </w:div>
    <w:div w:id="1884519273">
      <w:bodyDiv w:val="1"/>
      <w:marLeft w:val="0"/>
      <w:marRight w:val="0"/>
      <w:marTop w:val="0"/>
      <w:marBottom w:val="0"/>
      <w:divBdr>
        <w:top w:val="none" w:sz="0" w:space="0" w:color="auto"/>
        <w:left w:val="none" w:sz="0" w:space="0" w:color="auto"/>
        <w:bottom w:val="none" w:sz="0" w:space="0" w:color="auto"/>
        <w:right w:val="none" w:sz="0" w:space="0" w:color="auto"/>
      </w:divBdr>
      <w:divsChild>
        <w:div w:id="1339043236">
          <w:marLeft w:val="0"/>
          <w:marRight w:val="0"/>
          <w:marTop w:val="0"/>
          <w:marBottom w:val="0"/>
          <w:divBdr>
            <w:top w:val="none" w:sz="0" w:space="0" w:color="auto"/>
            <w:left w:val="none" w:sz="0" w:space="0" w:color="auto"/>
            <w:bottom w:val="none" w:sz="0" w:space="0" w:color="auto"/>
            <w:right w:val="none" w:sz="0" w:space="0" w:color="auto"/>
          </w:divBdr>
        </w:div>
        <w:div w:id="107166784">
          <w:marLeft w:val="0"/>
          <w:marRight w:val="0"/>
          <w:marTop w:val="0"/>
          <w:marBottom w:val="0"/>
          <w:divBdr>
            <w:top w:val="none" w:sz="0" w:space="0" w:color="auto"/>
            <w:left w:val="none" w:sz="0" w:space="0" w:color="auto"/>
            <w:bottom w:val="none" w:sz="0" w:space="0" w:color="auto"/>
            <w:right w:val="none" w:sz="0" w:space="0" w:color="auto"/>
          </w:divBdr>
        </w:div>
        <w:div w:id="2063601309">
          <w:marLeft w:val="0"/>
          <w:marRight w:val="0"/>
          <w:marTop w:val="0"/>
          <w:marBottom w:val="0"/>
          <w:divBdr>
            <w:top w:val="none" w:sz="0" w:space="0" w:color="auto"/>
            <w:left w:val="none" w:sz="0" w:space="0" w:color="auto"/>
            <w:bottom w:val="none" w:sz="0" w:space="0" w:color="auto"/>
            <w:right w:val="none" w:sz="0" w:space="0" w:color="auto"/>
          </w:divBdr>
        </w:div>
        <w:div w:id="615451838">
          <w:marLeft w:val="0"/>
          <w:marRight w:val="0"/>
          <w:marTop w:val="0"/>
          <w:marBottom w:val="0"/>
          <w:divBdr>
            <w:top w:val="none" w:sz="0" w:space="0" w:color="auto"/>
            <w:left w:val="none" w:sz="0" w:space="0" w:color="auto"/>
            <w:bottom w:val="none" w:sz="0" w:space="0" w:color="auto"/>
            <w:right w:val="none" w:sz="0" w:space="0" w:color="auto"/>
          </w:divBdr>
        </w:div>
      </w:divsChild>
    </w:div>
    <w:div w:id="1913588771">
      <w:bodyDiv w:val="1"/>
      <w:marLeft w:val="0"/>
      <w:marRight w:val="0"/>
      <w:marTop w:val="0"/>
      <w:marBottom w:val="0"/>
      <w:divBdr>
        <w:top w:val="none" w:sz="0" w:space="0" w:color="auto"/>
        <w:left w:val="none" w:sz="0" w:space="0" w:color="auto"/>
        <w:bottom w:val="none" w:sz="0" w:space="0" w:color="auto"/>
        <w:right w:val="none" w:sz="0" w:space="0" w:color="auto"/>
      </w:divBdr>
    </w:div>
    <w:div w:id="2043819594">
      <w:bodyDiv w:val="1"/>
      <w:marLeft w:val="0"/>
      <w:marRight w:val="0"/>
      <w:marTop w:val="0"/>
      <w:marBottom w:val="0"/>
      <w:divBdr>
        <w:top w:val="none" w:sz="0" w:space="0" w:color="auto"/>
        <w:left w:val="none" w:sz="0" w:space="0" w:color="auto"/>
        <w:bottom w:val="none" w:sz="0" w:space="0" w:color="auto"/>
        <w:right w:val="none" w:sz="0" w:space="0" w:color="auto"/>
      </w:divBdr>
    </w:div>
    <w:div w:id="2063364269">
      <w:bodyDiv w:val="1"/>
      <w:marLeft w:val="0"/>
      <w:marRight w:val="0"/>
      <w:marTop w:val="0"/>
      <w:marBottom w:val="0"/>
      <w:divBdr>
        <w:top w:val="none" w:sz="0" w:space="0" w:color="auto"/>
        <w:left w:val="none" w:sz="0" w:space="0" w:color="auto"/>
        <w:bottom w:val="none" w:sz="0" w:space="0" w:color="auto"/>
        <w:right w:val="none" w:sz="0" w:space="0" w:color="auto"/>
      </w:divBdr>
      <w:divsChild>
        <w:div w:id="975447843">
          <w:marLeft w:val="720"/>
          <w:marRight w:val="0"/>
          <w:marTop w:val="0"/>
          <w:marBottom w:val="0"/>
          <w:divBdr>
            <w:top w:val="none" w:sz="0" w:space="0" w:color="auto"/>
            <w:left w:val="none" w:sz="0" w:space="0" w:color="auto"/>
            <w:bottom w:val="none" w:sz="0" w:space="0" w:color="auto"/>
            <w:right w:val="none" w:sz="0" w:space="0" w:color="auto"/>
          </w:divBdr>
        </w:div>
        <w:div w:id="1991984396">
          <w:marLeft w:val="720"/>
          <w:marRight w:val="0"/>
          <w:marTop w:val="0"/>
          <w:marBottom w:val="0"/>
          <w:divBdr>
            <w:top w:val="none" w:sz="0" w:space="0" w:color="auto"/>
            <w:left w:val="none" w:sz="0" w:space="0" w:color="auto"/>
            <w:bottom w:val="none" w:sz="0" w:space="0" w:color="auto"/>
            <w:right w:val="none" w:sz="0" w:space="0" w:color="auto"/>
          </w:divBdr>
        </w:div>
      </w:divsChild>
    </w:div>
    <w:div w:id="2063795370">
      <w:bodyDiv w:val="1"/>
      <w:marLeft w:val="0"/>
      <w:marRight w:val="0"/>
      <w:marTop w:val="0"/>
      <w:marBottom w:val="0"/>
      <w:divBdr>
        <w:top w:val="none" w:sz="0" w:space="0" w:color="auto"/>
        <w:left w:val="none" w:sz="0" w:space="0" w:color="auto"/>
        <w:bottom w:val="none" w:sz="0" w:space="0" w:color="auto"/>
        <w:right w:val="none" w:sz="0" w:space="0" w:color="auto"/>
      </w:divBdr>
      <w:divsChild>
        <w:div w:id="1577007443">
          <w:marLeft w:val="547"/>
          <w:marRight w:val="0"/>
          <w:marTop w:val="200"/>
          <w:marBottom w:val="0"/>
          <w:divBdr>
            <w:top w:val="none" w:sz="0" w:space="0" w:color="auto"/>
            <w:left w:val="none" w:sz="0" w:space="0" w:color="auto"/>
            <w:bottom w:val="none" w:sz="0" w:space="0" w:color="auto"/>
            <w:right w:val="none" w:sz="0" w:space="0" w:color="auto"/>
          </w:divBdr>
        </w:div>
        <w:div w:id="1718898379">
          <w:marLeft w:val="547"/>
          <w:marRight w:val="0"/>
          <w:marTop w:val="200"/>
          <w:marBottom w:val="0"/>
          <w:divBdr>
            <w:top w:val="none" w:sz="0" w:space="0" w:color="auto"/>
            <w:left w:val="none" w:sz="0" w:space="0" w:color="auto"/>
            <w:bottom w:val="none" w:sz="0" w:space="0" w:color="auto"/>
            <w:right w:val="none" w:sz="0" w:space="0" w:color="auto"/>
          </w:divBdr>
        </w:div>
        <w:div w:id="201596956">
          <w:marLeft w:val="1526"/>
          <w:marRight w:val="0"/>
          <w:marTop w:val="200"/>
          <w:marBottom w:val="0"/>
          <w:divBdr>
            <w:top w:val="none" w:sz="0" w:space="0" w:color="auto"/>
            <w:left w:val="none" w:sz="0" w:space="0" w:color="auto"/>
            <w:bottom w:val="none" w:sz="0" w:space="0" w:color="auto"/>
            <w:right w:val="none" w:sz="0" w:space="0" w:color="auto"/>
          </w:divBdr>
        </w:div>
        <w:div w:id="1731490464">
          <w:marLeft w:val="1526"/>
          <w:marRight w:val="0"/>
          <w:marTop w:val="200"/>
          <w:marBottom w:val="0"/>
          <w:divBdr>
            <w:top w:val="none" w:sz="0" w:space="0" w:color="auto"/>
            <w:left w:val="none" w:sz="0" w:space="0" w:color="auto"/>
            <w:bottom w:val="none" w:sz="0" w:space="0" w:color="auto"/>
            <w:right w:val="none" w:sz="0" w:space="0" w:color="auto"/>
          </w:divBdr>
        </w:div>
        <w:div w:id="936714187">
          <w:marLeft w:val="547"/>
          <w:marRight w:val="0"/>
          <w:marTop w:val="200"/>
          <w:marBottom w:val="0"/>
          <w:divBdr>
            <w:top w:val="none" w:sz="0" w:space="0" w:color="auto"/>
            <w:left w:val="none" w:sz="0" w:space="0" w:color="auto"/>
            <w:bottom w:val="none" w:sz="0" w:space="0" w:color="auto"/>
            <w:right w:val="none" w:sz="0" w:space="0" w:color="auto"/>
          </w:divBdr>
        </w:div>
        <w:div w:id="845049624">
          <w:marLeft w:val="547"/>
          <w:marRight w:val="0"/>
          <w:marTop w:val="200"/>
          <w:marBottom w:val="0"/>
          <w:divBdr>
            <w:top w:val="none" w:sz="0" w:space="0" w:color="auto"/>
            <w:left w:val="none" w:sz="0" w:space="0" w:color="auto"/>
            <w:bottom w:val="none" w:sz="0" w:space="0" w:color="auto"/>
            <w:right w:val="none" w:sz="0" w:space="0" w:color="auto"/>
          </w:divBdr>
        </w:div>
        <w:div w:id="2139758941">
          <w:marLeft w:val="547"/>
          <w:marRight w:val="0"/>
          <w:marTop w:val="200"/>
          <w:marBottom w:val="0"/>
          <w:divBdr>
            <w:top w:val="none" w:sz="0" w:space="0" w:color="auto"/>
            <w:left w:val="none" w:sz="0" w:space="0" w:color="auto"/>
            <w:bottom w:val="none" w:sz="0" w:space="0" w:color="auto"/>
            <w:right w:val="none" w:sz="0" w:space="0" w:color="auto"/>
          </w:divBdr>
        </w:div>
      </w:divsChild>
    </w:div>
    <w:div w:id="20723857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rnaud.join-lambert@uclouvain.be"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8767E9D-F1C7-4F89-86F6-5D3BBD075E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213</TotalTime>
  <Pages>8</Pages>
  <Words>3401</Words>
  <Characters>18743</Characters>
  <Application>Microsoft Office Word</Application>
  <DocSecurity>0</DocSecurity>
  <Lines>267</Lines>
  <Paragraphs>47</Paragraphs>
  <ScaleCrop>false</ScaleCrop>
  <HeadingPairs>
    <vt:vector size="2" baseType="variant">
      <vt:variant>
        <vt:lpstr>Titre</vt:lpstr>
      </vt:variant>
      <vt:variant>
        <vt:i4>1</vt:i4>
      </vt:variant>
    </vt:vector>
  </HeadingPairs>
  <TitlesOfParts>
    <vt:vector size="1" baseType="lpstr">
      <vt:lpstr/>
    </vt:vector>
  </TitlesOfParts>
  <Company>Hewlett-Packard Company</Company>
  <LinksUpToDate>false</LinksUpToDate>
  <CharactersWithSpaces>22097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FamilleJL</dc:creator>
  <cp:lastModifiedBy>Arnaud Join-Lambert</cp:lastModifiedBy>
  <cp:revision>46</cp:revision>
  <cp:lastPrinted>2022-01-19T14:29:00Z</cp:lastPrinted>
  <dcterms:created xsi:type="dcterms:W3CDTF">2022-01-19T11:11:00Z</dcterms:created>
  <dcterms:modified xsi:type="dcterms:W3CDTF">2022-02-09T15:28:00Z</dcterms:modified>
</cp:coreProperties>
</file>