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E47" w:rsidRDefault="00925E47">
      <w:pPr>
        <w:rPr>
          <w:b/>
        </w:rPr>
      </w:pPr>
      <w:r>
        <w:rPr>
          <w:b/>
        </w:rPr>
        <w:t>DIA</w:t>
      </w:r>
    </w:p>
    <w:p w:rsidR="00CF4BEC" w:rsidRPr="001147E4" w:rsidRDefault="00E60E95">
      <w:pPr>
        <w:rPr>
          <w:b/>
        </w:rPr>
      </w:pPr>
      <w:r w:rsidRPr="001147E4">
        <w:rPr>
          <w:b/>
        </w:rPr>
        <w:t>Abandon et clôture des fours de potiers : un geste systématique ?</w:t>
      </w:r>
    </w:p>
    <w:p w:rsidR="00E60E95" w:rsidRDefault="00E60E95">
      <w:r>
        <w:t xml:space="preserve">Par S. Willems et B. </w:t>
      </w:r>
      <w:proofErr w:type="spellStart"/>
      <w:r>
        <w:t>Favennec</w:t>
      </w:r>
      <w:proofErr w:type="spellEnd"/>
    </w:p>
    <w:p w:rsidR="00925E47" w:rsidRDefault="00925E47">
      <w:r w:rsidRPr="00925E47">
        <w:rPr>
          <w:highlight w:val="yellow"/>
        </w:rPr>
        <w:t>DIA</w:t>
      </w:r>
      <w:r w:rsidR="00582BD6">
        <w:rPr>
          <w:highlight w:val="yellow"/>
        </w:rPr>
        <w:t xml:space="preserve"> couverture</w:t>
      </w:r>
    </w:p>
    <w:p w:rsidR="0052267E" w:rsidRDefault="008C5CFA">
      <w:r>
        <w:t>Dans cette communication nous voulons sensibiliser le public à la prise en compte des données</w:t>
      </w:r>
      <w:r w:rsidR="00925E47">
        <w:t xml:space="preserve"> particulières</w:t>
      </w:r>
      <w:r>
        <w:t xml:space="preserve"> reflétant la gestion des déchets </w:t>
      </w:r>
      <w:r w:rsidR="00925E47">
        <w:t>par le</w:t>
      </w:r>
      <w:r>
        <w:t xml:space="preserve"> potier et son abandon de certaines structures</w:t>
      </w:r>
      <w:r w:rsidR="00925E47">
        <w:t xml:space="preserve">. </w:t>
      </w:r>
      <w:r>
        <w:t xml:space="preserve"> </w:t>
      </w:r>
      <w:r w:rsidR="00925E47">
        <w:t xml:space="preserve">Dans la plupart des publications, les fours et leurs fosses de travail sont publiés vidés de leur comblement pour ainsi étudier la typologie. </w:t>
      </w:r>
      <w:r w:rsidR="0052267E">
        <w:t xml:space="preserve">Comme vous l’avez pu voir dans la communication précédente concernant Famars, les fours tous de deux volumes se distinguent par des détails différents dans leur construction : des soles à carneaux ou à bâtons placées radiales, des piliers centraux ou à une banquette, parfois confectionnée à l’aide de tuiles, </w:t>
      </w:r>
      <w:r w:rsidR="00656B31">
        <w:t>à</w:t>
      </w:r>
      <w:r w:rsidR="0052267E">
        <w:t xml:space="preserve"> </w:t>
      </w:r>
      <w:r w:rsidR="00656B31">
        <w:t>doubles banquettes</w:t>
      </w:r>
      <w:r w:rsidR="0052267E">
        <w:t xml:space="preserve">, </w:t>
      </w:r>
      <w:r w:rsidR="00656B31">
        <w:t>à</w:t>
      </w:r>
      <w:r w:rsidR="0052267E">
        <w:t xml:space="preserve"> supports latéra</w:t>
      </w:r>
      <w:r w:rsidR="00962B99">
        <w:t>ux</w:t>
      </w:r>
      <w:r w:rsidR="0052267E">
        <w:t xml:space="preserve"> ou encore des fours installés à l’aide d’un bord de </w:t>
      </w:r>
      <w:proofErr w:type="spellStart"/>
      <w:r w:rsidR="0052267E" w:rsidRPr="0052267E">
        <w:rPr>
          <w:i/>
        </w:rPr>
        <w:t>dolium</w:t>
      </w:r>
      <w:proofErr w:type="spellEnd"/>
      <w:r w:rsidR="0052267E">
        <w:t>…</w:t>
      </w:r>
    </w:p>
    <w:p w:rsidR="00AD4850" w:rsidRDefault="00AD4850">
      <w:r w:rsidRPr="00AD4850">
        <w:rPr>
          <w:highlight w:val="yellow"/>
        </w:rPr>
        <w:t>DIA</w:t>
      </w:r>
    </w:p>
    <w:p w:rsidR="00582BD6" w:rsidRDefault="0052267E">
      <w:r>
        <w:t>Mais l</w:t>
      </w:r>
      <w:r w:rsidR="00925E47">
        <w:t xml:space="preserve">a mise à jour de </w:t>
      </w:r>
      <w:r>
        <w:t xml:space="preserve">ces </w:t>
      </w:r>
      <w:r w:rsidR="00925E47">
        <w:t>10 fours à Famars-</w:t>
      </w:r>
      <w:r w:rsidR="00925E47" w:rsidRPr="00456192">
        <w:rPr>
          <w:i/>
        </w:rPr>
        <w:t>Technopôle</w:t>
      </w:r>
      <w:r w:rsidR="00925E47">
        <w:t xml:space="preserve"> entre 2011 et 2014 a permis d</w:t>
      </w:r>
      <w:r w:rsidR="00755271">
        <w:t>’</w:t>
      </w:r>
      <w:r w:rsidR="00925E47">
        <w:t xml:space="preserve">appréhender </w:t>
      </w:r>
      <w:r>
        <w:t xml:space="preserve">non seulement </w:t>
      </w:r>
      <w:r w:rsidR="00755271">
        <w:t>leur construction</w:t>
      </w:r>
      <w:r>
        <w:t xml:space="preserve"> mais aussi </w:t>
      </w:r>
      <w:r w:rsidR="00755271">
        <w:t>leur utilisation et leur destruction ou abandon avec un intérêt tourné</w:t>
      </w:r>
      <w:r w:rsidR="00925E47">
        <w:t xml:space="preserve"> </w:t>
      </w:r>
      <w:r w:rsidR="00755271">
        <w:t>vers l’identification de gestes particuliers.</w:t>
      </w:r>
      <w:r>
        <w:t xml:space="preserve"> </w:t>
      </w:r>
    </w:p>
    <w:p w:rsidR="00582BD6" w:rsidRDefault="00582BD6"/>
    <w:p w:rsidR="00582BD6" w:rsidRDefault="00582BD6">
      <w:r w:rsidRPr="00582BD6">
        <w:rPr>
          <w:highlight w:val="yellow"/>
        </w:rPr>
        <w:t>DIA</w:t>
      </w:r>
    </w:p>
    <w:p w:rsidR="001147E4" w:rsidRDefault="0052267E">
      <w:r>
        <w:t>Les photos des mêmes fours avant vidange illustrent la variété de gestes de clôture qui va de la démolition de la sole jusqu’à l’obstruction de l’alandier</w:t>
      </w:r>
      <w:r w:rsidR="00A375A9">
        <w:t xml:space="preserve">, la mise en place des rebuts de </w:t>
      </w:r>
      <w:r w:rsidR="002F536C">
        <w:t>cuisson et leur traitement rituel.</w:t>
      </w:r>
      <w:r w:rsidR="009E1E3D">
        <w:t xml:space="preserve"> </w:t>
      </w:r>
    </w:p>
    <w:p w:rsidR="009E1E3D" w:rsidRDefault="009E1E3D">
      <w:pPr>
        <w:rPr>
          <w:highlight w:val="yellow"/>
        </w:rPr>
      </w:pPr>
      <w:r w:rsidRPr="009E1E3D">
        <w:rPr>
          <w:highlight w:val="yellow"/>
        </w:rPr>
        <w:t>DIA</w:t>
      </w:r>
    </w:p>
    <w:p w:rsidR="009E1E3D" w:rsidRDefault="009E1E3D">
      <w:r>
        <w:t>Regardons de manière plus détaillée aux gestes rencontrés à Famars.</w:t>
      </w:r>
    </w:p>
    <w:p w:rsidR="00582BD6" w:rsidRDefault="009E1E3D">
      <w:r>
        <w:t xml:space="preserve">Un premier geste qui revient sur plusieurs fours est l’obstruction de la bouche de l’alandier après abandon. </w:t>
      </w:r>
      <w:r w:rsidR="006B5532">
        <w:t xml:space="preserve">Cette </w:t>
      </w:r>
      <w:r w:rsidR="00962B99">
        <w:t>fermeture</w:t>
      </w:r>
      <w:r w:rsidR="006B5532">
        <w:t xml:space="preserve"> peut prendre la forme d’une pierre déposée dans l’ouverture ou une ou plusieurs céramiques. </w:t>
      </w:r>
      <w:r w:rsidR="00A56904">
        <w:t xml:space="preserve">L’interprétation de régulateurs de chaleur permettant de mieux contrôler le feu est l’hypothèse la plus souvent émise. Toutefois, les nouvelles données de Famars mettent en évidence le placement de pierres et de céramiques après l’abandon de la </w:t>
      </w:r>
      <w:r w:rsidR="00A56904">
        <w:lastRenderedPageBreak/>
        <w:t>structure même et non en lien avec la dernière cuisson. Le four 1382, utilisé pour la fabrication de</w:t>
      </w:r>
      <w:r w:rsidR="00A813C0">
        <w:t xml:space="preserve"> céramique oxydée et dorée au mica contenait plusieurs pierres déposées dans la gueule de l’alandier. Il s’agit d’un grès d’environ 30 cm et de trois autres de plus petite taille. Même si on peut s’imaginer leur utilisation pour des cuissons antérieures réductrices, pourquoi obstruer la structure après abandon ?</w:t>
      </w:r>
      <w:r w:rsidR="00582BD6">
        <w:t xml:space="preserve"> </w:t>
      </w:r>
    </w:p>
    <w:p w:rsidR="00582BD6" w:rsidRDefault="00582BD6">
      <w:r w:rsidRPr="00582BD6">
        <w:rPr>
          <w:highlight w:val="yellow"/>
        </w:rPr>
        <w:t>DIA</w:t>
      </w:r>
    </w:p>
    <w:p w:rsidR="009E1E3D" w:rsidRDefault="00582BD6">
      <w:r>
        <w:t>Un autre four, le 5134, a été complètement obstrué par un pot à col tronconique court de grande taille. Il est déposé avec son ouverture vers la fosse de travail, sur la dernière couche cendreuse d’utilisation, avant d’être enseveli par non moins que cinq couches de rebuts de cuisson. La sole n’a pas été détruite mais comblé</w:t>
      </w:r>
      <w:r w:rsidR="00962B99">
        <w:t>e</w:t>
      </w:r>
      <w:r>
        <w:t xml:space="preserve"> par des rebuts dont certains sont tombés par les carneaux.</w:t>
      </w:r>
      <w:r w:rsidR="00EC43F1">
        <w:t xml:space="preserve"> Il ne s’agit donc pas d’un rejet en balançant les rebuts en vrac, mais d’une mise en scène du vase dans la gueule avant le comblement de la structure.</w:t>
      </w:r>
    </w:p>
    <w:p w:rsidR="002F536C" w:rsidRDefault="008128B9">
      <w:pPr>
        <w:rPr>
          <w:highlight w:val="yellow"/>
        </w:rPr>
      </w:pPr>
      <w:r w:rsidRPr="008128B9">
        <w:rPr>
          <w:highlight w:val="yellow"/>
        </w:rPr>
        <w:t>DIA</w:t>
      </w:r>
    </w:p>
    <w:p w:rsidR="008128B9" w:rsidRDefault="00962B99">
      <w:r>
        <w:t>On peut également clôturer par</w:t>
      </w:r>
      <w:r w:rsidR="008128B9">
        <w:t xml:space="preserve"> </w:t>
      </w:r>
      <w:r w:rsidR="00EC43F1">
        <w:t xml:space="preserve">des tuiles. À Famars seulement un four, le 2310, un petit four qui s’installe dans la fosse de travail du four 2159 à l’aide d’un bord d’un </w:t>
      </w:r>
      <w:proofErr w:type="spellStart"/>
      <w:r w:rsidR="00EC43F1" w:rsidRPr="00EC43F1">
        <w:rPr>
          <w:i/>
        </w:rPr>
        <w:t>dolium</w:t>
      </w:r>
      <w:proofErr w:type="spellEnd"/>
      <w:r w:rsidR="00EC43F1">
        <w:t xml:space="preserve">. L’alandier n’est pas simplement fermé mais rempli avec des fragments </w:t>
      </w:r>
      <w:r w:rsidR="008C4EBF">
        <w:t xml:space="preserve">de tuile </w:t>
      </w:r>
      <w:r w:rsidR="00EC43F1">
        <w:t xml:space="preserve">en biais </w:t>
      </w:r>
      <w:r w:rsidR="008C4EBF">
        <w:t>puis fermé en les déposant à la verticale devant l’ouverture.</w:t>
      </w:r>
    </w:p>
    <w:p w:rsidR="001067F3" w:rsidRDefault="001067F3">
      <w:r>
        <w:t xml:space="preserve">Le geste d’obstruction n’est absolument pas restreint aux potiers de Famars. Le geste de fermer a été observé dans d’autres régions à l’époque romaine. C’est le cas </w:t>
      </w:r>
      <w:r w:rsidR="001A148C">
        <w:t xml:space="preserve">à </w:t>
      </w:r>
      <w:r>
        <w:t>Asse chez les Nerviens, non loin de Bruxelles, où un des four</w:t>
      </w:r>
      <w:r w:rsidR="001A148C">
        <w:t>s</w:t>
      </w:r>
      <w:r>
        <w:t xml:space="preserve"> a été obstrué par une tuile</w:t>
      </w:r>
      <w:r w:rsidR="001A148C">
        <w:t xml:space="preserve"> et un autre par un grès. Le geste ne semble pas réduit à l’époque romaine non plus, car l’alandier d’un four médiéval du même site était obstrué par un vase.</w:t>
      </w:r>
    </w:p>
    <w:p w:rsidR="006702E6" w:rsidRDefault="006702E6">
      <w:r w:rsidRPr="006702E6">
        <w:rPr>
          <w:highlight w:val="yellow"/>
        </w:rPr>
        <w:t>DIA</w:t>
      </w:r>
    </w:p>
    <w:p w:rsidR="006702E6" w:rsidRDefault="006702E6">
      <w:r>
        <w:t>À l’abandon du four, le potier va combler la structure, pour ainsi éviter de laisser des trous béants sur son terrain. Ce comblement peut être une suite complexe de couches, de fragments de voûtes effondrés sur place ou rejetés après démontage ou consister en rebuts de plusieurs cuissons que le potier a stocké</w:t>
      </w:r>
      <w:r w:rsidR="00962B99">
        <w:t>s</w:t>
      </w:r>
      <w:r>
        <w:t xml:space="preserve"> dans les environs</w:t>
      </w:r>
      <w:r w:rsidR="00B30A52" w:rsidRPr="00B30A52">
        <w:t xml:space="preserve"> </w:t>
      </w:r>
      <w:r w:rsidR="00B30A52">
        <w:t>en attente de rejet</w:t>
      </w:r>
      <w:r>
        <w:t xml:space="preserve">. Ainsi différents lots peuvent </w:t>
      </w:r>
      <w:r w:rsidR="004E4D72">
        <w:t xml:space="preserve">parfois </w:t>
      </w:r>
      <w:r>
        <w:t>être distingués</w:t>
      </w:r>
      <w:r w:rsidR="004E4D72">
        <w:t>.</w:t>
      </w:r>
      <w:r>
        <w:t xml:space="preserve"> </w:t>
      </w:r>
    </w:p>
    <w:p w:rsidR="008616C0" w:rsidRDefault="008616C0">
      <w:r>
        <w:t xml:space="preserve">Ce processus de démontage, abandon et clôture peut être très complexe et avec des choix qui relèvent d’une intentionnalité. Un bon exemple est sans aucun doute le four 1382, qui a servi </w:t>
      </w:r>
      <w:r>
        <w:lastRenderedPageBreak/>
        <w:t xml:space="preserve">en dernier lieu à la fabrication de céramique dorée au mica et cuite en mode A. Nous avons déjà vu que son alandier a été bouché par un grès déposé sur les restes de la voûte de l’alandier effondrée. Mais l’abandon ne se limite pas à ce geste de fermeture. </w:t>
      </w:r>
    </w:p>
    <w:p w:rsidR="00F37CB0" w:rsidRDefault="008616C0">
      <w:r>
        <w:t>La sole suspendue est démontée et récupérée et des rebuts sont rejetés dans la chambre de chauffe sous la sole cassée. La plupart</w:t>
      </w:r>
      <w:r w:rsidR="0052301C">
        <w:t xml:space="preserve"> </w:t>
      </w:r>
      <w:r w:rsidR="00962B99">
        <w:t>son</w:t>
      </w:r>
      <w:r w:rsidR="0052301C">
        <w:t>t déposée</w:t>
      </w:r>
      <w:r w:rsidR="00962B99">
        <w:t>s</w:t>
      </w:r>
      <w:r w:rsidR="0052301C">
        <w:t xml:space="preserve"> contre la paroi</w:t>
      </w:r>
      <w:r w:rsidR="00F37CB0">
        <w:t xml:space="preserve"> opposée de l’alandier, de chaque côté de la languette centrale. Trois vases sont déposés côte à côte derrière la languette, soigneusement mis en scène, avant d’être ensevelis sous le reste des ratés de cuisson. Le pot à col concave est posé à l’envers sur son bord, accompagné d’un bol dont le pied est intentionnellement brisé après plusieurs percements, puis un pot à panse aplatie qui a subi du feu et dont la paroi, ainsi que le fond</w:t>
      </w:r>
      <w:r w:rsidR="00FA671A">
        <w:t>,</w:t>
      </w:r>
      <w:r w:rsidR="00F37CB0">
        <w:t xml:space="preserve"> </w:t>
      </w:r>
      <w:r w:rsidR="00962B99">
        <w:t>es</w:t>
      </w:r>
      <w:r w:rsidR="00F37CB0">
        <w:t xml:space="preserve">t également </w:t>
      </w:r>
      <w:r w:rsidR="00FA671A">
        <w:t>percée</w:t>
      </w:r>
      <w:r w:rsidR="00F37CB0">
        <w:t>.</w:t>
      </w:r>
      <w:r w:rsidR="00FA671A">
        <w:t xml:space="preserve"> La trace de feu sur le bord indique que le vase a été utilisé et qu’il ne provient pas forcément d’une cuisson </w:t>
      </w:r>
      <w:r w:rsidR="00522FA2">
        <w:t>effectuée dans ce four. L’utilisation de vases vendus à la consommation, puis réutilisé</w:t>
      </w:r>
      <w:r w:rsidR="00962B99">
        <w:t>s</w:t>
      </w:r>
      <w:r w:rsidR="00522FA2">
        <w:t xml:space="preserve"> </w:t>
      </w:r>
      <w:r w:rsidR="00C87B70">
        <w:t>pour</w:t>
      </w:r>
      <w:r w:rsidR="00522FA2">
        <w:t xml:space="preserve"> percement rituel souligne encore l’intentionnalité du geste d’abandon.</w:t>
      </w:r>
      <w:r w:rsidR="00C87B70">
        <w:t xml:space="preserve"> Parmi les autres rebuts recouvrant les trois vases nous avons pu noter non moins que douze autres percements.</w:t>
      </w:r>
    </w:p>
    <w:p w:rsidR="00C87B70" w:rsidRDefault="00C87B70">
      <w:r>
        <w:t>L’alandier de son côté a été comblé par des déchets cuits en mode B, indiquant une cuisson antérieure et différente que la dernière. Il est tout à fait possible que ce rejet soit cuit dans ce four, vu son emplacement sur une parcelle spécifique. Le potier stock</w:t>
      </w:r>
      <w:r w:rsidR="002814FA">
        <w:t>e</w:t>
      </w:r>
      <w:r>
        <w:t xml:space="preserve"> probablement les déchets de ses différentes cuissons sur sa parcelle en attente d’un</w:t>
      </w:r>
      <w:r w:rsidR="002814FA">
        <w:t xml:space="preserve"> abandon</w:t>
      </w:r>
      <w:r>
        <w:t xml:space="preserve"> et rejet final.</w:t>
      </w:r>
    </w:p>
    <w:p w:rsidR="00C87B70" w:rsidRDefault="009F5CF8">
      <w:r w:rsidRPr="009F5CF8">
        <w:rPr>
          <w:highlight w:val="yellow"/>
        </w:rPr>
        <w:t>DIA</w:t>
      </w:r>
    </w:p>
    <w:p w:rsidR="009F5CF8" w:rsidRDefault="002814FA">
      <w:r>
        <w:t>Un autre exemple de Famars vient du four 2159. La fosse de travail ayant servi à l’installation d’un deuxième four de petite taille plus tard n’a pas été comblé</w:t>
      </w:r>
      <w:r w:rsidR="00962B99">
        <w:t>e</w:t>
      </w:r>
      <w:r>
        <w:t xml:space="preserve"> directement par des rebuts de cuisson liés au four même. Les rebuts ont été déposé</w:t>
      </w:r>
      <w:r w:rsidR="00962B99">
        <w:t>s</w:t>
      </w:r>
      <w:r>
        <w:t xml:space="preserve"> autour du pilier central soutenant la sole, après sa récupération. Seulement la banquette périphérique est encore en place et sert à protéger quatre groupes de dépôts volontaires. Un premier dépôt se retrouve proche de l’ouverture de l’alandier, consistant en gros fragments de tubulures mélangés aux gobelets à pied élancé. De l’autre côté trois dépôts se regroupent : deux gobelets dont un posé sur son bord, l’autre sur le côté, peut-être retombé, dont l’ouverture est obstruée par une pierre ; ensuite deux pots et un gobelet, tous imbriqués l’un dans l’autre, le pot et le gobelet sont percés, le deuxième pot a subi un bris intentionnel du bord ; finalement trois vases imbriqués</w:t>
      </w:r>
      <w:r w:rsidR="002968E7">
        <w:t>. Le reste du four ne contient pas de rebuts, sauf ceux utilisés pour une réfection et rehaussement de la sole.</w:t>
      </w:r>
    </w:p>
    <w:p w:rsidR="002814FA" w:rsidRDefault="002814FA">
      <w:pPr>
        <w:rPr>
          <w:highlight w:val="yellow"/>
        </w:rPr>
      </w:pPr>
      <w:r w:rsidRPr="002814FA">
        <w:rPr>
          <w:highlight w:val="yellow"/>
        </w:rPr>
        <w:t>DIA</w:t>
      </w:r>
    </w:p>
    <w:p w:rsidR="004D044A" w:rsidRPr="004D044A" w:rsidRDefault="004D044A">
      <w:r w:rsidRPr="004D044A">
        <w:lastRenderedPageBreak/>
        <w:t>Dans certains cas l’emplacement de ces dépôts dans la chambre de chauffe semble spécifiquement choisi</w:t>
      </w:r>
      <w:r w:rsidR="007C447B">
        <w:t xml:space="preserve"> et donc le démontage de la sole revient à plusieurs reprises</w:t>
      </w:r>
      <w:r w:rsidRPr="004D044A">
        <w:t>.</w:t>
      </w:r>
      <w:r w:rsidR="00DE6C3C">
        <w:t xml:space="preserve"> Dans le four 9705</w:t>
      </w:r>
      <w:r w:rsidR="00962B99">
        <w:t>,</w:t>
      </w:r>
      <w:r w:rsidR="00DE6C3C">
        <w:t xml:space="preserve"> nous notons une fois de plus l’absence de grandes quantités de rebuts rejetés en vrac mais un choix intentionnel de certains vases et à des endroits particuliers. Dans ce cas précis</w:t>
      </w:r>
      <w:r w:rsidR="00962B99">
        <w:t>,</w:t>
      </w:r>
      <w:r w:rsidR="00DE6C3C">
        <w:t xml:space="preserve"> c’est la paroi opposée à l’ouverture de l’alandier qui est préférée ; on peut le comparer au dépôt dans le four destiné à la fabrication des céramiques dorées au mica, le 1382. Un deuxième endroit concerne le côté de la banquette occidentale où un gobelet percé et avec un bris du bord est placé sur son bord. L’acte de placer les offrandes sur leur bord semble </w:t>
      </w:r>
      <w:r w:rsidR="007C447B">
        <w:t>récurrent</w:t>
      </w:r>
      <w:r w:rsidR="00DE6C3C">
        <w:t>.</w:t>
      </w:r>
    </w:p>
    <w:p w:rsidR="004D044A" w:rsidRDefault="004D044A">
      <w:r w:rsidRPr="004D044A">
        <w:rPr>
          <w:highlight w:val="yellow"/>
        </w:rPr>
        <w:t>DIA</w:t>
      </w:r>
    </w:p>
    <w:p w:rsidR="002968E7" w:rsidRDefault="007C447B">
      <w:r w:rsidRPr="007C447B">
        <w:t xml:space="preserve">Une autre possibilité </w:t>
      </w:r>
      <w:r>
        <w:t xml:space="preserve">consiste en l’emplacement du dépôt sur la sole non démontée. C’est le cas du four 2310 qui s’installe dans </w:t>
      </w:r>
      <w:r w:rsidR="002968E7">
        <w:t xml:space="preserve">la fosse de travail du 2159, à l’aide d’un bord de </w:t>
      </w:r>
      <w:proofErr w:type="spellStart"/>
      <w:r w:rsidR="002968E7" w:rsidRPr="002968E7">
        <w:rPr>
          <w:i/>
        </w:rPr>
        <w:t>dolium</w:t>
      </w:r>
      <w:proofErr w:type="spellEnd"/>
      <w:r w:rsidR="002968E7">
        <w:t xml:space="preserve"> et des tuiles qui portent </w:t>
      </w:r>
      <w:r>
        <w:t>s</w:t>
      </w:r>
      <w:r w:rsidR="002968E7">
        <w:t xml:space="preserve">a </w:t>
      </w:r>
      <w:r>
        <w:t>substructure</w:t>
      </w:r>
      <w:r w:rsidR="002968E7">
        <w:t xml:space="preserve">. Nous remarquons dans l’alandier même un fragment de vase déposé, peut-être pour consolider l’entrée. Le dépôt intentionnel se retrouve par contre sur le bord de </w:t>
      </w:r>
      <w:proofErr w:type="spellStart"/>
      <w:r w:rsidR="002968E7" w:rsidRPr="00E803BA">
        <w:rPr>
          <w:i/>
        </w:rPr>
        <w:t>dolium</w:t>
      </w:r>
      <w:proofErr w:type="spellEnd"/>
      <w:r w:rsidR="002968E7">
        <w:t xml:space="preserve"> utilisé comme sole. Sous une première couche de rebuts de cuisson sont posé</w:t>
      </w:r>
      <w:r w:rsidR="00962B99">
        <w:t>s</w:t>
      </w:r>
      <w:r w:rsidR="002968E7">
        <w:t xml:space="preserve"> un gobelet imitation des types tongriens</w:t>
      </w:r>
      <w:r w:rsidR="0004107E">
        <w:t xml:space="preserve"> et une demie jatte. La jatte est intentionnellement coupée en deux et protège un fragment de céramique ainsi qu’un grès. Le gobelet ovoïde, une forme très anecdotique, est percé à plusieurs endroits et a ensuite subi des bris volontaires. D’autres fragments portent des percements comme ce fond de gobelet à pied élancé.</w:t>
      </w:r>
    </w:p>
    <w:p w:rsidR="0004107E" w:rsidRDefault="0004107E">
      <w:pPr>
        <w:rPr>
          <w:highlight w:val="yellow"/>
        </w:rPr>
      </w:pPr>
      <w:r w:rsidRPr="0004107E">
        <w:rPr>
          <w:highlight w:val="yellow"/>
        </w:rPr>
        <w:t>DIA</w:t>
      </w:r>
    </w:p>
    <w:p w:rsidR="002814FA" w:rsidRDefault="00B34077">
      <w:r>
        <w:t xml:space="preserve">Un dernier endroit </w:t>
      </w:r>
      <w:r w:rsidR="00663496">
        <w:t xml:space="preserve">concerne le dépôt dans l’alandier. Un bel exemple nous provient du four 6323 dont la sole n’est pas démontée, ce qui empêche donc un rejet dans la chambre de chauffe. Dans ce cas un dépôt intentionnel a été effectué dans l’alandier, au niveau d’un petit effondrement de la sole, qui laisse de la place pour </w:t>
      </w:r>
      <w:r w:rsidR="00180552">
        <w:t>l’</w:t>
      </w:r>
      <w:r w:rsidR="00663496">
        <w:t>introduction de</w:t>
      </w:r>
      <w:r w:rsidR="00180552">
        <w:t>s</w:t>
      </w:r>
      <w:r w:rsidR="00663496">
        <w:t xml:space="preserve"> vases. </w:t>
      </w:r>
      <w:r w:rsidR="00180552">
        <w:t>Un</w:t>
      </w:r>
      <w:r w:rsidR="00663496">
        <w:t xml:space="preserve"> bol et un pot déformé, un rebut de cuisson, ont été posés de tel</w:t>
      </w:r>
      <w:r w:rsidR="00962B99">
        <w:t>le</w:t>
      </w:r>
      <w:r w:rsidR="00663496">
        <w:t xml:space="preserve"> manière qu’ils sont protégés par une plaque d’argile qui ferme l’ouverture de l’alandier.</w:t>
      </w:r>
      <w:r w:rsidR="00180552">
        <w:t xml:space="preserve"> Elle dispose d’encoches et sert comme plaque de fermeture à la porte de chargement que vous voyez disposée au-dessus de l’alandier. Les restes des rebuts ont trouvé leur place, non sur la sole, mais dans une fosse de rejet au fond de la parcelle.</w:t>
      </w:r>
    </w:p>
    <w:p w:rsidR="000767BD" w:rsidRDefault="000767BD">
      <w:pPr>
        <w:rPr>
          <w:highlight w:val="yellow"/>
        </w:rPr>
      </w:pPr>
      <w:r w:rsidRPr="000767BD">
        <w:rPr>
          <w:highlight w:val="yellow"/>
        </w:rPr>
        <w:t>DIA</w:t>
      </w:r>
    </w:p>
    <w:p w:rsidR="000767BD" w:rsidRDefault="0066058C">
      <w:r>
        <w:t>Nous constatons donc la présence de gestes qui reviennent à plusieurs reprises ou en combinaison :</w:t>
      </w:r>
    </w:p>
    <w:p w:rsidR="0066058C" w:rsidRDefault="0066058C" w:rsidP="0066058C">
      <w:pPr>
        <w:pStyle w:val="Paragraphedeliste"/>
        <w:numPr>
          <w:ilvl w:val="0"/>
          <w:numId w:val="1"/>
        </w:numPr>
      </w:pPr>
      <w:r>
        <w:lastRenderedPageBreak/>
        <w:t>Le démontage ou récupération de la sole avec emplacement de dépôts volontaires contre la paroi opposée à l’alandier, contre les banquettes ou piliers de soutènement</w:t>
      </w:r>
    </w:p>
    <w:p w:rsidR="0066058C" w:rsidRDefault="0066058C" w:rsidP="0066058C">
      <w:pPr>
        <w:pStyle w:val="Paragraphedeliste"/>
        <w:numPr>
          <w:ilvl w:val="0"/>
          <w:numId w:val="1"/>
        </w:numPr>
      </w:pPr>
      <w:r>
        <w:t>Le percement et bris rituel des vases ainsi que leur dépôt imbriqu</w:t>
      </w:r>
      <w:r w:rsidR="00962B99">
        <w:t>é</w:t>
      </w:r>
      <w:r>
        <w:t xml:space="preserve"> ou sur leur bord</w:t>
      </w:r>
    </w:p>
    <w:p w:rsidR="0066058C" w:rsidRDefault="0066058C" w:rsidP="0066058C">
      <w:pPr>
        <w:pStyle w:val="Paragraphedeliste"/>
        <w:numPr>
          <w:ilvl w:val="0"/>
          <w:numId w:val="1"/>
        </w:numPr>
      </w:pPr>
      <w:r>
        <w:t>L’obstruction des alandiers par un</w:t>
      </w:r>
      <w:r w:rsidR="00962B99">
        <w:t>e</w:t>
      </w:r>
      <w:r>
        <w:t xml:space="preserve"> tuile, un grès ou un vase.</w:t>
      </w:r>
    </w:p>
    <w:p w:rsidR="008128B9" w:rsidRDefault="002A3A15">
      <w:pPr>
        <w:rPr>
          <w:highlight w:val="yellow"/>
        </w:rPr>
      </w:pPr>
      <w:r w:rsidRPr="002A3A15">
        <w:rPr>
          <w:highlight w:val="yellow"/>
        </w:rPr>
        <w:t>DIA</w:t>
      </w:r>
    </w:p>
    <w:p w:rsidR="00B81E0E" w:rsidRDefault="009D5F88">
      <w:r>
        <w:t xml:space="preserve">Quel contexte pour </w:t>
      </w:r>
      <w:r w:rsidR="00B81E0E">
        <w:t>c</w:t>
      </w:r>
      <w:r>
        <w:t>es gestes qui semblent rituel</w:t>
      </w:r>
      <w:r w:rsidR="00962B99">
        <w:t>s</w:t>
      </w:r>
      <w:r>
        <w:t xml:space="preserve"> ou </w:t>
      </w:r>
      <w:r w:rsidR="00B81E0E">
        <w:t xml:space="preserve">même presque standardisés ? Le geste de percement de céramiques est un acte communément accepté dans l’étude du matériel retrouvé dans les nécropoles. Un geste rendant le vase inutile aux vivants pour accompagner le défunt dans l’au-delà semble récurrent dans le monde romain. Nous retrouvons aussi des exemples dans les contextes liés aux sanctuaires. </w:t>
      </w:r>
      <w:r w:rsidR="00660408">
        <w:t xml:space="preserve">Nous pensons par exemple au travail de JP Petit sur les puits de </w:t>
      </w:r>
      <w:proofErr w:type="spellStart"/>
      <w:r w:rsidR="00660408">
        <w:t>Bliesbruck</w:t>
      </w:r>
      <w:proofErr w:type="spellEnd"/>
      <w:r w:rsidR="00660408">
        <w:t>, qui fait un point sur les dépôts intentionnels comme ceux du Mans, Beaugency ou encore Saintes</w:t>
      </w:r>
      <w:r w:rsidR="003622BD">
        <w:t xml:space="preserve"> ou à Sylvain </w:t>
      </w:r>
      <w:proofErr w:type="spellStart"/>
      <w:r w:rsidR="003622BD">
        <w:t>Foucras</w:t>
      </w:r>
      <w:proofErr w:type="spellEnd"/>
      <w:r w:rsidR="003622BD">
        <w:t xml:space="preserve"> pour la citerne de </w:t>
      </w:r>
      <w:proofErr w:type="spellStart"/>
      <w:r w:rsidR="003622BD">
        <w:t>Corent</w:t>
      </w:r>
      <w:proofErr w:type="spellEnd"/>
      <w:r w:rsidR="00660408">
        <w:t xml:space="preserve">. </w:t>
      </w:r>
      <w:r w:rsidR="00B81E0E">
        <w:t xml:space="preserve">Toutefois la reconnaissance de cette pratique au sein des contextes de consommation hors nécropoles et sanctuaires est encore peu acceptée et encore moins </w:t>
      </w:r>
      <w:r w:rsidR="00660408">
        <w:t>pour</w:t>
      </w:r>
      <w:r w:rsidR="00B81E0E">
        <w:t xml:space="preserve"> les croyances et rites qui accompagnent le métier de potier. </w:t>
      </w:r>
    </w:p>
    <w:p w:rsidR="002A3A15" w:rsidRDefault="00B81E0E">
      <w:r>
        <w:t>Deux raisons d’offrande et de gestuel rituel existent</w:t>
      </w:r>
      <w:r w:rsidR="00660408">
        <w:t xml:space="preserve"> </w:t>
      </w:r>
      <w:r>
        <w:t xml:space="preserve">: l’offrande lors de l’installation d’un bâtiment ou d’une structure </w:t>
      </w:r>
      <w:r w:rsidR="00660408">
        <w:t>et</w:t>
      </w:r>
      <w:r>
        <w:t xml:space="preserve"> le geste d’abandon de celle-ci.</w:t>
      </w:r>
      <w:r w:rsidR="00660408">
        <w:t xml:space="preserve"> </w:t>
      </w:r>
      <w:r w:rsidR="003622BD">
        <w:t xml:space="preserve">Ceci peut concerner des fondations de bâtiments aussi bien que les fossés ou de simples fosses. </w:t>
      </w:r>
      <w:r w:rsidR="00E121F9">
        <w:t>Dans le monde anglo</w:t>
      </w:r>
      <w:r w:rsidR="00212C0E">
        <w:t>-</w:t>
      </w:r>
      <w:r w:rsidR="00E121F9">
        <w:t>saxon</w:t>
      </w:r>
      <w:r w:rsidR="00962B99">
        <w:t>,</w:t>
      </w:r>
      <w:r w:rsidR="00E121F9">
        <w:t xml:space="preserve"> c’est sans aucun doute le travail de </w:t>
      </w:r>
      <w:r>
        <w:t>JD Hill</w:t>
      </w:r>
      <w:r w:rsidR="00E121F9">
        <w:t xml:space="preserve"> « </w:t>
      </w:r>
      <w:proofErr w:type="spellStart"/>
      <w:r w:rsidR="00E121F9">
        <w:t>Ritual</w:t>
      </w:r>
      <w:proofErr w:type="spellEnd"/>
      <w:r w:rsidR="00E121F9">
        <w:t xml:space="preserve"> and </w:t>
      </w:r>
      <w:proofErr w:type="spellStart"/>
      <w:r w:rsidR="00E121F9">
        <w:t>Rubbish</w:t>
      </w:r>
      <w:proofErr w:type="spellEnd"/>
      <w:r w:rsidR="00E121F9">
        <w:t> » qui est le plus connu</w:t>
      </w:r>
      <w:r w:rsidR="00AC7F5B">
        <w:t xml:space="preserve">, nous mentionnons aussi Chadwick et son </w:t>
      </w:r>
      <w:r w:rsidR="00962B99">
        <w:t xml:space="preserve">article </w:t>
      </w:r>
      <w:r w:rsidR="00AC7F5B">
        <w:t xml:space="preserve">« Routine </w:t>
      </w:r>
      <w:proofErr w:type="spellStart"/>
      <w:r w:rsidR="00AC7F5B">
        <w:t>magic</w:t>
      </w:r>
      <w:proofErr w:type="spellEnd"/>
      <w:r w:rsidR="00AC7F5B">
        <w:t xml:space="preserve">, </w:t>
      </w:r>
      <w:proofErr w:type="spellStart"/>
      <w:r w:rsidR="00AC7F5B">
        <w:t>Mundane</w:t>
      </w:r>
      <w:proofErr w:type="spellEnd"/>
      <w:r w:rsidR="00AC7F5B">
        <w:t xml:space="preserve"> </w:t>
      </w:r>
      <w:proofErr w:type="spellStart"/>
      <w:r w:rsidR="00AC7F5B">
        <w:t>ritual</w:t>
      </w:r>
      <w:proofErr w:type="spellEnd"/>
      <w:r w:rsidR="00AC7F5B">
        <w:t> » qui a une vision intéressante sur la routine ritualisée du rejet au quotidien</w:t>
      </w:r>
      <w:r w:rsidR="00E121F9">
        <w:t>.</w:t>
      </w:r>
      <w:r w:rsidR="00AC7F5B">
        <w:t xml:space="preserve"> Les rites et croyances deviennent ainsi une partie intégrante de la vie quotidienne et s</w:t>
      </w:r>
      <w:r w:rsidR="00DD2D8F">
        <w:t>ont très standardisés</w:t>
      </w:r>
      <w:r w:rsidR="00AC7F5B">
        <w:t xml:space="preserve">, une idée que nous retrouvons </w:t>
      </w:r>
      <w:r w:rsidR="00660408">
        <w:t xml:space="preserve">d’ailleurs </w:t>
      </w:r>
      <w:r w:rsidR="00AC7F5B">
        <w:t xml:space="preserve">aussi chez John </w:t>
      </w:r>
      <w:proofErr w:type="spellStart"/>
      <w:r w:rsidR="00AC7F5B">
        <w:t>Scheid</w:t>
      </w:r>
      <w:proofErr w:type="spellEnd"/>
      <w:r w:rsidR="00AC7F5B">
        <w:t>. L</w:t>
      </w:r>
      <w:r w:rsidR="00660408">
        <w:t>a</w:t>
      </w:r>
      <w:r w:rsidR="00AC7F5B">
        <w:t xml:space="preserve"> gestion des déchets dans le monde antique devient ainsi gouverné</w:t>
      </w:r>
      <w:r w:rsidR="00660408">
        <w:t>e</w:t>
      </w:r>
      <w:r w:rsidR="00AC7F5B">
        <w:t xml:space="preserve"> par des règles sociales</w:t>
      </w:r>
      <w:r w:rsidR="00DD2D8F">
        <w:t xml:space="preserve"> et rituelles</w:t>
      </w:r>
      <w:r w:rsidR="00AC7F5B">
        <w:t xml:space="preserve"> et au lieu de parler de </w:t>
      </w:r>
      <w:r w:rsidR="00DD2D8F">
        <w:t xml:space="preserve">dépôts </w:t>
      </w:r>
      <w:r w:rsidR="00AC7F5B">
        <w:t>rituels on pourrait préférer de parler de dépôts structurés, pour ne pas glisser sur la pente d’une surinterprétation.</w:t>
      </w:r>
    </w:p>
    <w:p w:rsidR="00DD2D8F" w:rsidRDefault="00DD2D8F">
      <w:r>
        <w:t xml:space="preserve">En tout cas le geste d’offrande d’installation ou d’abandon se rencontre un peu partout dans le monde romain. Pour en citer quelques exemples anglais ; l’exemple d’une villa à </w:t>
      </w:r>
      <w:proofErr w:type="spellStart"/>
      <w:r>
        <w:t>Paxtol</w:t>
      </w:r>
      <w:proofErr w:type="spellEnd"/>
      <w:r>
        <w:t xml:space="preserve"> où un four de tuiliers à son abandon final reçoit un dépôt de deux vases, un gobelet dont le fond est intentionnellement enlevé et un petit vase avec bris du bord. Ils sont déposé</w:t>
      </w:r>
      <w:r w:rsidR="008705B3">
        <w:t>s</w:t>
      </w:r>
      <w:r>
        <w:t xml:space="preserve"> à l’entrée de la chambre de chauffe.</w:t>
      </w:r>
      <w:r w:rsidR="003622BD">
        <w:t xml:space="preserve"> Un autre exemple provient d’un enclos </w:t>
      </w:r>
      <w:r w:rsidR="00140E35">
        <w:t>à</w:t>
      </w:r>
      <w:r w:rsidR="003622BD">
        <w:t xml:space="preserve"> Cambridge où un plat en étain </w:t>
      </w:r>
      <w:r w:rsidR="003622BD">
        <w:lastRenderedPageBreak/>
        <w:t xml:space="preserve">accompagné d’une cruche du Nene </w:t>
      </w:r>
      <w:proofErr w:type="spellStart"/>
      <w:r w:rsidR="003622BD">
        <w:t>Valley</w:t>
      </w:r>
      <w:proofErr w:type="spellEnd"/>
      <w:r w:rsidR="003622BD">
        <w:t xml:space="preserve">, </w:t>
      </w:r>
      <w:r w:rsidR="007F5A11">
        <w:t xml:space="preserve">sa paroi </w:t>
      </w:r>
      <w:r w:rsidR="003622BD">
        <w:t>intentionnellement percé</w:t>
      </w:r>
      <w:r w:rsidR="007F5A11">
        <w:t>e, était déposé lors de l’abandon de l’occupation. L’acte d’abandon avec dépôt rituel n’est d’ailleurs pas réduit à l’époque romaine. Nous connaissons des exemples de la période néolithique, l’</w:t>
      </w:r>
      <w:r w:rsidR="00962B99">
        <w:t>Â</w:t>
      </w:r>
      <w:r w:rsidR="007F5A11">
        <w:t>ge du bronze ou encore le haut moyen âge où des exemples sont connus en Angleterre (</w:t>
      </w:r>
      <w:proofErr w:type="spellStart"/>
      <w:r w:rsidR="007F5A11">
        <w:t>Hamerow</w:t>
      </w:r>
      <w:proofErr w:type="spellEnd"/>
      <w:r w:rsidR="007F5A11">
        <w:t>, 2006), Allemagne (</w:t>
      </w:r>
      <w:proofErr w:type="spellStart"/>
      <w:r w:rsidR="007F5A11">
        <w:t>Bremen</w:t>
      </w:r>
      <w:proofErr w:type="spellEnd"/>
      <w:r w:rsidR="007F5A11">
        <w:t>), Belgique ou encore les Pays-Bas (</w:t>
      </w:r>
      <w:proofErr w:type="spellStart"/>
      <w:r w:rsidR="007F5A11">
        <w:t>Kootwijk</w:t>
      </w:r>
      <w:proofErr w:type="spellEnd"/>
      <w:r w:rsidR="007F5A11">
        <w:t xml:space="preserve">, </w:t>
      </w:r>
      <w:proofErr w:type="spellStart"/>
      <w:r w:rsidR="007F5A11">
        <w:t>Hamerow</w:t>
      </w:r>
      <w:proofErr w:type="spellEnd"/>
      <w:r w:rsidR="007F5A11">
        <w:t>) (</w:t>
      </w:r>
      <w:proofErr w:type="spellStart"/>
      <w:r w:rsidR="007F5A11">
        <w:t>Maaike</w:t>
      </w:r>
      <w:proofErr w:type="spellEnd"/>
      <w:r w:rsidR="007F5A11">
        <w:t xml:space="preserve"> </w:t>
      </w:r>
      <w:proofErr w:type="spellStart"/>
      <w:r w:rsidR="007F5A11">
        <w:t>Groot</w:t>
      </w:r>
      <w:proofErr w:type="spellEnd"/>
      <w:r w:rsidR="007F5A11">
        <w:t xml:space="preserve">, 2009). </w:t>
      </w:r>
      <w:r w:rsidR="003622BD">
        <w:t xml:space="preserve"> </w:t>
      </w:r>
    </w:p>
    <w:p w:rsidR="00D60B88" w:rsidRDefault="00140E35">
      <w:r w:rsidRPr="00140E35">
        <w:rPr>
          <w:highlight w:val="yellow"/>
        </w:rPr>
        <w:t>DIA</w:t>
      </w:r>
    </w:p>
    <w:p w:rsidR="00660408" w:rsidRDefault="00140E35">
      <w:r>
        <w:t>Ces gestes sont donc à étendre aussi vers les structures liées à l’activité potière. Quelques comparaisons pour l’obstruction de l’alandier proviennent par exemple d’Asse, que nous avons déjà mentionné</w:t>
      </w:r>
      <w:r w:rsidR="00962B99">
        <w:t>e</w:t>
      </w:r>
      <w:r>
        <w:t>, ici le four obstrué par un grès. D’autres viennent de</w:t>
      </w:r>
      <w:r w:rsidR="00B71491">
        <w:t xml:space="preserve"> différentes parties du monde romain, ici un de </w:t>
      </w:r>
      <w:proofErr w:type="spellStart"/>
      <w:r w:rsidR="00B71491">
        <w:t>Credenhill</w:t>
      </w:r>
      <w:proofErr w:type="spellEnd"/>
      <w:r w:rsidR="00B71491">
        <w:t xml:space="preserve"> dans l</w:t>
      </w:r>
      <w:r w:rsidR="00962B99">
        <w:t>’</w:t>
      </w:r>
      <w:proofErr w:type="spellStart"/>
      <w:r w:rsidR="00B71491">
        <w:t>Herefordshire</w:t>
      </w:r>
      <w:proofErr w:type="spellEnd"/>
      <w:r w:rsidR="00B71491">
        <w:t xml:space="preserve"> où l’alandier n’est pas exactement obstrué mais scellé par le haut par une énorme pierre, donnant l’impression que le four n’est pas abandonné mais recouvert pour une utilisation à venir. Toutefois, la sole n’est plus en place et l’interprétation est peut-être à revoir.</w:t>
      </w:r>
    </w:p>
    <w:p w:rsidR="00B71491" w:rsidRDefault="00B71491">
      <w:pPr>
        <w:rPr>
          <w:highlight w:val="yellow"/>
        </w:rPr>
      </w:pPr>
      <w:r w:rsidRPr="00B71491">
        <w:rPr>
          <w:highlight w:val="yellow"/>
        </w:rPr>
        <w:t>DIA</w:t>
      </w:r>
    </w:p>
    <w:p w:rsidR="00B71491" w:rsidRDefault="00B71491">
      <w:r>
        <w:t>Des exemples de différents dépôts dans l’alandier : Tirlemont, notons bien l’emplacement du petit vase sur son bord, comme nous avons remarqué à tant de reprises à Famars. Un amas de vases dans l’alandier à Avesnes-les-Bapaume ou encore l’emplacement de petits gobelets dans les carneaux de la sole d’un des fours d’</w:t>
      </w:r>
      <w:proofErr w:type="spellStart"/>
      <w:r>
        <w:t>Appeville-Annebault</w:t>
      </w:r>
      <w:proofErr w:type="spellEnd"/>
      <w:r>
        <w:t xml:space="preserve"> en Normandie. L’étude des gobelets montre qu’ils ne portent pas de trace de flammes, ce qui serait le cas s’ils étaient en place lors de la cuisson. Cette absence de décoloration indique bien une mise en place intentionnel</w:t>
      </w:r>
      <w:r w:rsidR="00962B99">
        <w:t>le</w:t>
      </w:r>
      <w:r>
        <w:t xml:space="preserve">. Un vieil exemple de </w:t>
      </w:r>
      <w:proofErr w:type="spellStart"/>
      <w:r>
        <w:t>Vervoz</w:t>
      </w:r>
      <w:proofErr w:type="spellEnd"/>
      <w:r>
        <w:t xml:space="preserve"> aussi, notons bien l’emplacement de différentes sortes de vases à l’entrée de l’alandier sur le bord surtout, et leur percement intentionnel dans le fond.</w:t>
      </w:r>
    </w:p>
    <w:p w:rsidR="0040352B" w:rsidRDefault="0040352B">
      <w:pPr>
        <w:rPr>
          <w:highlight w:val="yellow"/>
        </w:rPr>
      </w:pPr>
      <w:r w:rsidRPr="0040352B">
        <w:rPr>
          <w:highlight w:val="yellow"/>
        </w:rPr>
        <w:t>DIA</w:t>
      </w:r>
    </w:p>
    <w:p w:rsidR="0040352B" w:rsidRDefault="00B345CE">
      <w:r>
        <w:t xml:space="preserve">La fouille récente de l’officine de Las </w:t>
      </w:r>
      <w:proofErr w:type="spellStart"/>
      <w:r>
        <w:t>Cravieros</w:t>
      </w:r>
      <w:proofErr w:type="spellEnd"/>
      <w:r>
        <w:t xml:space="preserve"> à Fanjeaux par Benoit a aussi livré plusieurs exemples des gestes d’abandon. Dans deux cas il s’agit d’un dépôt dans la chambre de chauffe, une fois un bol intact, l’autre fois deux vases et un mortier brisé dans l’entrée. Le cas le plus limpide es</w:t>
      </w:r>
      <w:r w:rsidR="00962B99">
        <w:t>t</w:t>
      </w:r>
      <w:r>
        <w:t xml:space="preserve"> celui du four </w:t>
      </w:r>
      <w:r w:rsidR="003E7A26">
        <w:t>7 où un vase à col sabré est placé dans l’alandier contre la paroi droite. L’acte de sabrer le vase et ensuite de le placer dans le four à un endroit précis ne laisse peu de doute qu’on est confronté à un geste intentionnel et structuré.</w:t>
      </w:r>
    </w:p>
    <w:p w:rsidR="003E7A26" w:rsidRDefault="003E7A26">
      <w:pPr>
        <w:rPr>
          <w:highlight w:val="yellow"/>
        </w:rPr>
      </w:pPr>
      <w:r w:rsidRPr="003E7A26">
        <w:rPr>
          <w:highlight w:val="yellow"/>
        </w:rPr>
        <w:lastRenderedPageBreak/>
        <w:t>DIA</w:t>
      </w:r>
    </w:p>
    <w:p w:rsidR="00E74F9C" w:rsidRDefault="00E74F9C">
      <w:r>
        <w:t xml:space="preserve">Nous pouvons trouver des exemples de comportements d’abandon à d’autres époques et à des endroits très éloignés : </w:t>
      </w:r>
    </w:p>
    <w:p w:rsidR="00E74F9C" w:rsidRDefault="00E74F9C">
      <w:r>
        <w:t xml:space="preserve">Un exemple intéressant mais pour lequel je ne dispose pas d’illustrations pour le moment vient d’Anatolie à l’époque Âge du Bronze. Le four R-043 contenait un dépôt de deux vases, 4 fusaïoles et des ossements d’animaux dans la chambre de chauffe. Ces objets étaient posés sur la couche cendreuse et ensevelis sous une épaisse couche de débris de la voûte du four. De plus, leur partie basse étant brûlée, on sait qu’ils ont été déposés juste après la dernière cuisson. </w:t>
      </w:r>
      <w:r w:rsidR="000E2F76">
        <w:t>Le</w:t>
      </w:r>
      <w:r>
        <w:t xml:space="preserve"> bol était dépourvu de son fond, le pichet avait subi un bris intentionnel du bord, notamment l</w:t>
      </w:r>
      <w:r w:rsidR="000E2F76">
        <w:t>e bec verseur.</w:t>
      </w:r>
    </w:p>
    <w:p w:rsidR="000E2F76" w:rsidRDefault="000E2F76">
      <w:r>
        <w:t xml:space="preserve">Un autre exemple a été cité dans la publication assez récente « Tourner autour du pot… » concernant les officines potières médiévales. La publication des ateliers de Romans-sur-Isère par Monique Le </w:t>
      </w:r>
      <w:proofErr w:type="spellStart"/>
      <w:r>
        <w:t>Nézet</w:t>
      </w:r>
      <w:proofErr w:type="spellEnd"/>
      <w:r>
        <w:t xml:space="preserve">-Célestin et Alban </w:t>
      </w:r>
      <w:proofErr w:type="spellStart"/>
      <w:r>
        <w:t>Horry</w:t>
      </w:r>
      <w:proofErr w:type="spellEnd"/>
      <w:r>
        <w:t xml:space="preserve"> </w:t>
      </w:r>
      <w:r w:rsidR="003E6B88">
        <w:t>décrit un des fours dont une partie de la charge est encore en place. Au milieu de la seconde charge de vases et à l’envers est placé un pot, percé sur le bas de la paroi et dans son fond. Une des hypothèses présentées est le percement pour améliorer la circulation des flammes. Toutefois, sa position sur son bord et les percements pourrait peut-être indiquer un geste particulier. Surtout que seulement un pot est traité de tel</w:t>
      </w:r>
      <w:r w:rsidR="00962B99">
        <w:t>le</w:t>
      </w:r>
      <w:r w:rsidR="003E6B88">
        <w:t xml:space="preserve"> manière, les autres empilés sur deux étages tout autour.</w:t>
      </w:r>
      <w:r w:rsidR="00881924">
        <w:t xml:space="preserve"> Sur l</w:t>
      </w:r>
      <w:r w:rsidR="00E4428B">
        <w:t>e site des « </w:t>
      </w:r>
      <w:proofErr w:type="spellStart"/>
      <w:r w:rsidR="00E4428B">
        <w:t>Meilleux</w:t>
      </w:r>
      <w:proofErr w:type="spellEnd"/>
      <w:r w:rsidR="00E4428B">
        <w:t> » on note également un des fours dont l’alandier est obstrué par des pierres.</w:t>
      </w:r>
    </w:p>
    <w:p w:rsidR="009B6DA6" w:rsidRDefault="009B6DA6">
      <w:r>
        <w:t>Récemment</w:t>
      </w:r>
      <w:r w:rsidR="001C09E5">
        <w:t xml:space="preserve">, l’article de </w:t>
      </w:r>
      <w:proofErr w:type="spellStart"/>
      <w:r w:rsidR="001C09E5">
        <w:t>Raffaella</w:t>
      </w:r>
      <w:proofErr w:type="spellEnd"/>
      <w:r w:rsidR="001C09E5">
        <w:t xml:space="preserve"> Da Vela parle clairement d’abandon et d’obstruction des fours étrusques de Florence. L’alandier d’un des fours a été refermé par des gros blocs de pierre et ce geste n’est pas </w:t>
      </w:r>
      <w:r w:rsidR="00C7424B">
        <w:t>interprété</w:t>
      </w:r>
      <w:r w:rsidR="001C09E5">
        <w:t xml:space="preserve"> autrement que comme </w:t>
      </w:r>
      <w:r w:rsidR="00C7424B">
        <w:t>acte intentionnel de fermeture.</w:t>
      </w:r>
    </w:p>
    <w:p w:rsidR="00C7424B" w:rsidRDefault="00C7424B">
      <w:pPr>
        <w:rPr>
          <w:highlight w:val="yellow"/>
        </w:rPr>
      </w:pPr>
      <w:r w:rsidRPr="00C7424B">
        <w:rPr>
          <w:highlight w:val="yellow"/>
        </w:rPr>
        <w:t>DIA</w:t>
      </w:r>
    </w:p>
    <w:p w:rsidR="00C7424B" w:rsidRDefault="00C7424B">
      <w:r>
        <w:t>Un tout dernier mot concernant les gestes structurés lors de l’installation des fours, trop peu remarqués à cause d’une hésitation de détruire la structure potière à la fin de sa fouille. Un premier exemple non illustré vient d’Arras-Les Bonnettes, une vieille fouille dont le rapport n’a pas vu le jour. En</w:t>
      </w:r>
      <w:r w:rsidR="00962B99">
        <w:t xml:space="preserve"> </w:t>
      </w:r>
      <w:r>
        <w:t xml:space="preserve">dessous le four les fouilleurs ont retrouvé une épée rituellement pliée, déposée et </w:t>
      </w:r>
      <w:r w:rsidR="0087296F">
        <w:t>incorporée dans le four.</w:t>
      </w:r>
    </w:p>
    <w:p w:rsidR="0087296F" w:rsidRDefault="00B3356A">
      <w:r>
        <w:t xml:space="preserve">D’autres exemples proviennent de Tirlemont où le travail de Marleen Martens a mis au jour des gestes particuliers liés à l’artisanat. Sur plusieurs sites, du </w:t>
      </w:r>
      <w:proofErr w:type="spellStart"/>
      <w:r>
        <w:t>Grijpenveld</w:t>
      </w:r>
      <w:proofErr w:type="spellEnd"/>
      <w:r>
        <w:t xml:space="preserve">, </w:t>
      </w:r>
      <w:proofErr w:type="spellStart"/>
      <w:r>
        <w:t>Spikdoornstraat</w:t>
      </w:r>
      <w:proofErr w:type="spellEnd"/>
      <w:r>
        <w:t xml:space="preserve"> ou </w:t>
      </w:r>
      <w:r>
        <w:lastRenderedPageBreak/>
        <w:t xml:space="preserve">encore dans le </w:t>
      </w:r>
      <w:proofErr w:type="spellStart"/>
      <w:r>
        <w:t>Tramstraat</w:t>
      </w:r>
      <w:proofErr w:type="spellEnd"/>
      <w:r>
        <w:t xml:space="preserve">, des fosses et structures artisanales ont reçus des offrandes d’installation ou d’abandon.  Dans le cas de la </w:t>
      </w:r>
      <w:proofErr w:type="spellStart"/>
      <w:r>
        <w:t>Spikdoornstraat</w:t>
      </w:r>
      <w:proofErr w:type="spellEnd"/>
      <w:r>
        <w:t>, vous voyez des fours de bronziers</w:t>
      </w:r>
      <w:r w:rsidR="00CF3A7B">
        <w:t>, qui dans quelques cas ont reçu un petit pot biconique dans leur fosse d’installation. Dans le plus grand four de bronzier, un phallus était imbriqué dans la paroi. Le four même était installé dans une structure plus ancienne, qui avait déjà été abandonné</w:t>
      </w:r>
      <w:r w:rsidR="00962B99">
        <w:t>e</w:t>
      </w:r>
      <w:r w:rsidR="00CF3A7B">
        <w:t xml:space="preserve"> en plaçant des offrandes dans le fond ; notamment une amphore d’un type rare rituellement percée et brisée, accompagn</w:t>
      </w:r>
      <w:r w:rsidR="00962B99">
        <w:t>ée</w:t>
      </w:r>
      <w:r w:rsidR="00CF3A7B">
        <w:t xml:space="preserve"> d’un couteau, de deux fibules, deux monnaies, une spatule et une bague avec intaille bleue avec représentation de dieu. La totalité était scellée par des pierres et la partie basse d’une mâchoire d</w:t>
      </w:r>
      <w:r w:rsidR="00962B99">
        <w:t xml:space="preserve">e </w:t>
      </w:r>
      <w:r w:rsidR="00CF3A7B">
        <w:t>bovidé.</w:t>
      </w:r>
    </w:p>
    <w:p w:rsidR="00CF3A7B" w:rsidRDefault="00CF3A7B">
      <w:pPr>
        <w:rPr>
          <w:highlight w:val="yellow"/>
        </w:rPr>
      </w:pPr>
      <w:r w:rsidRPr="00CF3A7B">
        <w:rPr>
          <w:highlight w:val="yellow"/>
        </w:rPr>
        <w:t>DIA</w:t>
      </w:r>
    </w:p>
    <w:p w:rsidR="00FD438E" w:rsidRDefault="00F72830" w:rsidP="00FD438E">
      <w:pPr>
        <w:pStyle w:val="NormalWeb"/>
        <w:spacing w:line="360" w:lineRule="auto"/>
        <w:jc w:val="both"/>
        <w:rPr>
          <w:rFonts w:ascii="Times" w:hAnsi="Times"/>
        </w:rPr>
      </w:pPr>
      <w:r w:rsidRPr="00FD438E">
        <w:rPr>
          <w:rFonts w:ascii="Times" w:hAnsi="Times"/>
        </w:rPr>
        <w:t>Nous pouvons conclure que l’étude des déchets et surtout ceux déposés à l’installation et l’abandon des structures -artisanales ou non- apporte</w:t>
      </w:r>
      <w:r w:rsidR="00962B99">
        <w:rPr>
          <w:rFonts w:ascii="Times" w:hAnsi="Times"/>
        </w:rPr>
        <w:t>nt</w:t>
      </w:r>
      <w:r w:rsidRPr="00FD438E">
        <w:rPr>
          <w:rFonts w:ascii="Times" w:hAnsi="Times"/>
        </w:rPr>
        <w:t xml:space="preserve"> des informations sur les gestes quotidiens ritualisés ou standardisés des artisans et ceci à des époques et des territoires très différents.</w:t>
      </w:r>
      <w:r w:rsidR="003052F1" w:rsidRPr="00FD438E">
        <w:rPr>
          <w:rFonts w:ascii="Times" w:hAnsi="Times"/>
        </w:rPr>
        <w:t xml:space="preserve"> Il est clair que des offrandes interviennent pour ces activités où le feu intervient. La gestion du feu est, dans toutes les cultures, considérée comme particulière et contrôlée par les hommes plutôt que les femmes. Des </w:t>
      </w:r>
      <w:r w:rsidR="00FD438E" w:rsidRPr="00FD438E">
        <w:rPr>
          <w:rFonts w:ascii="Times" w:hAnsi="Times"/>
        </w:rPr>
        <w:t>comparaisons</w:t>
      </w:r>
      <w:r w:rsidR="003052F1" w:rsidRPr="00FD438E">
        <w:rPr>
          <w:rFonts w:ascii="Times" w:hAnsi="Times"/>
        </w:rPr>
        <w:t xml:space="preserve"> ethnographiques </w:t>
      </w:r>
      <w:r w:rsidR="00FD438E" w:rsidRPr="00FD438E">
        <w:rPr>
          <w:rFonts w:ascii="Times" w:hAnsi="Times"/>
        </w:rPr>
        <w:t xml:space="preserve">pour des pratiques religieuses liées à l’artisanat </w:t>
      </w:r>
      <w:r w:rsidR="003052F1" w:rsidRPr="00FD438E">
        <w:rPr>
          <w:rFonts w:ascii="Times" w:hAnsi="Times"/>
        </w:rPr>
        <w:t>sont connu</w:t>
      </w:r>
      <w:r w:rsidR="00FD438E" w:rsidRPr="00FD438E">
        <w:rPr>
          <w:rFonts w:ascii="Times" w:hAnsi="Times"/>
        </w:rPr>
        <w:t>es</w:t>
      </w:r>
      <w:r w:rsidR="00FD438E">
        <w:rPr>
          <w:rFonts w:ascii="Times" w:hAnsi="Times"/>
        </w:rPr>
        <w:t xml:space="preserve"> </w:t>
      </w:r>
      <w:r w:rsidR="00FD438E" w:rsidRPr="00FD438E">
        <w:rPr>
          <w:rFonts w:ascii="Times" w:hAnsi="Times"/>
        </w:rPr>
        <w:t>(N’</w:t>
      </w:r>
      <w:proofErr w:type="spellStart"/>
      <w:r w:rsidR="00FD438E" w:rsidRPr="00FD438E">
        <w:rPr>
          <w:rFonts w:ascii="Times" w:hAnsi="Times"/>
        </w:rPr>
        <w:t>Dah</w:t>
      </w:r>
      <w:proofErr w:type="spellEnd"/>
      <w:r w:rsidR="00FD438E" w:rsidRPr="00FD438E">
        <w:rPr>
          <w:rFonts w:ascii="Times" w:hAnsi="Times"/>
        </w:rPr>
        <w:t xml:space="preserve"> et </w:t>
      </w:r>
      <w:proofErr w:type="spellStart"/>
      <w:r w:rsidR="00FD438E" w:rsidRPr="00FD438E">
        <w:rPr>
          <w:rFonts w:ascii="Times" w:hAnsi="Times"/>
        </w:rPr>
        <w:t>Tidouo</w:t>
      </w:r>
      <w:proofErr w:type="spellEnd"/>
      <w:r w:rsidR="00FD438E" w:rsidRPr="00FD438E">
        <w:rPr>
          <w:rFonts w:ascii="Times" w:hAnsi="Times"/>
        </w:rPr>
        <w:t>, 2016)</w:t>
      </w:r>
      <w:r w:rsidR="003052F1" w:rsidRPr="00FD438E">
        <w:rPr>
          <w:rFonts w:ascii="Times" w:hAnsi="Times"/>
        </w:rPr>
        <w:t xml:space="preserve"> pour les activités métallurgiques du fer </w:t>
      </w:r>
      <w:r w:rsidR="00FD438E" w:rsidRPr="00FD438E">
        <w:rPr>
          <w:rFonts w:ascii="Times" w:hAnsi="Times"/>
        </w:rPr>
        <w:t>au Bénin</w:t>
      </w:r>
      <w:r w:rsidR="003052F1" w:rsidRPr="00FD438E">
        <w:rPr>
          <w:rFonts w:ascii="Times" w:hAnsi="Times"/>
        </w:rPr>
        <w:t>.</w:t>
      </w:r>
      <w:r w:rsidR="00FD438E" w:rsidRPr="00FD438E">
        <w:rPr>
          <w:rFonts w:ascii="Times" w:hAnsi="Times"/>
        </w:rPr>
        <w:t xml:space="preserve"> Pour les citer « </w:t>
      </w:r>
      <w:r w:rsidR="00FD438E" w:rsidRPr="00FD438E">
        <w:rPr>
          <w:rFonts w:ascii="Times" w:hAnsi="Times"/>
        </w:rPr>
        <w:t xml:space="preserve">Ainsi de l’extraction du minerai à la </w:t>
      </w:r>
      <w:r w:rsidR="00FD438E" w:rsidRPr="00FD438E">
        <w:rPr>
          <w:rFonts w:ascii="Times" w:hAnsi="Times"/>
        </w:rPr>
        <w:t>réduction</w:t>
      </w:r>
      <w:r w:rsidR="00FD438E" w:rsidRPr="00FD438E">
        <w:rPr>
          <w:rFonts w:ascii="Times" w:hAnsi="Times"/>
        </w:rPr>
        <w:t xml:space="preserve"> proprement dite en passant par la construction du fourneau, certains rites, sacrifices et interdits sont obligatoires pour garantir la </w:t>
      </w:r>
      <w:r w:rsidR="00FD438E" w:rsidRPr="00FD438E">
        <w:rPr>
          <w:rFonts w:ascii="Times" w:hAnsi="Times"/>
        </w:rPr>
        <w:t>réussite</w:t>
      </w:r>
      <w:r w:rsidR="00FD438E" w:rsidRPr="00FD438E">
        <w:rPr>
          <w:rFonts w:ascii="Times" w:hAnsi="Times"/>
        </w:rPr>
        <w:t xml:space="preserve"> des </w:t>
      </w:r>
      <w:r w:rsidR="00FD438E" w:rsidRPr="00FD438E">
        <w:rPr>
          <w:rFonts w:ascii="Times" w:hAnsi="Times"/>
        </w:rPr>
        <w:t>opérations</w:t>
      </w:r>
      <w:r w:rsidR="00FD438E">
        <w:rPr>
          <w:rFonts w:ascii="Times" w:hAnsi="Times"/>
        </w:rPr>
        <w:t>. »</w:t>
      </w:r>
    </w:p>
    <w:p w:rsidR="00F72830" w:rsidRPr="00D345C7" w:rsidRDefault="00FD438E" w:rsidP="00D345C7">
      <w:pPr>
        <w:pStyle w:val="NormalWeb"/>
        <w:spacing w:line="360" w:lineRule="auto"/>
        <w:jc w:val="both"/>
        <w:rPr>
          <w:rFonts w:ascii="Times" w:hAnsi="Times"/>
        </w:rPr>
      </w:pPr>
      <w:r>
        <w:rPr>
          <w:rFonts w:ascii="Times" w:hAnsi="Times"/>
        </w:rPr>
        <w:t xml:space="preserve">Nous ne nous doutons donc pas de l’existence de nombreux rites, gestuels, sacrifices ou offrandes qui ont dû exister </w:t>
      </w:r>
      <w:r w:rsidR="00D345C7">
        <w:rPr>
          <w:rFonts w:ascii="Times" w:hAnsi="Times"/>
        </w:rPr>
        <w:t>autour du travail du potier et plus particulièrement celui effectué dans le four lors de sa construction, sa mise en route/cuisson et son abandon final.</w:t>
      </w:r>
    </w:p>
    <w:p w:rsidR="00E4428B" w:rsidRPr="00F37CB0" w:rsidRDefault="00F72830">
      <w:r>
        <w:t xml:space="preserve">Il ne faut </w:t>
      </w:r>
      <w:r w:rsidR="00D345C7">
        <w:t xml:space="preserve">donc </w:t>
      </w:r>
      <w:r>
        <w:t xml:space="preserve">pas hésiter à couper les structures potières, ni </w:t>
      </w:r>
      <w:r w:rsidR="00E211B1">
        <w:t xml:space="preserve">hésiter </w:t>
      </w:r>
      <w:r>
        <w:t xml:space="preserve">de les publier avec leur contenu dans l’intérêt de ne pas les vider de leur </w:t>
      </w:r>
      <w:bookmarkStart w:id="0" w:name="_GoBack"/>
      <w:r>
        <w:t>sens</w:t>
      </w:r>
      <w:bookmarkEnd w:id="0"/>
      <w:r w:rsidR="00D345C7">
        <w:t xml:space="preserve"> ni d’étudier les déchets d’une manière plus large que </w:t>
      </w:r>
      <w:r w:rsidR="004231C2">
        <w:t xml:space="preserve">seulement </w:t>
      </w:r>
      <w:r w:rsidR="00D345C7">
        <w:t>comme résultat d’une chaîne opératoire</w:t>
      </w:r>
      <w:r>
        <w:t>.</w:t>
      </w:r>
    </w:p>
    <w:sectPr w:rsidR="00E4428B" w:rsidRPr="00F37CB0" w:rsidSect="002061E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Corps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CA3F50"/>
    <w:multiLevelType w:val="hybridMultilevel"/>
    <w:tmpl w:val="5972CC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95"/>
    <w:rsid w:val="00023F00"/>
    <w:rsid w:val="0004107E"/>
    <w:rsid w:val="0005622C"/>
    <w:rsid w:val="000767BD"/>
    <w:rsid w:val="000D0464"/>
    <w:rsid w:val="000E2F76"/>
    <w:rsid w:val="001067F3"/>
    <w:rsid w:val="0011074A"/>
    <w:rsid w:val="001147E4"/>
    <w:rsid w:val="00140E35"/>
    <w:rsid w:val="00180552"/>
    <w:rsid w:val="00183DAE"/>
    <w:rsid w:val="001A148C"/>
    <w:rsid w:val="001C09E5"/>
    <w:rsid w:val="001D0BC1"/>
    <w:rsid w:val="001D69DB"/>
    <w:rsid w:val="001E005A"/>
    <w:rsid w:val="001F5E24"/>
    <w:rsid w:val="00205002"/>
    <w:rsid w:val="002061E3"/>
    <w:rsid w:val="00212C0E"/>
    <w:rsid w:val="002278DF"/>
    <w:rsid w:val="002814FA"/>
    <w:rsid w:val="002906F2"/>
    <w:rsid w:val="002968E7"/>
    <w:rsid w:val="002A3A15"/>
    <w:rsid w:val="002C70A4"/>
    <w:rsid w:val="002E66B3"/>
    <w:rsid w:val="002F4CD9"/>
    <w:rsid w:val="002F536C"/>
    <w:rsid w:val="003052F1"/>
    <w:rsid w:val="00323ECF"/>
    <w:rsid w:val="003622BD"/>
    <w:rsid w:val="003773D3"/>
    <w:rsid w:val="00387EB1"/>
    <w:rsid w:val="003A61D3"/>
    <w:rsid w:val="003E6B88"/>
    <w:rsid w:val="003E776C"/>
    <w:rsid w:val="003E7A26"/>
    <w:rsid w:val="0040352B"/>
    <w:rsid w:val="004231C2"/>
    <w:rsid w:val="00456192"/>
    <w:rsid w:val="004C1488"/>
    <w:rsid w:val="004D044A"/>
    <w:rsid w:val="004E4D72"/>
    <w:rsid w:val="0052267E"/>
    <w:rsid w:val="00522FA2"/>
    <w:rsid w:val="0052301C"/>
    <w:rsid w:val="00530314"/>
    <w:rsid w:val="005673BD"/>
    <w:rsid w:val="00567F71"/>
    <w:rsid w:val="00582BD6"/>
    <w:rsid w:val="005938DB"/>
    <w:rsid w:val="00596FDE"/>
    <w:rsid w:val="005C02B5"/>
    <w:rsid w:val="005D1EC2"/>
    <w:rsid w:val="00601622"/>
    <w:rsid w:val="0061724D"/>
    <w:rsid w:val="00626CB9"/>
    <w:rsid w:val="00656B31"/>
    <w:rsid w:val="00660408"/>
    <w:rsid w:val="0066058C"/>
    <w:rsid w:val="00663496"/>
    <w:rsid w:val="006702E6"/>
    <w:rsid w:val="00676E1B"/>
    <w:rsid w:val="006B5532"/>
    <w:rsid w:val="00700DD8"/>
    <w:rsid w:val="00755271"/>
    <w:rsid w:val="007C447B"/>
    <w:rsid w:val="007E6A7C"/>
    <w:rsid w:val="007F5A11"/>
    <w:rsid w:val="007F7701"/>
    <w:rsid w:val="008128B9"/>
    <w:rsid w:val="00834275"/>
    <w:rsid w:val="00835411"/>
    <w:rsid w:val="008457E1"/>
    <w:rsid w:val="008616C0"/>
    <w:rsid w:val="008661A4"/>
    <w:rsid w:val="008705B3"/>
    <w:rsid w:val="0087296F"/>
    <w:rsid w:val="00881924"/>
    <w:rsid w:val="008A01D9"/>
    <w:rsid w:val="008C0829"/>
    <w:rsid w:val="008C4EBF"/>
    <w:rsid w:val="008C5CFA"/>
    <w:rsid w:val="008F3BC8"/>
    <w:rsid w:val="00905F9D"/>
    <w:rsid w:val="00912DE7"/>
    <w:rsid w:val="009146C0"/>
    <w:rsid w:val="00925E47"/>
    <w:rsid w:val="0093091C"/>
    <w:rsid w:val="00962B99"/>
    <w:rsid w:val="009B6DA6"/>
    <w:rsid w:val="009D1D76"/>
    <w:rsid w:val="009D5F88"/>
    <w:rsid w:val="009E0DDB"/>
    <w:rsid w:val="009E1E3D"/>
    <w:rsid w:val="009F5CF8"/>
    <w:rsid w:val="00A03E81"/>
    <w:rsid w:val="00A375A9"/>
    <w:rsid w:val="00A56904"/>
    <w:rsid w:val="00A67F1F"/>
    <w:rsid w:val="00A813C0"/>
    <w:rsid w:val="00AC38CB"/>
    <w:rsid w:val="00AC7F5B"/>
    <w:rsid w:val="00AD4850"/>
    <w:rsid w:val="00AD74DE"/>
    <w:rsid w:val="00B21ADE"/>
    <w:rsid w:val="00B27AFB"/>
    <w:rsid w:val="00B30A52"/>
    <w:rsid w:val="00B3356A"/>
    <w:rsid w:val="00B34077"/>
    <w:rsid w:val="00B345CE"/>
    <w:rsid w:val="00B57A10"/>
    <w:rsid w:val="00B71491"/>
    <w:rsid w:val="00B81E0E"/>
    <w:rsid w:val="00C01CAA"/>
    <w:rsid w:val="00C07DD2"/>
    <w:rsid w:val="00C66ADC"/>
    <w:rsid w:val="00C7424B"/>
    <w:rsid w:val="00C80713"/>
    <w:rsid w:val="00C87B70"/>
    <w:rsid w:val="00CA171B"/>
    <w:rsid w:val="00CB04A5"/>
    <w:rsid w:val="00CF3A7B"/>
    <w:rsid w:val="00CF4BEC"/>
    <w:rsid w:val="00D00B49"/>
    <w:rsid w:val="00D144C7"/>
    <w:rsid w:val="00D345C7"/>
    <w:rsid w:val="00D54CA0"/>
    <w:rsid w:val="00D60B88"/>
    <w:rsid w:val="00DD2D8F"/>
    <w:rsid w:val="00DE6C3C"/>
    <w:rsid w:val="00E121F9"/>
    <w:rsid w:val="00E211B1"/>
    <w:rsid w:val="00E4428B"/>
    <w:rsid w:val="00E5113F"/>
    <w:rsid w:val="00E60E95"/>
    <w:rsid w:val="00E66026"/>
    <w:rsid w:val="00E74F9C"/>
    <w:rsid w:val="00E803BA"/>
    <w:rsid w:val="00E80C73"/>
    <w:rsid w:val="00EB43A1"/>
    <w:rsid w:val="00EC43F1"/>
    <w:rsid w:val="00F150CD"/>
    <w:rsid w:val="00F21C1E"/>
    <w:rsid w:val="00F37CB0"/>
    <w:rsid w:val="00F400EA"/>
    <w:rsid w:val="00F41DED"/>
    <w:rsid w:val="00F430D3"/>
    <w:rsid w:val="00F70BD1"/>
    <w:rsid w:val="00F72830"/>
    <w:rsid w:val="00F8097B"/>
    <w:rsid w:val="00F8462B"/>
    <w:rsid w:val="00FA671A"/>
    <w:rsid w:val="00FC1A18"/>
    <w:rsid w:val="00FD438E"/>
    <w:rsid w:val="00FE42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33EE9"/>
  <w15:chartTrackingRefBased/>
  <w15:docId w15:val="{248A72FF-6636-314D-A961-8121C735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701"/>
    <w:pPr>
      <w:spacing w:after="200" w:line="360" w:lineRule="auto"/>
      <w:jc w:val="both"/>
    </w:pPr>
    <w:rPr>
      <w:rFonts w:ascii="Times" w:eastAsiaTheme="minorEastAsia" w:hAnsi="Times" w:cs="Times New Roman (Corps CS)"/>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058C"/>
    <w:pPr>
      <w:ind w:left="720"/>
      <w:contextualSpacing/>
    </w:pPr>
  </w:style>
  <w:style w:type="paragraph" w:styleId="NormalWeb">
    <w:name w:val="Normal (Web)"/>
    <w:basedOn w:val="Normal"/>
    <w:uiPriority w:val="99"/>
    <w:unhideWhenUsed/>
    <w:rsid w:val="00FD438E"/>
    <w:pPr>
      <w:spacing w:before="100" w:beforeAutospacing="1" w:after="100" w:afterAutospacing="1" w:line="240" w:lineRule="auto"/>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849042">
      <w:bodyDiv w:val="1"/>
      <w:marLeft w:val="0"/>
      <w:marRight w:val="0"/>
      <w:marTop w:val="0"/>
      <w:marBottom w:val="0"/>
      <w:divBdr>
        <w:top w:val="none" w:sz="0" w:space="0" w:color="auto"/>
        <w:left w:val="none" w:sz="0" w:space="0" w:color="auto"/>
        <w:bottom w:val="none" w:sz="0" w:space="0" w:color="auto"/>
        <w:right w:val="none" w:sz="0" w:space="0" w:color="auto"/>
      </w:divBdr>
      <w:divsChild>
        <w:div w:id="287784870">
          <w:marLeft w:val="0"/>
          <w:marRight w:val="0"/>
          <w:marTop w:val="0"/>
          <w:marBottom w:val="0"/>
          <w:divBdr>
            <w:top w:val="none" w:sz="0" w:space="0" w:color="auto"/>
            <w:left w:val="none" w:sz="0" w:space="0" w:color="auto"/>
            <w:bottom w:val="none" w:sz="0" w:space="0" w:color="auto"/>
            <w:right w:val="none" w:sz="0" w:space="0" w:color="auto"/>
          </w:divBdr>
          <w:divsChild>
            <w:div w:id="421802972">
              <w:marLeft w:val="0"/>
              <w:marRight w:val="0"/>
              <w:marTop w:val="0"/>
              <w:marBottom w:val="0"/>
              <w:divBdr>
                <w:top w:val="none" w:sz="0" w:space="0" w:color="auto"/>
                <w:left w:val="none" w:sz="0" w:space="0" w:color="auto"/>
                <w:bottom w:val="none" w:sz="0" w:space="0" w:color="auto"/>
                <w:right w:val="none" w:sz="0" w:space="0" w:color="auto"/>
              </w:divBdr>
              <w:divsChild>
                <w:div w:id="1311834933">
                  <w:marLeft w:val="0"/>
                  <w:marRight w:val="0"/>
                  <w:marTop w:val="0"/>
                  <w:marBottom w:val="0"/>
                  <w:divBdr>
                    <w:top w:val="none" w:sz="0" w:space="0" w:color="auto"/>
                    <w:left w:val="none" w:sz="0" w:space="0" w:color="auto"/>
                    <w:bottom w:val="none" w:sz="0" w:space="0" w:color="auto"/>
                    <w:right w:val="none" w:sz="0" w:space="0" w:color="auto"/>
                  </w:divBdr>
                  <w:divsChild>
                    <w:div w:id="5481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8</Pages>
  <Words>2910</Words>
  <Characters>16008</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Willems</dc:creator>
  <cp:keywords/>
  <dc:description/>
  <cp:lastModifiedBy>Sonja Willems</cp:lastModifiedBy>
  <cp:revision>48</cp:revision>
  <cp:lastPrinted>2019-05-29T16:48:00Z</cp:lastPrinted>
  <dcterms:created xsi:type="dcterms:W3CDTF">2019-05-07T13:48:00Z</dcterms:created>
  <dcterms:modified xsi:type="dcterms:W3CDTF">2019-05-29T16:51:00Z</dcterms:modified>
</cp:coreProperties>
</file>