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F1D54" w14:textId="77777777" w:rsidR="004B7BC3" w:rsidRDefault="004B7BC3"/>
    <w:p w14:paraId="16B7779B" w14:textId="77777777" w:rsidR="00EF7BFC" w:rsidRDefault="00EF7BFC" w:rsidP="00EF7BFC">
      <w:pPr>
        <w:spacing w:after="0" w:line="240" w:lineRule="auto"/>
        <w:jc w:val="center"/>
        <w:rPr>
          <w:rFonts w:cstheme="minorHAnsi"/>
          <w:b/>
          <w:sz w:val="24"/>
          <w:szCs w:val="24"/>
          <w:u w:val="single"/>
        </w:rPr>
      </w:pPr>
      <w:r w:rsidRPr="00EF7BFC">
        <w:rPr>
          <w:rFonts w:cstheme="minorHAnsi"/>
          <w:b/>
          <w:sz w:val="24"/>
          <w:szCs w:val="24"/>
          <w:u w:val="single"/>
        </w:rPr>
        <w:t xml:space="preserve">Inégalités intersectionnelles </w:t>
      </w:r>
      <w:r>
        <w:rPr>
          <w:rFonts w:cstheme="minorHAnsi"/>
          <w:b/>
          <w:sz w:val="24"/>
          <w:szCs w:val="24"/>
          <w:u w:val="single"/>
        </w:rPr>
        <w:t xml:space="preserve">dans les politiques éducatives en Belgique </w:t>
      </w:r>
    </w:p>
    <w:p w14:paraId="6D3DA1D2" w14:textId="3F70EB55" w:rsidR="004D729D" w:rsidRDefault="000559C1" w:rsidP="00EF7BFC">
      <w:pPr>
        <w:spacing w:after="0" w:line="240" w:lineRule="auto"/>
        <w:jc w:val="center"/>
        <w:rPr>
          <w:rFonts w:cstheme="minorHAnsi"/>
          <w:bCs/>
          <w:sz w:val="24"/>
          <w:szCs w:val="24"/>
        </w:rPr>
      </w:pPr>
      <w:r w:rsidRPr="000559C1">
        <w:rPr>
          <w:rFonts w:cstheme="minorHAnsi"/>
          <w:bCs/>
          <w:sz w:val="24"/>
          <w:szCs w:val="24"/>
        </w:rPr>
        <w:t>André Géraldine (GIRSEF-UCL) et Westerveen Laura (</w:t>
      </w:r>
      <w:proofErr w:type="spellStart"/>
      <w:r>
        <w:rPr>
          <w:rFonts w:cstheme="minorHAnsi"/>
          <w:bCs/>
          <w:sz w:val="24"/>
          <w:szCs w:val="24"/>
        </w:rPr>
        <w:t>BS</w:t>
      </w:r>
      <w:r w:rsidR="004D729D">
        <w:rPr>
          <w:rFonts w:cstheme="minorHAnsi"/>
          <w:bCs/>
          <w:sz w:val="24"/>
          <w:szCs w:val="24"/>
        </w:rPr>
        <w:t>oG</w:t>
      </w:r>
      <w:proofErr w:type="spellEnd"/>
      <w:r w:rsidR="004D729D">
        <w:rPr>
          <w:rFonts w:cstheme="minorHAnsi"/>
          <w:bCs/>
          <w:sz w:val="24"/>
          <w:szCs w:val="24"/>
        </w:rPr>
        <w:t>-</w:t>
      </w:r>
      <w:r>
        <w:rPr>
          <w:rFonts w:cstheme="minorHAnsi"/>
          <w:bCs/>
          <w:sz w:val="24"/>
          <w:szCs w:val="24"/>
        </w:rPr>
        <w:t>VUB</w:t>
      </w:r>
      <w:r w:rsidR="004D729D">
        <w:rPr>
          <w:rFonts w:cstheme="minorHAnsi"/>
          <w:bCs/>
          <w:sz w:val="24"/>
          <w:szCs w:val="24"/>
        </w:rPr>
        <w:t>)</w:t>
      </w:r>
    </w:p>
    <w:p w14:paraId="6A2FE448" w14:textId="5E947F34" w:rsidR="00915F5C" w:rsidRPr="001B7D22" w:rsidRDefault="00957325" w:rsidP="007161E1">
      <w:pPr>
        <w:spacing w:after="0" w:line="240" w:lineRule="auto"/>
        <w:jc w:val="both"/>
        <w:rPr>
          <w:rFonts w:cstheme="minorHAnsi"/>
          <w:bCs/>
        </w:rPr>
      </w:pPr>
      <w:r w:rsidRPr="001B7D22">
        <w:rPr>
          <w:rFonts w:cstheme="minorHAnsi"/>
          <w:bCs/>
        </w:rPr>
        <w:t xml:space="preserve">Alors que la recherche parle de plus en plus d'inégalités intersectionnelles </w:t>
      </w:r>
      <w:r w:rsidR="00FB2365" w:rsidRPr="001B7D22">
        <w:rPr>
          <w:rFonts w:cstheme="minorHAnsi"/>
          <w:bCs/>
        </w:rPr>
        <w:t>et met en avant la</w:t>
      </w:r>
      <w:r w:rsidRPr="001B7D22">
        <w:rPr>
          <w:rFonts w:cstheme="minorHAnsi"/>
          <w:bCs/>
        </w:rPr>
        <w:t xml:space="preserve"> nécessité d'adopter une approche intersectionnelle dans l'étude des inégalités</w:t>
      </w:r>
      <w:r w:rsidR="00190E64" w:rsidRPr="001B7D22">
        <w:rPr>
          <w:rFonts w:cstheme="minorHAnsi"/>
          <w:bCs/>
        </w:rPr>
        <w:t xml:space="preserve"> scolaires et </w:t>
      </w:r>
      <w:r w:rsidR="00D20398" w:rsidRPr="001B7D22">
        <w:rPr>
          <w:rFonts w:cstheme="minorHAnsi"/>
          <w:bCs/>
        </w:rPr>
        <w:t>de la</w:t>
      </w:r>
      <w:r w:rsidR="00190E64" w:rsidRPr="001B7D22">
        <w:rPr>
          <w:rFonts w:cstheme="minorHAnsi"/>
          <w:bCs/>
        </w:rPr>
        <w:t xml:space="preserve"> discrimination à l’école</w:t>
      </w:r>
      <w:r w:rsidRPr="001B7D22">
        <w:rPr>
          <w:rFonts w:cstheme="minorHAnsi"/>
          <w:bCs/>
        </w:rPr>
        <w:t xml:space="preserve">, peu de choses ont été faites jusqu'à présent pour étudier l'utilisation d'un tel cadre intersectionnel dans les politiques éducatives. Dans cet article, nous examinons </w:t>
      </w:r>
      <w:r w:rsidR="008937D9" w:rsidRPr="001B7D22">
        <w:rPr>
          <w:rFonts w:cstheme="minorHAnsi"/>
          <w:bCs/>
        </w:rPr>
        <w:t xml:space="preserve">si et comment </w:t>
      </w:r>
      <w:r w:rsidRPr="001B7D22">
        <w:rPr>
          <w:rFonts w:cstheme="minorHAnsi"/>
          <w:bCs/>
        </w:rPr>
        <w:t xml:space="preserve">les inégalités </w:t>
      </w:r>
      <w:r w:rsidR="003D1557" w:rsidRPr="001B7D22">
        <w:rPr>
          <w:rFonts w:cstheme="minorHAnsi"/>
          <w:bCs/>
        </w:rPr>
        <w:t>intersectionnelles</w:t>
      </w:r>
      <w:r w:rsidR="004B01A0" w:rsidRPr="001B7D22">
        <w:rPr>
          <w:rFonts w:cstheme="minorHAnsi"/>
          <w:bCs/>
        </w:rPr>
        <w:t xml:space="preserve"> à l’école</w:t>
      </w:r>
      <w:r w:rsidR="003D1557" w:rsidRPr="001B7D22">
        <w:rPr>
          <w:rFonts w:cstheme="minorHAnsi"/>
          <w:bCs/>
        </w:rPr>
        <w:t xml:space="preserve"> </w:t>
      </w:r>
      <w:r w:rsidRPr="001B7D22">
        <w:rPr>
          <w:rFonts w:cstheme="minorHAnsi"/>
          <w:bCs/>
        </w:rPr>
        <w:t>sont abordées</w:t>
      </w:r>
      <w:r w:rsidR="00692766" w:rsidRPr="001B7D22">
        <w:rPr>
          <w:rFonts w:cstheme="minorHAnsi"/>
          <w:bCs/>
        </w:rPr>
        <w:t xml:space="preserve"> dans les politiques éducatives en </w:t>
      </w:r>
      <w:r w:rsidR="003D43D2" w:rsidRPr="001B7D22">
        <w:rPr>
          <w:rFonts w:cstheme="minorHAnsi"/>
          <w:bCs/>
        </w:rPr>
        <w:t xml:space="preserve">Belgique, </w:t>
      </w:r>
      <w:r w:rsidR="00B415E1" w:rsidRPr="001B7D22">
        <w:rPr>
          <w:rFonts w:cstheme="minorHAnsi"/>
          <w:bCs/>
        </w:rPr>
        <w:t xml:space="preserve">tant </w:t>
      </w:r>
      <w:r w:rsidR="0092337E" w:rsidRPr="001B7D22">
        <w:rPr>
          <w:rFonts w:cstheme="minorHAnsi"/>
          <w:bCs/>
        </w:rPr>
        <w:t xml:space="preserve">dans le </w:t>
      </w:r>
      <w:r w:rsidR="003D43D2" w:rsidRPr="001B7D22">
        <w:rPr>
          <w:rFonts w:cstheme="minorHAnsi"/>
          <w:bCs/>
        </w:rPr>
        <w:t xml:space="preserve">système néerlandophone régi par le gouvernement flamand </w:t>
      </w:r>
      <w:r w:rsidR="00B415E1" w:rsidRPr="001B7D22">
        <w:rPr>
          <w:rFonts w:cstheme="minorHAnsi"/>
          <w:bCs/>
        </w:rPr>
        <w:t xml:space="preserve">que dans </w:t>
      </w:r>
      <w:r w:rsidR="003D43D2" w:rsidRPr="001B7D22">
        <w:rPr>
          <w:rFonts w:cstheme="minorHAnsi"/>
          <w:bCs/>
        </w:rPr>
        <w:t>le système francophone régi par la Fédération Wallonie-Bruxell</w:t>
      </w:r>
      <w:r w:rsidR="00B415E1" w:rsidRPr="001B7D22">
        <w:rPr>
          <w:rFonts w:cstheme="minorHAnsi"/>
          <w:bCs/>
        </w:rPr>
        <w:t xml:space="preserve">es. </w:t>
      </w:r>
      <w:r w:rsidRPr="001B7D22">
        <w:rPr>
          <w:rFonts w:cstheme="minorHAnsi"/>
          <w:bCs/>
        </w:rPr>
        <w:t xml:space="preserve">Pour </w:t>
      </w:r>
      <w:r w:rsidR="004B01A0" w:rsidRPr="001B7D22">
        <w:rPr>
          <w:rFonts w:cstheme="minorHAnsi"/>
          <w:bCs/>
        </w:rPr>
        <w:t xml:space="preserve">étudier </w:t>
      </w:r>
      <w:r w:rsidRPr="001B7D22">
        <w:rPr>
          <w:rFonts w:cstheme="minorHAnsi"/>
          <w:bCs/>
        </w:rPr>
        <w:t>ce</w:t>
      </w:r>
      <w:r w:rsidR="00FE4592" w:rsidRPr="001B7D22">
        <w:rPr>
          <w:rFonts w:cstheme="minorHAnsi"/>
          <w:bCs/>
        </w:rPr>
        <w:t>s</w:t>
      </w:r>
      <w:r w:rsidRPr="001B7D22">
        <w:rPr>
          <w:rFonts w:cstheme="minorHAnsi"/>
          <w:bCs/>
        </w:rPr>
        <w:t xml:space="preserve"> question</w:t>
      </w:r>
      <w:r w:rsidR="00FE4592" w:rsidRPr="001B7D22">
        <w:rPr>
          <w:rFonts w:cstheme="minorHAnsi"/>
          <w:bCs/>
        </w:rPr>
        <w:t>s</w:t>
      </w:r>
      <w:r w:rsidRPr="001B7D22">
        <w:rPr>
          <w:rFonts w:cstheme="minorHAnsi"/>
          <w:bCs/>
        </w:rPr>
        <w:t>,</w:t>
      </w:r>
      <w:r w:rsidR="00F45A87" w:rsidRPr="001B7D22">
        <w:rPr>
          <w:rFonts w:cstheme="minorHAnsi"/>
          <w:bCs/>
        </w:rPr>
        <w:t xml:space="preserve"> </w:t>
      </w:r>
      <w:r w:rsidR="00FE4592" w:rsidRPr="001B7D22">
        <w:rPr>
          <w:rFonts w:cstheme="minorHAnsi"/>
          <w:bCs/>
        </w:rPr>
        <w:t>dans un premier temps</w:t>
      </w:r>
      <w:r w:rsidR="002449A5" w:rsidRPr="001B7D22">
        <w:rPr>
          <w:rFonts w:cstheme="minorHAnsi"/>
          <w:bCs/>
        </w:rPr>
        <w:t>,</w:t>
      </w:r>
      <w:r w:rsidR="00FE4592" w:rsidRPr="001B7D22">
        <w:rPr>
          <w:rFonts w:cstheme="minorHAnsi"/>
          <w:bCs/>
        </w:rPr>
        <w:t xml:space="preserve"> </w:t>
      </w:r>
      <w:r w:rsidR="00F45A87" w:rsidRPr="001B7D22">
        <w:rPr>
          <w:rFonts w:cstheme="minorHAnsi"/>
          <w:bCs/>
        </w:rPr>
        <w:t>nous présentons notre cadre d’analyse sur l’intersectionnalité et la manière dont nous l’avons opérationnalisé dans notre étude.</w:t>
      </w:r>
      <w:r w:rsidR="0093151D" w:rsidRPr="001B7D22">
        <w:rPr>
          <w:bCs/>
        </w:rPr>
        <w:t xml:space="preserve"> </w:t>
      </w:r>
      <w:r w:rsidR="0093151D" w:rsidRPr="001B7D22">
        <w:rPr>
          <w:bCs/>
        </w:rPr>
        <w:t>Ayant émergé de la recherche féministe noire (</w:t>
      </w:r>
      <w:proofErr w:type="spellStart"/>
      <w:r w:rsidR="0093151D" w:rsidRPr="001B7D22">
        <w:rPr>
          <w:bCs/>
        </w:rPr>
        <w:t>Crenshaw</w:t>
      </w:r>
      <w:proofErr w:type="spellEnd"/>
      <w:r w:rsidR="0093151D" w:rsidRPr="001B7D22">
        <w:rPr>
          <w:bCs/>
        </w:rPr>
        <w:t>, 1989), l'intersectionnalité nous enseigne comment l'inégalité est mutuellement constituée par différentes catégories socialement construites. Elle montre comment différentes catégories telles que la race, l'ethnicité, le genre, la classe, la sexualité, la nationalité, la capacité et l'âge se croisent et coproduisent des inégalités à multiples facettes (Hill Collins, 2015 : 2).</w:t>
      </w:r>
      <w:r w:rsidR="007767F7" w:rsidRPr="001B7D22">
        <w:rPr>
          <w:rFonts w:cstheme="minorHAnsi"/>
          <w:bCs/>
        </w:rPr>
        <w:t xml:space="preserve"> </w:t>
      </w:r>
      <w:r w:rsidR="00C0565D" w:rsidRPr="001B7D22">
        <w:rPr>
          <w:rFonts w:cstheme="minorHAnsi"/>
          <w:bCs/>
        </w:rPr>
        <w:t>Dans un second temps</w:t>
      </w:r>
      <w:r w:rsidR="007767F7" w:rsidRPr="001B7D22">
        <w:rPr>
          <w:rFonts w:cstheme="minorHAnsi"/>
          <w:bCs/>
        </w:rPr>
        <w:t xml:space="preserve">, nous présentons les principaux résultats </w:t>
      </w:r>
      <w:r w:rsidR="0071338B" w:rsidRPr="001B7D22">
        <w:rPr>
          <w:rFonts w:cstheme="minorHAnsi"/>
          <w:bCs/>
        </w:rPr>
        <w:t>obtenus de notre analyse des</w:t>
      </w:r>
      <w:r w:rsidRPr="001B7D22">
        <w:rPr>
          <w:rFonts w:cstheme="minorHAnsi"/>
          <w:bCs/>
        </w:rPr>
        <w:t xml:space="preserve"> politiques éducatives </w:t>
      </w:r>
      <w:r w:rsidR="0071338B" w:rsidRPr="001B7D22">
        <w:rPr>
          <w:rFonts w:cstheme="minorHAnsi"/>
          <w:bCs/>
        </w:rPr>
        <w:t xml:space="preserve">en </w:t>
      </w:r>
      <w:r w:rsidR="00CB7D6E" w:rsidRPr="001B7D22">
        <w:rPr>
          <w:rFonts w:cstheme="minorHAnsi"/>
          <w:bCs/>
        </w:rPr>
        <w:t xml:space="preserve">Belgique </w:t>
      </w:r>
      <w:r w:rsidR="009F3B74" w:rsidRPr="001B7D22">
        <w:rPr>
          <w:rFonts w:cstheme="minorHAnsi"/>
          <w:bCs/>
        </w:rPr>
        <w:t>au cours des deux dernières décennies</w:t>
      </w:r>
      <w:r w:rsidR="00AC34D7" w:rsidRPr="001B7D22">
        <w:rPr>
          <w:rFonts w:cstheme="minorHAnsi"/>
          <w:bCs/>
        </w:rPr>
        <w:t xml:space="preserve"> (1999-2022)</w:t>
      </w:r>
      <w:r w:rsidR="009F3B74" w:rsidRPr="001B7D22">
        <w:rPr>
          <w:rFonts w:cstheme="minorHAnsi"/>
          <w:bCs/>
        </w:rPr>
        <w:t xml:space="preserve"> et en</w:t>
      </w:r>
      <w:r w:rsidRPr="001B7D22">
        <w:rPr>
          <w:rFonts w:cstheme="minorHAnsi"/>
          <w:bCs/>
        </w:rPr>
        <w:t xml:space="preserve"> nous concentrant sur l'enseignement obligatoire (primaire et secondaire). Comme nous le démontrerons dans cet article, ces deux systèmes éducatifs belges abordent très différemment les </w:t>
      </w:r>
      <w:r w:rsidR="00C06FC9" w:rsidRPr="001B7D22">
        <w:rPr>
          <w:rFonts w:cstheme="minorHAnsi"/>
          <w:bCs/>
        </w:rPr>
        <w:t>catégories d’origine sociale</w:t>
      </w:r>
      <w:r w:rsidRPr="001B7D22">
        <w:rPr>
          <w:rFonts w:cstheme="minorHAnsi"/>
          <w:bCs/>
        </w:rPr>
        <w:t xml:space="preserve">, de genre, d'ethnicité ou de "race", d'orientation sexuelle et de capacités physiques et mentales, ainsi que leurs intersections. </w:t>
      </w:r>
      <w:r w:rsidR="00D640A4" w:rsidRPr="001B7D22">
        <w:rPr>
          <w:rFonts w:cstheme="minorHAnsi"/>
          <w:bCs/>
        </w:rPr>
        <w:t>Dans le même temps, d’un côté comme de l’autre</w:t>
      </w:r>
      <w:r w:rsidR="007F25C8" w:rsidRPr="001B7D22">
        <w:rPr>
          <w:rFonts w:cstheme="minorHAnsi"/>
          <w:bCs/>
        </w:rPr>
        <w:t>, les pouvoirs publics ont eu tendance à se concentrer sur un seul axe d'inégalités, sans problématiser les effets de l'intersection de positions et d'identités multiples des élèves. Cependant, à partir de la fin de la seconde décennie 2000, sous l'influence notamment de la législation anti-discrimination, de l'Union européenne, mais aussi du Conseil de l'Europe</w:t>
      </w:r>
      <w:r w:rsidR="001079B3" w:rsidRPr="001B7D22">
        <w:rPr>
          <w:rFonts w:cstheme="minorHAnsi"/>
          <w:bCs/>
        </w:rPr>
        <w:t xml:space="preserve"> et d’</w:t>
      </w:r>
      <w:r w:rsidR="00EF2C87" w:rsidRPr="001B7D22">
        <w:rPr>
          <w:rFonts w:cstheme="minorHAnsi"/>
          <w:bCs/>
        </w:rPr>
        <w:t>une conception inclusive de l’égalité</w:t>
      </w:r>
      <w:r w:rsidR="00AD3E30" w:rsidRPr="001B7D22">
        <w:rPr>
          <w:rFonts w:cstheme="minorHAnsi"/>
          <w:bCs/>
        </w:rPr>
        <w:t xml:space="preserve"> en éducation, se dégage un</w:t>
      </w:r>
      <w:r w:rsidR="00BF55A0" w:rsidRPr="001B7D22">
        <w:rPr>
          <w:rFonts w:cstheme="minorHAnsi"/>
          <w:bCs/>
        </w:rPr>
        <w:t xml:space="preserve"> discours sur les effets cumulatifs </w:t>
      </w:r>
      <w:r w:rsidR="00970E97" w:rsidRPr="001B7D22">
        <w:rPr>
          <w:rFonts w:cstheme="minorHAnsi"/>
          <w:bCs/>
        </w:rPr>
        <w:t xml:space="preserve">de différentes facteurs et dimensions des inégalités en </w:t>
      </w:r>
      <w:r w:rsidR="002449A5" w:rsidRPr="001B7D22">
        <w:rPr>
          <w:rFonts w:cstheme="minorHAnsi"/>
          <w:bCs/>
        </w:rPr>
        <w:t>éducation</w:t>
      </w:r>
      <w:r w:rsidR="00970E97" w:rsidRPr="001B7D22">
        <w:rPr>
          <w:rFonts w:cstheme="minorHAnsi"/>
          <w:bCs/>
        </w:rPr>
        <w:t xml:space="preserve">. </w:t>
      </w:r>
    </w:p>
    <w:p w14:paraId="459A52BE" w14:textId="77777777" w:rsidR="00C66203" w:rsidRPr="00BB1F28" w:rsidRDefault="00C66203" w:rsidP="00C66203"/>
    <w:p w14:paraId="7561668B" w14:textId="77777777" w:rsidR="00C66203" w:rsidRPr="00BB1F28" w:rsidRDefault="00C66203" w:rsidP="004B7BC3">
      <w:pPr>
        <w:jc w:val="center"/>
        <w:rPr>
          <w:b/>
        </w:rPr>
      </w:pPr>
    </w:p>
    <w:p w14:paraId="1B35AE67" w14:textId="77777777" w:rsidR="004B7BC3" w:rsidRPr="004B7BC3" w:rsidRDefault="004B7BC3">
      <w:pPr>
        <w:rPr>
          <w:lang w:val="fr-FR"/>
        </w:rPr>
      </w:pPr>
    </w:p>
    <w:sectPr w:rsidR="004B7BC3" w:rsidRPr="004B7B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3A0E4F"/>
    <w:multiLevelType w:val="hybridMultilevel"/>
    <w:tmpl w:val="60C26446"/>
    <w:lvl w:ilvl="0" w:tplc="3CAAD8DC">
      <w:start w:val="1"/>
      <w:numFmt w:val="bullet"/>
      <w:lvlText w:val=""/>
      <w:lvlJc w:val="left"/>
      <w:pPr>
        <w:tabs>
          <w:tab w:val="num" w:pos="720"/>
        </w:tabs>
        <w:ind w:left="720" w:hanging="360"/>
      </w:pPr>
      <w:rPr>
        <w:rFonts w:ascii="Wingdings" w:hAnsi="Wingdings" w:hint="default"/>
      </w:rPr>
    </w:lvl>
    <w:lvl w:ilvl="1" w:tplc="07F6A142" w:tentative="1">
      <w:start w:val="1"/>
      <w:numFmt w:val="bullet"/>
      <w:lvlText w:val=""/>
      <w:lvlJc w:val="left"/>
      <w:pPr>
        <w:tabs>
          <w:tab w:val="num" w:pos="1440"/>
        </w:tabs>
        <w:ind w:left="1440" w:hanging="360"/>
      </w:pPr>
      <w:rPr>
        <w:rFonts w:ascii="Wingdings" w:hAnsi="Wingdings" w:hint="default"/>
      </w:rPr>
    </w:lvl>
    <w:lvl w:ilvl="2" w:tplc="0816880A" w:tentative="1">
      <w:start w:val="1"/>
      <w:numFmt w:val="bullet"/>
      <w:lvlText w:val=""/>
      <w:lvlJc w:val="left"/>
      <w:pPr>
        <w:tabs>
          <w:tab w:val="num" w:pos="2160"/>
        </w:tabs>
        <w:ind w:left="2160" w:hanging="360"/>
      </w:pPr>
      <w:rPr>
        <w:rFonts w:ascii="Wingdings" w:hAnsi="Wingdings" w:hint="default"/>
      </w:rPr>
    </w:lvl>
    <w:lvl w:ilvl="3" w:tplc="474E0C8C" w:tentative="1">
      <w:start w:val="1"/>
      <w:numFmt w:val="bullet"/>
      <w:lvlText w:val=""/>
      <w:lvlJc w:val="left"/>
      <w:pPr>
        <w:tabs>
          <w:tab w:val="num" w:pos="2880"/>
        </w:tabs>
        <w:ind w:left="2880" w:hanging="360"/>
      </w:pPr>
      <w:rPr>
        <w:rFonts w:ascii="Wingdings" w:hAnsi="Wingdings" w:hint="default"/>
      </w:rPr>
    </w:lvl>
    <w:lvl w:ilvl="4" w:tplc="ACF6F5EC" w:tentative="1">
      <w:start w:val="1"/>
      <w:numFmt w:val="bullet"/>
      <w:lvlText w:val=""/>
      <w:lvlJc w:val="left"/>
      <w:pPr>
        <w:tabs>
          <w:tab w:val="num" w:pos="3600"/>
        </w:tabs>
        <w:ind w:left="3600" w:hanging="360"/>
      </w:pPr>
      <w:rPr>
        <w:rFonts w:ascii="Wingdings" w:hAnsi="Wingdings" w:hint="default"/>
      </w:rPr>
    </w:lvl>
    <w:lvl w:ilvl="5" w:tplc="F534747A" w:tentative="1">
      <w:start w:val="1"/>
      <w:numFmt w:val="bullet"/>
      <w:lvlText w:val=""/>
      <w:lvlJc w:val="left"/>
      <w:pPr>
        <w:tabs>
          <w:tab w:val="num" w:pos="4320"/>
        </w:tabs>
        <w:ind w:left="4320" w:hanging="360"/>
      </w:pPr>
      <w:rPr>
        <w:rFonts w:ascii="Wingdings" w:hAnsi="Wingdings" w:hint="default"/>
      </w:rPr>
    </w:lvl>
    <w:lvl w:ilvl="6" w:tplc="031A421C" w:tentative="1">
      <w:start w:val="1"/>
      <w:numFmt w:val="bullet"/>
      <w:lvlText w:val=""/>
      <w:lvlJc w:val="left"/>
      <w:pPr>
        <w:tabs>
          <w:tab w:val="num" w:pos="5040"/>
        </w:tabs>
        <w:ind w:left="5040" w:hanging="360"/>
      </w:pPr>
      <w:rPr>
        <w:rFonts w:ascii="Wingdings" w:hAnsi="Wingdings" w:hint="default"/>
      </w:rPr>
    </w:lvl>
    <w:lvl w:ilvl="7" w:tplc="B4688C84" w:tentative="1">
      <w:start w:val="1"/>
      <w:numFmt w:val="bullet"/>
      <w:lvlText w:val=""/>
      <w:lvlJc w:val="left"/>
      <w:pPr>
        <w:tabs>
          <w:tab w:val="num" w:pos="5760"/>
        </w:tabs>
        <w:ind w:left="5760" w:hanging="360"/>
      </w:pPr>
      <w:rPr>
        <w:rFonts w:ascii="Wingdings" w:hAnsi="Wingdings" w:hint="default"/>
      </w:rPr>
    </w:lvl>
    <w:lvl w:ilvl="8" w:tplc="21CCF028" w:tentative="1">
      <w:start w:val="1"/>
      <w:numFmt w:val="bullet"/>
      <w:lvlText w:val=""/>
      <w:lvlJc w:val="left"/>
      <w:pPr>
        <w:tabs>
          <w:tab w:val="num" w:pos="6480"/>
        </w:tabs>
        <w:ind w:left="6480" w:hanging="360"/>
      </w:pPr>
      <w:rPr>
        <w:rFonts w:ascii="Wingdings" w:hAnsi="Wingdings" w:hint="default"/>
      </w:rPr>
    </w:lvl>
  </w:abstractNum>
  <w:num w:numId="1" w16cid:durableId="802818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BC3"/>
    <w:rsid w:val="000559C1"/>
    <w:rsid w:val="001079B3"/>
    <w:rsid w:val="00190E64"/>
    <w:rsid w:val="00193E43"/>
    <w:rsid w:val="001B7D22"/>
    <w:rsid w:val="002449A5"/>
    <w:rsid w:val="003C2130"/>
    <w:rsid w:val="003D1557"/>
    <w:rsid w:val="003D43D2"/>
    <w:rsid w:val="00414EBB"/>
    <w:rsid w:val="004B01A0"/>
    <w:rsid w:val="004B7BC3"/>
    <w:rsid w:val="004D540D"/>
    <w:rsid w:val="004D729D"/>
    <w:rsid w:val="00692766"/>
    <w:rsid w:val="0071338B"/>
    <w:rsid w:val="007161E1"/>
    <w:rsid w:val="007767F7"/>
    <w:rsid w:val="007F25C8"/>
    <w:rsid w:val="008937D9"/>
    <w:rsid w:val="00915F5C"/>
    <w:rsid w:val="0092337E"/>
    <w:rsid w:val="0093151D"/>
    <w:rsid w:val="00931F69"/>
    <w:rsid w:val="0094312A"/>
    <w:rsid w:val="00957325"/>
    <w:rsid w:val="00970E97"/>
    <w:rsid w:val="009F3B74"/>
    <w:rsid w:val="00AC34D7"/>
    <w:rsid w:val="00AD3E30"/>
    <w:rsid w:val="00B36BC2"/>
    <w:rsid w:val="00B415E1"/>
    <w:rsid w:val="00B566F5"/>
    <w:rsid w:val="00BB1F28"/>
    <w:rsid w:val="00BC2A78"/>
    <w:rsid w:val="00BC4F3B"/>
    <w:rsid w:val="00BF55A0"/>
    <w:rsid w:val="00C0565D"/>
    <w:rsid w:val="00C06FC9"/>
    <w:rsid w:val="00C206AC"/>
    <w:rsid w:val="00C66203"/>
    <w:rsid w:val="00CA31D3"/>
    <w:rsid w:val="00CB7D6E"/>
    <w:rsid w:val="00D20398"/>
    <w:rsid w:val="00D640A4"/>
    <w:rsid w:val="00DA34B2"/>
    <w:rsid w:val="00DA4845"/>
    <w:rsid w:val="00DB4871"/>
    <w:rsid w:val="00EE7C88"/>
    <w:rsid w:val="00EF2C87"/>
    <w:rsid w:val="00EF7BFC"/>
    <w:rsid w:val="00F45A87"/>
    <w:rsid w:val="00FB2365"/>
    <w:rsid w:val="00FB4253"/>
    <w:rsid w:val="00FE459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9E191"/>
  <w15:chartTrackingRefBased/>
  <w15:docId w15:val="{7851290E-DE6F-4F82-BE24-A74CA8A4C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basedOn w:val="Normal"/>
    <w:rsid w:val="004B7BC3"/>
    <w:pPr>
      <w:autoSpaceDN w:val="0"/>
      <w:spacing w:after="0" w:line="240" w:lineRule="auto"/>
    </w:pPr>
    <w:rPr>
      <w:rFonts w:ascii="Calibri" w:hAnsi="Calibri" w:cs="Calibri"/>
      <w:lang w:eastAsia="zh-CN"/>
    </w:rPr>
  </w:style>
  <w:style w:type="paragraph" w:styleId="ListParagraph">
    <w:name w:val="List Paragraph"/>
    <w:basedOn w:val="Normal"/>
    <w:uiPriority w:val="34"/>
    <w:qFormat/>
    <w:rsid w:val="00FB4253"/>
    <w:pPr>
      <w:spacing w:after="0" w:line="240" w:lineRule="auto"/>
      <w:ind w:left="720"/>
      <w:contextualSpacing/>
    </w:pPr>
    <w:rPr>
      <w:rFonts w:ascii="Times New Roman" w:eastAsia="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78851">
      <w:bodyDiv w:val="1"/>
      <w:marLeft w:val="0"/>
      <w:marRight w:val="0"/>
      <w:marTop w:val="0"/>
      <w:marBottom w:val="0"/>
      <w:divBdr>
        <w:top w:val="none" w:sz="0" w:space="0" w:color="auto"/>
        <w:left w:val="none" w:sz="0" w:space="0" w:color="auto"/>
        <w:bottom w:val="none" w:sz="0" w:space="0" w:color="auto"/>
        <w:right w:val="none" w:sz="0" w:space="0" w:color="auto"/>
      </w:divBdr>
    </w:div>
    <w:div w:id="997154201">
      <w:bodyDiv w:val="1"/>
      <w:marLeft w:val="0"/>
      <w:marRight w:val="0"/>
      <w:marTop w:val="0"/>
      <w:marBottom w:val="0"/>
      <w:divBdr>
        <w:top w:val="none" w:sz="0" w:space="0" w:color="auto"/>
        <w:left w:val="none" w:sz="0" w:space="0" w:color="auto"/>
        <w:bottom w:val="none" w:sz="0" w:space="0" w:color="auto"/>
        <w:right w:val="none" w:sz="0" w:space="0" w:color="auto"/>
      </w:divBdr>
      <w:divsChild>
        <w:div w:id="99896631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2126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Géraldine André</dc:creator>
  <cp:keywords/>
  <dc:description/>
  <cp:lastModifiedBy>Géraldine André</cp:lastModifiedBy>
  <cp:revision>2</cp:revision>
  <dcterms:created xsi:type="dcterms:W3CDTF">2022-06-25T07:20:00Z</dcterms:created>
  <dcterms:modified xsi:type="dcterms:W3CDTF">2022-06-25T07:20:00Z</dcterms:modified>
</cp:coreProperties>
</file>