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25E957B6" w14:textId="77777777" w:rsidR="00F67B60" w:rsidRPr="00F67B60" w:rsidRDefault="00F67B60" w:rsidP="00F67B60">
      <w:pPr>
        <w:rPr>
          <w:b/>
          <w:bCs/>
          <w:lang w:val="fr-BE"/>
        </w:rPr>
      </w:pPr>
      <w:r w:rsidRPr="00F67B60">
        <w:rPr>
          <w:b/>
          <w:bCs/>
          <w:lang w:val="fr-BE"/>
        </w:rPr>
        <w:t>Vers une prise en compte des violences intrafamiliales et du contrôle coercitif dans la détermination de l'intérêt de l'enfant en matière d'hébergement ?</w:t>
      </w:r>
    </w:p>
    <w:tbl>
      <w:tblPr>
        <w:tblW w:w="0" w:type="dxa"/>
        <w:tblCellMar>
          <w:top w:w="15" w:type="dxa"/>
          <w:left w:w="15" w:type="dxa"/>
          <w:bottom w:w="15" w:type="dxa"/>
          <w:right w:w="15" w:type="dxa"/>
        </w:tblCellMar>
        <w:tblLook w:val="04A0" w:firstRow="1" w:lastRow="0" w:firstColumn="1" w:lastColumn="0" w:noHBand="0" w:noVBand="1"/>
      </w:tblPr>
      <w:tblGrid>
        <w:gridCol w:w="233"/>
        <w:gridCol w:w="4809"/>
      </w:tblGrid>
      <w:tr w:rsidR="00F67B60" w:rsidRPr="00F67B60" w14:paraId="3917EB74" w14:textId="77777777" w:rsidTr="00F67B60">
        <w:tc>
          <w:tcPr>
            <w:tcW w:w="0" w:type="auto"/>
            <w:tcMar>
              <w:top w:w="200" w:type="dxa"/>
              <w:left w:w="15" w:type="dxa"/>
              <w:bottom w:w="15" w:type="dxa"/>
              <w:right w:w="75" w:type="dxa"/>
            </w:tcMar>
            <w:hideMark/>
          </w:tcPr>
          <w:p w14:paraId="03D6B604" w14:textId="77777777" w:rsidR="00F67B60" w:rsidRPr="00F67B60" w:rsidRDefault="00F67B60" w:rsidP="00F67B60">
            <w:pPr>
              <w:rPr>
                <w:b/>
                <w:bCs/>
                <w:lang w:val="fr-BE"/>
              </w:rPr>
            </w:pPr>
            <w:r w:rsidRPr="00F67B60">
              <w:rPr>
                <w:b/>
                <w:bCs/>
                <w:lang w:val="fr-BE"/>
              </w:rPr>
              <w:t>I.</w:t>
            </w:r>
          </w:p>
        </w:tc>
        <w:tc>
          <w:tcPr>
            <w:tcW w:w="0" w:type="auto"/>
            <w:tcMar>
              <w:top w:w="200" w:type="dxa"/>
              <w:left w:w="15" w:type="dxa"/>
              <w:bottom w:w="15" w:type="dxa"/>
              <w:right w:w="75" w:type="dxa"/>
            </w:tcMar>
            <w:hideMark/>
          </w:tcPr>
          <w:p w14:paraId="5F116336" w14:textId="77777777" w:rsidR="00F67B60" w:rsidRPr="00F67B60" w:rsidRDefault="00F67B60" w:rsidP="00F67B60">
            <w:pPr>
              <w:rPr>
                <w:b/>
                <w:bCs/>
                <w:lang w:val="fr-BE"/>
              </w:rPr>
            </w:pPr>
            <w:r w:rsidRPr="00F67B60">
              <w:rPr>
                <w:b/>
                <w:bCs/>
                <w:lang w:val="fr-BE"/>
              </w:rPr>
              <w:t>Résumé des faits et éléments de procédure</w:t>
            </w:r>
          </w:p>
        </w:tc>
      </w:tr>
    </w:tbl>
    <w:p w14:paraId="65B09D00" w14:textId="77777777" w:rsidR="00F67B60" w:rsidRPr="00F67B60" w:rsidRDefault="00F67B60" w:rsidP="00F67B60">
      <w:pPr>
        <w:rPr>
          <w:lang w:val="fr-BE"/>
        </w:rPr>
      </w:pPr>
      <w:r w:rsidRPr="00F67B60">
        <w:rPr>
          <w:lang w:val="fr-BE"/>
        </w:rPr>
        <w:t>L'arrêt rendu par la cour d'appel de Mons le 27 mars 2024 concerne l'hébergement d'une enfant de 12 ans </w:t>
      </w:r>
      <w:bookmarkStart w:id="0" w:name="fta_1"/>
      <w:r w:rsidRPr="00F67B60">
        <w:rPr>
          <w:lang w:val="fr-BE"/>
        </w:rPr>
        <w:t>[1]</w:t>
      </w:r>
      <w:bookmarkEnd w:id="0"/>
      <w:r w:rsidRPr="00F67B60">
        <w:rPr>
          <w:lang w:val="fr-BE"/>
        </w:rPr>
        <w:t>, dans un contexte de conflit parental. À la suite de la séparation des parties en 2019, plusieurs jugements ont été rendus. Depuis quelques années, l'hébergement principal était organisé chez la mère, tandis que l'hébergement secondaire chez le père était prévu un week-end sur deux. En 2023, le tribunal de la famille du Hainaut (division de Charleroi) a étendu l'hébergement secondaire chez le père à une semaine sur deux, du jeudi à la sortie d'école au lundi qui suit. L'appel interjeté par la mère en date du 17 avril 2023 concerne cette dernière décision.</w:t>
      </w:r>
    </w:p>
    <w:p w14:paraId="4383FD5D" w14:textId="77777777" w:rsidR="00F67B60" w:rsidRPr="00F67B60" w:rsidRDefault="00F67B60" w:rsidP="00F67B60">
      <w:pPr>
        <w:rPr>
          <w:lang w:val="fr-BE"/>
        </w:rPr>
      </w:pPr>
      <w:r w:rsidRPr="00F67B60">
        <w:rPr>
          <w:lang w:val="fr-BE"/>
        </w:rPr>
        <w:t>Dans l'arrêt commenté, la cour d'appel de Mons s'appuie sur les instruments juridiques suivants : la loi du 18 juillet 2006 tendant à privilégier l'hébergement égalitaire de l'enfant dont les parents sont séparés et réglementant l'exécution forcée en matière d'hébergement d'enfant (ci-après, «?loi du 18 juillet 2006?») </w:t>
      </w:r>
      <w:bookmarkStart w:id="1" w:name="fta_2"/>
      <w:r w:rsidRPr="00F67B60">
        <w:rPr>
          <w:lang w:val="fr-BE"/>
        </w:rPr>
        <w:t>[2]</w:t>
      </w:r>
      <w:bookmarkEnd w:id="1"/>
      <w:r w:rsidRPr="00F67B60">
        <w:rPr>
          <w:lang w:val="fr-BE"/>
        </w:rPr>
        <w:t>?; la Convention du Conseil de l'Europe sur la prévention et la lutte contre la violence à l'égard des femmes et la violence domestique </w:t>
      </w:r>
      <w:bookmarkStart w:id="2" w:name="fta_3"/>
      <w:r w:rsidRPr="00F67B60">
        <w:rPr>
          <w:lang w:val="fr-BE"/>
        </w:rPr>
        <w:t>[3]</w:t>
      </w:r>
      <w:bookmarkEnd w:id="2"/>
      <w:r w:rsidRPr="00F67B60">
        <w:rPr>
          <w:lang w:val="fr-BE"/>
        </w:rPr>
        <w:t>(ci-après, «?Convention d'Istanbul?»)?; la Convention internationale du 20 novembre 1989 relative aux droits de l'enfant (ci-après, «?C.I.D.E.?») </w:t>
      </w:r>
      <w:bookmarkStart w:id="3" w:name="fta_4"/>
      <w:r w:rsidRPr="00F67B60">
        <w:rPr>
          <w:lang w:val="fr-BE"/>
        </w:rPr>
        <w:t>[4]</w:t>
      </w:r>
      <w:bookmarkEnd w:id="3"/>
      <w:r w:rsidRPr="00F67B60">
        <w:rPr>
          <w:lang w:val="fr-BE"/>
        </w:rPr>
        <w:t> et la toute récente loi du 13 juillet 2023 sur la prévention des féminicides (ci-après, «?loi féminicide?») </w:t>
      </w:r>
      <w:bookmarkStart w:id="4" w:name="fta_5"/>
      <w:r w:rsidRPr="00F67B60">
        <w:rPr>
          <w:lang w:val="fr-BE"/>
        </w:rPr>
        <w:t>[5]</w:t>
      </w:r>
      <w:bookmarkEnd w:id="4"/>
      <w:r w:rsidRPr="00F67B60">
        <w:rPr>
          <w:lang w:val="fr-BE"/>
        </w:rPr>
        <w:t> afin de statuer, en se distançant des avis du ministère public et de l'experte désignée. La Cour interprète en réalité la loi de 2006 au travers des normes précitées pour considérer que les violences intrafamiliales, en ce compris l'existence d'un «?contrôle coercitif?» par le père sur l'enfant, sont des contre-indications à la mise en place d'un hébergement alterné égalitaire, pourtant défini comme prioritaire par le législateur. Plus encore, la cour affirme que l'intérêt supérieur de l'enfant prime sur le droit d'un parent à héberger son enfant. Elle tient compte de l'opinion exprimée par l'enfant et de comportements violents dans le chef du père. Elle décide néanmoins de maintenir un hébergement réduit chez le père, privilégiant la restauration du lien, qui «?suppose un minimum de contacts?» </w:t>
      </w:r>
      <w:bookmarkStart w:id="5" w:name="fta_6"/>
      <w:r w:rsidRPr="00F67B60">
        <w:rPr>
          <w:lang w:val="fr-BE"/>
        </w:rPr>
        <w:t>[6]</w:t>
      </w:r>
      <w:bookmarkEnd w:id="5"/>
      <w:r w:rsidRPr="00F67B60">
        <w:rPr>
          <w:lang w:val="fr-BE"/>
        </w:rPr>
        <w:t>.</w:t>
      </w:r>
    </w:p>
    <w:p w14:paraId="399BB5FF" w14:textId="77777777" w:rsidR="00F67B60" w:rsidRPr="00F67B60" w:rsidRDefault="00F67B60" w:rsidP="00F67B60">
      <w:pPr>
        <w:rPr>
          <w:lang w:val="fr-BE"/>
        </w:rPr>
      </w:pPr>
      <w:r w:rsidRPr="00F67B60">
        <w:rPr>
          <w:lang w:val="fr-BE"/>
        </w:rPr>
        <w:t>Dans un premier temps, cette décision nous permet de revenir sur le cadre juridique existant en matière d'hébergement (II). Dans un second temps, nous commenterons l'interprétation novatrice qui en est faite par la cour (III). Enfin, nous proposerons une brève réflexion critique sur le maintien du lien, traditionnellement entendu comme corollaire à l'intérêt de l'enfant (IV).</w:t>
      </w:r>
    </w:p>
    <w:tbl>
      <w:tblPr>
        <w:tblW w:w="0" w:type="dxa"/>
        <w:tblCellMar>
          <w:top w:w="15" w:type="dxa"/>
          <w:left w:w="15" w:type="dxa"/>
          <w:bottom w:w="15" w:type="dxa"/>
          <w:right w:w="15" w:type="dxa"/>
        </w:tblCellMar>
        <w:tblLook w:val="04A0" w:firstRow="1" w:lastRow="0" w:firstColumn="1" w:lastColumn="0" w:noHBand="0" w:noVBand="1"/>
      </w:tblPr>
      <w:tblGrid>
        <w:gridCol w:w="304"/>
        <w:gridCol w:w="7498"/>
      </w:tblGrid>
      <w:tr w:rsidR="00F67B60" w:rsidRPr="00F67B60" w14:paraId="680ED1D9" w14:textId="77777777" w:rsidTr="00F67B60">
        <w:tc>
          <w:tcPr>
            <w:tcW w:w="0" w:type="auto"/>
            <w:tcMar>
              <w:top w:w="200" w:type="dxa"/>
              <w:left w:w="15" w:type="dxa"/>
              <w:bottom w:w="15" w:type="dxa"/>
              <w:right w:w="75" w:type="dxa"/>
            </w:tcMar>
            <w:hideMark/>
          </w:tcPr>
          <w:p w14:paraId="25A1CFFB" w14:textId="77777777" w:rsidR="00F67B60" w:rsidRPr="00F67B60" w:rsidRDefault="00F67B60" w:rsidP="00F67B60">
            <w:pPr>
              <w:rPr>
                <w:b/>
                <w:bCs/>
                <w:lang w:val="fr-BE"/>
              </w:rPr>
            </w:pPr>
            <w:r w:rsidRPr="00F67B60">
              <w:rPr>
                <w:b/>
                <w:bCs/>
                <w:lang w:val="fr-BE"/>
              </w:rPr>
              <w:t>II.</w:t>
            </w:r>
          </w:p>
        </w:tc>
        <w:tc>
          <w:tcPr>
            <w:tcW w:w="0" w:type="auto"/>
            <w:tcMar>
              <w:top w:w="200" w:type="dxa"/>
              <w:left w:w="15" w:type="dxa"/>
              <w:bottom w:w="15" w:type="dxa"/>
              <w:right w:w="75" w:type="dxa"/>
            </w:tcMar>
            <w:hideMark/>
          </w:tcPr>
          <w:p w14:paraId="4BB48994" w14:textId="77777777" w:rsidR="00F67B60" w:rsidRPr="00F67B60" w:rsidRDefault="00F67B60" w:rsidP="00F67B60">
            <w:pPr>
              <w:rPr>
                <w:b/>
                <w:bCs/>
                <w:lang w:val="fr-BE"/>
              </w:rPr>
            </w:pPr>
            <w:r w:rsidRPr="00F67B60">
              <w:rPr>
                <w:b/>
                <w:bCs/>
                <w:lang w:val="fr-BE"/>
              </w:rPr>
              <w:t>L'hébergement alterné égalitaire : une priorité fixée par le législateur</w:t>
            </w:r>
          </w:p>
        </w:tc>
      </w:tr>
    </w:tbl>
    <w:p w14:paraId="1B955EEE" w14:textId="77777777" w:rsidR="00F67B60" w:rsidRPr="00F67B60" w:rsidRDefault="00F67B60" w:rsidP="00F67B60">
      <w:pPr>
        <w:rPr>
          <w:lang w:val="fr-BE"/>
        </w:rPr>
      </w:pPr>
      <w:r w:rsidRPr="00F67B60">
        <w:rPr>
          <w:lang w:val="fr-BE"/>
        </w:rPr>
        <w:t>La loi du 18 juillet 2006 </w:t>
      </w:r>
      <w:bookmarkStart w:id="6" w:name="fta_7"/>
      <w:r w:rsidRPr="00F67B60">
        <w:rPr>
          <w:lang w:val="fr-BE"/>
        </w:rPr>
        <w:t>[7]</w:t>
      </w:r>
      <w:bookmarkEnd w:id="6"/>
      <w:r w:rsidRPr="00F67B60">
        <w:rPr>
          <w:lang w:val="fr-BE"/>
        </w:rPr>
        <w:t xml:space="preserve">, qui modifie l'article 374 du Code civil, prévoit que le tribunal examine prioritairement la possibilité de fixer l'hébergement de l'enfant de manière </w:t>
      </w:r>
      <w:r w:rsidRPr="00F67B60">
        <w:rPr>
          <w:lang w:val="fr-BE"/>
        </w:rPr>
        <w:lastRenderedPageBreak/>
        <w:t>égalitaire entre ses parents </w:t>
      </w:r>
      <w:bookmarkStart w:id="7" w:name="fta_8"/>
      <w:r w:rsidRPr="00F67B60">
        <w:rPr>
          <w:lang w:val="fr-BE"/>
        </w:rPr>
        <w:t>[8]</w:t>
      </w:r>
      <w:bookmarkEnd w:id="7"/>
      <w:r w:rsidRPr="00F67B60">
        <w:rPr>
          <w:lang w:val="fr-BE"/>
        </w:rPr>
        <w:t>, si trois conditions sont remplies : (1) l'autorité parentale est exercée conjointement par les parents, (2) à défaut d'accord entre ceux-ci et (3) si au moins un des parents le demande. Toutefois, si le tribunal estime que l'hébergement égalitaire n'est pas la formule la plus appropriée, il peut toujours décider de fixer un hébergement non égalitaire </w:t>
      </w:r>
      <w:bookmarkStart w:id="8" w:name="fta_9"/>
      <w:r w:rsidRPr="00F67B60">
        <w:rPr>
          <w:lang w:val="fr-BE"/>
        </w:rPr>
        <w:t>[9]</w:t>
      </w:r>
      <w:bookmarkEnd w:id="8"/>
      <w:r w:rsidRPr="00F67B60">
        <w:rPr>
          <w:lang w:val="fr-BE"/>
        </w:rPr>
        <w:t>.</w:t>
      </w:r>
    </w:p>
    <w:p w14:paraId="4C6795EB" w14:textId="77777777" w:rsidR="00F67B60" w:rsidRPr="00F67B60" w:rsidRDefault="00F67B60" w:rsidP="00F67B60">
      <w:pPr>
        <w:rPr>
          <w:lang w:val="fr-BE"/>
        </w:rPr>
      </w:pPr>
      <w:r w:rsidRPr="00F67B60">
        <w:rPr>
          <w:lang w:val="fr-BE"/>
        </w:rPr>
        <w:t>L'exposé des motifs de cette loi indique l'intention du législateur de faire peser sur le parent qui s'oppose à un hébergement égalitaire la charge de la preuve de l'existence d'une contre-indication </w:t>
      </w:r>
      <w:bookmarkStart w:id="9" w:name="fta_10"/>
      <w:r w:rsidRPr="00F67B60">
        <w:rPr>
          <w:lang w:val="fr-BE"/>
        </w:rPr>
        <w:t>[10]</w:t>
      </w:r>
      <w:bookmarkEnd w:id="9"/>
      <w:r w:rsidRPr="00F67B60">
        <w:rPr>
          <w:lang w:val="fr-BE"/>
        </w:rPr>
        <w:t>. Si la loi du 18 juillet 2006 reste muette quant aux raisons pouvant, ou devant, amener le ou la juge à refuser un hébergement égalitaire, les travaux préparatoires précisent en revanche qu'il peut être tenu compte de différents éléments comme l'éloignement géographique des parents ou leur désintérêt manifeste pour l'enfant </w:t>
      </w:r>
      <w:bookmarkStart w:id="10" w:name="fta_11"/>
      <w:r w:rsidRPr="00F67B60">
        <w:rPr>
          <w:lang w:val="fr-BE"/>
        </w:rPr>
        <w:t>[11]</w:t>
      </w:r>
      <w:bookmarkEnd w:id="10"/>
      <w:r w:rsidRPr="00F67B60">
        <w:rPr>
          <w:lang w:val="fr-BE"/>
        </w:rPr>
        <w:t>. Malgré le caractère non exhaustif de cette liste, soulignons que les violences intrafamiliales n'y figurent pas. En revanche, les travaux préparatoires mentionnent explicitement le syndrome d'aliénation parentale comme un phénomène contre lequel la loi s'emploie à lutter </w:t>
      </w:r>
      <w:bookmarkStart w:id="11" w:name="fta_12"/>
      <w:r w:rsidRPr="00F67B60">
        <w:rPr>
          <w:lang w:val="fr-BE"/>
        </w:rPr>
        <w:t>[12]</w:t>
      </w:r>
      <w:bookmarkEnd w:id="11"/>
      <w:r w:rsidRPr="00F67B60">
        <w:rPr>
          <w:lang w:val="fr-BE"/>
        </w:rPr>
        <w:t>. Suivant ce syndrome, un enfant qui allègue être victime de violences de la part d'un parent serait, très souvent, en réalité, un enfant manipulé par l'autre parent. Conceptualisé en 1985 par Richard Gardner, un psychiatre américain </w:t>
      </w:r>
      <w:bookmarkStart w:id="12" w:name="fta_13"/>
      <w:r w:rsidRPr="00F67B60">
        <w:rPr>
          <w:lang w:val="fr-BE"/>
        </w:rPr>
        <w:t>[13]</w:t>
      </w:r>
      <w:bookmarkEnd w:id="12"/>
      <w:r w:rsidRPr="00F67B60">
        <w:rPr>
          <w:lang w:val="fr-BE"/>
        </w:rPr>
        <w:t>, le syndrome d'aliénation parentale n'a jamais été validé scientifiquement et a été largement remis en cause </w:t>
      </w:r>
      <w:bookmarkStart w:id="13" w:name="fta_14"/>
      <w:r w:rsidRPr="00F67B60">
        <w:rPr>
          <w:lang w:val="fr-BE"/>
        </w:rPr>
        <w:t>[14]</w:t>
      </w:r>
      <w:bookmarkEnd w:id="13"/>
      <w:r w:rsidRPr="00F67B60">
        <w:rPr>
          <w:lang w:val="fr-BE"/>
        </w:rPr>
        <w:t>?; tant les associations féministes que les institutions luttant contre les violences faites aux femmes ne cessent d'alerter contre le danger d'y avoir recours </w:t>
      </w:r>
      <w:bookmarkStart w:id="14" w:name="fta_15"/>
      <w:r w:rsidRPr="00F67B60">
        <w:rPr>
          <w:lang w:val="fr-BE"/>
        </w:rPr>
        <w:t>[15]</w:t>
      </w:r>
      <w:bookmarkEnd w:id="14"/>
      <w:r w:rsidRPr="00F67B60">
        <w:rPr>
          <w:lang w:val="fr-BE"/>
        </w:rPr>
        <w:t>.</w:t>
      </w:r>
    </w:p>
    <w:p w14:paraId="3CEF40D2" w14:textId="77777777" w:rsidR="00F67B60" w:rsidRPr="00F67B60" w:rsidRDefault="00F67B60" w:rsidP="00F67B60">
      <w:pPr>
        <w:rPr>
          <w:lang w:val="fr-BE"/>
        </w:rPr>
      </w:pPr>
      <w:r w:rsidRPr="00F67B60">
        <w:rPr>
          <w:lang w:val="fr-BE"/>
        </w:rPr>
        <w:t>Malgré ces vives controverses, il arrive encore que les cours et tribunaux fassent référence au concept d'aliénation parentale, parfois sans le nommer, validant ainsi les arguments du parent à l'égard duquel l'enfant allègue des violences </w:t>
      </w:r>
      <w:bookmarkStart w:id="15" w:name="fta_16"/>
      <w:r w:rsidRPr="00F67B60">
        <w:rPr>
          <w:lang w:val="fr-BE"/>
        </w:rPr>
        <w:t>[16]</w:t>
      </w:r>
      <w:bookmarkEnd w:id="15"/>
      <w:r w:rsidRPr="00F67B60">
        <w:rPr>
          <w:lang w:val="fr-BE"/>
        </w:rPr>
        <w:t>. Même lorsqu'elle ne reconnaît pas une aliénation parentale, la jurisprudence tend à privilégier le lien familial, en ce compris dans des situations de violences </w:t>
      </w:r>
      <w:bookmarkStart w:id="16" w:name="fta_17"/>
      <w:r w:rsidRPr="00F67B60">
        <w:rPr>
          <w:lang w:val="fr-BE"/>
        </w:rPr>
        <w:t>[17]</w:t>
      </w:r>
      <w:bookmarkEnd w:id="16"/>
      <w:r w:rsidRPr="00F67B60">
        <w:rPr>
          <w:lang w:val="fr-BE"/>
        </w:rPr>
        <w:t>. Ces décisions, en donnant la priorité au maintien du lien, discréditent ou invisibilisent les violences subies par les mères ou par les enfants. Par ailleurs, les juges ont tendance à suivre les recommandations ressortant des expertises ordonnées </w:t>
      </w:r>
      <w:bookmarkStart w:id="17" w:name="fta_18"/>
      <w:r w:rsidRPr="00F67B60">
        <w:rPr>
          <w:lang w:val="fr-BE"/>
        </w:rPr>
        <w:t>[18]</w:t>
      </w:r>
      <w:bookmarkEnd w:id="17"/>
      <w:r w:rsidRPr="00F67B60">
        <w:rPr>
          <w:lang w:val="fr-BE"/>
        </w:rPr>
        <w:t>. À cet égard, si les juges sont libres d'apprécier souverainement la force probante à donner au rapport d'expertise </w:t>
      </w:r>
      <w:bookmarkStart w:id="18" w:name="fta_19"/>
      <w:r w:rsidRPr="00F67B60">
        <w:rPr>
          <w:lang w:val="fr-BE"/>
        </w:rPr>
        <w:t>[19]</w:t>
      </w:r>
      <w:bookmarkEnd w:id="18"/>
      <w:r w:rsidRPr="00F67B60">
        <w:rPr>
          <w:lang w:val="fr-BE"/>
        </w:rPr>
        <w:t>, il est fréquent, en pratique, qu'ils et elles suivent entièrement l'avis de l'expert ou de l'experte </w:t>
      </w:r>
      <w:bookmarkStart w:id="19" w:name="fta_20"/>
      <w:r w:rsidRPr="00F67B60">
        <w:rPr>
          <w:lang w:val="fr-BE"/>
        </w:rPr>
        <w:t>[20]</w:t>
      </w:r>
      <w:bookmarkEnd w:id="19"/>
      <w:r w:rsidRPr="00F67B60">
        <w:rPr>
          <w:lang w:val="fr-BE"/>
        </w:rPr>
        <w:t>. Cela peut se comprendre, dès lors que les juges font appel aux experts et expertes afin d'obtenir un meilleur éclairage sur la situation dont ils ont à connaître </w:t>
      </w:r>
      <w:bookmarkStart w:id="20" w:name="fta_21"/>
      <w:r w:rsidRPr="00F67B60">
        <w:rPr>
          <w:lang w:val="fr-BE"/>
        </w:rPr>
        <w:t>[21]</w:t>
      </w:r>
      <w:bookmarkEnd w:id="20"/>
      <w:r w:rsidRPr="00F67B60">
        <w:rPr>
          <w:lang w:val="fr-BE"/>
        </w:rPr>
        <w:t xml:space="preserve">. Dans le cas d'espèce, même si l'expertise ne souscrit pas à la «?thèse de l'aliénation parentale?», certains des constats avancés aboutissent à une pathologisation des comportements de la mère et de sa relation avec sa fille. Plus marquant encore, tout en soulignant la gravité des comportements violents du père, l'experte met sur un pied d'égalité les attitudes des deux parents et met en avant l'impact négatif de l'une comme de l'autre, sur l'enfant. À la suite de l'exposé des constats de l'expertise, la cour rappelle que la juridiction n'est pas tenue de suivre l'avis de l'experte si sa conviction s'y </w:t>
      </w:r>
      <w:r w:rsidRPr="00F67B60">
        <w:rPr>
          <w:lang w:val="fr-BE"/>
        </w:rPr>
        <w:lastRenderedPageBreak/>
        <w:t>oppose </w:t>
      </w:r>
      <w:bookmarkStart w:id="21" w:name="fta_22"/>
      <w:r w:rsidRPr="00F67B60">
        <w:rPr>
          <w:lang w:val="fr-BE"/>
        </w:rPr>
        <w:t>[22]</w:t>
      </w:r>
      <w:bookmarkEnd w:id="21"/>
      <w:r w:rsidRPr="00F67B60">
        <w:rPr>
          <w:lang w:val="fr-BE"/>
        </w:rPr>
        <w:t>. Elle estime qu'analyser les comportements parentaux du père et de la mère sous le même angle «?revient à banaliser les violences [subies par l'enfant] et à les invisibiliser, en ne les nommant pas?» </w:t>
      </w:r>
      <w:bookmarkStart w:id="22" w:name="fta_23"/>
      <w:r w:rsidRPr="00F67B60">
        <w:rPr>
          <w:lang w:val="fr-BE"/>
        </w:rPr>
        <w:t>[23]</w:t>
      </w:r>
      <w:bookmarkEnd w:id="22"/>
      <w:r w:rsidRPr="00F67B60">
        <w:rPr>
          <w:lang w:val="fr-BE"/>
        </w:rPr>
        <w:t>. La cour précise encore que «?dans un contexte de violences, il n'y a pas de co-responsabilité?» </w:t>
      </w:r>
      <w:bookmarkStart w:id="23" w:name="fta_24"/>
      <w:r w:rsidRPr="00F67B60">
        <w:rPr>
          <w:lang w:val="fr-BE"/>
        </w:rPr>
        <w:t>[24]</w:t>
      </w:r>
      <w:bookmarkEnd w:id="23"/>
      <w:r w:rsidRPr="00F67B60">
        <w:rPr>
          <w:lang w:val="fr-BE"/>
        </w:rPr>
        <w:t>. Cette position s'inscrit dans une tendance jurisprudentielle récente, quoique minoritaire, visant à écarter la thèse de l'aliénation parentale. Ainsi, dans un arrêt prononcé en 2021, la cour d'appel de Mons avait déjà exclu l'existence d'un processus d'aliénation parentale en retenant qu'une relation fusionnelle entre la mère et sa fille ne pouvait à elle seule justifier une telle conclusion </w:t>
      </w:r>
      <w:bookmarkStart w:id="24" w:name="fta_25"/>
      <w:r w:rsidRPr="00F67B60">
        <w:rPr>
          <w:lang w:val="fr-BE"/>
        </w:rPr>
        <w:t>[25]</w:t>
      </w:r>
      <w:bookmarkEnd w:id="24"/>
      <w:r w:rsidRPr="00F67B60">
        <w:rPr>
          <w:lang w:val="fr-BE"/>
        </w:rPr>
        <w:t>.</w:t>
      </w:r>
    </w:p>
    <w:p w14:paraId="41969A12" w14:textId="77777777" w:rsidR="00F67B60" w:rsidRPr="00F67B60" w:rsidRDefault="00F67B60" w:rsidP="00F67B60">
      <w:pPr>
        <w:rPr>
          <w:lang w:val="fr-BE"/>
        </w:rPr>
      </w:pPr>
      <w:r w:rsidRPr="00F67B60">
        <w:rPr>
          <w:lang w:val="fr-BE"/>
        </w:rPr>
        <w:t>Ce faisant, dans l'arrêt commenté, la cour se concentre davantage sur le climat de violences induit par le père comme contre-indication à l'hébergement égalitaire, laissant de côté tout argument qui ferait référence au comportement prétendument manipulateur de la mère. De façon innovante, la cour rompt avec certains positionnements classiques en matière d'hébergement, en s'appuyant sur une lecture combinée de la C.I.D.E., la Convention d'Istanbul ainsi que de la loi féminicide.</w:t>
      </w:r>
    </w:p>
    <w:tbl>
      <w:tblPr>
        <w:tblW w:w="0" w:type="dxa"/>
        <w:tblCellMar>
          <w:top w:w="15" w:type="dxa"/>
          <w:left w:w="15" w:type="dxa"/>
          <w:bottom w:w="15" w:type="dxa"/>
          <w:right w:w="15" w:type="dxa"/>
        </w:tblCellMar>
        <w:tblLook w:val="04A0" w:firstRow="1" w:lastRow="0" w:firstColumn="1" w:lastColumn="0" w:noHBand="0" w:noVBand="1"/>
      </w:tblPr>
      <w:tblGrid>
        <w:gridCol w:w="374"/>
        <w:gridCol w:w="8698"/>
      </w:tblGrid>
      <w:tr w:rsidR="00F67B60" w:rsidRPr="00F67B60" w14:paraId="1B1413BE" w14:textId="77777777" w:rsidTr="00F67B60">
        <w:tc>
          <w:tcPr>
            <w:tcW w:w="0" w:type="auto"/>
            <w:tcMar>
              <w:top w:w="200" w:type="dxa"/>
              <w:left w:w="15" w:type="dxa"/>
              <w:bottom w:w="15" w:type="dxa"/>
              <w:right w:w="75" w:type="dxa"/>
            </w:tcMar>
            <w:hideMark/>
          </w:tcPr>
          <w:p w14:paraId="49A17FF4" w14:textId="77777777" w:rsidR="00F67B60" w:rsidRPr="00F67B60" w:rsidRDefault="00F67B60" w:rsidP="00F67B60">
            <w:pPr>
              <w:rPr>
                <w:b/>
                <w:bCs/>
                <w:lang w:val="fr-BE"/>
              </w:rPr>
            </w:pPr>
            <w:r w:rsidRPr="00F67B60">
              <w:rPr>
                <w:b/>
                <w:bCs/>
                <w:lang w:val="fr-BE"/>
              </w:rPr>
              <w:t>III.</w:t>
            </w:r>
          </w:p>
        </w:tc>
        <w:tc>
          <w:tcPr>
            <w:tcW w:w="0" w:type="auto"/>
            <w:tcMar>
              <w:top w:w="200" w:type="dxa"/>
              <w:left w:w="15" w:type="dxa"/>
              <w:bottom w:w="15" w:type="dxa"/>
              <w:right w:w="75" w:type="dxa"/>
            </w:tcMar>
            <w:hideMark/>
          </w:tcPr>
          <w:p w14:paraId="53B67E32" w14:textId="77777777" w:rsidR="00F67B60" w:rsidRPr="00F67B60" w:rsidRDefault="00F67B60" w:rsidP="00F67B60">
            <w:pPr>
              <w:rPr>
                <w:b/>
                <w:bCs/>
                <w:lang w:val="fr-BE"/>
              </w:rPr>
            </w:pPr>
            <w:r w:rsidRPr="00F67B60">
              <w:rPr>
                <w:b/>
                <w:bCs/>
                <w:lang w:val="fr-BE"/>
              </w:rPr>
              <w:t>Une nouvelle lecture du cadre juridique : les principes directeurs mobilisés par la cour</w:t>
            </w:r>
          </w:p>
        </w:tc>
      </w:tr>
    </w:tbl>
    <w:p w14:paraId="6C460FC0" w14:textId="77777777" w:rsidR="00F67B60" w:rsidRPr="00F67B60" w:rsidRDefault="00F67B60" w:rsidP="00F67B60">
      <w:pPr>
        <w:rPr>
          <w:lang w:val="fr-BE"/>
        </w:rPr>
      </w:pPr>
      <w:r w:rsidRPr="00F67B60">
        <w:rPr>
          <w:lang w:val="fr-BE"/>
        </w:rPr>
        <w:t>Dans l'arrêt commenté, deux conceptions de l'intérêt de l'enfant sont défendues par les parties. Selon la mère, l'intérêt de sa fille réside dans la garantie de sa sécurité </w:t>
      </w:r>
      <w:bookmarkStart w:id="25" w:name="fta_26"/>
      <w:r w:rsidRPr="00F67B60">
        <w:rPr>
          <w:lang w:val="fr-BE"/>
        </w:rPr>
        <w:t>[26]</w:t>
      </w:r>
      <w:bookmarkEnd w:id="25"/>
      <w:r w:rsidRPr="00F67B60">
        <w:rPr>
          <w:lang w:val="fr-BE"/>
        </w:rPr>
        <w:t>. Le père situe, au contraire, l'intérêt de celle-ci dans le maintien du lien parental. La cour, quant à elle, considère que le critère central à prendre en considération dans la détermination de l'intérêt de l'enfant, se basant sur la C.I.D.E., est l'opinion de l'enfant telle qu'exprimée à plusieurs reprises : lors de son audition par la juge en première instance, lors des deux entretiens menés dans le cadre de l'expertise et enfin lors de son audition par la cour. La cour développe à ce sujet que «?(...) la priorité est d'entendre la souffrance que [l'enfant] clame depuis quatre ans et sa difficulté à se rendre chez son père. Ne pas prendre au sérieux la parole de [l'enfant] risque de rompre le lien de confiance qu'elle peut avoir dans le monde adulte et la conduire vers une forme de découragement, voire de désespoir ou de dépression?» </w:t>
      </w:r>
      <w:bookmarkStart w:id="26" w:name="fta_27"/>
      <w:r w:rsidRPr="00F67B60">
        <w:rPr>
          <w:lang w:val="fr-BE"/>
        </w:rPr>
        <w:t>[27]</w:t>
      </w:r>
      <w:bookmarkEnd w:id="26"/>
      <w:r w:rsidRPr="00F67B60">
        <w:rPr>
          <w:lang w:val="fr-BE"/>
        </w:rPr>
        <w:t>.</w:t>
      </w:r>
    </w:p>
    <w:p w14:paraId="56D72DA3" w14:textId="77777777" w:rsidR="00F67B60" w:rsidRPr="00F67B60" w:rsidRDefault="00F67B60" w:rsidP="00F67B60">
      <w:pPr>
        <w:rPr>
          <w:lang w:val="fr-BE"/>
        </w:rPr>
      </w:pPr>
      <w:r w:rsidRPr="00F67B60">
        <w:rPr>
          <w:lang w:val="fr-BE"/>
        </w:rPr>
        <w:t>Suivant l'article 22</w:t>
      </w:r>
      <w:r w:rsidRPr="00F67B60">
        <w:rPr>
          <w:i/>
          <w:iCs/>
          <w:lang w:val="fr-BE"/>
        </w:rPr>
        <w:t>bis</w:t>
      </w:r>
      <w:r w:rsidRPr="00F67B60">
        <w:rPr>
          <w:lang w:val="fr-BE"/>
        </w:rPr>
        <w:t> de notre Constitution, il appartient en effet aux cours et tribunaux de tenir compte, de manière primordiale, de l'intérêt de l'enfant pour toute décision le concernant. Cette disposition inclut dans son champ d'application les décisions en matière d'hébergement. Toutefois, aucun instrument législatif de droit interne ne définit l'intérêt de l'enfant ou la manière de le déterminer </w:t>
      </w:r>
      <w:r w:rsidRPr="00F67B60">
        <w:rPr>
          <w:i/>
          <w:iCs/>
          <w:lang w:val="fr-BE"/>
        </w:rPr>
        <w:t xml:space="preserve">in </w:t>
      </w:r>
      <w:proofErr w:type="spellStart"/>
      <w:r w:rsidRPr="00F67B60">
        <w:rPr>
          <w:i/>
          <w:iCs/>
          <w:lang w:val="fr-BE"/>
        </w:rPr>
        <w:t>concreto</w:t>
      </w:r>
      <w:proofErr w:type="spellEnd"/>
      <w:r w:rsidRPr="00F67B60">
        <w:rPr>
          <w:lang w:val="fr-BE"/>
        </w:rPr>
        <w:t>. Quant à la C.I.D.E., elle consacre, dans son article 3.1, le principe de l'intérêt supérieur de l'enfant, en ces termes : «?</w:t>
      </w:r>
      <w:r w:rsidRPr="00F67B60">
        <w:rPr>
          <w:i/>
          <w:iCs/>
          <w:lang w:val="fr-BE"/>
        </w:rPr>
        <w:t>Dans toutes les décisions qui concernent les enfants (...), l'intérêt supérieur de l'enfant doit être une considération primordiale</w:t>
      </w:r>
      <w:r w:rsidRPr="00F67B60">
        <w:rPr>
          <w:lang w:val="fr-BE"/>
        </w:rPr>
        <w:t>?». La jurisprudence belge mobilise cet instrument international </w:t>
      </w:r>
      <w:bookmarkStart w:id="27" w:name="fta_28"/>
      <w:r w:rsidRPr="00F67B60">
        <w:rPr>
          <w:lang w:val="fr-BE"/>
        </w:rPr>
        <w:t>[28]</w:t>
      </w:r>
      <w:bookmarkEnd w:id="27"/>
      <w:r w:rsidRPr="00F67B60">
        <w:rPr>
          <w:lang w:val="fr-BE"/>
        </w:rPr>
        <w:t> de manière relativement fréquente </w:t>
      </w:r>
      <w:bookmarkStart w:id="28" w:name="fta_29"/>
      <w:r w:rsidRPr="00F67B60">
        <w:rPr>
          <w:lang w:val="fr-BE"/>
        </w:rPr>
        <w:t>[29]</w:t>
      </w:r>
      <w:bookmarkEnd w:id="28"/>
      <w:r w:rsidRPr="00F67B60">
        <w:rPr>
          <w:lang w:val="fr-BE"/>
        </w:rPr>
        <w:t xml:space="preserve">, notamment en </w:t>
      </w:r>
      <w:r w:rsidRPr="00F67B60">
        <w:rPr>
          <w:lang w:val="fr-BE"/>
        </w:rPr>
        <w:lastRenderedPageBreak/>
        <w:t>matière d'hébergement. Par exemple, la cour d'appel de Bruxelles rappelait déjà, dans un arrêt du 24 octobre 2017 </w:t>
      </w:r>
      <w:bookmarkStart w:id="29" w:name="fta_30"/>
      <w:r w:rsidRPr="00F67B60">
        <w:rPr>
          <w:lang w:val="fr-BE"/>
        </w:rPr>
        <w:t>[30]</w:t>
      </w:r>
      <w:bookmarkEnd w:id="29"/>
      <w:r w:rsidRPr="00F67B60">
        <w:rPr>
          <w:lang w:val="fr-BE"/>
        </w:rPr>
        <w:t>, qu'«?en matière d'hébergement (...), le juge doit choisir la formule d'hébergement qui permettra au mieux de répondre aux besoins de l'enfant, conformément au principe consacré par l'article 3 de la Convention Internationale des droits de l'enfant et par l'article 22</w:t>
      </w:r>
      <w:r w:rsidRPr="00F67B60">
        <w:rPr>
          <w:i/>
          <w:iCs/>
          <w:lang w:val="fr-BE"/>
        </w:rPr>
        <w:t>bis</w:t>
      </w:r>
      <w:r w:rsidRPr="00F67B60">
        <w:rPr>
          <w:lang w:val="fr-BE"/>
        </w:rPr>
        <w:t> de la Constitution?». Dans le même sens, le tribunal de la famille de Bruxelles, saisi d'une demande d'autorisation de la mère de déménager avec les enfants communs au Royaume-Uni, souligne, dans une décision du 16 septembre 2021 </w:t>
      </w:r>
      <w:bookmarkStart w:id="30" w:name="fta_31"/>
      <w:r w:rsidRPr="00F67B60">
        <w:rPr>
          <w:lang w:val="fr-BE"/>
        </w:rPr>
        <w:t>[31]</w:t>
      </w:r>
      <w:bookmarkEnd w:id="30"/>
      <w:r w:rsidRPr="00F67B60">
        <w:rPr>
          <w:lang w:val="fr-BE"/>
        </w:rPr>
        <w:t>, qu'il a pour vocation première de statuer dans l'intérêt des enfants, lesquels ont, notamment, le droit fondamental d'être éduqués par leurs deux parents.</w:t>
      </w:r>
    </w:p>
    <w:p w14:paraId="17FEADD8" w14:textId="77777777" w:rsidR="00F67B60" w:rsidRPr="00F67B60" w:rsidRDefault="00F67B60" w:rsidP="00F67B60">
      <w:pPr>
        <w:rPr>
          <w:lang w:val="fr-BE"/>
        </w:rPr>
      </w:pPr>
      <w:r w:rsidRPr="00F67B60">
        <w:rPr>
          <w:lang w:val="fr-BE"/>
        </w:rPr>
        <w:t>Dans l'arrêt commenté, l'intérêt de l'enfant, comprenant notamment son droit à être protégée, est mis en balance par la cour avec le droit parental du père d'avoir des contacts avec sa fille, en ces termes : «?Dans la balance des intérêts de chacun, le droit de [Monsieur] de voir reconnaître ses droits parentaux doit être pondéré en fonction de l'intérêt supérieur de [l'enfant] et de son droit fondamental d'être protégée contre toutes les formes de violences, garanti par l'article 19 de la C.I.D.E. (et renforcé par l'Observation générale n° 13 du Comité des droits de l'enfant [...])?». Le caractère novateur de la lecture de la C.I.D.E., et plus largement de l'intérêt de l'enfant, qui est opérée par la cour dans l'arrêt commenté, réside en outre en ce qu'elle est faite à la lumière de la Convention d'Istanbul et de la loi féminicide. La mère avait invoqué, dans ses conclusions, les articles 31 et 26 de la Convention d'Istanbul </w:t>
      </w:r>
      <w:bookmarkStart w:id="31" w:name="fta_32"/>
      <w:r w:rsidRPr="00F67B60">
        <w:rPr>
          <w:lang w:val="fr-BE"/>
        </w:rPr>
        <w:t>[32]</w:t>
      </w:r>
      <w:bookmarkEnd w:id="31"/>
      <w:r w:rsidRPr="00F67B60">
        <w:rPr>
          <w:lang w:val="fr-BE"/>
        </w:rPr>
        <w:t xml:space="preserve"> afin d'appuyer la nécessité de prendre en compte les violences intrafamiliales dans l'appréciation de l'intérêt de l'enfant. À rebours d'une interprétation plus conservatrice de la loi de 2006, la cour reprend cet argumentaire et mentionne explicitement la Convention parmi ses principes directeurs - afin de fonder l'octroi de l'hébergement principal à la mère et de considérer les violences en présence comme des contre-indications à l'hébergement égalitaire. L'article 31 de la Convention impose, en effet, aux États parties, de prendre en compte les violences couvertes par le champ d'application de la Convention dans la détermination des droits d'hébergement et de visite. Il est en outre précisé dans cet article que la détermination de ces droits ne peut porter atteinte à la sécurité de l'enfant. La Cour européenne des droits de l'homme (ci-après, «?Cour </w:t>
      </w:r>
      <w:proofErr w:type="spellStart"/>
      <w:r w:rsidRPr="00F67B60">
        <w:rPr>
          <w:lang w:val="fr-BE"/>
        </w:rPr>
        <w:t>eur</w:t>
      </w:r>
      <w:proofErr w:type="spellEnd"/>
      <w:r w:rsidRPr="00F67B60">
        <w:rPr>
          <w:lang w:val="fr-BE"/>
        </w:rPr>
        <w:t>. D.H.?») a déjà eu l'occasion de se pencher sur l'interprétation qu'il convient de donner à l'article 31 et qui semble ici inspirer la cour d'appel. Dans son arrêt </w:t>
      </w:r>
      <w:r w:rsidRPr="00F67B60">
        <w:rPr>
          <w:i/>
          <w:iCs/>
          <w:lang w:val="fr-BE"/>
        </w:rPr>
        <w:t>I.M. et autres c. Italie</w:t>
      </w:r>
      <w:r w:rsidRPr="00F67B60">
        <w:rPr>
          <w:lang w:val="fr-BE"/>
        </w:rPr>
        <w:t>, rendu en 2022, elle reprend à son compte une série d'observations formulées par le GREVIO, l'organe de </w:t>
      </w:r>
      <w:r w:rsidRPr="00F67B60">
        <w:rPr>
          <w:i/>
          <w:iCs/>
          <w:lang w:val="fr-BE"/>
        </w:rPr>
        <w:t>monitoring</w:t>
      </w:r>
      <w:r w:rsidRPr="00F67B60">
        <w:rPr>
          <w:lang w:val="fr-BE"/>
        </w:rPr>
        <w:t> de la Convention d'Istanbul </w:t>
      </w:r>
      <w:bookmarkStart w:id="32" w:name="fta_33"/>
      <w:r w:rsidRPr="00F67B60">
        <w:rPr>
          <w:lang w:val="fr-BE"/>
        </w:rPr>
        <w:t>[33]</w:t>
      </w:r>
      <w:bookmarkEnd w:id="32"/>
      <w:r w:rsidRPr="00F67B60">
        <w:rPr>
          <w:lang w:val="fr-BE"/>
        </w:rPr>
        <w:t>. Ainsi, elle relève plusieurs éléments problématiques, parmi lesquels «?(...) la pratique très répandue par les tribunaux civils de considérer une femme qui soulève la question de la violence (...) comme une raison (...) de ne pas accepter la garde ou le droit de visite, comme un parent "non coopératif" (...)?» </w:t>
      </w:r>
      <w:bookmarkStart w:id="33" w:name="fta_34"/>
      <w:r w:rsidRPr="00F67B60">
        <w:rPr>
          <w:lang w:val="fr-BE"/>
        </w:rPr>
        <w:t>[34]</w:t>
      </w:r>
      <w:bookmarkEnd w:id="33"/>
      <w:r w:rsidRPr="00F67B60">
        <w:rPr>
          <w:lang w:val="fr-BE"/>
        </w:rPr>
        <w:t xml:space="preserve">. Dans cet arrêt, la Cour </w:t>
      </w:r>
      <w:proofErr w:type="spellStart"/>
      <w:r w:rsidRPr="00F67B60">
        <w:rPr>
          <w:lang w:val="fr-BE"/>
        </w:rPr>
        <w:t>eur</w:t>
      </w:r>
      <w:proofErr w:type="spellEnd"/>
      <w:r w:rsidRPr="00F67B60">
        <w:rPr>
          <w:lang w:val="fr-BE"/>
        </w:rPr>
        <w:t xml:space="preserve">. D.H. fait référence à plusieurs recommandations du GREVIO, telles que la </w:t>
      </w:r>
      <w:r w:rsidRPr="00F67B60">
        <w:rPr>
          <w:lang w:val="fr-BE"/>
        </w:rPr>
        <w:lastRenderedPageBreak/>
        <w:t>prise en compte de la sécurité de l'enfant dans l'appréciation de son intérêt supérieur, et relève le caractère problématique du concept d'aliénation parentale </w:t>
      </w:r>
      <w:bookmarkStart w:id="34" w:name="fta_35"/>
      <w:r w:rsidRPr="00F67B60">
        <w:rPr>
          <w:lang w:val="fr-BE"/>
        </w:rPr>
        <w:t>[35]</w:t>
      </w:r>
      <w:bookmarkEnd w:id="34"/>
      <w:r w:rsidRPr="00F67B60">
        <w:rPr>
          <w:lang w:val="fr-BE"/>
        </w:rPr>
        <w:t>.</w:t>
      </w:r>
    </w:p>
    <w:p w14:paraId="205FF2F7" w14:textId="77777777" w:rsidR="00F67B60" w:rsidRPr="00F67B60" w:rsidRDefault="00F67B60" w:rsidP="00F67B60">
      <w:pPr>
        <w:rPr>
          <w:lang w:val="fr-BE"/>
        </w:rPr>
      </w:pPr>
      <w:r w:rsidRPr="00F67B60">
        <w:rPr>
          <w:lang w:val="fr-BE"/>
        </w:rPr>
        <w:t xml:space="preserve">La cour d'appel de Mons s'inscrit dans une interprétation des dispositions internes conforme au droit international. À l'image de la Cour </w:t>
      </w:r>
      <w:proofErr w:type="spellStart"/>
      <w:r w:rsidRPr="00F67B60">
        <w:rPr>
          <w:lang w:val="fr-BE"/>
        </w:rPr>
        <w:t>eur</w:t>
      </w:r>
      <w:proofErr w:type="spellEnd"/>
      <w:r w:rsidRPr="00F67B60">
        <w:rPr>
          <w:lang w:val="fr-BE"/>
        </w:rPr>
        <w:t>. D.H. dans l'arrêt précité, elle rappelle ainsi certaines recommandations du GREVIO pour fonder le nécessaire octroi de l'hébergement principal à la mère, en écartant notamment la thèse de l'aliénation parentale. Parce qu'il démontre que la sécurité des enfants doit primer sur le maintien du lien dans la détermination des droits de garde, l'arrêt illustre que la Convention d'Istanbul et la C.I.D.E. peuvent être utilisées conjointement et se renforcer mutuellement. Cet arrêt illustre par ailleurs une application très concrète des dispositions de la Convention d'Istanbul. L'article 31 de cette dernière contient principalement des obligations positives, à charge des États (et particulièrement des cours et tribunaux) dont notamment celle de prendre en compte les violences dans leur décision - obligation qui trouve une application réelle dans le raisonnement de la cour. De manière générale, la Convention d'Istanbul, pourtant en vigueur dans notre ordre juridique depuis 2016, reste peu mobilisée dans les décisions des différentes juridictions </w:t>
      </w:r>
      <w:bookmarkStart w:id="35" w:name="fta_36"/>
      <w:r w:rsidRPr="00F67B60">
        <w:rPr>
          <w:lang w:val="fr-BE"/>
        </w:rPr>
        <w:t>[36]</w:t>
      </w:r>
      <w:bookmarkEnd w:id="35"/>
      <w:r w:rsidRPr="00F67B60">
        <w:rPr>
          <w:lang w:val="fr-BE"/>
        </w:rPr>
        <w:t>. L'application qui en est faite par la cour d'appel de Mons pourrait donc, à notre sens, marquer un tournant dans les motivations des décisions relatives à l'hébergement.</w:t>
      </w:r>
    </w:p>
    <w:p w14:paraId="1BF8A9C0" w14:textId="77777777" w:rsidR="00F67B60" w:rsidRPr="00F67B60" w:rsidRDefault="00F67B60" w:rsidP="00F67B60">
      <w:pPr>
        <w:rPr>
          <w:lang w:val="fr-BE"/>
        </w:rPr>
      </w:pPr>
      <w:r w:rsidRPr="00F67B60">
        <w:rPr>
          <w:lang w:val="fr-BE"/>
        </w:rPr>
        <w:t>Les violences dont il s'agit en l'espèce, et qui, en application de l'article 31, entrent dans l'appréciation de la définition des modalités d'hébergement, sont majoritairement des violences psychologiques - qualifiées par la mère comme constituant une situation de contrôle coercitif et s'inscrivant dans un </w:t>
      </w:r>
      <w:r w:rsidRPr="00F67B60">
        <w:rPr>
          <w:i/>
          <w:iCs/>
          <w:lang w:val="fr-BE"/>
        </w:rPr>
        <w:t>continuum</w:t>
      </w:r>
      <w:r w:rsidRPr="00F67B60">
        <w:rPr>
          <w:lang w:val="fr-BE"/>
        </w:rPr>
        <w:t>. La cour d'appel mentionne explicitement que ces violences psychologiques s'inscrivent plus largement dans une situation de violences intrafamiliales et constituent donc une contre-indication à un hébergement égalitaire de l'enfant. La cour suit ainsi le raisonnement de la mère et confirme l'existence d'un climat de contrôle coercitif. La notion de «?contrôle coercitif?» est entrée dans notre vocabulaire juridique interne par l'adoption de la loi féminicide </w:t>
      </w:r>
      <w:bookmarkStart w:id="36" w:name="fta_37"/>
      <w:r w:rsidRPr="00F67B60">
        <w:rPr>
          <w:lang w:val="fr-BE"/>
        </w:rPr>
        <w:t>[37]</w:t>
      </w:r>
      <w:bookmarkEnd w:id="36"/>
      <w:r w:rsidRPr="00F67B60">
        <w:rPr>
          <w:lang w:val="fr-BE"/>
        </w:rPr>
        <w:t>. Cette loi, directement inspirée par les obligations contenues dans la Convention d'Istanbul </w:t>
      </w:r>
      <w:bookmarkStart w:id="37" w:name="fta_38"/>
      <w:r w:rsidRPr="00F67B60">
        <w:rPr>
          <w:lang w:val="fr-BE"/>
        </w:rPr>
        <w:t>[38]</w:t>
      </w:r>
      <w:bookmarkEnd w:id="37"/>
      <w:r w:rsidRPr="00F67B60">
        <w:rPr>
          <w:lang w:val="fr-BE"/>
        </w:rPr>
        <w:t>, ne crée pas d'infractions, mais s'emploie principalement à définir une série de comportements constitutifs de violence. Elle définit ainsi la notion de contrôle coercitif comme comprenant «?les comportements coercitifs ou de contrôle, continus ou répétés, qui causent un dommage psychique?» </w:t>
      </w:r>
      <w:bookmarkStart w:id="38" w:name="fta_39"/>
      <w:r w:rsidRPr="00F67B60">
        <w:rPr>
          <w:lang w:val="fr-BE"/>
        </w:rPr>
        <w:t>[39]</w:t>
      </w:r>
      <w:bookmarkEnd w:id="38"/>
      <w:r w:rsidRPr="00F67B60">
        <w:rPr>
          <w:lang w:val="fr-BE"/>
        </w:rPr>
        <w:t>.</w:t>
      </w:r>
    </w:p>
    <w:p w14:paraId="2D94F12F" w14:textId="77777777" w:rsidR="00F67B60" w:rsidRPr="00F67B60" w:rsidRDefault="00F67B60" w:rsidP="00F67B60">
      <w:pPr>
        <w:rPr>
          <w:lang w:val="fr-BE"/>
        </w:rPr>
      </w:pPr>
      <w:r w:rsidRPr="00F67B60">
        <w:rPr>
          <w:lang w:val="fr-BE"/>
        </w:rPr>
        <w:t>La décision commentée est la première décision judiciaire s'appuyant, en partie, sur la loi féminicide et plus spécifiquement sur la notion de contrôle coercitif. Le caractère «?civil?» de cette loi n'empêche donc pas la cour d'appel d'en faire usage, ce qui démontre son intérêt, </w:t>
      </w:r>
      <w:r w:rsidRPr="00F67B60">
        <w:rPr>
          <w:i/>
          <w:iCs/>
          <w:lang w:val="fr-BE"/>
        </w:rPr>
        <w:t>a minima</w:t>
      </w:r>
      <w:r w:rsidRPr="00F67B60">
        <w:rPr>
          <w:lang w:val="fr-BE"/>
        </w:rPr>
        <w:t>, définitionnel et symbolique. Cette consécration jurisprudentielle </w:t>
      </w:r>
      <w:bookmarkStart w:id="39" w:name="fta_40"/>
      <w:r w:rsidRPr="00F67B60">
        <w:rPr>
          <w:lang w:val="fr-BE"/>
        </w:rPr>
        <w:t>[40]</w:t>
      </w:r>
      <w:bookmarkEnd w:id="39"/>
      <w:r w:rsidRPr="00F67B60">
        <w:rPr>
          <w:lang w:val="fr-BE"/>
        </w:rPr>
        <w:t xml:space="preserve"> (qui s'ajoute à la consécration légale) du contrôle coercitif constitue une véritable avancée en la matière?; elle déplace la focale sur les comportements problématiques de l'auteur. L'usage de cette notion qui est fait par la cour est, par ailleurs, </w:t>
      </w:r>
      <w:r w:rsidRPr="00F67B60">
        <w:rPr>
          <w:lang w:val="fr-BE"/>
        </w:rPr>
        <w:lastRenderedPageBreak/>
        <w:t>relativement inattendu. Alors que la Convention d'Istanbul et la loi féminicide sont principalement destinées à remédier aux situations des femmes victimes de violences, la notion de contrôle coercitif est, en l'espèce, utilisée pour qualifier des violences dont l'enfant est victime.</w:t>
      </w:r>
    </w:p>
    <w:tbl>
      <w:tblPr>
        <w:tblW w:w="0" w:type="dxa"/>
        <w:tblCellMar>
          <w:top w:w="15" w:type="dxa"/>
          <w:left w:w="15" w:type="dxa"/>
          <w:bottom w:w="15" w:type="dxa"/>
          <w:right w:w="15" w:type="dxa"/>
        </w:tblCellMar>
        <w:tblLook w:val="04A0" w:firstRow="1" w:lastRow="0" w:firstColumn="1" w:lastColumn="0" w:noHBand="0" w:noVBand="1"/>
      </w:tblPr>
      <w:tblGrid>
        <w:gridCol w:w="359"/>
        <w:gridCol w:w="8713"/>
      </w:tblGrid>
      <w:tr w:rsidR="00F67B60" w:rsidRPr="00F67B60" w14:paraId="2BEC2609" w14:textId="77777777" w:rsidTr="00F67B60">
        <w:tc>
          <w:tcPr>
            <w:tcW w:w="0" w:type="auto"/>
            <w:tcMar>
              <w:top w:w="200" w:type="dxa"/>
              <w:left w:w="15" w:type="dxa"/>
              <w:bottom w:w="15" w:type="dxa"/>
              <w:right w:w="75" w:type="dxa"/>
            </w:tcMar>
            <w:hideMark/>
          </w:tcPr>
          <w:p w14:paraId="45F56806" w14:textId="77777777" w:rsidR="00F67B60" w:rsidRPr="00F67B60" w:rsidRDefault="00F67B60" w:rsidP="00F67B60">
            <w:pPr>
              <w:rPr>
                <w:b/>
                <w:bCs/>
                <w:lang w:val="fr-BE"/>
              </w:rPr>
            </w:pPr>
            <w:r w:rsidRPr="00F67B60">
              <w:rPr>
                <w:b/>
                <w:bCs/>
                <w:lang w:val="fr-BE"/>
              </w:rPr>
              <w:t>IV.</w:t>
            </w:r>
          </w:p>
        </w:tc>
        <w:tc>
          <w:tcPr>
            <w:tcW w:w="0" w:type="auto"/>
            <w:tcMar>
              <w:top w:w="200" w:type="dxa"/>
              <w:left w:w="15" w:type="dxa"/>
              <w:bottom w:w="15" w:type="dxa"/>
              <w:right w:w="75" w:type="dxa"/>
            </w:tcMar>
            <w:hideMark/>
          </w:tcPr>
          <w:p w14:paraId="72A480BF" w14:textId="77777777" w:rsidR="00F67B60" w:rsidRPr="00F67B60" w:rsidRDefault="00F67B60" w:rsidP="00F67B60">
            <w:pPr>
              <w:rPr>
                <w:b/>
                <w:bCs/>
                <w:lang w:val="fr-BE"/>
              </w:rPr>
            </w:pPr>
            <w:r w:rsidRPr="00F67B60">
              <w:rPr>
                <w:b/>
                <w:bCs/>
                <w:lang w:val="fr-BE"/>
              </w:rPr>
              <w:t>Amorce d'un changement de paradigme : vers une redéfinition de l'intérêt de l'enfant??</w:t>
            </w:r>
          </w:p>
        </w:tc>
      </w:tr>
    </w:tbl>
    <w:p w14:paraId="1D7BEA7C" w14:textId="77777777" w:rsidR="00F67B60" w:rsidRPr="00F67B60" w:rsidRDefault="00F67B60" w:rsidP="00F67B60">
      <w:pPr>
        <w:rPr>
          <w:lang w:val="fr-BE"/>
        </w:rPr>
      </w:pPr>
      <w:r w:rsidRPr="00F67B60">
        <w:rPr>
          <w:lang w:val="fr-BE"/>
        </w:rPr>
        <w:t>L'arrêt commenté s'inscrit incontestablement dans une prise en compte croissante des violences faites aux femmes et aux enfants. En effet, la cour considère que le climat de violences instauré par le père fait obstacle au maintien du lien, puisqu'il porte atteinte à l'intérêt de l'enfant. Toutefois, elle statue </w:t>
      </w:r>
      <w:r w:rsidRPr="00F67B60">
        <w:rPr>
          <w:i/>
          <w:iCs/>
          <w:lang w:val="fr-BE"/>
        </w:rPr>
        <w:t>in fine</w:t>
      </w:r>
      <w:r w:rsidRPr="00F67B60">
        <w:rPr>
          <w:lang w:val="fr-BE"/>
        </w:rPr>
        <w:t> en faveur du maintien d'un hébergement secondaire très partiel chez ce dernier.</w:t>
      </w:r>
    </w:p>
    <w:p w14:paraId="35DF47E7" w14:textId="77777777" w:rsidR="00F67B60" w:rsidRPr="00F67B60" w:rsidRDefault="00F67B60" w:rsidP="00F67B60">
      <w:pPr>
        <w:rPr>
          <w:lang w:val="fr-BE"/>
        </w:rPr>
      </w:pPr>
      <w:r w:rsidRPr="00F67B60">
        <w:rPr>
          <w:lang w:val="fr-BE"/>
        </w:rPr>
        <w:t>Cette décision appelle quelques réflexions critiques sur l'hébergement égalitaire </w:t>
      </w:r>
      <w:bookmarkStart w:id="40" w:name="fta_41"/>
      <w:r w:rsidRPr="00F67B60">
        <w:rPr>
          <w:lang w:val="fr-BE"/>
        </w:rPr>
        <w:t>[41]</w:t>
      </w:r>
      <w:bookmarkEnd w:id="40"/>
      <w:r w:rsidRPr="00F67B60">
        <w:rPr>
          <w:lang w:val="fr-BE"/>
        </w:rPr>
        <w:t> qui est, par défaut, privilégié par la loi. Si historiquement, la généralisation de l'hébergement égalitaire a pu être perçue, du moins dans certains contextes nationaux, comme une victoire féministe puisqu'elle rapatrie dans le giron public des aspects de la vie familiale jusqu'alors maintenus dans la sphère privée, elle n'efface pas les inégalités </w:t>
      </w:r>
      <w:bookmarkStart w:id="41" w:name="fta_42"/>
      <w:r w:rsidRPr="00F67B60">
        <w:rPr>
          <w:lang w:val="fr-BE"/>
        </w:rPr>
        <w:t>[42]</w:t>
      </w:r>
      <w:bookmarkEnd w:id="41"/>
      <w:r w:rsidRPr="00F67B60">
        <w:rPr>
          <w:lang w:val="fr-BE"/>
        </w:rPr>
        <w:t>. En effet, alors que, traditionnellement, il était attendu des femmes qu'elles assument un rôle principal dans l'éducation des enfants, la loi de 2006 vient ménager une place plus importante aux pères, rééquilibrant formellement les rôles parentaux </w:t>
      </w:r>
      <w:bookmarkStart w:id="42" w:name="fta_43"/>
      <w:r w:rsidRPr="00F67B60">
        <w:rPr>
          <w:lang w:val="fr-BE"/>
        </w:rPr>
        <w:t>[43]</w:t>
      </w:r>
      <w:bookmarkEnd w:id="42"/>
      <w:r w:rsidRPr="00F67B60">
        <w:rPr>
          <w:lang w:val="fr-BE"/>
        </w:rPr>
        <w:t>. Lors de la phase des travaux parlementaires, plusieurs acteurs associatifs ont été amenés à rendre des avis sur le projet de loi, et ont également été auditionnés sur des problématiques plus larges </w:t>
      </w:r>
      <w:bookmarkStart w:id="43" w:name="fta_44"/>
      <w:r w:rsidRPr="00F67B60">
        <w:rPr>
          <w:lang w:val="fr-BE"/>
        </w:rPr>
        <w:t>[44]</w:t>
      </w:r>
      <w:bookmarkEnd w:id="43"/>
      <w:r w:rsidRPr="00F67B60">
        <w:rPr>
          <w:lang w:val="fr-BE"/>
        </w:rPr>
        <w:t xml:space="preserve">, afin de «?rendre compte de certains problèmes rencontrés sur le terrain?». Parmi ces acteurs, une grande partie avait à </w:t>
      </w:r>
      <w:proofErr w:type="spellStart"/>
      <w:r w:rsidRPr="00F67B60">
        <w:rPr>
          <w:lang w:val="fr-BE"/>
        </w:rPr>
        <w:t>coeur</w:t>
      </w:r>
      <w:proofErr w:type="spellEnd"/>
      <w:r w:rsidRPr="00F67B60">
        <w:rPr>
          <w:lang w:val="fr-BE"/>
        </w:rPr>
        <w:t xml:space="preserve"> de défendre et faire reconnaître les droits des pères </w:t>
      </w:r>
      <w:bookmarkStart w:id="44" w:name="fta_45"/>
      <w:r w:rsidRPr="00F67B60">
        <w:rPr>
          <w:lang w:val="fr-BE"/>
        </w:rPr>
        <w:t>[45]</w:t>
      </w:r>
      <w:bookmarkEnd w:id="44"/>
      <w:r w:rsidRPr="00F67B60">
        <w:rPr>
          <w:lang w:val="fr-BE"/>
        </w:rPr>
        <w:t>. Certains n'ont d'ailleurs pas hésité, pendant leurs interventions au sujet desdits problèmes rencontrés sur le terrain, à dépeindre les mères de manière négative, à insister sur l'importance du maintien du lien avec le père </w:t>
      </w:r>
      <w:bookmarkStart w:id="45" w:name="fta_46"/>
      <w:r w:rsidRPr="00F67B60">
        <w:rPr>
          <w:lang w:val="fr-BE"/>
        </w:rPr>
        <w:t>[46]</w:t>
      </w:r>
      <w:bookmarkEnd w:id="45"/>
      <w:r w:rsidRPr="00F67B60">
        <w:rPr>
          <w:lang w:val="fr-BE"/>
        </w:rPr>
        <w:t> et même à mentionner explicitement le syndrome d'aliénation parentale </w:t>
      </w:r>
      <w:bookmarkStart w:id="46" w:name="fta_47"/>
      <w:r w:rsidRPr="00F67B60">
        <w:rPr>
          <w:lang w:val="fr-BE"/>
        </w:rPr>
        <w:t>[47]</w:t>
      </w:r>
      <w:bookmarkEnd w:id="46"/>
      <w:r w:rsidRPr="00F67B60">
        <w:rPr>
          <w:lang w:val="fr-BE"/>
        </w:rPr>
        <w:t>. Il n'est dès lors pas étonnant de constater que les inégalités de genre survivent à l'apparente «?neutralisation?» par la loi, qui va même jusqu'à produire des effets pervers, particulièrement dans des situations de violences intrafamiliales </w:t>
      </w:r>
      <w:bookmarkStart w:id="47" w:name="fta_48"/>
      <w:r w:rsidRPr="00F67B60">
        <w:rPr>
          <w:lang w:val="fr-BE"/>
        </w:rPr>
        <w:t>[48]</w:t>
      </w:r>
      <w:bookmarkEnd w:id="47"/>
      <w:r w:rsidRPr="00F67B60">
        <w:rPr>
          <w:lang w:val="fr-BE"/>
        </w:rPr>
        <w:t>. En effet, en modifiant le cadre légal en vue d'atténuer le rôle traditionnellement assumé par chacun des parents en fonction de son genre, le législateur invisibilise les inégalités de genre. C'est notamment le cas lorsque le législateur omet de considérer explicitement les violences faites aux femmes et aux enfants comme contre-indications à un hébergement égalitaire.</w:t>
      </w:r>
    </w:p>
    <w:p w14:paraId="51D62CE1" w14:textId="77777777" w:rsidR="00F67B60" w:rsidRPr="00F67B60" w:rsidRDefault="00F67B60" w:rsidP="00F67B60">
      <w:pPr>
        <w:rPr>
          <w:lang w:val="fr-BE"/>
        </w:rPr>
      </w:pPr>
      <w:r w:rsidRPr="00F67B60">
        <w:rPr>
          <w:lang w:val="fr-BE"/>
        </w:rPr>
        <w:t xml:space="preserve">En pratique, l'intérêt de l'enfant continue bien souvent à s'interpréter comme nécessitant le maintien, parfois à tout prix, du lien parental avec le père, une famille sans père constituant un impensé. La justice familiale se fait encore le reflet de cette conception </w:t>
      </w:r>
      <w:r w:rsidRPr="00F67B60">
        <w:rPr>
          <w:lang w:val="fr-BE"/>
        </w:rPr>
        <w:lastRenderedPageBreak/>
        <w:t>sociétale. Si la décision commentée se démarque par le recours aux instruments légaux de protection des droits des femmes et des enfants et grâce à l'attention particulière portée aux violences envers celles et ceux-ci dans la répartition de l'hébergement, ce constat doit être nuancé par l'attribution d'un hébergement secondaire, certes réduit, au père. Même si le maintien des contacts entre le père et l'enfant est en partie motivé par la demande de la mère elle-même de ne pas empêcher totalement les relations père-enfant, il démontre tout de même un décalage entre les principes invoqués d'une part, comprenant la condamnation très stricte des agissements du père, et la décision de «?privilégier pour l'instant la reconstruction du lien?», d'autre part </w:t>
      </w:r>
      <w:bookmarkStart w:id="48" w:name="fta_49"/>
      <w:r w:rsidRPr="00F67B60">
        <w:rPr>
          <w:lang w:val="fr-BE"/>
        </w:rPr>
        <w:t>[49]</w:t>
      </w:r>
      <w:bookmarkEnd w:id="48"/>
      <w:r w:rsidRPr="00F67B60">
        <w:rPr>
          <w:lang w:val="fr-BE"/>
        </w:rPr>
        <w:t>. Le maintien du lien parental occupant </w:t>
      </w:r>
      <w:r w:rsidRPr="00F67B60">
        <w:rPr>
          <w:i/>
          <w:iCs/>
          <w:lang w:val="fr-BE"/>
        </w:rPr>
        <w:t>in fine</w:t>
      </w:r>
      <w:r w:rsidRPr="00F67B60">
        <w:rPr>
          <w:lang w:val="fr-BE"/>
        </w:rPr>
        <w:t> une place non négligeable dans la décision de la cour.</w:t>
      </w:r>
    </w:p>
    <w:p w14:paraId="208483EA" w14:textId="77777777" w:rsidR="00F67B60" w:rsidRPr="00F67B60" w:rsidRDefault="00F67B60" w:rsidP="00F67B60">
      <w:pPr>
        <w:rPr>
          <w:lang w:val="fr-BE"/>
        </w:rPr>
      </w:pPr>
      <w:r w:rsidRPr="00F67B60">
        <w:rPr>
          <w:lang w:val="fr-BE"/>
        </w:rPr>
        <w:t>Il semble cependant que d'autres pays reconsidèrent la place laissée au maintien du lien. En effet, l'Espagne </w:t>
      </w:r>
      <w:bookmarkStart w:id="49" w:name="fta_50"/>
      <w:r w:rsidRPr="00F67B60">
        <w:rPr>
          <w:lang w:val="fr-BE"/>
        </w:rPr>
        <w:t>[50]</w:t>
      </w:r>
      <w:bookmarkEnd w:id="49"/>
      <w:r w:rsidRPr="00F67B60">
        <w:rPr>
          <w:lang w:val="fr-BE"/>
        </w:rPr>
        <w:t> ou la France </w:t>
      </w:r>
      <w:bookmarkStart w:id="50" w:name="fta_51"/>
      <w:r w:rsidRPr="00F67B60">
        <w:rPr>
          <w:lang w:val="fr-BE"/>
        </w:rPr>
        <w:t>[51]</w:t>
      </w:r>
      <w:bookmarkEnd w:id="50"/>
      <w:r w:rsidRPr="00F67B60">
        <w:rPr>
          <w:lang w:val="fr-BE"/>
        </w:rPr>
        <w:t>, par exemple, ont adopté des législations plus strictes prévoyant qu'il ne peut y avoir d'hébergement partagé dans des situations de violences. Il semble donc possible de remettre en question un automatisme qui consiste à préserver l'intégrité de la famille traditionnelle au prix de la sécurité des enfants, mais également, des femmes. Si le maintien du lien familial reste un élément important à prendre en compte dans l'évaluation de l'intérêt de l'enfant, il nous semble, cependant, que sa pertinence doit toujours être (ré)évaluée en priorisant les besoins et la sécurité de l'enfant </w:t>
      </w:r>
      <w:bookmarkStart w:id="51" w:name="fta_52"/>
      <w:r w:rsidRPr="00F67B60">
        <w:rPr>
          <w:lang w:val="fr-BE"/>
        </w:rPr>
        <w:t>[52]</w:t>
      </w:r>
      <w:bookmarkEnd w:id="51"/>
      <w:r w:rsidRPr="00F67B60">
        <w:rPr>
          <w:lang w:val="fr-BE"/>
        </w:rPr>
        <w:t>.</w:t>
      </w:r>
    </w:p>
    <w:tbl>
      <w:tblPr>
        <w:tblW w:w="9439" w:type="dxa"/>
        <w:jc w:val="right"/>
        <w:tblCellMar>
          <w:top w:w="15" w:type="dxa"/>
          <w:left w:w="15" w:type="dxa"/>
          <w:bottom w:w="15" w:type="dxa"/>
          <w:right w:w="15" w:type="dxa"/>
        </w:tblCellMar>
        <w:tblLook w:val="04A0" w:firstRow="1" w:lastRow="0" w:firstColumn="1" w:lastColumn="0" w:noHBand="0" w:noVBand="1"/>
      </w:tblPr>
      <w:tblGrid>
        <w:gridCol w:w="9439"/>
      </w:tblGrid>
      <w:tr w:rsidR="00F67B60" w:rsidRPr="00F67B60" w14:paraId="2E5E9E2F" w14:textId="77777777" w:rsidTr="00F67B60">
        <w:trPr>
          <w:jc w:val="right"/>
        </w:trPr>
        <w:tc>
          <w:tcPr>
            <w:tcW w:w="0" w:type="auto"/>
            <w:vAlign w:val="center"/>
            <w:hideMark/>
          </w:tcPr>
          <w:p w14:paraId="16C56920" w14:textId="77777777" w:rsidR="00F67B60" w:rsidRPr="00F67B60" w:rsidRDefault="00F67B60" w:rsidP="00F67B60">
            <w:pPr>
              <w:rPr>
                <w:lang w:val="fr-BE"/>
              </w:rPr>
            </w:pPr>
            <w:r w:rsidRPr="00F67B60">
              <w:rPr>
                <w:lang w:val="fr-BE"/>
              </w:rPr>
              <w:t>Flore </w:t>
            </w:r>
            <w:proofErr w:type="spellStart"/>
            <w:r w:rsidRPr="00F67B60">
              <w:rPr>
                <w:lang w:val="fr-BE"/>
              </w:rPr>
              <w:t>Belenger</w:t>
            </w:r>
            <w:proofErr w:type="spellEnd"/>
            <w:r w:rsidRPr="00F67B60">
              <w:rPr>
                <w:lang w:val="fr-BE"/>
              </w:rPr>
              <w:br/>
            </w:r>
            <w:r w:rsidRPr="00F67B60">
              <w:rPr>
                <w:i/>
                <w:iCs/>
                <w:lang w:val="fr-BE"/>
              </w:rPr>
              <w:t>Aspirante F.N.R.S. au sein du Centre de droit public et social de l'Université libre de Bruxelles</w:t>
            </w:r>
          </w:p>
        </w:tc>
      </w:tr>
      <w:tr w:rsidR="00F67B60" w:rsidRPr="00F67B60" w14:paraId="06F5E9EE" w14:textId="77777777" w:rsidTr="00F67B60">
        <w:trPr>
          <w:jc w:val="right"/>
        </w:trPr>
        <w:tc>
          <w:tcPr>
            <w:tcW w:w="0" w:type="auto"/>
            <w:vAlign w:val="center"/>
            <w:hideMark/>
          </w:tcPr>
          <w:p w14:paraId="7EE73555" w14:textId="77777777" w:rsidR="00F67B60" w:rsidRPr="00F67B60" w:rsidRDefault="00F67B60" w:rsidP="00F67B60">
            <w:pPr>
              <w:rPr>
                <w:lang w:val="fr-BE"/>
              </w:rPr>
            </w:pPr>
            <w:r w:rsidRPr="00F67B60">
              <w:rPr>
                <w:lang w:val="fr-BE"/>
              </w:rPr>
              <w:t>Louise </w:t>
            </w:r>
            <w:proofErr w:type="spellStart"/>
            <w:r w:rsidRPr="00F67B60">
              <w:rPr>
                <w:lang w:val="fr-BE"/>
              </w:rPr>
              <w:t>Delwiche</w:t>
            </w:r>
            <w:proofErr w:type="spellEnd"/>
            <w:r w:rsidRPr="00F67B60">
              <w:rPr>
                <w:lang w:val="fr-BE"/>
              </w:rPr>
              <w:br/>
            </w:r>
            <w:r w:rsidRPr="00F67B60">
              <w:rPr>
                <w:i/>
                <w:iCs/>
                <w:lang w:val="fr-BE"/>
              </w:rPr>
              <w:t>Avocate au barreau de Bruxelles</w:t>
            </w:r>
          </w:p>
        </w:tc>
      </w:tr>
      <w:tr w:rsidR="00F67B60" w:rsidRPr="00F67B60" w14:paraId="043C47C7" w14:textId="77777777" w:rsidTr="00F67B60">
        <w:trPr>
          <w:jc w:val="right"/>
        </w:trPr>
        <w:tc>
          <w:tcPr>
            <w:tcW w:w="0" w:type="auto"/>
            <w:vAlign w:val="center"/>
            <w:hideMark/>
          </w:tcPr>
          <w:p w14:paraId="231C0017" w14:textId="77777777" w:rsidR="00F67B60" w:rsidRPr="00F67B60" w:rsidRDefault="00F67B60" w:rsidP="00F67B60">
            <w:pPr>
              <w:rPr>
                <w:lang w:val="fr-BE"/>
              </w:rPr>
            </w:pPr>
            <w:r w:rsidRPr="00F67B60">
              <w:rPr>
                <w:lang w:val="fr-BE"/>
              </w:rPr>
              <w:t>Giulia De Pascale</w:t>
            </w:r>
            <w:r w:rsidRPr="00F67B60">
              <w:rPr>
                <w:lang w:val="fr-BE"/>
              </w:rPr>
              <w:br/>
            </w:r>
            <w:r w:rsidRPr="00F67B60">
              <w:rPr>
                <w:i/>
                <w:iCs/>
                <w:lang w:val="fr-BE"/>
              </w:rPr>
              <w:t>Doctorante et assistante au sein du Centre de droit public et social de l'Université libre de Bruxelles</w:t>
            </w:r>
          </w:p>
        </w:tc>
      </w:tr>
      <w:tr w:rsidR="00F67B60" w:rsidRPr="00F67B60" w14:paraId="1680E296" w14:textId="77777777" w:rsidTr="00F67B60">
        <w:trPr>
          <w:jc w:val="right"/>
        </w:trPr>
        <w:tc>
          <w:tcPr>
            <w:tcW w:w="0" w:type="auto"/>
            <w:vAlign w:val="center"/>
            <w:hideMark/>
          </w:tcPr>
          <w:p w14:paraId="179A5378" w14:textId="77777777" w:rsidR="00F67B60" w:rsidRPr="00F67B60" w:rsidRDefault="00F67B60" w:rsidP="00F67B60">
            <w:pPr>
              <w:rPr>
                <w:lang w:val="fr-BE"/>
              </w:rPr>
            </w:pPr>
            <w:r w:rsidRPr="00F67B60">
              <w:rPr>
                <w:lang w:val="fr-BE"/>
              </w:rPr>
              <w:t>Emilie Djawa</w:t>
            </w:r>
            <w:r w:rsidRPr="00F67B60">
              <w:rPr>
                <w:lang w:val="fr-BE"/>
              </w:rPr>
              <w:br/>
            </w:r>
            <w:r w:rsidRPr="00F67B60">
              <w:rPr>
                <w:i/>
                <w:iCs/>
                <w:lang w:val="fr-BE"/>
              </w:rPr>
              <w:t>Avocate au barreau de Bruxelles</w:t>
            </w:r>
            <w:r w:rsidRPr="00F67B60">
              <w:rPr>
                <w:lang w:val="fr-BE"/>
              </w:rPr>
              <w:br/>
            </w:r>
            <w:r w:rsidRPr="00F67B60">
              <w:rPr>
                <w:i/>
                <w:iCs/>
                <w:lang w:val="fr-BE"/>
              </w:rPr>
              <w:t>Assistante à l'</w:t>
            </w:r>
            <w:proofErr w:type="spellStart"/>
            <w:r w:rsidRPr="00F67B60">
              <w:rPr>
                <w:i/>
                <w:iCs/>
                <w:lang w:val="fr-BE"/>
              </w:rPr>
              <w:t>UCLouvain</w:t>
            </w:r>
            <w:proofErr w:type="spellEnd"/>
            <w:r w:rsidRPr="00F67B60">
              <w:rPr>
                <w:lang w:val="fr-BE"/>
              </w:rPr>
              <w:br/>
            </w:r>
            <w:r w:rsidRPr="00F67B60">
              <w:rPr>
                <w:i/>
                <w:iCs/>
                <w:lang w:val="fr-BE"/>
              </w:rPr>
              <w:t>Saint-Louis - Bruxelles</w:t>
            </w:r>
            <w:r w:rsidRPr="00F67B60">
              <w:rPr>
                <w:lang w:val="fr-BE"/>
              </w:rPr>
              <w:br/>
            </w:r>
            <w:r w:rsidRPr="00F67B60">
              <w:rPr>
                <w:i/>
                <w:iCs/>
                <w:lang w:val="fr-BE"/>
              </w:rPr>
              <w:t xml:space="preserve">Membres de l'association </w:t>
            </w:r>
            <w:proofErr w:type="spellStart"/>
            <w:r w:rsidRPr="00F67B60">
              <w:rPr>
                <w:i/>
                <w:iCs/>
                <w:lang w:val="fr-BE"/>
              </w:rPr>
              <w:t>Fem&amp;L.A.W</w:t>
            </w:r>
            <w:proofErr w:type="spellEnd"/>
            <w:r w:rsidRPr="00F67B60">
              <w:rPr>
                <w:i/>
                <w:iCs/>
                <w:lang w:val="fr-BE"/>
              </w:rPr>
              <w:t>.</w:t>
            </w:r>
          </w:p>
        </w:tc>
      </w:tr>
    </w:tbl>
    <w:p w14:paraId="69814C9C" w14:textId="77777777" w:rsidR="00F67B60" w:rsidRPr="00F67B60" w:rsidRDefault="00F67B60" w:rsidP="00F67B60">
      <w:pPr>
        <w:rPr>
          <w:lang w:val="fr-BE"/>
        </w:rPr>
      </w:pPr>
      <w:r w:rsidRPr="00F67B60">
        <w:rPr>
          <w:lang w:val="fr-BE"/>
        </w:rPr>
        <w:t> </w:t>
      </w:r>
    </w:p>
    <w:p w14:paraId="2064FEC0" w14:textId="77777777" w:rsidR="00F67B60" w:rsidRPr="00F67B60" w:rsidRDefault="00F67B60" w:rsidP="00F67B60">
      <w:pPr>
        <w:rPr>
          <w:lang w:val="fr-BE"/>
        </w:rPr>
      </w:pPr>
      <w:r w:rsidRPr="00F67B60">
        <w:rPr>
          <w:lang w:val="fr-BE"/>
        </w:rPr>
        <w:pict w14:anchorId="708E809F">
          <v:rect id="_x0000_i1031" style="width:0;height:0" o:hralign="center" o:hrstd="t" o:hr="t" fillcolor="#a0a0a0" stroked="f"/>
        </w:pict>
      </w:r>
    </w:p>
    <w:tbl>
      <w:tblPr>
        <w:tblW w:w="0" w:type="dxa"/>
        <w:tblCellMar>
          <w:top w:w="15" w:type="dxa"/>
          <w:left w:w="15" w:type="dxa"/>
          <w:bottom w:w="15" w:type="dxa"/>
          <w:right w:w="15" w:type="dxa"/>
        </w:tblCellMar>
        <w:tblLook w:val="04A0" w:firstRow="1" w:lastRow="0" w:firstColumn="1" w:lastColumn="0" w:noHBand="0" w:noVBand="1"/>
      </w:tblPr>
      <w:tblGrid>
        <w:gridCol w:w="428"/>
        <w:gridCol w:w="8029"/>
      </w:tblGrid>
      <w:tr w:rsidR="00F67B60" w:rsidRPr="00F67B60" w14:paraId="1CC9010C" w14:textId="77777777" w:rsidTr="00F67B60">
        <w:tc>
          <w:tcPr>
            <w:tcW w:w="150" w:type="dxa"/>
            <w:hideMark/>
          </w:tcPr>
          <w:p w14:paraId="5D8DCBD0" w14:textId="77777777" w:rsidR="00F67B60" w:rsidRPr="00F67B60" w:rsidRDefault="00F67B60" w:rsidP="00F67B60">
            <w:pPr>
              <w:rPr>
                <w:lang w:val="fr-BE"/>
              </w:rPr>
            </w:pPr>
            <w:bookmarkStart w:id="52" w:name="ftn_1"/>
            <w:r w:rsidRPr="00F67B60">
              <w:rPr>
                <w:lang w:val="fr-BE"/>
              </w:rPr>
              <w:t>[1]</w:t>
            </w:r>
            <w:bookmarkEnd w:id="52"/>
          </w:p>
        </w:tc>
        <w:tc>
          <w:tcPr>
            <w:tcW w:w="6" w:type="dxa"/>
            <w:tcMar>
              <w:top w:w="15" w:type="dxa"/>
              <w:left w:w="360" w:type="dxa"/>
              <w:bottom w:w="200" w:type="dxa"/>
              <w:right w:w="400" w:type="dxa"/>
            </w:tcMar>
            <w:hideMark/>
          </w:tcPr>
          <w:p w14:paraId="23D0D004" w14:textId="77777777" w:rsidR="00F67B60" w:rsidRPr="00F67B60" w:rsidRDefault="00F67B60" w:rsidP="00F67B60">
            <w:pPr>
              <w:rPr>
                <w:lang w:val="fr-BE"/>
              </w:rPr>
            </w:pPr>
            <w:r w:rsidRPr="00F67B60">
              <w:rPr>
                <w:lang w:val="fr-BE"/>
              </w:rPr>
              <w:t>Mons (33</w:t>
            </w:r>
            <w:r w:rsidRPr="00F67B60">
              <w:rPr>
                <w:vertAlign w:val="superscript"/>
                <w:lang w:val="fr-BE"/>
              </w:rPr>
              <w:t>e</w:t>
            </w:r>
            <w:r w:rsidRPr="00F67B60">
              <w:rPr>
                <w:lang w:val="fr-BE"/>
              </w:rPr>
              <w:t> ch.), 27 mars 2024, inédit, R.G. n° 2023/TF/173.</w:t>
            </w:r>
          </w:p>
        </w:tc>
      </w:tr>
      <w:tr w:rsidR="00F67B60" w:rsidRPr="00F67B60" w14:paraId="488C7DFB" w14:textId="77777777" w:rsidTr="00F67B60">
        <w:tc>
          <w:tcPr>
            <w:tcW w:w="150" w:type="dxa"/>
            <w:hideMark/>
          </w:tcPr>
          <w:p w14:paraId="6639E9CC" w14:textId="77777777" w:rsidR="00F67B60" w:rsidRPr="00F67B60" w:rsidRDefault="00F67B60" w:rsidP="00F67B60">
            <w:pPr>
              <w:rPr>
                <w:lang w:val="fr-BE"/>
              </w:rPr>
            </w:pPr>
            <w:bookmarkStart w:id="53" w:name="ftn_2"/>
            <w:r w:rsidRPr="00F67B60">
              <w:rPr>
                <w:lang w:val="fr-BE"/>
              </w:rPr>
              <w:lastRenderedPageBreak/>
              <w:t>[2]</w:t>
            </w:r>
            <w:bookmarkEnd w:id="53"/>
          </w:p>
        </w:tc>
        <w:tc>
          <w:tcPr>
            <w:tcW w:w="6" w:type="dxa"/>
            <w:tcMar>
              <w:top w:w="15" w:type="dxa"/>
              <w:left w:w="360" w:type="dxa"/>
              <w:bottom w:w="200" w:type="dxa"/>
              <w:right w:w="400" w:type="dxa"/>
            </w:tcMar>
            <w:hideMark/>
          </w:tcPr>
          <w:p w14:paraId="56CB190A" w14:textId="77777777" w:rsidR="00F67B60" w:rsidRPr="00F67B60" w:rsidRDefault="00F67B60" w:rsidP="00F67B60">
            <w:pPr>
              <w:rPr>
                <w:lang w:val="fr-BE"/>
              </w:rPr>
            </w:pPr>
            <w:r w:rsidRPr="00F67B60">
              <w:rPr>
                <w:lang w:val="fr-BE"/>
              </w:rPr>
              <w:t>Loi du 18 juillet 2006 tendant à privilégier l'hébergement égalitaire de l'enfant dont les parents sont séparés et réglementant l'exécution forcée en matière d'hébergement d'enfant, </w:t>
            </w:r>
            <w:r w:rsidRPr="00F67B60">
              <w:rPr>
                <w:i/>
                <w:iCs/>
                <w:lang w:val="fr-BE"/>
              </w:rPr>
              <w:t>M.B</w:t>
            </w:r>
            <w:r w:rsidRPr="00F67B60">
              <w:rPr>
                <w:lang w:val="fr-BE"/>
              </w:rPr>
              <w:t>., 4 septembre 2006.</w:t>
            </w:r>
          </w:p>
        </w:tc>
      </w:tr>
      <w:tr w:rsidR="00F67B60" w:rsidRPr="00F67B60" w14:paraId="5BA9C5EF" w14:textId="77777777" w:rsidTr="00F67B60">
        <w:tc>
          <w:tcPr>
            <w:tcW w:w="150" w:type="dxa"/>
            <w:hideMark/>
          </w:tcPr>
          <w:p w14:paraId="50C9EEDC" w14:textId="77777777" w:rsidR="00F67B60" w:rsidRPr="00F67B60" w:rsidRDefault="00F67B60" w:rsidP="00F67B60">
            <w:pPr>
              <w:rPr>
                <w:lang w:val="fr-BE"/>
              </w:rPr>
            </w:pPr>
            <w:bookmarkStart w:id="54" w:name="ftn_3"/>
            <w:r w:rsidRPr="00F67B60">
              <w:rPr>
                <w:lang w:val="fr-BE"/>
              </w:rPr>
              <w:t>[3]</w:t>
            </w:r>
            <w:bookmarkEnd w:id="54"/>
          </w:p>
        </w:tc>
        <w:tc>
          <w:tcPr>
            <w:tcW w:w="6" w:type="dxa"/>
            <w:tcMar>
              <w:top w:w="15" w:type="dxa"/>
              <w:left w:w="360" w:type="dxa"/>
              <w:bottom w:w="200" w:type="dxa"/>
              <w:right w:w="400" w:type="dxa"/>
            </w:tcMar>
            <w:hideMark/>
          </w:tcPr>
          <w:p w14:paraId="6DDD3E3E" w14:textId="77777777" w:rsidR="00F67B60" w:rsidRPr="00F67B60" w:rsidRDefault="00F67B60" w:rsidP="00F67B60">
            <w:pPr>
              <w:rPr>
                <w:lang w:val="fr-BE"/>
              </w:rPr>
            </w:pPr>
            <w:r w:rsidRPr="00F67B60">
              <w:rPr>
                <w:lang w:val="fr-BE"/>
              </w:rPr>
              <w:t>Cette Convention est le premier traité, à l'échelle européenne, qui soit dédié à la lutte contre les violences faites aux femmes. La Convention vise tout type de violences faites aux femmes mais s'emploie également à lutter contre les violences intrafamiliales et contient à ce titre, des dispositions destinées à protéger les enfants.</w:t>
            </w:r>
          </w:p>
        </w:tc>
      </w:tr>
      <w:tr w:rsidR="00F67B60" w:rsidRPr="00F67B60" w14:paraId="2036EBED" w14:textId="77777777" w:rsidTr="00F67B60">
        <w:tc>
          <w:tcPr>
            <w:tcW w:w="150" w:type="dxa"/>
            <w:hideMark/>
          </w:tcPr>
          <w:p w14:paraId="1B1B53F1" w14:textId="77777777" w:rsidR="00F67B60" w:rsidRPr="00F67B60" w:rsidRDefault="00F67B60" w:rsidP="00F67B60">
            <w:pPr>
              <w:rPr>
                <w:lang w:val="fr-BE"/>
              </w:rPr>
            </w:pPr>
            <w:bookmarkStart w:id="55" w:name="ftn_4"/>
            <w:r w:rsidRPr="00F67B60">
              <w:rPr>
                <w:lang w:val="fr-BE"/>
              </w:rPr>
              <w:t>[4]</w:t>
            </w:r>
            <w:bookmarkEnd w:id="55"/>
          </w:p>
        </w:tc>
        <w:tc>
          <w:tcPr>
            <w:tcW w:w="6" w:type="dxa"/>
            <w:tcMar>
              <w:top w:w="15" w:type="dxa"/>
              <w:left w:w="360" w:type="dxa"/>
              <w:bottom w:w="200" w:type="dxa"/>
              <w:right w:w="400" w:type="dxa"/>
            </w:tcMar>
            <w:hideMark/>
          </w:tcPr>
          <w:p w14:paraId="02701088" w14:textId="77777777" w:rsidR="00F67B60" w:rsidRPr="00F67B60" w:rsidRDefault="00F67B60" w:rsidP="00F67B60">
            <w:pPr>
              <w:rPr>
                <w:lang w:val="fr-BE"/>
              </w:rPr>
            </w:pPr>
            <w:r w:rsidRPr="00F67B60">
              <w:rPr>
                <w:lang w:val="fr-BE"/>
              </w:rPr>
              <w:t>Convention relative aux droits de l'enfant, adoptée à New York le 29 novembre 1989, approuvée par la loi du 25 novembre 1991, </w:t>
            </w:r>
            <w:r w:rsidRPr="00F67B60">
              <w:rPr>
                <w:i/>
                <w:iCs/>
                <w:lang w:val="fr-BE"/>
              </w:rPr>
              <w:t>M.B</w:t>
            </w:r>
            <w:r w:rsidRPr="00F67B60">
              <w:rPr>
                <w:lang w:val="fr-BE"/>
              </w:rPr>
              <w:t>., 17 janvier 1992.</w:t>
            </w:r>
          </w:p>
        </w:tc>
      </w:tr>
      <w:tr w:rsidR="00F67B60" w:rsidRPr="00F67B60" w14:paraId="51CE2F5F" w14:textId="77777777" w:rsidTr="00F67B60">
        <w:tc>
          <w:tcPr>
            <w:tcW w:w="150" w:type="dxa"/>
            <w:hideMark/>
          </w:tcPr>
          <w:p w14:paraId="7605B79E" w14:textId="77777777" w:rsidR="00F67B60" w:rsidRPr="00F67B60" w:rsidRDefault="00F67B60" w:rsidP="00F67B60">
            <w:pPr>
              <w:rPr>
                <w:lang w:val="fr-BE"/>
              </w:rPr>
            </w:pPr>
            <w:bookmarkStart w:id="56" w:name="ftn_5"/>
            <w:r w:rsidRPr="00F67B60">
              <w:rPr>
                <w:lang w:val="fr-BE"/>
              </w:rPr>
              <w:t>[5]</w:t>
            </w:r>
            <w:bookmarkEnd w:id="56"/>
          </w:p>
        </w:tc>
        <w:tc>
          <w:tcPr>
            <w:tcW w:w="6" w:type="dxa"/>
            <w:tcMar>
              <w:top w:w="15" w:type="dxa"/>
              <w:left w:w="360" w:type="dxa"/>
              <w:bottom w:w="200" w:type="dxa"/>
              <w:right w:w="400" w:type="dxa"/>
            </w:tcMar>
            <w:hideMark/>
          </w:tcPr>
          <w:p w14:paraId="5462150B" w14:textId="77777777" w:rsidR="00F67B60" w:rsidRPr="00F67B60" w:rsidRDefault="00F67B60" w:rsidP="00F67B60">
            <w:pPr>
              <w:rPr>
                <w:lang w:val="fr-BE"/>
              </w:rPr>
            </w:pPr>
            <w:r w:rsidRPr="00F67B60">
              <w:rPr>
                <w:lang w:val="fr-BE"/>
              </w:rPr>
              <w:t>Loi du 13 juillet 2023 sur la prévention des féminicides, </w:t>
            </w:r>
            <w:r w:rsidRPr="00F67B60">
              <w:rPr>
                <w:i/>
                <w:iCs/>
                <w:lang w:val="fr-BE"/>
              </w:rPr>
              <w:t>M.B</w:t>
            </w:r>
            <w:r w:rsidRPr="00F67B60">
              <w:rPr>
                <w:lang w:val="fr-BE"/>
              </w:rPr>
              <w:t>, 31 août 2023.</w:t>
            </w:r>
          </w:p>
        </w:tc>
      </w:tr>
      <w:tr w:rsidR="00F67B60" w:rsidRPr="00F67B60" w14:paraId="1111D732" w14:textId="77777777" w:rsidTr="00F67B60">
        <w:tc>
          <w:tcPr>
            <w:tcW w:w="150" w:type="dxa"/>
            <w:hideMark/>
          </w:tcPr>
          <w:p w14:paraId="6DFC2A53" w14:textId="77777777" w:rsidR="00F67B60" w:rsidRPr="00F67B60" w:rsidRDefault="00F67B60" w:rsidP="00F67B60">
            <w:pPr>
              <w:rPr>
                <w:lang w:val="fr-BE"/>
              </w:rPr>
            </w:pPr>
            <w:bookmarkStart w:id="57" w:name="ftn_6"/>
            <w:r w:rsidRPr="00F67B60">
              <w:rPr>
                <w:lang w:val="fr-BE"/>
              </w:rPr>
              <w:t>[6]</w:t>
            </w:r>
            <w:bookmarkEnd w:id="57"/>
          </w:p>
        </w:tc>
        <w:tc>
          <w:tcPr>
            <w:tcW w:w="6" w:type="dxa"/>
            <w:tcMar>
              <w:top w:w="15" w:type="dxa"/>
              <w:left w:w="360" w:type="dxa"/>
              <w:bottom w:w="200" w:type="dxa"/>
              <w:right w:w="400" w:type="dxa"/>
            </w:tcMar>
            <w:hideMark/>
          </w:tcPr>
          <w:p w14:paraId="7DF091AF" w14:textId="77777777" w:rsidR="00F67B60" w:rsidRPr="00F67B60" w:rsidRDefault="00F67B60" w:rsidP="00F67B60">
            <w:pPr>
              <w:rPr>
                <w:lang w:val="fr-BE"/>
              </w:rPr>
            </w:pPr>
            <w:r w:rsidRPr="00F67B60">
              <w:rPr>
                <w:lang w:val="fr-BE"/>
              </w:rPr>
              <w:t>Mons (33</w:t>
            </w:r>
            <w:r w:rsidRPr="00F67B60">
              <w:rPr>
                <w:vertAlign w:val="superscript"/>
                <w:lang w:val="fr-BE"/>
              </w:rPr>
              <w:t>e</w:t>
            </w:r>
            <w:r w:rsidRPr="00F67B60">
              <w:rPr>
                <w:lang w:val="fr-BE"/>
              </w:rPr>
              <w:t> ch.), 27 mars 2024, inédit, R.G. n° 2023/TF/173, p. 43.</w:t>
            </w:r>
          </w:p>
        </w:tc>
      </w:tr>
      <w:tr w:rsidR="00F67B60" w:rsidRPr="00F67B60" w14:paraId="721C7533" w14:textId="77777777" w:rsidTr="00F67B60">
        <w:tc>
          <w:tcPr>
            <w:tcW w:w="150" w:type="dxa"/>
            <w:hideMark/>
          </w:tcPr>
          <w:p w14:paraId="74794CF0" w14:textId="77777777" w:rsidR="00F67B60" w:rsidRPr="00F67B60" w:rsidRDefault="00F67B60" w:rsidP="00F67B60">
            <w:pPr>
              <w:rPr>
                <w:lang w:val="fr-BE"/>
              </w:rPr>
            </w:pPr>
            <w:bookmarkStart w:id="58" w:name="ftn_7"/>
            <w:r w:rsidRPr="00F67B60">
              <w:rPr>
                <w:lang w:val="fr-BE"/>
              </w:rPr>
              <w:t>[7]</w:t>
            </w:r>
            <w:bookmarkEnd w:id="58"/>
          </w:p>
        </w:tc>
        <w:tc>
          <w:tcPr>
            <w:tcW w:w="6" w:type="dxa"/>
            <w:tcMar>
              <w:top w:w="15" w:type="dxa"/>
              <w:left w:w="360" w:type="dxa"/>
              <w:bottom w:w="200" w:type="dxa"/>
              <w:right w:w="400" w:type="dxa"/>
            </w:tcMar>
            <w:hideMark/>
          </w:tcPr>
          <w:p w14:paraId="6C8980BB" w14:textId="77777777" w:rsidR="00F67B60" w:rsidRPr="00F67B60" w:rsidRDefault="00F67B60" w:rsidP="00F67B60">
            <w:pPr>
              <w:rPr>
                <w:lang w:val="fr-BE"/>
              </w:rPr>
            </w:pPr>
            <w:r w:rsidRPr="00F67B60">
              <w:rPr>
                <w:lang w:val="fr-BE"/>
              </w:rPr>
              <w:t>Loi du 18 juillet 2006 tendant à privilégier l'hébergement égalitaire de l'enfant dont les parents sont séparés et réglementant l'exécution forcée en matière d'hébergement d'enfant, </w:t>
            </w:r>
            <w:r w:rsidRPr="00F67B60">
              <w:rPr>
                <w:i/>
                <w:iCs/>
                <w:lang w:val="fr-BE"/>
              </w:rPr>
              <w:t>M.B.</w:t>
            </w:r>
            <w:r w:rsidRPr="00F67B60">
              <w:rPr>
                <w:lang w:val="fr-BE"/>
              </w:rPr>
              <w:t>, 4 septembre 2006.</w:t>
            </w:r>
          </w:p>
        </w:tc>
      </w:tr>
      <w:tr w:rsidR="00F67B60" w:rsidRPr="00F67B60" w14:paraId="114AAE39" w14:textId="77777777" w:rsidTr="00F67B60">
        <w:tc>
          <w:tcPr>
            <w:tcW w:w="150" w:type="dxa"/>
            <w:hideMark/>
          </w:tcPr>
          <w:p w14:paraId="48C91BB0" w14:textId="77777777" w:rsidR="00F67B60" w:rsidRPr="00F67B60" w:rsidRDefault="00F67B60" w:rsidP="00F67B60">
            <w:pPr>
              <w:rPr>
                <w:lang w:val="fr-BE"/>
              </w:rPr>
            </w:pPr>
            <w:bookmarkStart w:id="59" w:name="ftn_8"/>
            <w:r w:rsidRPr="00F67B60">
              <w:rPr>
                <w:lang w:val="fr-BE"/>
              </w:rPr>
              <w:t>[8]</w:t>
            </w:r>
            <w:bookmarkEnd w:id="59"/>
          </w:p>
        </w:tc>
        <w:tc>
          <w:tcPr>
            <w:tcW w:w="6" w:type="dxa"/>
            <w:tcMar>
              <w:top w:w="15" w:type="dxa"/>
              <w:left w:w="360" w:type="dxa"/>
              <w:bottom w:w="200" w:type="dxa"/>
              <w:right w:w="400" w:type="dxa"/>
            </w:tcMar>
            <w:hideMark/>
          </w:tcPr>
          <w:p w14:paraId="66381A02" w14:textId="77777777" w:rsidR="00F67B60" w:rsidRPr="00F67B60" w:rsidRDefault="00F67B60" w:rsidP="00F67B60">
            <w:pPr>
              <w:rPr>
                <w:lang w:val="fr-BE"/>
              </w:rPr>
            </w:pPr>
            <w:r w:rsidRPr="00F67B60">
              <w:rPr>
                <w:lang w:val="fr-BE"/>
              </w:rPr>
              <w:t>Article 374, paragraphe 2, alinéa 2, de l'ancien Code civil.</w:t>
            </w:r>
          </w:p>
        </w:tc>
      </w:tr>
      <w:tr w:rsidR="00F67B60" w:rsidRPr="00F67B60" w14:paraId="387D0908" w14:textId="77777777" w:rsidTr="00F67B60">
        <w:tc>
          <w:tcPr>
            <w:tcW w:w="150" w:type="dxa"/>
            <w:hideMark/>
          </w:tcPr>
          <w:p w14:paraId="790A7EF8" w14:textId="77777777" w:rsidR="00F67B60" w:rsidRPr="00F67B60" w:rsidRDefault="00F67B60" w:rsidP="00F67B60">
            <w:pPr>
              <w:rPr>
                <w:lang w:val="fr-BE"/>
              </w:rPr>
            </w:pPr>
            <w:bookmarkStart w:id="60" w:name="ftn_9"/>
            <w:r w:rsidRPr="00F67B60">
              <w:rPr>
                <w:lang w:val="fr-BE"/>
              </w:rPr>
              <w:t>[9]</w:t>
            </w:r>
            <w:bookmarkEnd w:id="60"/>
          </w:p>
        </w:tc>
        <w:tc>
          <w:tcPr>
            <w:tcW w:w="6" w:type="dxa"/>
            <w:tcMar>
              <w:top w:w="15" w:type="dxa"/>
              <w:left w:w="360" w:type="dxa"/>
              <w:bottom w:w="200" w:type="dxa"/>
              <w:right w:w="400" w:type="dxa"/>
            </w:tcMar>
            <w:hideMark/>
          </w:tcPr>
          <w:p w14:paraId="22B5EE20" w14:textId="77777777" w:rsidR="00F67B60" w:rsidRPr="00F67B60" w:rsidRDefault="00F67B60" w:rsidP="00F67B60">
            <w:pPr>
              <w:rPr>
                <w:lang w:val="fr-BE"/>
              </w:rPr>
            </w:pPr>
            <w:r w:rsidRPr="00F67B60">
              <w:rPr>
                <w:lang w:val="fr-BE"/>
              </w:rPr>
              <w:t>Article 374, paragraphe 2, alinéa 3, de l'ancien Code civil.</w:t>
            </w:r>
          </w:p>
        </w:tc>
      </w:tr>
      <w:tr w:rsidR="00F67B60" w:rsidRPr="00F67B60" w14:paraId="39D3AB0B" w14:textId="77777777" w:rsidTr="00F67B60">
        <w:tc>
          <w:tcPr>
            <w:tcW w:w="150" w:type="dxa"/>
            <w:hideMark/>
          </w:tcPr>
          <w:p w14:paraId="2FD055B8" w14:textId="77777777" w:rsidR="00F67B60" w:rsidRPr="00F67B60" w:rsidRDefault="00F67B60" w:rsidP="00F67B60">
            <w:pPr>
              <w:rPr>
                <w:lang w:val="fr-BE"/>
              </w:rPr>
            </w:pPr>
            <w:bookmarkStart w:id="61" w:name="ftn_10"/>
            <w:r w:rsidRPr="00F67B60">
              <w:rPr>
                <w:lang w:val="fr-BE"/>
              </w:rPr>
              <w:t>[10]</w:t>
            </w:r>
            <w:bookmarkEnd w:id="61"/>
          </w:p>
        </w:tc>
        <w:tc>
          <w:tcPr>
            <w:tcW w:w="6" w:type="dxa"/>
            <w:tcMar>
              <w:top w:w="15" w:type="dxa"/>
              <w:left w:w="360" w:type="dxa"/>
              <w:bottom w:w="200" w:type="dxa"/>
              <w:right w:w="400" w:type="dxa"/>
            </w:tcMar>
            <w:hideMark/>
          </w:tcPr>
          <w:p w14:paraId="66753734" w14:textId="77777777" w:rsidR="00F67B60" w:rsidRPr="00F67B60" w:rsidRDefault="00F67B60" w:rsidP="00F67B60">
            <w:pPr>
              <w:rPr>
                <w:lang w:val="fr-BE"/>
              </w:rPr>
            </w:pPr>
            <w:r w:rsidRPr="00F67B60">
              <w:rPr>
                <w:lang w:val="fr-BE"/>
              </w:rPr>
              <w:t>Projet de loi tendant à privilégier l'hébergement égalitaire de l'enfant dont les parents sont séparés et réglementant l'exécution forcée en matière d'hébergement d'enfant, exposé des motifs, </w:t>
            </w:r>
            <w:r w:rsidRPr="00F67B60">
              <w:rPr>
                <w:i/>
                <w:iCs/>
                <w:lang w:val="fr-BE"/>
              </w:rPr>
              <w:t xml:space="preserve">Doc. </w:t>
            </w:r>
            <w:proofErr w:type="spellStart"/>
            <w:r w:rsidRPr="00F67B60">
              <w:rPr>
                <w:i/>
                <w:iCs/>
                <w:lang w:val="fr-BE"/>
              </w:rPr>
              <w:t>parl</w:t>
            </w:r>
            <w:proofErr w:type="spellEnd"/>
            <w:r w:rsidRPr="00F67B60">
              <w:rPr>
                <w:lang w:val="fr-BE"/>
              </w:rPr>
              <w:t>., Chambre, 2004-2005, n° 1673/1, p. 7.</w:t>
            </w:r>
          </w:p>
        </w:tc>
      </w:tr>
      <w:tr w:rsidR="00F67B60" w:rsidRPr="00F67B60" w14:paraId="293DC0DF" w14:textId="77777777" w:rsidTr="00F67B60">
        <w:tc>
          <w:tcPr>
            <w:tcW w:w="150" w:type="dxa"/>
            <w:hideMark/>
          </w:tcPr>
          <w:p w14:paraId="0855A715" w14:textId="77777777" w:rsidR="00F67B60" w:rsidRPr="00F67B60" w:rsidRDefault="00F67B60" w:rsidP="00F67B60">
            <w:pPr>
              <w:rPr>
                <w:lang w:val="fr-BE"/>
              </w:rPr>
            </w:pPr>
            <w:bookmarkStart w:id="62" w:name="ftn_11"/>
            <w:r w:rsidRPr="00F67B60">
              <w:rPr>
                <w:lang w:val="fr-BE"/>
              </w:rPr>
              <w:t>[11]</w:t>
            </w:r>
            <w:bookmarkEnd w:id="62"/>
          </w:p>
        </w:tc>
        <w:tc>
          <w:tcPr>
            <w:tcW w:w="6" w:type="dxa"/>
            <w:tcMar>
              <w:top w:w="15" w:type="dxa"/>
              <w:left w:w="360" w:type="dxa"/>
              <w:bottom w:w="200" w:type="dxa"/>
              <w:right w:w="400" w:type="dxa"/>
            </w:tcMar>
            <w:hideMark/>
          </w:tcPr>
          <w:p w14:paraId="58F77B30" w14:textId="77777777" w:rsidR="00F67B60" w:rsidRPr="00F67B60" w:rsidRDefault="00F67B60" w:rsidP="00F67B60">
            <w:pPr>
              <w:rPr>
                <w:lang w:val="fr-BE"/>
              </w:rPr>
            </w:pPr>
            <w:r w:rsidRPr="00F67B60">
              <w:rPr>
                <w:lang w:val="fr-BE"/>
              </w:rPr>
              <w:t>Exposé des motifs précité, </w:t>
            </w:r>
            <w:r w:rsidRPr="00F67B60">
              <w:rPr>
                <w:i/>
                <w:iCs/>
                <w:lang w:val="fr-BE"/>
              </w:rPr>
              <w:t xml:space="preserve">Doc. </w:t>
            </w:r>
            <w:proofErr w:type="spellStart"/>
            <w:r w:rsidRPr="00F67B60">
              <w:rPr>
                <w:i/>
                <w:iCs/>
                <w:lang w:val="fr-BE"/>
              </w:rPr>
              <w:t>parl</w:t>
            </w:r>
            <w:proofErr w:type="spellEnd"/>
            <w:r w:rsidRPr="00F67B60">
              <w:rPr>
                <w:lang w:val="fr-BE"/>
              </w:rPr>
              <w:t>., Chambre, 2004-2005, n° 1673/1, pp. 12-13.</w:t>
            </w:r>
          </w:p>
        </w:tc>
      </w:tr>
      <w:tr w:rsidR="00F67B60" w:rsidRPr="00F67B60" w14:paraId="5CA9E8D4" w14:textId="77777777" w:rsidTr="00F67B60">
        <w:tc>
          <w:tcPr>
            <w:tcW w:w="150" w:type="dxa"/>
            <w:hideMark/>
          </w:tcPr>
          <w:p w14:paraId="411CFC16" w14:textId="77777777" w:rsidR="00F67B60" w:rsidRPr="00F67B60" w:rsidRDefault="00F67B60" w:rsidP="00F67B60">
            <w:pPr>
              <w:rPr>
                <w:lang w:val="fr-BE"/>
              </w:rPr>
            </w:pPr>
            <w:bookmarkStart w:id="63" w:name="ftn_12"/>
            <w:r w:rsidRPr="00F67B60">
              <w:rPr>
                <w:lang w:val="fr-BE"/>
              </w:rPr>
              <w:t>[12]</w:t>
            </w:r>
            <w:bookmarkEnd w:id="63"/>
          </w:p>
        </w:tc>
        <w:tc>
          <w:tcPr>
            <w:tcW w:w="6" w:type="dxa"/>
            <w:tcMar>
              <w:top w:w="15" w:type="dxa"/>
              <w:left w:w="360" w:type="dxa"/>
              <w:bottom w:w="200" w:type="dxa"/>
              <w:right w:w="400" w:type="dxa"/>
            </w:tcMar>
            <w:hideMark/>
          </w:tcPr>
          <w:p w14:paraId="0FFFA000" w14:textId="77777777" w:rsidR="00F67B60" w:rsidRPr="00F67B60" w:rsidRDefault="00F67B60" w:rsidP="00F67B60">
            <w:pPr>
              <w:rPr>
                <w:lang w:val="fr-BE"/>
              </w:rPr>
            </w:pPr>
            <w:r w:rsidRPr="00F67B60">
              <w:rPr>
                <w:lang w:val="fr-BE"/>
              </w:rPr>
              <w:t xml:space="preserve">Sur cette question, </w:t>
            </w:r>
            <w:proofErr w:type="spellStart"/>
            <w:r w:rsidRPr="00F67B60">
              <w:rPr>
                <w:lang w:val="fr-BE"/>
              </w:rPr>
              <w:t>voy</w:t>
            </w:r>
            <w:proofErr w:type="spellEnd"/>
            <w:r w:rsidRPr="00F67B60">
              <w:rPr>
                <w:lang w:val="fr-BE"/>
              </w:rPr>
              <w:t xml:space="preserve">. : A.-C. </w:t>
            </w:r>
            <w:proofErr w:type="spellStart"/>
            <w:r w:rsidRPr="00F67B60">
              <w:rPr>
                <w:lang w:val="fr-BE"/>
              </w:rPr>
              <w:t>Rasson</w:t>
            </w:r>
            <w:proofErr w:type="spellEnd"/>
            <w:r w:rsidRPr="00F67B60">
              <w:rPr>
                <w:lang w:val="fr-BE"/>
              </w:rPr>
              <w:t> </w:t>
            </w:r>
            <w:r w:rsidRPr="00F67B60">
              <w:rPr>
                <w:i/>
                <w:iCs/>
                <w:lang w:val="fr-BE"/>
              </w:rPr>
              <w:t>et al</w:t>
            </w:r>
            <w:r w:rsidRPr="00F67B60">
              <w:rPr>
                <w:lang w:val="fr-BE"/>
              </w:rPr>
              <w:t>., </w:t>
            </w:r>
            <w:r w:rsidRPr="00F67B60">
              <w:rPr>
                <w:i/>
                <w:iCs/>
                <w:lang w:val="fr-BE"/>
              </w:rPr>
              <w:t>L'aliénation parentale. Étude du concept et des pratiques en Belgique francophone</w:t>
            </w:r>
            <w:r w:rsidRPr="00F67B60">
              <w:rPr>
                <w:lang w:val="fr-BE"/>
              </w:rPr>
              <w:t>, Bruxelles, Observatoire de l'enfance, de la jeunesse et de l'aide à la jeunesse, 2023, pp. 107 et s.</w:t>
            </w:r>
          </w:p>
        </w:tc>
      </w:tr>
      <w:tr w:rsidR="00F67B60" w:rsidRPr="00F67B60" w14:paraId="0438F6C6" w14:textId="77777777" w:rsidTr="00F67B60">
        <w:tc>
          <w:tcPr>
            <w:tcW w:w="150" w:type="dxa"/>
            <w:hideMark/>
          </w:tcPr>
          <w:p w14:paraId="7D55FC22" w14:textId="77777777" w:rsidR="00F67B60" w:rsidRPr="00F67B60" w:rsidRDefault="00F67B60" w:rsidP="00F67B60">
            <w:pPr>
              <w:rPr>
                <w:lang w:val="fr-BE"/>
              </w:rPr>
            </w:pPr>
            <w:bookmarkStart w:id="64" w:name="ftn_13"/>
            <w:r w:rsidRPr="00F67B60">
              <w:rPr>
                <w:lang w:val="fr-BE"/>
              </w:rPr>
              <w:lastRenderedPageBreak/>
              <w:t>[13]</w:t>
            </w:r>
            <w:bookmarkEnd w:id="64"/>
          </w:p>
        </w:tc>
        <w:tc>
          <w:tcPr>
            <w:tcW w:w="6" w:type="dxa"/>
            <w:tcMar>
              <w:top w:w="15" w:type="dxa"/>
              <w:left w:w="360" w:type="dxa"/>
              <w:bottom w:w="200" w:type="dxa"/>
              <w:right w:w="400" w:type="dxa"/>
            </w:tcMar>
            <w:hideMark/>
          </w:tcPr>
          <w:p w14:paraId="66B68C80" w14:textId="77777777" w:rsidR="00F67B60" w:rsidRPr="00F67B60" w:rsidRDefault="00F67B60" w:rsidP="00F67B60">
            <w:pPr>
              <w:rPr>
                <w:lang w:val="en-US"/>
              </w:rPr>
            </w:pPr>
            <w:r w:rsidRPr="00F67B60">
              <w:rPr>
                <w:lang w:val="en-US"/>
              </w:rPr>
              <w:t>R.A. Gardner, « Differentiation between Parental Alienation Syndrome and Bona Fide Abuse-Neglect », </w:t>
            </w:r>
            <w:r w:rsidRPr="00F67B60">
              <w:rPr>
                <w:i/>
                <w:iCs/>
                <w:lang w:val="en-US"/>
              </w:rPr>
              <w:t>The American Journal of Family Therapy</w:t>
            </w:r>
            <w:r w:rsidRPr="00F67B60">
              <w:rPr>
                <w:lang w:val="en-US"/>
              </w:rPr>
              <w:t>, 1999, pp. 97-107.</w:t>
            </w:r>
          </w:p>
        </w:tc>
      </w:tr>
      <w:tr w:rsidR="00F67B60" w:rsidRPr="00F67B60" w14:paraId="50B7BB2E" w14:textId="77777777" w:rsidTr="00F67B60">
        <w:tc>
          <w:tcPr>
            <w:tcW w:w="150" w:type="dxa"/>
            <w:hideMark/>
          </w:tcPr>
          <w:p w14:paraId="185FCF77" w14:textId="77777777" w:rsidR="00F67B60" w:rsidRPr="00F67B60" w:rsidRDefault="00F67B60" w:rsidP="00F67B60">
            <w:pPr>
              <w:rPr>
                <w:lang w:val="fr-BE"/>
              </w:rPr>
            </w:pPr>
            <w:bookmarkStart w:id="65" w:name="ftn_14"/>
            <w:r w:rsidRPr="00F67B60">
              <w:rPr>
                <w:lang w:val="fr-BE"/>
              </w:rPr>
              <w:t>[14]</w:t>
            </w:r>
            <w:bookmarkEnd w:id="65"/>
          </w:p>
        </w:tc>
        <w:tc>
          <w:tcPr>
            <w:tcW w:w="6" w:type="dxa"/>
            <w:tcMar>
              <w:top w:w="15" w:type="dxa"/>
              <w:left w:w="360" w:type="dxa"/>
              <w:bottom w:w="200" w:type="dxa"/>
              <w:right w:w="400" w:type="dxa"/>
            </w:tcMar>
            <w:hideMark/>
          </w:tcPr>
          <w:p w14:paraId="2EA6D149" w14:textId="77777777" w:rsidR="00F67B60" w:rsidRPr="00F67B60" w:rsidRDefault="00F67B60" w:rsidP="00F67B60">
            <w:pPr>
              <w:rPr>
                <w:lang w:val="fr-BE"/>
              </w:rPr>
            </w:pPr>
            <w:r w:rsidRPr="00F67B60">
              <w:rPr>
                <w:lang w:val="fr-BE"/>
              </w:rPr>
              <w:t xml:space="preserve">P. </w:t>
            </w:r>
            <w:proofErr w:type="spellStart"/>
            <w:r w:rsidRPr="00F67B60">
              <w:rPr>
                <w:lang w:val="fr-BE"/>
              </w:rPr>
              <w:t>Romito</w:t>
            </w:r>
            <w:proofErr w:type="spellEnd"/>
            <w:r w:rsidRPr="00F67B60">
              <w:rPr>
                <w:lang w:val="fr-BE"/>
              </w:rPr>
              <w:t xml:space="preserve"> et M. </w:t>
            </w:r>
            <w:proofErr w:type="spellStart"/>
            <w:r w:rsidRPr="00F67B60">
              <w:rPr>
                <w:lang w:val="fr-BE"/>
              </w:rPr>
              <w:t>Crisma</w:t>
            </w:r>
            <w:proofErr w:type="spellEnd"/>
            <w:r w:rsidRPr="00F67B60">
              <w:rPr>
                <w:lang w:val="fr-BE"/>
              </w:rPr>
              <w:t>, « Les violences masculines occultées : le syndrome d'aliénation parentale », </w:t>
            </w:r>
            <w:r w:rsidRPr="00F67B60">
              <w:rPr>
                <w:i/>
                <w:iCs/>
                <w:lang w:val="fr-BE"/>
              </w:rPr>
              <w:t>Empan</w:t>
            </w:r>
            <w:r w:rsidRPr="00F67B60">
              <w:rPr>
                <w:lang w:val="fr-BE"/>
              </w:rPr>
              <w:t>, 2009, pp. 31-39 ; I. Côté, S. Lapierre et Fr. Dupuis-</w:t>
            </w:r>
            <w:proofErr w:type="spellStart"/>
            <w:r w:rsidRPr="00F67B60">
              <w:rPr>
                <w:lang w:val="fr-BE"/>
              </w:rPr>
              <w:t>Déri</w:t>
            </w:r>
            <w:proofErr w:type="spellEnd"/>
            <w:r w:rsidRPr="00F67B60">
              <w:rPr>
                <w:lang w:val="fr-BE"/>
              </w:rPr>
              <w:t>, </w:t>
            </w:r>
            <w:r w:rsidRPr="00F67B60">
              <w:rPr>
                <w:i/>
                <w:iCs/>
                <w:lang w:val="fr-BE"/>
              </w:rPr>
              <w:t>L'aliénation parentale : stratégie d'occultation de la violence conjugale ?</w:t>
            </w:r>
            <w:r w:rsidRPr="00F67B60">
              <w:rPr>
                <w:lang w:val="fr-BE"/>
              </w:rPr>
              <w:t>, Rapport de recherche, Université d'Ottawa, 2019.</w:t>
            </w:r>
          </w:p>
        </w:tc>
      </w:tr>
      <w:tr w:rsidR="00F67B60" w:rsidRPr="00F67B60" w14:paraId="0A0BAABE" w14:textId="77777777" w:rsidTr="00F67B60">
        <w:tc>
          <w:tcPr>
            <w:tcW w:w="150" w:type="dxa"/>
            <w:hideMark/>
          </w:tcPr>
          <w:p w14:paraId="3394AF80" w14:textId="77777777" w:rsidR="00F67B60" w:rsidRPr="00F67B60" w:rsidRDefault="00F67B60" w:rsidP="00F67B60">
            <w:pPr>
              <w:rPr>
                <w:lang w:val="fr-BE"/>
              </w:rPr>
            </w:pPr>
            <w:bookmarkStart w:id="66" w:name="ftn_15"/>
            <w:r w:rsidRPr="00F67B60">
              <w:rPr>
                <w:lang w:val="fr-BE"/>
              </w:rPr>
              <w:t>[15]</w:t>
            </w:r>
            <w:bookmarkEnd w:id="66"/>
          </w:p>
        </w:tc>
        <w:tc>
          <w:tcPr>
            <w:tcW w:w="6" w:type="dxa"/>
            <w:tcMar>
              <w:top w:w="15" w:type="dxa"/>
              <w:left w:w="360" w:type="dxa"/>
              <w:bottom w:w="200" w:type="dxa"/>
              <w:right w:w="400" w:type="dxa"/>
            </w:tcMar>
            <w:hideMark/>
          </w:tcPr>
          <w:p w14:paraId="6A1D8888" w14:textId="77777777" w:rsidR="00F67B60" w:rsidRPr="00F67B60" w:rsidRDefault="00F67B60" w:rsidP="00F67B60">
            <w:pPr>
              <w:rPr>
                <w:lang w:val="fr-BE"/>
              </w:rPr>
            </w:pPr>
            <w:r w:rsidRPr="00F67B60">
              <w:rPr>
                <w:lang w:val="fr-BE"/>
              </w:rPr>
              <w:t xml:space="preserve">La Code, « L'aliénation parentale : un concept à risque pour les enfants et leurs droits », octobre 2023, https://lacode.be/wp-content/uploads/2023/10/Analyse_Lalienation-parentale-un-concept-a-risques-pour-les-enfants-et-leurs-droits_Oct2023.pdf ; Centre d'Action Laïque, « Le syndrome d'aliénation parentale ou comment disqualifier la parole des femmes et des enfants violentés », 25 novembre 2021, https://www.laicite.be/le-syndrome-dalienation-parentale-ou-comment-disqualifier-la-parole-des-femmes-et-des-enfants-violentes/ ; C. </w:t>
            </w:r>
            <w:proofErr w:type="spellStart"/>
            <w:r w:rsidRPr="00F67B60">
              <w:rPr>
                <w:lang w:val="fr-BE"/>
              </w:rPr>
              <w:t>Wernaers</w:t>
            </w:r>
            <w:proofErr w:type="spellEnd"/>
            <w:r w:rsidRPr="00F67B60">
              <w:rPr>
                <w:lang w:val="fr-BE"/>
              </w:rPr>
              <w:t>, « L'aliénation parentale: un concept dangereux », </w:t>
            </w:r>
            <w:r w:rsidRPr="00F67B60">
              <w:rPr>
                <w:i/>
                <w:iCs/>
                <w:lang w:val="fr-BE"/>
              </w:rPr>
              <w:t>R.T.B.F</w:t>
            </w:r>
            <w:r w:rsidRPr="00F67B60">
              <w:rPr>
                <w:lang w:val="fr-BE"/>
              </w:rPr>
              <w:t>., 2 mai 2020, https://www.rtbf.be/article/l-alienation-parentale-un-concept-dangereux-une-chronique-de-camille-wernaers-10494046 ; https://www.mediapart.fr/journal/france/020321/inceste-des-meres-face-au-silence-de-la-justice .</w:t>
            </w:r>
          </w:p>
        </w:tc>
      </w:tr>
      <w:tr w:rsidR="00F67B60" w:rsidRPr="00F67B60" w14:paraId="6AACF82E" w14:textId="77777777" w:rsidTr="00F67B60">
        <w:tc>
          <w:tcPr>
            <w:tcW w:w="150" w:type="dxa"/>
            <w:hideMark/>
          </w:tcPr>
          <w:p w14:paraId="7CA1EC9F" w14:textId="77777777" w:rsidR="00F67B60" w:rsidRPr="00F67B60" w:rsidRDefault="00F67B60" w:rsidP="00F67B60">
            <w:pPr>
              <w:rPr>
                <w:lang w:val="fr-BE"/>
              </w:rPr>
            </w:pPr>
            <w:bookmarkStart w:id="67" w:name="ftn_16"/>
            <w:r w:rsidRPr="00F67B60">
              <w:rPr>
                <w:lang w:val="fr-BE"/>
              </w:rPr>
              <w:t>[16]</w:t>
            </w:r>
            <w:bookmarkEnd w:id="67"/>
          </w:p>
        </w:tc>
        <w:tc>
          <w:tcPr>
            <w:tcW w:w="6" w:type="dxa"/>
            <w:tcMar>
              <w:top w:w="15" w:type="dxa"/>
              <w:left w:w="360" w:type="dxa"/>
              <w:bottom w:w="200" w:type="dxa"/>
              <w:right w:w="400" w:type="dxa"/>
            </w:tcMar>
            <w:hideMark/>
          </w:tcPr>
          <w:p w14:paraId="6AFF9967" w14:textId="77777777" w:rsidR="00F67B60" w:rsidRPr="00F67B60" w:rsidRDefault="00F67B60" w:rsidP="00F67B60">
            <w:pPr>
              <w:rPr>
                <w:lang w:val="fr-BE"/>
              </w:rPr>
            </w:pPr>
            <w:r w:rsidRPr="00F67B60">
              <w:rPr>
                <w:lang w:val="fr-BE"/>
              </w:rPr>
              <w:t xml:space="preserve">L'étude sur le concept d'aliénation parentale et des pratiques en Belgique francophone de 2023 précitée dénombre une soixantaine de décisions de jurisprudence entre 2007 et 2022 qui s'appuient ou mentionnent la notion d'aliénation parentale dont notamment : Trib. </w:t>
            </w:r>
            <w:proofErr w:type="spellStart"/>
            <w:r w:rsidRPr="00F67B60">
              <w:rPr>
                <w:lang w:val="fr-BE"/>
              </w:rPr>
              <w:t>fam</w:t>
            </w:r>
            <w:proofErr w:type="spellEnd"/>
            <w:r w:rsidRPr="00F67B60">
              <w:rPr>
                <w:lang w:val="fr-BE"/>
              </w:rPr>
              <w:t>. Mons (33</w:t>
            </w:r>
            <w:r w:rsidRPr="00F67B60">
              <w:rPr>
                <w:vertAlign w:val="superscript"/>
                <w:lang w:val="fr-BE"/>
              </w:rPr>
              <w:t>e</w:t>
            </w:r>
            <w:r w:rsidRPr="00F67B60">
              <w:rPr>
                <w:lang w:val="fr-BE"/>
              </w:rPr>
              <w:t> ch.), 5 décembre 2018, </w:t>
            </w:r>
            <w:proofErr w:type="spellStart"/>
            <w:r w:rsidRPr="00F67B60">
              <w:rPr>
                <w:i/>
                <w:iCs/>
                <w:lang w:val="fr-BE"/>
              </w:rPr>
              <w:t>Act</w:t>
            </w:r>
            <w:proofErr w:type="spellEnd"/>
            <w:r w:rsidRPr="00F67B60">
              <w:rPr>
                <w:i/>
                <w:iCs/>
                <w:lang w:val="fr-BE"/>
              </w:rPr>
              <w:t xml:space="preserve">. </w:t>
            </w:r>
            <w:proofErr w:type="spellStart"/>
            <w:r w:rsidRPr="00F67B60">
              <w:rPr>
                <w:i/>
                <w:iCs/>
                <w:lang w:val="fr-BE"/>
              </w:rPr>
              <w:t>dr</w:t>
            </w:r>
            <w:proofErr w:type="spellEnd"/>
            <w:r w:rsidRPr="00F67B60">
              <w:rPr>
                <w:i/>
                <w:iCs/>
                <w:lang w:val="fr-BE"/>
              </w:rPr>
              <w:t xml:space="preserve">. </w:t>
            </w:r>
            <w:proofErr w:type="spellStart"/>
            <w:r w:rsidRPr="00F67B60">
              <w:rPr>
                <w:i/>
                <w:iCs/>
                <w:lang w:val="fr-BE"/>
              </w:rPr>
              <w:t>fam</w:t>
            </w:r>
            <w:proofErr w:type="spellEnd"/>
            <w:r w:rsidRPr="00F67B60">
              <w:rPr>
                <w:lang w:val="fr-BE"/>
              </w:rPr>
              <w:t xml:space="preserve">., 2021 ; </w:t>
            </w:r>
            <w:proofErr w:type="spellStart"/>
            <w:r w:rsidRPr="00F67B60">
              <w:rPr>
                <w:lang w:val="fr-BE"/>
              </w:rPr>
              <w:t>Civ</w:t>
            </w:r>
            <w:proofErr w:type="spellEnd"/>
            <w:r w:rsidRPr="00F67B60">
              <w:rPr>
                <w:lang w:val="fr-BE"/>
              </w:rPr>
              <w:t xml:space="preserve">. </w:t>
            </w:r>
            <w:proofErr w:type="spellStart"/>
            <w:r w:rsidRPr="00F67B60">
              <w:rPr>
                <w:lang w:val="fr-BE"/>
              </w:rPr>
              <w:t>fr.</w:t>
            </w:r>
            <w:proofErr w:type="spellEnd"/>
            <w:r w:rsidRPr="00F67B60">
              <w:rPr>
                <w:lang w:val="fr-BE"/>
              </w:rPr>
              <w:t xml:space="preserve"> Bruxelles (4</w:t>
            </w:r>
            <w:r w:rsidRPr="00F67B60">
              <w:rPr>
                <w:vertAlign w:val="superscript"/>
                <w:lang w:val="fr-BE"/>
              </w:rPr>
              <w:t>e</w:t>
            </w:r>
            <w:r w:rsidRPr="00F67B60">
              <w:rPr>
                <w:lang w:val="fr-BE"/>
              </w:rPr>
              <w:t> ch.), 5 juillet 2022, J.T., 2022, pp. 452-456 ; Mons (2</w:t>
            </w:r>
            <w:r w:rsidRPr="00F67B60">
              <w:rPr>
                <w:vertAlign w:val="superscript"/>
                <w:lang w:val="fr-BE"/>
              </w:rPr>
              <w:t>e</w:t>
            </w:r>
            <w:r w:rsidRPr="00F67B60">
              <w:rPr>
                <w:lang w:val="fr-BE"/>
              </w:rPr>
              <w:t> ch.), 30 janvier 2007, </w:t>
            </w:r>
            <w:r w:rsidRPr="00F67B60">
              <w:rPr>
                <w:i/>
                <w:iCs/>
                <w:lang w:val="fr-BE"/>
              </w:rPr>
              <w:t>J.T</w:t>
            </w:r>
            <w:r w:rsidRPr="00F67B60">
              <w:rPr>
                <w:lang w:val="fr-BE"/>
              </w:rPr>
              <w:t>., 2007, n° 13, pp. 245-246 ; Corr. Hainaut, div. Charleroi (10</w:t>
            </w:r>
            <w:r w:rsidRPr="00F67B60">
              <w:rPr>
                <w:vertAlign w:val="superscript"/>
                <w:lang w:val="fr-BE"/>
              </w:rPr>
              <w:t>e</w:t>
            </w:r>
            <w:r w:rsidRPr="00F67B60">
              <w:rPr>
                <w:lang w:val="fr-BE"/>
              </w:rPr>
              <w:t> ch.), 19 décembre 2016, </w:t>
            </w:r>
            <w:proofErr w:type="spellStart"/>
            <w:r w:rsidRPr="00F67B60">
              <w:rPr>
                <w:i/>
                <w:iCs/>
                <w:lang w:val="fr-BE"/>
              </w:rPr>
              <w:t>Rev</w:t>
            </w:r>
            <w:proofErr w:type="spellEnd"/>
            <w:r w:rsidRPr="00F67B60">
              <w:rPr>
                <w:i/>
                <w:iCs/>
                <w:lang w:val="fr-BE"/>
              </w:rPr>
              <w:t xml:space="preserve">. trim. </w:t>
            </w:r>
            <w:proofErr w:type="spellStart"/>
            <w:r w:rsidRPr="00F67B60">
              <w:rPr>
                <w:i/>
                <w:iCs/>
                <w:lang w:val="fr-BE"/>
              </w:rPr>
              <w:t>dr</w:t>
            </w:r>
            <w:proofErr w:type="spellEnd"/>
            <w:r w:rsidRPr="00F67B60">
              <w:rPr>
                <w:i/>
                <w:iCs/>
                <w:lang w:val="fr-BE"/>
              </w:rPr>
              <w:t xml:space="preserve">. </w:t>
            </w:r>
            <w:proofErr w:type="spellStart"/>
            <w:r w:rsidRPr="00F67B60">
              <w:rPr>
                <w:i/>
                <w:iCs/>
                <w:lang w:val="fr-BE"/>
              </w:rPr>
              <w:t>fam</w:t>
            </w:r>
            <w:proofErr w:type="spellEnd"/>
            <w:r w:rsidRPr="00F67B60">
              <w:rPr>
                <w:lang w:val="fr-BE"/>
              </w:rPr>
              <w:t>., 2017/2 ; Trib. jeun. Hainaut, div. Charleroi (14</w:t>
            </w:r>
            <w:r w:rsidRPr="00F67B60">
              <w:rPr>
                <w:vertAlign w:val="superscript"/>
                <w:lang w:val="fr-BE"/>
              </w:rPr>
              <w:t>e</w:t>
            </w:r>
            <w:r w:rsidRPr="00F67B60">
              <w:rPr>
                <w:lang w:val="fr-BE"/>
              </w:rPr>
              <w:t> ch.), 16 février 2017, </w:t>
            </w:r>
            <w:proofErr w:type="spellStart"/>
            <w:r w:rsidRPr="00F67B60">
              <w:rPr>
                <w:i/>
                <w:iCs/>
                <w:lang w:val="fr-BE"/>
              </w:rPr>
              <w:t>Rev</w:t>
            </w:r>
            <w:proofErr w:type="spellEnd"/>
            <w:r w:rsidRPr="00F67B60">
              <w:rPr>
                <w:i/>
                <w:iCs/>
                <w:lang w:val="fr-BE"/>
              </w:rPr>
              <w:t xml:space="preserve">. trim. </w:t>
            </w:r>
            <w:proofErr w:type="spellStart"/>
            <w:r w:rsidRPr="00F67B60">
              <w:rPr>
                <w:i/>
                <w:iCs/>
                <w:lang w:val="fr-BE"/>
              </w:rPr>
              <w:t>dr</w:t>
            </w:r>
            <w:proofErr w:type="spellEnd"/>
            <w:r w:rsidRPr="00F67B60">
              <w:rPr>
                <w:i/>
                <w:iCs/>
                <w:lang w:val="fr-BE"/>
              </w:rPr>
              <w:t xml:space="preserve">. </w:t>
            </w:r>
            <w:proofErr w:type="spellStart"/>
            <w:r w:rsidRPr="00F67B60">
              <w:rPr>
                <w:i/>
                <w:iCs/>
                <w:lang w:val="fr-BE"/>
              </w:rPr>
              <w:t>fam</w:t>
            </w:r>
            <w:proofErr w:type="spellEnd"/>
            <w:r w:rsidRPr="00F67B60">
              <w:rPr>
                <w:lang w:val="fr-BE"/>
              </w:rPr>
              <w:t>., 2017/1, pp. 189-190.</w:t>
            </w:r>
            <w:r w:rsidRPr="00F67B60">
              <w:rPr>
                <w:lang w:val="fr-BE"/>
              </w:rPr>
              <w:br/>
            </w:r>
            <w:r w:rsidRPr="00F67B60">
              <w:rPr>
                <w:lang w:val="fr-BE"/>
              </w:rPr>
              <w:br/>
              <w:t>Il est également régulièrement fait référence à des comportements manipulateurs sans nommer l'aliénation (discours culpabilisants) : Bruxelles (3</w:t>
            </w:r>
            <w:r w:rsidRPr="00F67B60">
              <w:rPr>
                <w:vertAlign w:val="superscript"/>
                <w:lang w:val="fr-BE"/>
              </w:rPr>
              <w:t>e</w:t>
            </w:r>
            <w:r w:rsidRPr="00F67B60">
              <w:rPr>
                <w:lang w:val="fr-BE"/>
              </w:rPr>
              <w:t> ch.), 17 juin 2013, </w:t>
            </w:r>
            <w:proofErr w:type="spellStart"/>
            <w:r w:rsidRPr="00F67B60">
              <w:rPr>
                <w:i/>
                <w:iCs/>
                <w:lang w:val="fr-BE"/>
              </w:rPr>
              <w:t>Rev</w:t>
            </w:r>
            <w:proofErr w:type="spellEnd"/>
            <w:r w:rsidRPr="00F67B60">
              <w:rPr>
                <w:i/>
                <w:iCs/>
                <w:lang w:val="fr-BE"/>
              </w:rPr>
              <w:t xml:space="preserve">. trim. </w:t>
            </w:r>
            <w:proofErr w:type="spellStart"/>
            <w:r w:rsidRPr="00F67B60">
              <w:rPr>
                <w:i/>
                <w:iCs/>
                <w:lang w:val="fr-BE"/>
              </w:rPr>
              <w:t>dr</w:t>
            </w:r>
            <w:proofErr w:type="spellEnd"/>
            <w:r w:rsidRPr="00F67B60">
              <w:rPr>
                <w:i/>
                <w:iCs/>
                <w:lang w:val="fr-BE"/>
              </w:rPr>
              <w:t xml:space="preserve">. </w:t>
            </w:r>
            <w:proofErr w:type="spellStart"/>
            <w:r w:rsidRPr="00F67B60">
              <w:rPr>
                <w:i/>
                <w:iCs/>
                <w:lang w:val="fr-BE"/>
              </w:rPr>
              <w:t>fam</w:t>
            </w:r>
            <w:proofErr w:type="spellEnd"/>
            <w:r w:rsidRPr="00F67B60">
              <w:rPr>
                <w:lang w:val="fr-BE"/>
              </w:rPr>
              <w:t xml:space="preserve">., 2015, n° 1 ; Bruxelles </w:t>
            </w:r>
            <w:r w:rsidRPr="00F67B60">
              <w:rPr>
                <w:lang w:val="fr-BE"/>
              </w:rPr>
              <w:lastRenderedPageBreak/>
              <w:t>(44</w:t>
            </w:r>
            <w:r w:rsidRPr="00F67B60">
              <w:rPr>
                <w:vertAlign w:val="superscript"/>
                <w:lang w:val="fr-BE"/>
              </w:rPr>
              <w:t>e</w:t>
            </w:r>
            <w:r w:rsidRPr="00F67B60">
              <w:rPr>
                <w:lang w:val="fr-BE"/>
              </w:rPr>
              <w:t> ch.), 6 novembre 2017, </w:t>
            </w:r>
            <w:proofErr w:type="spellStart"/>
            <w:r w:rsidRPr="00F67B60">
              <w:rPr>
                <w:i/>
                <w:iCs/>
                <w:lang w:val="fr-BE"/>
              </w:rPr>
              <w:t>Act</w:t>
            </w:r>
            <w:proofErr w:type="spellEnd"/>
            <w:r w:rsidRPr="00F67B60">
              <w:rPr>
                <w:i/>
                <w:iCs/>
                <w:lang w:val="fr-BE"/>
              </w:rPr>
              <w:t xml:space="preserve">. </w:t>
            </w:r>
            <w:proofErr w:type="spellStart"/>
            <w:r w:rsidRPr="00F67B60">
              <w:rPr>
                <w:i/>
                <w:iCs/>
                <w:lang w:val="fr-BE"/>
              </w:rPr>
              <w:t>dr</w:t>
            </w:r>
            <w:proofErr w:type="spellEnd"/>
            <w:r w:rsidRPr="00F67B60">
              <w:rPr>
                <w:i/>
                <w:iCs/>
                <w:lang w:val="fr-BE"/>
              </w:rPr>
              <w:t xml:space="preserve">. </w:t>
            </w:r>
            <w:proofErr w:type="spellStart"/>
            <w:r w:rsidRPr="00F67B60">
              <w:rPr>
                <w:i/>
                <w:iCs/>
                <w:lang w:val="fr-BE"/>
              </w:rPr>
              <w:t>fam</w:t>
            </w:r>
            <w:proofErr w:type="spellEnd"/>
            <w:r w:rsidRPr="00F67B60">
              <w:rPr>
                <w:lang w:val="fr-BE"/>
              </w:rPr>
              <w:t>., 2019, n° 7 ; Bruxelles (44</w:t>
            </w:r>
            <w:r w:rsidRPr="00F67B60">
              <w:rPr>
                <w:vertAlign w:val="superscript"/>
                <w:lang w:val="fr-BE"/>
              </w:rPr>
              <w:t>e</w:t>
            </w:r>
            <w:r w:rsidRPr="00F67B60">
              <w:rPr>
                <w:lang w:val="fr-BE"/>
              </w:rPr>
              <w:t> ch.), 24 octobre 2017, </w:t>
            </w:r>
            <w:proofErr w:type="spellStart"/>
            <w:r w:rsidRPr="00F67B60">
              <w:rPr>
                <w:i/>
                <w:iCs/>
                <w:lang w:val="fr-BE"/>
              </w:rPr>
              <w:t>Act</w:t>
            </w:r>
            <w:proofErr w:type="spellEnd"/>
            <w:r w:rsidRPr="00F67B60">
              <w:rPr>
                <w:i/>
                <w:iCs/>
                <w:lang w:val="fr-BE"/>
              </w:rPr>
              <w:t xml:space="preserve">. </w:t>
            </w:r>
            <w:proofErr w:type="spellStart"/>
            <w:r w:rsidRPr="00F67B60">
              <w:rPr>
                <w:i/>
                <w:iCs/>
                <w:lang w:val="fr-BE"/>
              </w:rPr>
              <w:t>dr</w:t>
            </w:r>
            <w:proofErr w:type="spellEnd"/>
            <w:r w:rsidRPr="00F67B60">
              <w:rPr>
                <w:i/>
                <w:iCs/>
                <w:lang w:val="fr-BE"/>
              </w:rPr>
              <w:t xml:space="preserve">. </w:t>
            </w:r>
            <w:proofErr w:type="spellStart"/>
            <w:r w:rsidRPr="00F67B60">
              <w:rPr>
                <w:i/>
                <w:iCs/>
                <w:lang w:val="fr-BE"/>
              </w:rPr>
              <w:t>fam</w:t>
            </w:r>
            <w:proofErr w:type="spellEnd"/>
            <w:r w:rsidRPr="00F67B60">
              <w:rPr>
                <w:lang w:val="fr-BE"/>
              </w:rPr>
              <w:t>., 2019, n° 7.</w:t>
            </w:r>
          </w:p>
        </w:tc>
      </w:tr>
      <w:tr w:rsidR="00F67B60" w:rsidRPr="00F67B60" w14:paraId="2501F2F0" w14:textId="77777777" w:rsidTr="00F67B60">
        <w:tc>
          <w:tcPr>
            <w:tcW w:w="150" w:type="dxa"/>
            <w:hideMark/>
          </w:tcPr>
          <w:p w14:paraId="08B9EEFB" w14:textId="77777777" w:rsidR="00F67B60" w:rsidRPr="00F67B60" w:rsidRDefault="00F67B60" w:rsidP="00F67B60">
            <w:pPr>
              <w:rPr>
                <w:lang w:val="fr-BE"/>
              </w:rPr>
            </w:pPr>
            <w:bookmarkStart w:id="68" w:name="ftn_17"/>
            <w:r w:rsidRPr="00F67B60">
              <w:rPr>
                <w:lang w:val="fr-BE"/>
              </w:rPr>
              <w:lastRenderedPageBreak/>
              <w:t>[17]</w:t>
            </w:r>
            <w:bookmarkEnd w:id="68"/>
          </w:p>
        </w:tc>
        <w:tc>
          <w:tcPr>
            <w:tcW w:w="6" w:type="dxa"/>
            <w:tcMar>
              <w:top w:w="15" w:type="dxa"/>
              <w:left w:w="360" w:type="dxa"/>
              <w:bottom w:w="200" w:type="dxa"/>
              <w:right w:w="400" w:type="dxa"/>
            </w:tcMar>
            <w:hideMark/>
          </w:tcPr>
          <w:p w14:paraId="6011C6BC" w14:textId="77777777" w:rsidR="00F67B60" w:rsidRPr="00F67B60" w:rsidRDefault="00F67B60" w:rsidP="00F67B60">
            <w:pPr>
              <w:rPr>
                <w:lang w:val="fr-BE"/>
              </w:rPr>
            </w:pPr>
            <w:r w:rsidRPr="00F67B60">
              <w:rPr>
                <w:lang w:val="fr-BE"/>
              </w:rPr>
              <w:t>Bruxelles, 29 novembre 2016, </w:t>
            </w:r>
            <w:proofErr w:type="spellStart"/>
            <w:r w:rsidRPr="00F67B60">
              <w:rPr>
                <w:i/>
                <w:iCs/>
                <w:lang w:val="fr-BE"/>
              </w:rPr>
              <w:t>Rev</w:t>
            </w:r>
            <w:proofErr w:type="spellEnd"/>
            <w:r w:rsidRPr="00F67B60">
              <w:rPr>
                <w:i/>
                <w:iCs/>
                <w:lang w:val="fr-BE"/>
              </w:rPr>
              <w:t xml:space="preserve">. trim. </w:t>
            </w:r>
            <w:proofErr w:type="spellStart"/>
            <w:r w:rsidRPr="00F67B60">
              <w:rPr>
                <w:i/>
                <w:iCs/>
                <w:lang w:val="fr-BE"/>
              </w:rPr>
              <w:t>dr</w:t>
            </w:r>
            <w:proofErr w:type="spellEnd"/>
            <w:r w:rsidRPr="00F67B60">
              <w:rPr>
                <w:i/>
                <w:iCs/>
                <w:lang w:val="fr-BE"/>
              </w:rPr>
              <w:t xml:space="preserve">. </w:t>
            </w:r>
            <w:proofErr w:type="spellStart"/>
            <w:r w:rsidRPr="00F67B60">
              <w:rPr>
                <w:i/>
                <w:iCs/>
                <w:lang w:val="fr-BE"/>
              </w:rPr>
              <w:t>fam</w:t>
            </w:r>
            <w:proofErr w:type="spellEnd"/>
            <w:r w:rsidRPr="00F67B60">
              <w:rPr>
                <w:lang w:val="fr-BE"/>
              </w:rPr>
              <w:t>., 2017, p. 614 ; Bruxelles, 29 novembre 2016, </w:t>
            </w:r>
            <w:proofErr w:type="spellStart"/>
            <w:r w:rsidRPr="00F67B60">
              <w:rPr>
                <w:i/>
                <w:iCs/>
                <w:lang w:val="fr-BE"/>
              </w:rPr>
              <w:t>Act</w:t>
            </w:r>
            <w:proofErr w:type="spellEnd"/>
            <w:r w:rsidRPr="00F67B60">
              <w:rPr>
                <w:i/>
                <w:iCs/>
                <w:lang w:val="fr-BE"/>
              </w:rPr>
              <w:t xml:space="preserve">. </w:t>
            </w:r>
            <w:proofErr w:type="spellStart"/>
            <w:r w:rsidRPr="00F67B60">
              <w:rPr>
                <w:i/>
                <w:iCs/>
                <w:lang w:val="fr-BE"/>
              </w:rPr>
              <w:t>dr</w:t>
            </w:r>
            <w:proofErr w:type="spellEnd"/>
            <w:r w:rsidRPr="00F67B60">
              <w:rPr>
                <w:i/>
                <w:iCs/>
                <w:lang w:val="fr-BE"/>
              </w:rPr>
              <w:t xml:space="preserve">. </w:t>
            </w:r>
            <w:proofErr w:type="spellStart"/>
            <w:r w:rsidRPr="00F67B60">
              <w:rPr>
                <w:i/>
                <w:iCs/>
                <w:lang w:val="fr-BE"/>
              </w:rPr>
              <w:t>fam</w:t>
            </w:r>
            <w:proofErr w:type="spellEnd"/>
            <w:r w:rsidRPr="00F67B60">
              <w:rPr>
                <w:lang w:val="fr-BE"/>
              </w:rPr>
              <w:t>., 2017, p. 56 ; Bruxelles (3</w:t>
            </w:r>
            <w:r w:rsidRPr="00F67B60">
              <w:rPr>
                <w:vertAlign w:val="superscript"/>
                <w:lang w:val="fr-BE"/>
              </w:rPr>
              <w:t>e</w:t>
            </w:r>
            <w:r w:rsidRPr="00F67B60">
              <w:rPr>
                <w:lang w:val="fr-BE"/>
              </w:rPr>
              <w:t> ch.), 17 juin 2013, </w:t>
            </w:r>
            <w:proofErr w:type="spellStart"/>
            <w:r w:rsidRPr="00F67B60">
              <w:rPr>
                <w:i/>
                <w:iCs/>
                <w:lang w:val="fr-BE"/>
              </w:rPr>
              <w:t>Rev</w:t>
            </w:r>
            <w:proofErr w:type="spellEnd"/>
            <w:r w:rsidRPr="00F67B60">
              <w:rPr>
                <w:i/>
                <w:iCs/>
                <w:lang w:val="fr-BE"/>
              </w:rPr>
              <w:t xml:space="preserve">. trim. </w:t>
            </w:r>
            <w:proofErr w:type="spellStart"/>
            <w:r w:rsidRPr="00F67B60">
              <w:rPr>
                <w:i/>
                <w:iCs/>
                <w:lang w:val="fr-BE"/>
              </w:rPr>
              <w:t>dr</w:t>
            </w:r>
            <w:proofErr w:type="spellEnd"/>
            <w:r w:rsidRPr="00F67B60">
              <w:rPr>
                <w:i/>
                <w:iCs/>
                <w:lang w:val="fr-BE"/>
              </w:rPr>
              <w:t xml:space="preserve">. </w:t>
            </w:r>
            <w:proofErr w:type="spellStart"/>
            <w:r w:rsidRPr="00F67B60">
              <w:rPr>
                <w:i/>
                <w:iCs/>
                <w:lang w:val="fr-BE"/>
              </w:rPr>
              <w:t>fam</w:t>
            </w:r>
            <w:proofErr w:type="spellEnd"/>
            <w:r w:rsidRPr="00F67B60">
              <w:rPr>
                <w:lang w:val="fr-BE"/>
              </w:rPr>
              <w:t xml:space="preserve">., 2015, n° 1 ; </w:t>
            </w:r>
            <w:proofErr w:type="spellStart"/>
            <w:r w:rsidRPr="00F67B60">
              <w:rPr>
                <w:lang w:val="fr-BE"/>
              </w:rPr>
              <w:t>voy</w:t>
            </w:r>
            <w:proofErr w:type="spellEnd"/>
            <w:r w:rsidRPr="00F67B60">
              <w:rPr>
                <w:lang w:val="fr-BE"/>
              </w:rPr>
              <w:t xml:space="preserve">. également N. </w:t>
            </w:r>
            <w:proofErr w:type="spellStart"/>
            <w:r w:rsidRPr="00F67B60">
              <w:rPr>
                <w:lang w:val="fr-BE"/>
              </w:rPr>
              <w:t>Massager</w:t>
            </w:r>
            <w:proofErr w:type="spellEnd"/>
            <w:r w:rsidRPr="00F67B60">
              <w:rPr>
                <w:lang w:val="fr-BE"/>
              </w:rPr>
              <w:t>, « Titre II - Droit d'hébergement », </w:t>
            </w:r>
            <w:r w:rsidRPr="00F67B60">
              <w:rPr>
                <w:i/>
                <w:iCs/>
                <w:lang w:val="fr-BE"/>
              </w:rPr>
              <w:t>Droit des personnes et des familles</w:t>
            </w:r>
            <w:r w:rsidRPr="00F67B60">
              <w:rPr>
                <w:lang w:val="fr-BE"/>
              </w:rPr>
              <w:t>, D. Carré </w:t>
            </w:r>
            <w:r w:rsidRPr="00F67B60">
              <w:rPr>
                <w:i/>
                <w:iCs/>
                <w:lang w:val="fr-BE"/>
              </w:rPr>
              <w:t>et al.</w:t>
            </w:r>
            <w:r w:rsidRPr="00F67B60">
              <w:rPr>
                <w:lang w:val="fr-BE"/>
              </w:rPr>
              <w:t> (</w:t>
            </w:r>
            <w:proofErr w:type="spellStart"/>
            <w:r w:rsidRPr="00F67B60">
              <w:rPr>
                <w:lang w:val="fr-BE"/>
              </w:rPr>
              <w:t>dir</w:t>
            </w:r>
            <w:proofErr w:type="spellEnd"/>
            <w:r w:rsidRPr="00F67B60">
              <w:rPr>
                <w:lang w:val="fr-BE"/>
              </w:rPr>
              <w:t>.), Bruxelles, Larcier, 2011, p. 452.</w:t>
            </w:r>
          </w:p>
        </w:tc>
      </w:tr>
      <w:tr w:rsidR="00F67B60" w:rsidRPr="00F67B60" w14:paraId="3E06550A" w14:textId="77777777" w:rsidTr="00F67B60">
        <w:tc>
          <w:tcPr>
            <w:tcW w:w="150" w:type="dxa"/>
            <w:hideMark/>
          </w:tcPr>
          <w:p w14:paraId="56D1B674" w14:textId="77777777" w:rsidR="00F67B60" w:rsidRPr="00F67B60" w:rsidRDefault="00F67B60" w:rsidP="00F67B60">
            <w:pPr>
              <w:rPr>
                <w:lang w:val="fr-BE"/>
              </w:rPr>
            </w:pPr>
            <w:bookmarkStart w:id="69" w:name="ftn_18"/>
            <w:r w:rsidRPr="00F67B60">
              <w:rPr>
                <w:lang w:val="fr-BE"/>
              </w:rPr>
              <w:t>[18]</w:t>
            </w:r>
            <w:bookmarkEnd w:id="69"/>
          </w:p>
        </w:tc>
        <w:tc>
          <w:tcPr>
            <w:tcW w:w="6" w:type="dxa"/>
            <w:tcMar>
              <w:top w:w="15" w:type="dxa"/>
              <w:left w:w="360" w:type="dxa"/>
              <w:bottom w:w="200" w:type="dxa"/>
              <w:right w:w="400" w:type="dxa"/>
            </w:tcMar>
            <w:hideMark/>
          </w:tcPr>
          <w:p w14:paraId="4651751B" w14:textId="77777777" w:rsidR="00F67B60" w:rsidRPr="00F67B60" w:rsidRDefault="00F67B60" w:rsidP="00F67B60">
            <w:pPr>
              <w:rPr>
                <w:lang w:val="fr-BE"/>
              </w:rPr>
            </w:pPr>
            <w:r w:rsidRPr="00F67B60">
              <w:rPr>
                <w:lang w:val="fr-BE"/>
              </w:rPr>
              <w:t>E. </w:t>
            </w:r>
            <w:proofErr w:type="spellStart"/>
            <w:r w:rsidRPr="00F67B60">
              <w:rPr>
                <w:lang w:val="fr-BE"/>
              </w:rPr>
              <w:t>Gheur</w:t>
            </w:r>
            <w:proofErr w:type="spellEnd"/>
            <w:r w:rsidRPr="00F67B60">
              <w:rPr>
                <w:lang w:val="fr-BE"/>
              </w:rPr>
              <w:t>, « La demande croissante d'expertise en matière familiale: Un aveu de faiblesse des magistrats ? », </w:t>
            </w:r>
            <w:r w:rsidRPr="00F67B60">
              <w:rPr>
                <w:i/>
                <w:iCs/>
                <w:lang w:val="fr-BE"/>
              </w:rPr>
              <w:t>Le Pli juridique</w:t>
            </w:r>
            <w:r w:rsidRPr="00F67B60">
              <w:rPr>
                <w:lang w:val="fr-BE"/>
              </w:rPr>
              <w:t xml:space="preserve">, 2016, n° 38, p. 20 ; H. </w:t>
            </w:r>
            <w:proofErr w:type="spellStart"/>
            <w:r w:rsidRPr="00F67B60">
              <w:rPr>
                <w:lang w:val="fr-BE"/>
              </w:rPr>
              <w:t>Boularbah</w:t>
            </w:r>
            <w:proofErr w:type="spellEnd"/>
            <w:r w:rsidRPr="00F67B60">
              <w:rPr>
                <w:lang w:val="fr-BE"/>
              </w:rPr>
              <w:t>, « Présentation générale et application dans le temps de la loi du 15 mai 2007 modifiant le Code judiciaire en ce qui concerne l'expertise et rétablissant un article 509</w:t>
            </w:r>
            <w:r w:rsidRPr="00F67B60">
              <w:rPr>
                <w:i/>
                <w:iCs/>
                <w:lang w:val="fr-BE"/>
              </w:rPr>
              <w:t>quater</w:t>
            </w:r>
            <w:r w:rsidRPr="00F67B60">
              <w:rPr>
                <w:lang w:val="fr-BE"/>
              </w:rPr>
              <w:t> dans le Code pénal et de sa "loi de réparation" du 30 décembre 2009 », </w:t>
            </w:r>
            <w:r w:rsidRPr="00F67B60">
              <w:rPr>
                <w:i/>
                <w:iCs/>
                <w:lang w:val="fr-BE"/>
              </w:rPr>
              <w:t>Le nouveau droit de l'expertise judiciaire en pratique: commentaires de la loi du 15 mai 2007 modifiant le Code judiciaire en ce qui concerne l'expertise et de sa loi de réparation du 30 décembre 2009</w:t>
            </w:r>
            <w:r w:rsidRPr="00F67B60">
              <w:rPr>
                <w:lang w:val="fr-BE"/>
              </w:rPr>
              <w:t>, Bruxelles, Larcier, p. 20.</w:t>
            </w:r>
          </w:p>
        </w:tc>
      </w:tr>
      <w:tr w:rsidR="00F67B60" w:rsidRPr="00F67B60" w14:paraId="68434D31" w14:textId="77777777" w:rsidTr="00F67B60">
        <w:tc>
          <w:tcPr>
            <w:tcW w:w="150" w:type="dxa"/>
            <w:hideMark/>
          </w:tcPr>
          <w:p w14:paraId="13F93E5F" w14:textId="77777777" w:rsidR="00F67B60" w:rsidRPr="00F67B60" w:rsidRDefault="00F67B60" w:rsidP="00F67B60">
            <w:pPr>
              <w:rPr>
                <w:lang w:val="fr-BE"/>
              </w:rPr>
            </w:pPr>
            <w:bookmarkStart w:id="70" w:name="ftn_19"/>
            <w:r w:rsidRPr="00F67B60">
              <w:rPr>
                <w:lang w:val="fr-BE"/>
              </w:rPr>
              <w:t>[19]</w:t>
            </w:r>
            <w:bookmarkEnd w:id="70"/>
          </w:p>
        </w:tc>
        <w:tc>
          <w:tcPr>
            <w:tcW w:w="6" w:type="dxa"/>
            <w:tcMar>
              <w:top w:w="15" w:type="dxa"/>
              <w:left w:w="360" w:type="dxa"/>
              <w:bottom w:w="200" w:type="dxa"/>
              <w:right w:w="400" w:type="dxa"/>
            </w:tcMar>
            <w:hideMark/>
          </w:tcPr>
          <w:p w14:paraId="5BDA7EE7" w14:textId="77777777" w:rsidR="00F67B60" w:rsidRPr="00F67B60" w:rsidRDefault="00F67B60" w:rsidP="00F67B60">
            <w:pPr>
              <w:rPr>
                <w:lang w:val="fr-BE"/>
              </w:rPr>
            </w:pPr>
            <w:r w:rsidRPr="00F67B60">
              <w:rPr>
                <w:lang w:val="fr-BE"/>
              </w:rPr>
              <w:t>D. Carré, « Expertise médico-psychologique ou pédopsychiatrique : les principes du Code judiciaire sont-ils solubles dans le droit de la famille ? », </w:t>
            </w:r>
            <w:proofErr w:type="spellStart"/>
            <w:r w:rsidRPr="00F67B60">
              <w:rPr>
                <w:i/>
                <w:iCs/>
                <w:lang w:val="fr-BE"/>
              </w:rPr>
              <w:t>Act</w:t>
            </w:r>
            <w:proofErr w:type="spellEnd"/>
            <w:r w:rsidRPr="00F67B60">
              <w:rPr>
                <w:i/>
                <w:iCs/>
                <w:lang w:val="fr-BE"/>
              </w:rPr>
              <w:t xml:space="preserve">. </w:t>
            </w:r>
            <w:proofErr w:type="spellStart"/>
            <w:r w:rsidRPr="00F67B60">
              <w:rPr>
                <w:i/>
                <w:iCs/>
                <w:lang w:val="fr-BE"/>
              </w:rPr>
              <w:t>dr</w:t>
            </w:r>
            <w:proofErr w:type="spellEnd"/>
            <w:r w:rsidRPr="00F67B60">
              <w:rPr>
                <w:i/>
                <w:iCs/>
                <w:lang w:val="fr-BE"/>
              </w:rPr>
              <w:t xml:space="preserve">. </w:t>
            </w:r>
            <w:proofErr w:type="spellStart"/>
            <w:r w:rsidRPr="00F67B60">
              <w:rPr>
                <w:i/>
                <w:iCs/>
                <w:lang w:val="fr-BE"/>
              </w:rPr>
              <w:t>fam</w:t>
            </w:r>
            <w:proofErr w:type="spellEnd"/>
            <w:r w:rsidRPr="00F67B60">
              <w:rPr>
                <w:lang w:val="fr-BE"/>
              </w:rPr>
              <w:t>., 2016, n° 5, p. 95.</w:t>
            </w:r>
          </w:p>
        </w:tc>
      </w:tr>
      <w:tr w:rsidR="00F67B60" w:rsidRPr="00F67B60" w14:paraId="0E0B8A3D" w14:textId="77777777" w:rsidTr="00F67B60">
        <w:tc>
          <w:tcPr>
            <w:tcW w:w="150" w:type="dxa"/>
            <w:hideMark/>
          </w:tcPr>
          <w:p w14:paraId="78F53281" w14:textId="77777777" w:rsidR="00F67B60" w:rsidRPr="00F67B60" w:rsidRDefault="00F67B60" w:rsidP="00F67B60">
            <w:pPr>
              <w:rPr>
                <w:lang w:val="fr-BE"/>
              </w:rPr>
            </w:pPr>
            <w:bookmarkStart w:id="71" w:name="ftn_20"/>
            <w:r w:rsidRPr="00F67B60">
              <w:rPr>
                <w:lang w:val="fr-BE"/>
              </w:rPr>
              <w:t>[20]</w:t>
            </w:r>
            <w:bookmarkEnd w:id="71"/>
          </w:p>
        </w:tc>
        <w:tc>
          <w:tcPr>
            <w:tcW w:w="6" w:type="dxa"/>
            <w:tcMar>
              <w:top w:w="15" w:type="dxa"/>
              <w:left w:w="360" w:type="dxa"/>
              <w:bottom w:w="200" w:type="dxa"/>
              <w:right w:w="400" w:type="dxa"/>
            </w:tcMar>
            <w:hideMark/>
          </w:tcPr>
          <w:p w14:paraId="719F79AB" w14:textId="77777777" w:rsidR="00F67B60" w:rsidRPr="00F67B60" w:rsidRDefault="00F67B60" w:rsidP="00F67B60">
            <w:pPr>
              <w:rPr>
                <w:lang w:val="fr-BE"/>
              </w:rPr>
            </w:pPr>
            <w:r w:rsidRPr="00F67B60">
              <w:rPr>
                <w:lang w:val="fr-BE"/>
              </w:rPr>
              <w:t xml:space="preserve">Chr. </w:t>
            </w:r>
            <w:proofErr w:type="spellStart"/>
            <w:r w:rsidRPr="00F67B60">
              <w:rPr>
                <w:lang w:val="fr-BE"/>
              </w:rPr>
              <w:t>Mormont</w:t>
            </w:r>
            <w:proofErr w:type="spellEnd"/>
            <w:r w:rsidRPr="00F67B60">
              <w:rPr>
                <w:lang w:val="fr-BE"/>
              </w:rPr>
              <w:t>, « Déontologie et spécificités de l'expertise psychologique », </w:t>
            </w:r>
            <w:proofErr w:type="spellStart"/>
            <w:r w:rsidRPr="00F67B60">
              <w:rPr>
                <w:i/>
                <w:iCs/>
                <w:lang w:val="fr-BE"/>
              </w:rPr>
              <w:t>Ius</w:t>
            </w:r>
            <w:proofErr w:type="spellEnd"/>
            <w:r w:rsidRPr="00F67B60">
              <w:rPr>
                <w:i/>
                <w:iCs/>
                <w:lang w:val="fr-BE"/>
              </w:rPr>
              <w:t xml:space="preserve"> &amp; </w:t>
            </w:r>
            <w:proofErr w:type="spellStart"/>
            <w:r w:rsidRPr="00F67B60">
              <w:rPr>
                <w:i/>
                <w:iCs/>
                <w:lang w:val="fr-BE"/>
              </w:rPr>
              <w:t>actores</w:t>
            </w:r>
            <w:proofErr w:type="spellEnd"/>
            <w:r w:rsidRPr="00F67B60">
              <w:rPr>
                <w:lang w:val="fr-BE"/>
              </w:rPr>
              <w:t>, 2015, n° 3, p. 15.</w:t>
            </w:r>
          </w:p>
        </w:tc>
      </w:tr>
      <w:tr w:rsidR="00F67B60" w:rsidRPr="00F67B60" w14:paraId="26A10A1B" w14:textId="77777777" w:rsidTr="00F67B60">
        <w:tc>
          <w:tcPr>
            <w:tcW w:w="150" w:type="dxa"/>
            <w:hideMark/>
          </w:tcPr>
          <w:p w14:paraId="6BC2F609" w14:textId="77777777" w:rsidR="00F67B60" w:rsidRPr="00F67B60" w:rsidRDefault="00F67B60" w:rsidP="00F67B60">
            <w:pPr>
              <w:rPr>
                <w:lang w:val="fr-BE"/>
              </w:rPr>
            </w:pPr>
            <w:bookmarkStart w:id="72" w:name="ftn_21"/>
            <w:r w:rsidRPr="00F67B60">
              <w:rPr>
                <w:lang w:val="fr-BE"/>
              </w:rPr>
              <w:t>[21]</w:t>
            </w:r>
            <w:bookmarkEnd w:id="72"/>
          </w:p>
        </w:tc>
        <w:tc>
          <w:tcPr>
            <w:tcW w:w="6" w:type="dxa"/>
            <w:tcMar>
              <w:top w:w="15" w:type="dxa"/>
              <w:left w:w="360" w:type="dxa"/>
              <w:bottom w:w="200" w:type="dxa"/>
              <w:right w:w="400" w:type="dxa"/>
            </w:tcMar>
            <w:hideMark/>
          </w:tcPr>
          <w:p w14:paraId="3165BA18" w14:textId="77777777" w:rsidR="00F67B60" w:rsidRPr="00F67B60" w:rsidRDefault="00F67B60" w:rsidP="00F67B60">
            <w:pPr>
              <w:rPr>
                <w:lang w:val="fr-BE"/>
              </w:rPr>
            </w:pPr>
            <w:r w:rsidRPr="00F67B60">
              <w:rPr>
                <w:lang w:val="fr-BE"/>
              </w:rPr>
              <w:t>Chr. </w:t>
            </w:r>
            <w:proofErr w:type="spellStart"/>
            <w:r w:rsidRPr="00F67B60">
              <w:rPr>
                <w:lang w:val="fr-BE"/>
              </w:rPr>
              <w:t>Mormont</w:t>
            </w:r>
            <w:proofErr w:type="spellEnd"/>
            <w:r w:rsidRPr="00F67B60">
              <w:rPr>
                <w:lang w:val="fr-BE"/>
              </w:rPr>
              <w:t>, </w:t>
            </w:r>
            <w:r w:rsidRPr="00F67B60">
              <w:rPr>
                <w:i/>
                <w:iCs/>
                <w:lang w:val="fr-BE"/>
              </w:rPr>
              <w:t>ibidem</w:t>
            </w:r>
            <w:r w:rsidRPr="00F67B60">
              <w:rPr>
                <w:lang w:val="fr-BE"/>
              </w:rPr>
              <w:t>, p. 17.</w:t>
            </w:r>
          </w:p>
        </w:tc>
      </w:tr>
      <w:tr w:rsidR="00F67B60" w:rsidRPr="00F67B60" w14:paraId="4CCE3966" w14:textId="77777777" w:rsidTr="00F67B60">
        <w:tc>
          <w:tcPr>
            <w:tcW w:w="150" w:type="dxa"/>
            <w:hideMark/>
          </w:tcPr>
          <w:p w14:paraId="0B0D6A0E" w14:textId="77777777" w:rsidR="00F67B60" w:rsidRPr="00F67B60" w:rsidRDefault="00F67B60" w:rsidP="00F67B60">
            <w:pPr>
              <w:rPr>
                <w:lang w:val="fr-BE"/>
              </w:rPr>
            </w:pPr>
            <w:bookmarkStart w:id="73" w:name="ftn_22"/>
            <w:r w:rsidRPr="00F67B60">
              <w:rPr>
                <w:lang w:val="fr-BE"/>
              </w:rPr>
              <w:t>[22]</w:t>
            </w:r>
            <w:bookmarkEnd w:id="73"/>
          </w:p>
        </w:tc>
        <w:tc>
          <w:tcPr>
            <w:tcW w:w="6" w:type="dxa"/>
            <w:tcMar>
              <w:top w:w="15" w:type="dxa"/>
              <w:left w:w="360" w:type="dxa"/>
              <w:bottom w:w="200" w:type="dxa"/>
              <w:right w:w="400" w:type="dxa"/>
            </w:tcMar>
            <w:hideMark/>
          </w:tcPr>
          <w:p w14:paraId="1CAA5010" w14:textId="77777777" w:rsidR="00F67B60" w:rsidRPr="00F67B60" w:rsidRDefault="00F67B60" w:rsidP="00F67B60">
            <w:pPr>
              <w:rPr>
                <w:lang w:val="fr-BE"/>
              </w:rPr>
            </w:pPr>
            <w:r w:rsidRPr="00F67B60">
              <w:rPr>
                <w:lang w:val="fr-BE"/>
              </w:rPr>
              <w:t>Article 962, alinéa 2, du Code judiciaire.</w:t>
            </w:r>
          </w:p>
        </w:tc>
      </w:tr>
      <w:tr w:rsidR="00F67B60" w:rsidRPr="00F67B60" w14:paraId="2B8B35A4" w14:textId="77777777" w:rsidTr="00F67B60">
        <w:tc>
          <w:tcPr>
            <w:tcW w:w="150" w:type="dxa"/>
            <w:hideMark/>
          </w:tcPr>
          <w:p w14:paraId="1E7CD1C1" w14:textId="77777777" w:rsidR="00F67B60" w:rsidRPr="00F67B60" w:rsidRDefault="00F67B60" w:rsidP="00F67B60">
            <w:pPr>
              <w:rPr>
                <w:lang w:val="fr-BE"/>
              </w:rPr>
            </w:pPr>
            <w:bookmarkStart w:id="74" w:name="ftn_23"/>
            <w:r w:rsidRPr="00F67B60">
              <w:rPr>
                <w:lang w:val="fr-BE"/>
              </w:rPr>
              <w:t>[23]</w:t>
            </w:r>
            <w:bookmarkEnd w:id="74"/>
          </w:p>
        </w:tc>
        <w:tc>
          <w:tcPr>
            <w:tcW w:w="6" w:type="dxa"/>
            <w:tcMar>
              <w:top w:w="15" w:type="dxa"/>
              <w:left w:w="360" w:type="dxa"/>
              <w:bottom w:w="200" w:type="dxa"/>
              <w:right w:w="400" w:type="dxa"/>
            </w:tcMar>
            <w:hideMark/>
          </w:tcPr>
          <w:p w14:paraId="35878878" w14:textId="77777777" w:rsidR="00F67B60" w:rsidRPr="00F67B60" w:rsidRDefault="00F67B60" w:rsidP="00F67B60">
            <w:pPr>
              <w:rPr>
                <w:lang w:val="fr-BE"/>
              </w:rPr>
            </w:pPr>
            <w:r w:rsidRPr="00F67B60">
              <w:rPr>
                <w:lang w:val="fr-BE"/>
              </w:rPr>
              <w:t>Mons (33</w:t>
            </w:r>
            <w:r w:rsidRPr="00F67B60">
              <w:rPr>
                <w:vertAlign w:val="superscript"/>
                <w:lang w:val="fr-BE"/>
              </w:rPr>
              <w:t>e</w:t>
            </w:r>
            <w:r w:rsidRPr="00F67B60">
              <w:rPr>
                <w:lang w:val="fr-BE"/>
              </w:rPr>
              <w:t> ch.), 27 mars 2024, inédit, R.G. n° 2023/TF/173, p. 40.</w:t>
            </w:r>
          </w:p>
        </w:tc>
      </w:tr>
      <w:tr w:rsidR="00F67B60" w:rsidRPr="00F67B60" w14:paraId="776091AD" w14:textId="77777777" w:rsidTr="00F67B60">
        <w:tc>
          <w:tcPr>
            <w:tcW w:w="150" w:type="dxa"/>
            <w:hideMark/>
          </w:tcPr>
          <w:p w14:paraId="1695AA73" w14:textId="77777777" w:rsidR="00F67B60" w:rsidRPr="00F67B60" w:rsidRDefault="00F67B60" w:rsidP="00F67B60">
            <w:pPr>
              <w:rPr>
                <w:lang w:val="fr-BE"/>
              </w:rPr>
            </w:pPr>
            <w:bookmarkStart w:id="75" w:name="ftn_24"/>
            <w:r w:rsidRPr="00F67B60">
              <w:rPr>
                <w:lang w:val="fr-BE"/>
              </w:rPr>
              <w:t>[24]</w:t>
            </w:r>
            <w:bookmarkEnd w:id="75"/>
          </w:p>
        </w:tc>
        <w:tc>
          <w:tcPr>
            <w:tcW w:w="6" w:type="dxa"/>
            <w:tcMar>
              <w:top w:w="15" w:type="dxa"/>
              <w:left w:w="360" w:type="dxa"/>
              <w:bottom w:w="200" w:type="dxa"/>
              <w:right w:w="400" w:type="dxa"/>
            </w:tcMar>
            <w:hideMark/>
          </w:tcPr>
          <w:p w14:paraId="06B8B767" w14:textId="77777777" w:rsidR="00F67B60" w:rsidRPr="00F67B60" w:rsidRDefault="00F67B60" w:rsidP="00F67B60">
            <w:pPr>
              <w:rPr>
                <w:lang w:val="fr-BE"/>
              </w:rPr>
            </w:pPr>
            <w:r w:rsidRPr="00F67B60">
              <w:rPr>
                <w:lang w:val="fr-BE"/>
              </w:rPr>
              <w:t>Mons (33</w:t>
            </w:r>
            <w:r w:rsidRPr="00F67B60">
              <w:rPr>
                <w:vertAlign w:val="superscript"/>
                <w:lang w:val="fr-BE"/>
              </w:rPr>
              <w:t>e</w:t>
            </w:r>
            <w:r w:rsidRPr="00F67B60">
              <w:rPr>
                <w:lang w:val="fr-BE"/>
              </w:rPr>
              <w:t> ch.), 27 mars 2024, inédit, R.G. n° 2023/TF/173, p. 40.</w:t>
            </w:r>
          </w:p>
        </w:tc>
      </w:tr>
      <w:tr w:rsidR="00F67B60" w:rsidRPr="00F67B60" w14:paraId="6C9607E4" w14:textId="77777777" w:rsidTr="00F67B60">
        <w:tc>
          <w:tcPr>
            <w:tcW w:w="150" w:type="dxa"/>
            <w:hideMark/>
          </w:tcPr>
          <w:p w14:paraId="4EC1A0F1" w14:textId="77777777" w:rsidR="00F67B60" w:rsidRPr="00F67B60" w:rsidRDefault="00F67B60" w:rsidP="00F67B60">
            <w:pPr>
              <w:rPr>
                <w:lang w:val="fr-BE"/>
              </w:rPr>
            </w:pPr>
            <w:bookmarkStart w:id="76" w:name="ftn_25"/>
            <w:r w:rsidRPr="00F67B60">
              <w:rPr>
                <w:lang w:val="fr-BE"/>
              </w:rPr>
              <w:t>[25]</w:t>
            </w:r>
            <w:bookmarkEnd w:id="76"/>
          </w:p>
        </w:tc>
        <w:tc>
          <w:tcPr>
            <w:tcW w:w="6" w:type="dxa"/>
            <w:tcMar>
              <w:top w:w="15" w:type="dxa"/>
              <w:left w:w="360" w:type="dxa"/>
              <w:bottom w:w="200" w:type="dxa"/>
              <w:right w:w="400" w:type="dxa"/>
            </w:tcMar>
            <w:hideMark/>
          </w:tcPr>
          <w:p w14:paraId="75482A92" w14:textId="77777777" w:rsidR="00F67B60" w:rsidRPr="00F67B60" w:rsidRDefault="00F67B60" w:rsidP="00F67B60">
            <w:pPr>
              <w:rPr>
                <w:lang w:val="fr-BE"/>
              </w:rPr>
            </w:pPr>
            <w:r w:rsidRPr="00F67B60">
              <w:rPr>
                <w:lang w:val="fr-BE"/>
              </w:rPr>
              <w:t>Mons (33</w:t>
            </w:r>
            <w:r w:rsidRPr="00F67B60">
              <w:rPr>
                <w:vertAlign w:val="superscript"/>
                <w:lang w:val="fr-BE"/>
              </w:rPr>
              <w:t>e</w:t>
            </w:r>
            <w:r w:rsidRPr="00F67B60">
              <w:rPr>
                <w:lang w:val="fr-BE"/>
              </w:rPr>
              <w:t> ch.), 24 février 2021, inédit, R.G. n° 2020/TF/45, p. 7.</w:t>
            </w:r>
          </w:p>
        </w:tc>
      </w:tr>
      <w:tr w:rsidR="00F67B60" w:rsidRPr="00F67B60" w14:paraId="00F2E1AD" w14:textId="77777777" w:rsidTr="00F67B60">
        <w:tc>
          <w:tcPr>
            <w:tcW w:w="150" w:type="dxa"/>
            <w:hideMark/>
          </w:tcPr>
          <w:p w14:paraId="52B9A266" w14:textId="77777777" w:rsidR="00F67B60" w:rsidRPr="00F67B60" w:rsidRDefault="00F67B60" w:rsidP="00F67B60">
            <w:pPr>
              <w:rPr>
                <w:lang w:val="fr-BE"/>
              </w:rPr>
            </w:pPr>
            <w:bookmarkStart w:id="77" w:name="ftn_26"/>
            <w:r w:rsidRPr="00F67B60">
              <w:rPr>
                <w:lang w:val="fr-BE"/>
              </w:rPr>
              <w:t>[26]</w:t>
            </w:r>
            <w:bookmarkEnd w:id="77"/>
          </w:p>
        </w:tc>
        <w:tc>
          <w:tcPr>
            <w:tcW w:w="6" w:type="dxa"/>
            <w:tcMar>
              <w:top w:w="15" w:type="dxa"/>
              <w:left w:w="360" w:type="dxa"/>
              <w:bottom w:w="200" w:type="dxa"/>
              <w:right w:w="400" w:type="dxa"/>
            </w:tcMar>
            <w:hideMark/>
          </w:tcPr>
          <w:p w14:paraId="3698048A" w14:textId="77777777" w:rsidR="00F67B60" w:rsidRPr="00F67B60" w:rsidRDefault="00F67B60" w:rsidP="00F67B60">
            <w:pPr>
              <w:rPr>
                <w:lang w:val="fr-BE"/>
              </w:rPr>
            </w:pPr>
            <w:r w:rsidRPr="00F67B60">
              <w:rPr>
                <w:lang w:val="fr-BE"/>
              </w:rPr>
              <w:t>Mons (33</w:t>
            </w:r>
            <w:r w:rsidRPr="00F67B60">
              <w:rPr>
                <w:vertAlign w:val="superscript"/>
                <w:lang w:val="fr-BE"/>
              </w:rPr>
              <w:t>e</w:t>
            </w:r>
            <w:r w:rsidRPr="00F67B60">
              <w:rPr>
                <w:lang w:val="fr-BE"/>
              </w:rPr>
              <w:t> ch.), 27 mars 2024, inédit, R.G. n° 2023/TF/173, p. 40.</w:t>
            </w:r>
          </w:p>
        </w:tc>
      </w:tr>
      <w:tr w:rsidR="00F67B60" w:rsidRPr="00F67B60" w14:paraId="045FC3CC" w14:textId="77777777" w:rsidTr="00F67B60">
        <w:tc>
          <w:tcPr>
            <w:tcW w:w="150" w:type="dxa"/>
            <w:hideMark/>
          </w:tcPr>
          <w:p w14:paraId="00C85E87" w14:textId="77777777" w:rsidR="00F67B60" w:rsidRPr="00F67B60" w:rsidRDefault="00F67B60" w:rsidP="00F67B60">
            <w:pPr>
              <w:rPr>
                <w:lang w:val="fr-BE"/>
              </w:rPr>
            </w:pPr>
            <w:bookmarkStart w:id="78" w:name="ftn_27"/>
            <w:r w:rsidRPr="00F67B60">
              <w:rPr>
                <w:lang w:val="fr-BE"/>
              </w:rPr>
              <w:t>[27]</w:t>
            </w:r>
            <w:bookmarkEnd w:id="78"/>
          </w:p>
        </w:tc>
        <w:tc>
          <w:tcPr>
            <w:tcW w:w="6" w:type="dxa"/>
            <w:tcMar>
              <w:top w:w="15" w:type="dxa"/>
              <w:left w:w="360" w:type="dxa"/>
              <w:bottom w:w="200" w:type="dxa"/>
              <w:right w:w="400" w:type="dxa"/>
            </w:tcMar>
            <w:hideMark/>
          </w:tcPr>
          <w:p w14:paraId="21DF08C2" w14:textId="77777777" w:rsidR="00F67B60" w:rsidRPr="00F67B60" w:rsidRDefault="00F67B60" w:rsidP="00F67B60">
            <w:pPr>
              <w:rPr>
                <w:lang w:val="fr-BE"/>
              </w:rPr>
            </w:pPr>
            <w:r w:rsidRPr="00F67B60">
              <w:rPr>
                <w:lang w:val="fr-BE"/>
              </w:rPr>
              <w:t>Mons (33</w:t>
            </w:r>
            <w:r w:rsidRPr="00F67B60">
              <w:rPr>
                <w:vertAlign w:val="superscript"/>
                <w:lang w:val="fr-BE"/>
              </w:rPr>
              <w:t>e</w:t>
            </w:r>
            <w:r w:rsidRPr="00F67B60">
              <w:rPr>
                <w:lang w:val="fr-BE"/>
              </w:rPr>
              <w:t> ch.), 27 mars 2024, inédit, R.G. n° 2023/TF/173, p. 42.</w:t>
            </w:r>
          </w:p>
        </w:tc>
      </w:tr>
      <w:tr w:rsidR="00F67B60" w:rsidRPr="00F67B60" w14:paraId="3F029814" w14:textId="77777777" w:rsidTr="00F67B60">
        <w:tc>
          <w:tcPr>
            <w:tcW w:w="150" w:type="dxa"/>
            <w:hideMark/>
          </w:tcPr>
          <w:p w14:paraId="68E70E9C" w14:textId="77777777" w:rsidR="00F67B60" w:rsidRPr="00F67B60" w:rsidRDefault="00F67B60" w:rsidP="00F67B60">
            <w:pPr>
              <w:rPr>
                <w:lang w:val="fr-BE"/>
              </w:rPr>
            </w:pPr>
            <w:bookmarkStart w:id="79" w:name="ftn_28"/>
            <w:r w:rsidRPr="00F67B60">
              <w:rPr>
                <w:lang w:val="fr-BE"/>
              </w:rPr>
              <w:lastRenderedPageBreak/>
              <w:t>[28]</w:t>
            </w:r>
            <w:bookmarkEnd w:id="79"/>
          </w:p>
        </w:tc>
        <w:tc>
          <w:tcPr>
            <w:tcW w:w="6" w:type="dxa"/>
            <w:tcMar>
              <w:top w:w="15" w:type="dxa"/>
              <w:left w:w="360" w:type="dxa"/>
              <w:bottom w:w="200" w:type="dxa"/>
              <w:right w:w="400" w:type="dxa"/>
            </w:tcMar>
            <w:hideMark/>
          </w:tcPr>
          <w:p w14:paraId="0328604A" w14:textId="77777777" w:rsidR="00F67B60" w:rsidRPr="00F67B60" w:rsidRDefault="00F67B60" w:rsidP="00F67B60">
            <w:pPr>
              <w:rPr>
                <w:lang w:val="fr-BE"/>
              </w:rPr>
            </w:pPr>
            <w:r w:rsidRPr="00F67B60">
              <w:rPr>
                <w:lang w:val="fr-BE"/>
              </w:rPr>
              <w:t>Plus fréquemment référencée comme « C.N.U.D.E. » dans les décisions des cours et tribunaux.</w:t>
            </w:r>
          </w:p>
        </w:tc>
      </w:tr>
      <w:tr w:rsidR="00F67B60" w:rsidRPr="00F67B60" w14:paraId="3EDC7638" w14:textId="77777777" w:rsidTr="00F67B60">
        <w:tc>
          <w:tcPr>
            <w:tcW w:w="150" w:type="dxa"/>
            <w:hideMark/>
          </w:tcPr>
          <w:p w14:paraId="6190FCA6" w14:textId="77777777" w:rsidR="00F67B60" w:rsidRPr="00F67B60" w:rsidRDefault="00F67B60" w:rsidP="00F67B60">
            <w:pPr>
              <w:rPr>
                <w:lang w:val="fr-BE"/>
              </w:rPr>
            </w:pPr>
            <w:bookmarkStart w:id="80" w:name="ftn_29"/>
            <w:r w:rsidRPr="00F67B60">
              <w:rPr>
                <w:lang w:val="fr-BE"/>
              </w:rPr>
              <w:t>[29]</w:t>
            </w:r>
            <w:bookmarkEnd w:id="80"/>
          </w:p>
        </w:tc>
        <w:tc>
          <w:tcPr>
            <w:tcW w:w="6" w:type="dxa"/>
            <w:tcMar>
              <w:top w:w="15" w:type="dxa"/>
              <w:left w:w="360" w:type="dxa"/>
              <w:bottom w:w="200" w:type="dxa"/>
              <w:right w:w="400" w:type="dxa"/>
            </w:tcMar>
            <w:hideMark/>
          </w:tcPr>
          <w:p w14:paraId="123964CB" w14:textId="77777777" w:rsidR="00F67B60" w:rsidRPr="00F67B60" w:rsidRDefault="00F67B60" w:rsidP="00F67B60">
            <w:pPr>
              <w:rPr>
                <w:lang w:val="fr-BE"/>
              </w:rPr>
            </w:pPr>
            <w:proofErr w:type="spellStart"/>
            <w:r w:rsidRPr="00F67B60">
              <w:rPr>
                <w:lang w:val="fr-BE"/>
              </w:rPr>
              <w:t>Voy</w:t>
            </w:r>
            <w:proofErr w:type="spellEnd"/>
            <w:r w:rsidRPr="00F67B60">
              <w:rPr>
                <w:lang w:val="fr-BE"/>
              </w:rPr>
              <w:t>. notamment G. Mathieu et A. </w:t>
            </w:r>
            <w:proofErr w:type="spellStart"/>
            <w:r w:rsidRPr="00F67B60">
              <w:rPr>
                <w:lang w:val="fr-BE"/>
              </w:rPr>
              <w:t>Rasson</w:t>
            </w:r>
            <w:proofErr w:type="spellEnd"/>
            <w:r w:rsidRPr="00F67B60">
              <w:rPr>
                <w:lang w:val="fr-BE"/>
              </w:rPr>
              <w:t xml:space="preserve">-Roland, note sous Trib. </w:t>
            </w:r>
            <w:proofErr w:type="spellStart"/>
            <w:r w:rsidRPr="00F67B60">
              <w:rPr>
                <w:lang w:val="fr-BE"/>
              </w:rPr>
              <w:t>fam</w:t>
            </w:r>
            <w:proofErr w:type="spellEnd"/>
            <w:r w:rsidRPr="00F67B60">
              <w:rPr>
                <w:lang w:val="fr-BE"/>
              </w:rPr>
              <w:t>. Bruxelles (</w:t>
            </w:r>
            <w:proofErr w:type="spellStart"/>
            <w:r w:rsidRPr="00F67B60">
              <w:rPr>
                <w:lang w:val="fr-BE"/>
              </w:rPr>
              <w:t>fr.</w:t>
            </w:r>
            <w:proofErr w:type="spellEnd"/>
            <w:r w:rsidRPr="00F67B60">
              <w:rPr>
                <w:lang w:val="fr-BE"/>
              </w:rPr>
              <w:t>) (5</w:t>
            </w:r>
            <w:r w:rsidRPr="00F67B60">
              <w:rPr>
                <w:vertAlign w:val="superscript"/>
                <w:lang w:val="fr-BE"/>
              </w:rPr>
              <w:t>e</w:t>
            </w:r>
            <w:r w:rsidRPr="00F67B60">
              <w:rPr>
                <w:lang w:val="fr-BE"/>
              </w:rPr>
              <w:t>ch.), 16 septembre 2021, </w:t>
            </w:r>
            <w:r w:rsidRPr="00F67B60">
              <w:rPr>
                <w:i/>
                <w:iCs/>
                <w:lang w:val="fr-BE"/>
              </w:rPr>
              <w:t xml:space="preserve">For. </w:t>
            </w:r>
            <w:proofErr w:type="spellStart"/>
            <w:r w:rsidRPr="00F67B60">
              <w:rPr>
                <w:i/>
                <w:iCs/>
                <w:lang w:val="fr-BE"/>
              </w:rPr>
              <w:t>fam</w:t>
            </w:r>
            <w:proofErr w:type="spellEnd"/>
            <w:r w:rsidRPr="00F67B60">
              <w:rPr>
                <w:lang w:val="fr-BE"/>
              </w:rPr>
              <w:t>., 2022, n° 2, pp. 85 et s.</w:t>
            </w:r>
          </w:p>
        </w:tc>
      </w:tr>
      <w:tr w:rsidR="00F67B60" w:rsidRPr="00F67B60" w14:paraId="72678BD2" w14:textId="77777777" w:rsidTr="00F67B60">
        <w:tc>
          <w:tcPr>
            <w:tcW w:w="150" w:type="dxa"/>
            <w:hideMark/>
          </w:tcPr>
          <w:p w14:paraId="2AB01E35" w14:textId="77777777" w:rsidR="00F67B60" w:rsidRPr="00F67B60" w:rsidRDefault="00F67B60" w:rsidP="00F67B60">
            <w:pPr>
              <w:rPr>
                <w:lang w:val="fr-BE"/>
              </w:rPr>
            </w:pPr>
            <w:bookmarkStart w:id="81" w:name="ftn_30"/>
            <w:r w:rsidRPr="00F67B60">
              <w:rPr>
                <w:lang w:val="fr-BE"/>
              </w:rPr>
              <w:t>[30]</w:t>
            </w:r>
            <w:bookmarkEnd w:id="81"/>
          </w:p>
        </w:tc>
        <w:tc>
          <w:tcPr>
            <w:tcW w:w="6" w:type="dxa"/>
            <w:tcMar>
              <w:top w:w="15" w:type="dxa"/>
              <w:left w:w="360" w:type="dxa"/>
              <w:bottom w:w="200" w:type="dxa"/>
              <w:right w:w="400" w:type="dxa"/>
            </w:tcMar>
            <w:hideMark/>
          </w:tcPr>
          <w:p w14:paraId="4183A541" w14:textId="77777777" w:rsidR="00F67B60" w:rsidRPr="00F67B60" w:rsidRDefault="00F67B60" w:rsidP="00F67B60">
            <w:pPr>
              <w:rPr>
                <w:lang w:val="fr-BE"/>
              </w:rPr>
            </w:pPr>
            <w:r w:rsidRPr="00F67B60">
              <w:rPr>
                <w:lang w:val="fr-BE"/>
              </w:rPr>
              <w:t>Bruxelles (44</w:t>
            </w:r>
            <w:r w:rsidRPr="00F67B60">
              <w:rPr>
                <w:vertAlign w:val="superscript"/>
                <w:lang w:val="fr-BE"/>
              </w:rPr>
              <w:t>e</w:t>
            </w:r>
            <w:r w:rsidRPr="00F67B60">
              <w:rPr>
                <w:lang w:val="fr-BE"/>
              </w:rPr>
              <w:t> ch.), 24 octobre 2017, </w:t>
            </w:r>
            <w:proofErr w:type="spellStart"/>
            <w:r w:rsidRPr="00F67B60">
              <w:rPr>
                <w:i/>
                <w:iCs/>
                <w:lang w:val="fr-BE"/>
              </w:rPr>
              <w:t>Act</w:t>
            </w:r>
            <w:proofErr w:type="spellEnd"/>
            <w:r w:rsidRPr="00F67B60">
              <w:rPr>
                <w:i/>
                <w:iCs/>
                <w:lang w:val="fr-BE"/>
              </w:rPr>
              <w:t xml:space="preserve">. </w:t>
            </w:r>
            <w:proofErr w:type="spellStart"/>
            <w:r w:rsidRPr="00F67B60">
              <w:rPr>
                <w:i/>
                <w:iCs/>
                <w:lang w:val="fr-BE"/>
              </w:rPr>
              <w:t>dr</w:t>
            </w:r>
            <w:proofErr w:type="spellEnd"/>
            <w:r w:rsidRPr="00F67B60">
              <w:rPr>
                <w:i/>
                <w:iCs/>
                <w:lang w:val="fr-BE"/>
              </w:rPr>
              <w:t xml:space="preserve">. </w:t>
            </w:r>
            <w:proofErr w:type="spellStart"/>
            <w:r w:rsidRPr="00F67B60">
              <w:rPr>
                <w:i/>
                <w:iCs/>
                <w:lang w:val="fr-BE"/>
              </w:rPr>
              <w:t>fam</w:t>
            </w:r>
            <w:proofErr w:type="spellEnd"/>
            <w:r w:rsidRPr="00F67B60">
              <w:rPr>
                <w:lang w:val="fr-BE"/>
              </w:rPr>
              <w:t>., 2019, n° 7, p. 228.</w:t>
            </w:r>
          </w:p>
        </w:tc>
      </w:tr>
      <w:tr w:rsidR="00F67B60" w:rsidRPr="00F67B60" w14:paraId="70D67EDC" w14:textId="77777777" w:rsidTr="00F67B60">
        <w:tc>
          <w:tcPr>
            <w:tcW w:w="150" w:type="dxa"/>
            <w:hideMark/>
          </w:tcPr>
          <w:p w14:paraId="096BF5FF" w14:textId="77777777" w:rsidR="00F67B60" w:rsidRPr="00F67B60" w:rsidRDefault="00F67B60" w:rsidP="00F67B60">
            <w:pPr>
              <w:rPr>
                <w:lang w:val="fr-BE"/>
              </w:rPr>
            </w:pPr>
            <w:bookmarkStart w:id="82" w:name="ftn_31"/>
            <w:r w:rsidRPr="00F67B60">
              <w:rPr>
                <w:lang w:val="fr-BE"/>
              </w:rPr>
              <w:t>[31]</w:t>
            </w:r>
            <w:bookmarkEnd w:id="82"/>
          </w:p>
        </w:tc>
        <w:tc>
          <w:tcPr>
            <w:tcW w:w="6" w:type="dxa"/>
            <w:tcMar>
              <w:top w:w="15" w:type="dxa"/>
              <w:left w:w="360" w:type="dxa"/>
              <w:bottom w:w="200" w:type="dxa"/>
              <w:right w:w="400" w:type="dxa"/>
            </w:tcMar>
            <w:hideMark/>
          </w:tcPr>
          <w:p w14:paraId="0DC8F11C" w14:textId="77777777" w:rsidR="00F67B60" w:rsidRPr="00F67B60" w:rsidRDefault="00F67B60" w:rsidP="00F67B60">
            <w:pPr>
              <w:rPr>
                <w:lang w:val="fr-BE"/>
              </w:rPr>
            </w:pPr>
            <w:r w:rsidRPr="00F67B60">
              <w:rPr>
                <w:lang w:val="fr-BE"/>
              </w:rPr>
              <w:t>G. Mathieu et A. </w:t>
            </w:r>
            <w:proofErr w:type="spellStart"/>
            <w:r w:rsidRPr="00F67B60">
              <w:rPr>
                <w:lang w:val="fr-BE"/>
              </w:rPr>
              <w:t>Rasson</w:t>
            </w:r>
            <w:proofErr w:type="spellEnd"/>
            <w:r w:rsidRPr="00F67B60">
              <w:rPr>
                <w:lang w:val="fr-BE"/>
              </w:rPr>
              <w:t>-Roland, </w:t>
            </w:r>
            <w:r w:rsidRPr="00F67B60">
              <w:rPr>
                <w:i/>
                <w:iCs/>
                <w:lang w:val="fr-BE"/>
              </w:rPr>
              <w:t xml:space="preserve">op. </w:t>
            </w:r>
            <w:proofErr w:type="spellStart"/>
            <w:r w:rsidRPr="00F67B60">
              <w:rPr>
                <w:i/>
                <w:iCs/>
                <w:lang w:val="fr-BE"/>
              </w:rPr>
              <w:t>cit</w:t>
            </w:r>
            <w:proofErr w:type="spellEnd"/>
            <w:r w:rsidRPr="00F67B60">
              <w:rPr>
                <w:lang w:val="fr-BE"/>
              </w:rPr>
              <w:t>., p. 83.</w:t>
            </w:r>
          </w:p>
        </w:tc>
      </w:tr>
      <w:tr w:rsidR="00F67B60" w:rsidRPr="00F67B60" w14:paraId="745B19D6" w14:textId="77777777" w:rsidTr="00F67B60">
        <w:tc>
          <w:tcPr>
            <w:tcW w:w="150" w:type="dxa"/>
            <w:hideMark/>
          </w:tcPr>
          <w:p w14:paraId="6FCDA6E5" w14:textId="77777777" w:rsidR="00F67B60" w:rsidRPr="00F67B60" w:rsidRDefault="00F67B60" w:rsidP="00F67B60">
            <w:pPr>
              <w:rPr>
                <w:lang w:val="fr-BE"/>
              </w:rPr>
            </w:pPr>
            <w:bookmarkStart w:id="83" w:name="ftn_32"/>
            <w:r w:rsidRPr="00F67B60">
              <w:rPr>
                <w:lang w:val="fr-BE"/>
              </w:rPr>
              <w:t>[32]</w:t>
            </w:r>
            <w:bookmarkEnd w:id="83"/>
          </w:p>
        </w:tc>
        <w:tc>
          <w:tcPr>
            <w:tcW w:w="6" w:type="dxa"/>
            <w:tcMar>
              <w:top w:w="15" w:type="dxa"/>
              <w:left w:w="360" w:type="dxa"/>
              <w:bottom w:w="200" w:type="dxa"/>
              <w:right w:w="400" w:type="dxa"/>
            </w:tcMar>
            <w:hideMark/>
          </w:tcPr>
          <w:p w14:paraId="3F888B77" w14:textId="77777777" w:rsidR="00F67B60" w:rsidRPr="00F67B60" w:rsidRDefault="00F67B60" w:rsidP="00F67B60">
            <w:pPr>
              <w:rPr>
                <w:lang w:val="fr-BE"/>
              </w:rPr>
            </w:pPr>
            <w:r w:rsidRPr="00F67B60">
              <w:rPr>
                <w:lang w:val="fr-BE"/>
              </w:rPr>
              <w:t>Cette Convention est le premier traité, à l'échelle européenne, qui soit dédié à la lutte contre les violences faites aux femmes. La Convention vise tout type de violences faites aux femmes, mais s'emploie également à lutter contre les violences intrafamiliales et contient à ce titre, des dispositions destinées à protéger les enfants.</w:t>
            </w:r>
          </w:p>
        </w:tc>
      </w:tr>
      <w:tr w:rsidR="00F67B60" w:rsidRPr="00F67B60" w14:paraId="2E4C9B35" w14:textId="77777777" w:rsidTr="00F67B60">
        <w:tc>
          <w:tcPr>
            <w:tcW w:w="150" w:type="dxa"/>
            <w:hideMark/>
          </w:tcPr>
          <w:p w14:paraId="65FB1D20" w14:textId="77777777" w:rsidR="00F67B60" w:rsidRPr="00F67B60" w:rsidRDefault="00F67B60" w:rsidP="00F67B60">
            <w:pPr>
              <w:rPr>
                <w:lang w:val="fr-BE"/>
              </w:rPr>
            </w:pPr>
            <w:bookmarkStart w:id="84" w:name="ftn_33"/>
            <w:r w:rsidRPr="00F67B60">
              <w:rPr>
                <w:lang w:val="fr-BE"/>
              </w:rPr>
              <w:t>[33]</w:t>
            </w:r>
            <w:bookmarkEnd w:id="84"/>
          </w:p>
        </w:tc>
        <w:tc>
          <w:tcPr>
            <w:tcW w:w="6" w:type="dxa"/>
            <w:tcMar>
              <w:top w:w="15" w:type="dxa"/>
              <w:left w:w="360" w:type="dxa"/>
              <w:bottom w:w="200" w:type="dxa"/>
              <w:right w:w="400" w:type="dxa"/>
            </w:tcMar>
            <w:hideMark/>
          </w:tcPr>
          <w:p w14:paraId="6D995486" w14:textId="77777777" w:rsidR="00F67B60" w:rsidRPr="00F67B60" w:rsidRDefault="00F67B60" w:rsidP="00F67B60">
            <w:pPr>
              <w:rPr>
                <w:lang w:val="fr-BE"/>
              </w:rPr>
            </w:pPr>
            <w:r w:rsidRPr="00F67B60">
              <w:rPr>
                <w:lang w:val="fr-BE"/>
              </w:rPr>
              <w:t xml:space="preserve">Le GREVIO ou Groupe d'experts sur la lutte contre la violence à l'égard des femmes et la violence domestique, est l'organe du Conseil de l'Europe chargé de veiller à la mise en </w:t>
            </w:r>
            <w:proofErr w:type="spellStart"/>
            <w:r w:rsidRPr="00F67B60">
              <w:rPr>
                <w:lang w:val="fr-BE"/>
              </w:rPr>
              <w:t>oeuvre</w:t>
            </w:r>
            <w:proofErr w:type="spellEnd"/>
            <w:r w:rsidRPr="00F67B60">
              <w:rPr>
                <w:lang w:val="fr-BE"/>
              </w:rPr>
              <w:t xml:space="preserve"> de la Convention par les États parties. Il élabore et publie des rapports pour chaque État. </w:t>
            </w:r>
            <w:proofErr w:type="spellStart"/>
            <w:r w:rsidRPr="00F67B60">
              <w:rPr>
                <w:lang w:val="fr-BE"/>
              </w:rPr>
              <w:t>Voy</w:t>
            </w:r>
            <w:proofErr w:type="spellEnd"/>
            <w:r w:rsidRPr="00F67B60">
              <w:rPr>
                <w:lang w:val="fr-BE"/>
              </w:rPr>
              <w:t>. le site du Conseil de l'Europe : https://www.coe.int/fr/web/istanbul-convention/grevio .</w:t>
            </w:r>
          </w:p>
        </w:tc>
      </w:tr>
      <w:tr w:rsidR="00F67B60" w:rsidRPr="00F67B60" w14:paraId="15A07E4E" w14:textId="77777777" w:rsidTr="00F67B60">
        <w:tc>
          <w:tcPr>
            <w:tcW w:w="150" w:type="dxa"/>
            <w:hideMark/>
          </w:tcPr>
          <w:p w14:paraId="4BEB03C4" w14:textId="77777777" w:rsidR="00F67B60" w:rsidRPr="00F67B60" w:rsidRDefault="00F67B60" w:rsidP="00F67B60">
            <w:pPr>
              <w:rPr>
                <w:lang w:val="fr-BE"/>
              </w:rPr>
            </w:pPr>
            <w:bookmarkStart w:id="85" w:name="ftn_34"/>
            <w:r w:rsidRPr="00F67B60">
              <w:rPr>
                <w:lang w:val="fr-BE"/>
              </w:rPr>
              <w:t>[34]</w:t>
            </w:r>
            <w:bookmarkEnd w:id="85"/>
          </w:p>
        </w:tc>
        <w:tc>
          <w:tcPr>
            <w:tcW w:w="6" w:type="dxa"/>
            <w:tcMar>
              <w:top w:w="15" w:type="dxa"/>
              <w:left w:w="360" w:type="dxa"/>
              <w:bottom w:w="200" w:type="dxa"/>
              <w:right w:w="400" w:type="dxa"/>
            </w:tcMar>
            <w:hideMark/>
          </w:tcPr>
          <w:p w14:paraId="11FC42EF" w14:textId="77777777" w:rsidR="00F67B60" w:rsidRPr="00F67B60" w:rsidRDefault="00F67B60" w:rsidP="00F67B60">
            <w:pPr>
              <w:rPr>
                <w:lang w:val="fr-BE"/>
              </w:rPr>
            </w:pPr>
            <w:r w:rsidRPr="00F67B60">
              <w:rPr>
                <w:lang w:val="fr-BE"/>
              </w:rPr>
              <w:t xml:space="preserve">Cour </w:t>
            </w:r>
            <w:proofErr w:type="spellStart"/>
            <w:r w:rsidRPr="00F67B60">
              <w:rPr>
                <w:lang w:val="fr-BE"/>
              </w:rPr>
              <w:t>eur</w:t>
            </w:r>
            <w:proofErr w:type="spellEnd"/>
            <w:r w:rsidRPr="00F67B60">
              <w:rPr>
                <w:lang w:val="fr-BE"/>
              </w:rPr>
              <w:t>. D.H., arrêt </w:t>
            </w:r>
            <w:r w:rsidRPr="00F67B60">
              <w:rPr>
                <w:i/>
                <w:iCs/>
                <w:lang w:val="fr-BE"/>
              </w:rPr>
              <w:t>I.M. et autres c. Italie</w:t>
            </w:r>
            <w:r w:rsidRPr="00F67B60">
              <w:rPr>
                <w:lang w:val="fr-BE"/>
              </w:rPr>
              <w:t>, 10 novembre 2022, paragraphe 185.</w:t>
            </w:r>
          </w:p>
        </w:tc>
      </w:tr>
      <w:tr w:rsidR="00F67B60" w:rsidRPr="00F67B60" w14:paraId="5A72DB1A" w14:textId="77777777" w:rsidTr="00F67B60">
        <w:tc>
          <w:tcPr>
            <w:tcW w:w="150" w:type="dxa"/>
            <w:hideMark/>
          </w:tcPr>
          <w:p w14:paraId="491A21A5" w14:textId="77777777" w:rsidR="00F67B60" w:rsidRPr="00F67B60" w:rsidRDefault="00F67B60" w:rsidP="00F67B60">
            <w:pPr>
              <w:rPr>
                <w:lang w:val="fr-BE"/>
              </w:rPr>
            </w:pPr>
            <w:bookmarkStart w:id="86" w:name="ftn_35"/>
            <w:r w:rsidRPr="00F67B60">
              <w:rPr>
                <w:lang w:val="fr-BE"/>
              </w:rPr>
              <w:t>[35]</w:t>
            </w:r>
            <w:bookmarkEnd w:id="86"/>
          </w:p>
        </w:tc>
        <w:tc>
          <w:tcPr>
            <w:tcW w:w="6" w:type="dxa"/>
            <w:tcMar>
              <w:top w:w="15" w:type="dxa"/>
              <w:left w:w="360" w:type="dxa"/>
              <w:bottom w:w="200" w:type="dxa"/>
              <w:right w:w="400" w:type="dxa"/>
            </w:tcMar>
            <w:hideMark/>
          </w:tcPr>
          <w:p w14:paraId="0A899056" w14:textId="77777777" w:rsidR="00F67B60" w:rsidRPr="00F67B60" w:rsidRDefault="00F67B60" w:rsidP="00F67B60">
            <w:pPr>
              <w:rPr>
                <w:lang w:val="fr-BE"/>
              </w:rPr>
            </w:pPr>
            <w:r w:rsidRPr="00F67B60">
              <w:rPr>
                <w:lang w:val="fr-BE"/>
              </w:rPr>
              <w:t xml:space="preserve">Cour </w:t>
            </w:r>
            <w:proofErr w:type="spellStart"/>
            <w:r w:rsidRPr="00F67B60">
              <w:rPr>
                <w:lang w:val="fr-BE"/>
              </w:rPr>
              <w:t>eur</w:t>
            </w:r>
            <w:proofErr w:type="spellEnd"/>
            <w:r w:rsidRPr="00F67B60">
              <w:rPr>
                <w:lang w:val="fr-BE"/>
              </w:rPr>
              <w:t>. D.H., arrêt </w:t>
            </w:r>
            <w:r w:rsidRPr="00F67B60">
              <w:rPr>
                <w:i/>
                <w:iCs/>
                <w:lang w:val="fr-BE"/>
              </w:rPr>
              <w:t>I.M. et autres c. Italie</w:t>
            </w:r>
            <w:r w:rsidRPr="00F67B60">
              <w:rPr>
                <w:lang w:val="fr-BE"/>
              </w:rPr>
              <w:t>, 10 novembre 2022, paragraphes 185-188.</w:t>
            </w:r>
          </w:p>
        </w:tc>
      </w:tr>
      <w:tr w:rsidR="00F67B60" w:rsidRPr="00F67B60" w14:paraId="291EEDC5" w14:textId="77777777" w:rsidTr="00F67B60">
        <w:tc>
          <w:tcPr>
            <w:tcW w:w="150" w:type="dxa"/>
            <w:hideMark/>
          </w:tcPr>
          <w:p w14:paraId="034C6691" w14:textId="77777777" w:rsidR="00F67B60" w:rsidRPr="00F67B60" w:rsidRDefault="00F67B60" w:rsidP="00F67B60">
            <w:pPr>
              <w:rPr>
                <w:lang w:val="fr-BE"/>
              </w:rPr>
            </w:pPr>
            <w:bookmarkStart w:id="87" w:name="ftn_36"/>
            <w:r w:rsidRPr="00F67B60">
              <w:rPr>
                <w:lang w:val="fr-BE"/>
              </w:rPr>
              <w:t>[36]</w:t>
            </w:r>
            <w:bookmarkEnd w:id="87"/>
          </w:p>
        </w:tc>
        <w:tc>
          <w:tcPr>
            <w:tcW w:w="6" w:type="dxa"/>
            <w:tcMar>
              <w:top w:w="15" w:type="dxa"/>
              <w:left w:w="360" w:type="dxa"/>
              <w:bottom w:w="200" w:type="dxa"/>
              <w:right w:w="400" w:type="dxa"/>
            </w:tcMar>
            <w:hideMark/>
          </w:tcPr>
          <w:p w14:paraId="25076E4B" w14:textId="77777777" w:rsidR="00F67B60" w:rsidRPr="00F67B60" w:rsidRDefault="00F67B60" w:rsidP="00F67B60">
            <w:pPr>
              <w:rPr>
                <w:lang w:val="en-US"/>
              </w:rPr>
            </w:pPr>
            <w:r w:rsidRPr="00F67B60">
              <w:rPr>
                <w:lang w:val="fr-BE"/>
              </w:rPr>
              <w:t>Les recours à la Convention sont rares. Notons toutefois que la Cour constitutionnelle y a brièvement fait référence dans un arrêt datant de 2016, afin de réaffirmer l'importance de l'égalité des femmes et des hommes (</w:t>
            </w:r>
            <w:proofErr w:type="spellStart"/>
            <w:r w:rsidRPr="00F67B60">
              <w:rPr>
                <w:lang w:val="fr-BE"/>
              </w:rPr>
              <w:t>voy</w:t>
            </w:r>
            <w:proofErr w:type="spellEnd"/>
            <w:r w:rsidRPr="00F67B60">
              <w:rPr>
                <w:lang w:val="fr-BE"/>
              </w:rPr>
              <w:t>. C.C., 25 mai 2016, n° 72/2016, B.20.2). Dans un arrêt tout récent, datant de mars 2024, la Cour constitutionnelle était saisie d'une question préjudicielle portant sur la violation des articles 10, 11 et 13 de la Constitution, lus en combinaison avec, entre autres, la Convention d'Istanbul. Elle n'a pas conclu à la violation et ne s'est pas prononcée sur l'effet direct des dispositions de la Convention (</w:t>
            </w:r>
            <w:proofErr w:type="spellStart"/>
            <w:r w:rsidRPr="00F67B60">
              <w:rPr>
                <w:lang w:val="fr-BE"/>
              </w:rPr>
              <w:t>voy</w:t>
            </w:r>
            <w:proofErr w:type="spellEnd"/>
            <w:r w:rsidRPr="00F67B60">
              <w:rPr>
                <w:lang w:val="fr-BE"/>
              </w:rPr>
              <w:t xml:space="preserve">. C.C., </w:t>
            </w:r>
            <w:r w:rsidRPr="00F67B60">
              <w:rPr>
                <w:lang w:val="fr-BE"/>
              </w:rPr>
              <w:lastRenderedPageBreak/>
              <w:t xml:space="preserve">7 mars 2024, n° 28/2024, B.4.3.2). L'article 31 avait également déjà été appliqué dans une décision du 16 mai 2023 par le tribunal francophone de la famille de Bruxelles, mais uniquement de manière succincte. Le tribunal cite les obligations issues de l'article 31, et conclut « qu'il appartient aux autorités publiques de fixer les droits d'hébergement, tenant compte des actes de violence posés par un parent. » </w:t>
            </w:r>
            <w:r w:rsidRPr="00F67B60">
              <w:rPr>
                <w:lang w:val="en-US"/>
              </w:rPr>
              <w:t>(voy. Trib. fam. Bruxelles (13</w:t>
            </w:r>
            <w:r w:rsidRPr="00F67B60">
              <w:rPr>
                <w:vertAlign w:val="superscript"/>
                <w:lang w:val="en-US"/>
              </w:rPr>
              <w:t>e</w:t>
            </w:r>
            <w:r w:rsidRPr="00F67B60">
              <w:rPr>
                <w:lang w:val="en-US"/>
              </w:rPr>
              <w:t>ch.), 16 mai 2023, </w:t>
            </w:r>
            <w:r w:rsidRPr="00F67B60">
              <w:rPr>
                <w:i/>
                <w:iCs/>
                <w:lang w:val="en-US"/>
              </w:rPr>
              <w:t>For. fam</w:t>
            </w:r>
            <w:r w:rsidRPr="00F67B60">
              <w:rPr>
                <w:lang w:val="en-US"/>
              </w:rPr>
              <w:t>., 2023, n° 4, pp. 22-23).</w:t>
            </w:r>
          </w:p>
        </w:tc>
      </w:tr>
      <w:tr w:rsidR="00F67B60" w:rsidRPr="00F67B60" w14:paraId="12F9B4B6" w14:textId="77777777" w:rsidTr="00F67B60">
        <w:tc>
          <w:tcPr>
            <w:tcW w:w="150" w:type="dxa"/>
            <w:hideMark/>
          </w:tcPr>
          <w:p w14:paraId="229463BA" w14:textId="77777777" w:rsidR="00F67B60" w:rsidRPr="00F67B60" w:rsidRDefault="00F67B60" w:rsidP="00F67B60">
            <w:pPr>
              <w:rPr>
                <w:lang w:val="fr-BE"/>
              </w:rPr>
            </w:pPr>
            <w:bookmarkStart w:id="88" w:name="ftn_37"/>
            <w:r w:rsidRPr="00F67B60">
              <w:rPr>
                <w:lang w:val="fr-BE"/>
              </w:rPr>
              <w:lastRenderedPageBreak/>
              <w:t>[37]</w:t>
            </w:r>
            <w:bookmarkEnd w:id="88"/>
          </w:p>
        </w:tc>
        <w:tc>
          <w:tcPr>
            <w:tcW w:w="6" w:type="dxa"/>
            <w:tcMar>
              <w:top w:w="15" w:type="dxa"/>
              <w:left w:w="360" w:type="dxa"/>
              <w:bottom w:w="200" w:type="dxa"/>
              <w:right w:w="400" w:type="dxa"/>
            </w:tcMar>
            <w:hideMark/>
          </w:tcPr>
          <w:p w14:paraId="31C2A326" w14:textId="77777777" w:rsidR="00F67B60" w:rsidRPr="00F67B60" w:rsidRDefault="00F67B60" w:rsidP="00F67B60">
            <w:pPr>
              <w:rPr>
                <w:lang w:val="fr-BE"/>
              </w:rPr>
            </w:pPr>
            <w:r w:rsidRPr="00F67B60">
              <w:rPr>
                <w:lang w:val="fr-BE"/>
              </w:rPr>
              <w:t xml:space="preserve">Pour plus de détails sur cette notion, </w:t>
            </w:r>
            <w:proofErr w:type="spellStart"/>
            <w:r w:rsidRPr="00F67B60">
              <w:rPr>
                <w:lang w:val="fr-BE"/>
              </w:rPr>
              <w:t>voy</w:t>
            </w:r>
            <w:proofErr w:type="spellEnd"/>
            <w:r w:rsidRPr="00F67B60">
              <w:rPr>
                <w:lang w:val="fr-BE"/>
              </w:rPr>
              <w:t>. Mons (33</w:t>
            </w:r>
            <w:r w:rsidRPr="00F67B60">
              <w:rPr>
                <w:vertAlign w:val="superscript"/>
                <w:lang w:val="fr-BE"/>
              </w:rPr>
              <w:t>e</w:t>
            </w:r>
            <w:r w:rsidRPr="00F67B60">
              <w:rPr>
                <w:lang w:val="fr-BE"/>
              </w:rPr>
              <w:t> ch.), 27 mars 2024, inédit, R.G. n° 2023/TF/173, p. 10.</w:t>
            </w:r>
          </w:p>
        </w:tc>
      </w:tr>
      <w:tr w:rsidR="00F67B60" w:rsidRPr="00F67B60" w14:paraId="19ABAB1C" w14:textId="77777777" w:rsidTr="00F67B60">
        <w:tc>
          <w:tcPr>
            <w:tcW w:w="150" w:type="dxa"/>
            <w:hideMark/>
          </w:tcPr>
          <w:p w14:paraId="10965DAC" w14:textId="77777777" w:rsidR="00F67B60" w:rsidRPr="00F67B60" w:rsidRDefault="00F67B60" w:rsidP="00F67B60">
            <w:pPr>
              <w:rPr>
                <w:lang w:val="fr-BE"/>
              </w:rPr>
            </w:pPr>
            <w:bookmarkStart w:id="89" w:name="ftn_38"/>
            <w:r w:rsidRPr="00F67B60">
              <w:rPr>
                <w:lang w:val="fr-BE"/>
              </w:rPr>
              <w:t>[38]</w:t>
            </w:r>
            <w:bookmarkEnd w:id="89"/>
          </w:p>
        </w:tc>
        <w:tc>
          <w:tcPr>
            <w:tcW w:w="6" w:type="dxa"/>
            <w:tcMar>
              <w:top w:w="15" w:type="dxa"/>
              <w:left w:w="360" w:type="dxa"/>
              <w:bottom w:w="200" w:type="dxa"/>
              <w:right w:w="400" w:type="dxa"/>
            </w:tcMar>
            <w:hideMark/>
          </w:tcPr>
          <w:p w14:paraId="739441C2" w14:textId="77777777" w:rsidR="00F67B60" w:rsidRPr="00F67B60" w:rsidRDefault="00F67B60" w:rsidP="00F67B60">
            <w:pPr>
              <w:rPr>
                <w:lang w:val="fr-BE"/>
              </w:rPr>
            </w:pPr>
            <w:r w:rsidRPr="00F67B60">
              <w:rPr>
                <w:lang w:val="fr-BE"/>
              </w:rPr>
              <w:t>La Convention d'Istanbul, ne mentionne pas le contrôle coercitif, mais le GREVIO, dans son rapport d'évaluation sur la Belgique, mettait en lumière l'absence d'infractions distinctes pour les violences psychologiques, particulièrement celles qui visent les femmes, il avance ainsi que les incriminations existantes en Belgique « pourraient ne pas être suffisantes pour sanctionner des comportements de </w:t>
            </w:r>
            <w:r w:rsidRPr="00F67B60">
              <w:rPr>
                <w:i/>
                <w:iCs/>
                <w:lang w:val="fr-BE"/>
              </w:rPr>
              <w:t>contrôle coercitif</w:t>
            </w:r>
            <w:r w:rsidRPr="00F67B60">
              <w:rPr>
                <w:lang w:val="fr-BE"/>
              </w:rPr>
              <w:t> (...) » (</w:t>
            </w:r>
            <w:proofErr w:type="spellStart"/>
            <w:r w:rsidRPr="00F67B60">
              <w:rPr>
                <w:lang w:val="fr-BE"/>
              </w:rPr>
              <w:t>voy</w:t>
            </w:r>
            <w:proofErr w:type="spellEnd"/>
            <w:r w:rsidRPr="00F67B60">
              <w:rPr>
                <w:lang w:val="fr-BE"/>
              </w:rPr>
              <w:t>. GREVIO, </w:t>
            </w:r>
            <w:r w:rsidRPr="00F67B60">
              <w:rPr>
                <w:i/>
                <w:iCs/>
                <w:lang w:val="fr-BE"/>
              </w:rPr>
              <w:t>Rapport d'évaluation (de référence) du GREVIO sur les mesures d'ordre législatif et autres donnant effet aux dispositions de la Convention du Conseil de l'Europe sur la prévention et la lutte contre la violence à l'égard des femmes et la violence domestique (Convention d'Istanbul)</w:t>
            </w:r>
            <w:r w:rsidRPr="00F67B60">
              <w:rPr>
                <w:lang w:val="fr-BE"/>
              </w:rPr>
              <w:t>, </w:t>
            </w:r>
            <w:r w:rsidRPr="00F67B60">
              <w:rPr>
                <w:i/>
                <w:iCs/>
                <w:lang w:val="fr-BE"/>
              </w:rPr>
              <w:t>Belgique</w:t>
            </w:r>
            <w:r w:rsidRPr="00F67B60">
              <w:rPr>
                <w:lang w:val="fr-BE"/>
              </w:rPr>
              <w:t>, adopté le 26 juin 2020, publié le 21 septembre 2020, p. 54). C'est dans ce cadre, et en partie pour pallier cette lacune, qu'est intervenue la loi féminicide mentionnée dans l'arrêt. L'idée de faire du féminicide - et d'autres formes spécifiques de violences - des incriminations distinctes, a été mise de côté au profit d'une loi cadre qui sert principalement à nommer et définir ces phénomènes.</w:t>
            </w:r>
          </w:p>
        </w:tc>
      </w:tr>
      <w:tr w:rsidR="00F67B60" w:rsidRPr="00F67B60" w14:paraId="23027DA2" w14:textId="77777777" w:rsidTr="00F67B60">
        <w:tc>
          <w:tcPr>
            <w:tcW w:w="150" w:type="dxa"/>
            <w:hideMark/>
          </w:tcPr>
          <w:p w14:paraId="69D01FC5" w14:textId="77777777" w:rsidR="00F67B60" w:rsidRPr="00F67B60" w:rsidRDefault="00F67B60" w:rsidP="00F67B60">
            <w:pPr>
              <w:rPr>
                <w:lang w:val="fr-BE"/>
              </w:rPr>
            </w:pPr>
            <w:bookmarkStart w:id="90" w:name="ftn_39"/>
            <w:r w:rsidRPr="00F67B60">
              <w:rPr>
                <w:lang w:val="fr-BE"/>
              </w:rPr>
              <w:t>[39]</w:t>
            </w:r>
            <w:bookmarkEnd w:id="90"/>
          </w:p>
        </w:tc>
        <w:tc>
          <w:tcPr>
            <w:tcW w:w="6" w:type="dxa"/>
            <w:tcMar>
              <w:top w:w="15" w:type="dxa"/>
              <w:left w:w="360" w:type="dxa"/>
              <w:bottom w:w="200" w:type="dxa"/>
              <w:right w:w="400" w:type="dxa"/>
            </w:tcMar>
            <w:hideMark/>
          </w:tcPr>
          <w:p w14:paraId="705FB728" w14:textId="77777777" w:rsidR="00F67B60" w:rsidRPr="00F67B60" w:rsidRDefault="00F67B60" w:rsidP="00F67B60">
            <w:pPr>
              <w:rPr>
                <w:lang w:val="fr-BE"/>
              </w:rPr>
            </w:pPr>
            <w:r w:rsidRPr="00F67B60">
              <w:rPr>
                <w:lang w:val="fr-BE"/>
              </w:rPr>
              <w:t xml:space="preserve">À l'initiative de l'Institut pour l'égalité des femmes et des hommes, un « outil de détection du contrôle coercitif » a été élaboré et définit de manière plus précise le contrôle coercitif comme « un schéma de comportements violents et non violents qui ont comme objectif de soumettre la victime (...) ». Il est disponible sur le site de l'Institut : </w:t>
            </w:r>
            <w:proofErr w:type="spellStart"/>
            <w:r w:rsidRPr="00F67B60">
              <w:rPr>
                <w:lang w:val="fr-BE"/>
              </w:rPr>
              <w:t>voy</w:t>
            </w:r>
            <w:proofErr w:type="spellEnd"/>
            <w:r w:rsidRPr="00F67B60">
              <w:rPr>
                <w:lang w:val="fr-BE"/>
              </w:rPr>
              <w:t>. I.E.F.H., </w:t>
            </w:r>
            <w:r w:rsidRPr="00F67B60">
              <w:rPr>
                <w:i/>
                <w:iCs/>
                <w:lang w:val="fr-BE"/>
              </w:rPr>
              <w:t>Outil de détection du contrôle coercitif</w:t>
            </w:r>
            <w:r w:rsidRPr="00F67B60">
              <w:rPr>
                <w:lang w:val="fr-BE"/>
              </w:rPr>
              <w:t>, 19 février 2024, https://igvm-iefh.belgium.be/fr/actualite/outils_de_detection_du_controle_coercitif . La mère utilise cet outil pour étayer sa thèse.</w:t>
            </w:r>
          </w:p>
        </w:tc>
      </w:tr>
      <w:tr w:rsidR="00F67B60" w:rsidRPr="00F67B60" w14:paraId="340F30B5" w14:textId="77777777" w:rsidTr="00F67B60">
        <w:tc>
          <w:tcPr>
            <w:tcW w:w="150" w:type="dxa"/>
            <w:hideMark/>
          </w:tcPr>
          <w:p w14:paraId="319A6C52" w14:textId="77777777" w:rsidR="00F67B60" w:rsidRPr="00F67B60" w:rsidRDefault="00F67B60" w:rsidP="00F67B60">
            <w:pPr>
              <w:rPr>
                <w:lang w:val="fr-BE"/>
              </w:rPr>
            </w:pPr>
            <w:bookmarkStart w:id="91" w:name="ftn_40"/>
            <w:r w:rsidRPr="00F67B60">
              <w:rPr>
                <w:lang w:val="fr-BE"/>
              </w:rPr>
              <w:lastRenderedPageBreak/>
              <w:t>[40]</w:t>
            </w:r>
            <w:bookmarkEnd w:id="91"/>
          </w:p>
        </w:tc>
        <w:tc>
          <w:tcPr>
            <w:tcW w:w="6" w:type="dxa"/>
            <w:tcMar>
              <w:top w:w="15" w:type="dxa"/>
              <w:left w:w="360" w:type="dxa"/>
              <w:bottom w:w="200" w:type="dxa"/>
              <w:right w:w="400" w:type="dxa"/>
            </w:tcMar>
            <w:hideMark/>
          </w:tcPr>
          <w:p w14:paraId="0C3A4FAC" w14:textId="77777777" w:rsidR="00F67B60" w:rsidRPr="00F67B60" w:rsidRDefault="00F67B60" w:rsidP="00F67B60">
            <w:pPr>
              <w:rPr>
                <w:lang w:val="fr-BE"/>
              </w:rPr>
            </w:pPr>
            <w:r w:rsidRPr="00F67B60">
              <w:rPr>
                <w:lang w:val="fr-BE"/>
              </w:rPr>
              <w:t>La cour d'appel de Mons n'est pas la première cour à reconnaître le concept de contrôle coercitif, la cour d'appel de Poitiers, dans une série de cinq arrêts rendus en date du 31 janvier 2024 a appliqué la notion pour la première fois en France.</w:t>
            </w:r>
          </w:p>
        </w:tc>
      </w:tr>
      <w:tr w:rsidR="00F67B60" w:rsidRPr="00F67B60" w14:paraId="7142F68A" w14:textId="77777777" w:rsidTr="00F67B60">
        <w:tc>
          <w:tcPr>
            <w:tcW w:w="150" w:type="dxa"/>
            <w:hideMark/>
          </w:tcPr>
          <w:p w14:paraId="45CC6493" w14:textId="77777777" w:rsidR="00F67B60" w:rsidRPr="00F67B60" w:rsidRDefault="00F67B60" w:rsidP="00F67B60">
            <w:pPr>
              <w:rPr>
                <w:lang w:val="fr-BE"/>
              </w:rPr>
            </w:pPr>
            <w:bookmarkStart w:id="92" w:name="ftn_41"/>
            <w:r w:rsidRPr="00F67B60">
              <w:rPr>
                <w:lang w:val="fr-BE"/>
              </w:rPr>
              <w:t>[41]</w:t>
            </w:r>
            <w:bookmarkEnd w:id="92"/>
          </w:p>
        </w:tc>
        <w:tc>
          <w:tcPr>
            <w:tcW w:w="6" w:type="dxa"/>
            <w:tcMar>
              <w:top w:w="15" w:type="dxa"/>
              <w:left w:w="360" w:type="dxa"/>
              <w:bottom w:w="200" w:type="dxa"/>
              <w:right w:w="400" w:type="dxa"/>
            </w:tcMar>
            <w:hideMark/>
          </w:tcPr>
          <w:p w14:paraId="4D3B268E" w14:textId="77777777" w:rsidR="00F67B60" w:rsidRPr="00F67B60" w:rsidRDefault="00F67B60" w:rsidP="00F67B60">
            <w:pPr>
              <w:rPr>
                <w:lang w:val="fr-BE"/>
              </w:rPr>
            </w:pPr>
            <w:r w:rsidRPr="00F67B60">
              <w:rPr>
                <w:lang w:val="fr-BE"/>
              </w:rPr>
              <w:t xml:space="preserve">Ces observations peuvent être étendues à l'autorité parentale conjointe. </w:t>
            </w:r>
            <w:proofErr w:type="spellStart"/>
            <w:r w:rsidRPr="00F67B60">
              <w:rPr>
                <w:lang w:val="fr-BE"/>
              </w:rPr>
              <w:t>Voy</w:t>
            </w:r>
            <w:proofErr w:type="spellEnd"/>
            <w:r w:rsidRPr="00F67B60">
              <w:rPr>
                <w:lang w:val="fr-BE"/>
              </w:rPr>
              <w:t>. à ce sujet M. Dufresne et H. Palma, « Autorité parentale conjointe : le retour à la loi du père », </w:t>
            </w:r>
            <w:r w:rsidRPr="00F67B60">
              <w:rPr>
                <w:i/>
                <w:iCs/>
                <w:lang w:val="fr-BE"/>
              </w:rPr>
              <w:t>Nouvelles questions féministes</w:t>
            </w:r>
            <w:r w:rsidRPr="00F67B60">
              <w:rPr>
                <w:lang w:val="fr-BE"/>
              </w:rPr>
              <w:t>, 2002, n° 21/2.</w:t>
            </w:r>
          </w:p>
        </w:tc>
      </w:tr>
      <w:tr w:rsidR="00F67B60" w:rsidRPr="00F67B60" w14:paraId="03B4B3DE" w14:textId="77777777" w:rsidTr="00F67B60">
        <w:tc>
          <w:tcPr>
            <w:tcW w:w="150" w:type="dxa"/>
            <w:hideMark/>
          </w:tcPr>
          <w:p w14:paraId="30F90DFC" w14:textId="77777777" w:rsidR="00F67B60" w:rsidRPr="00F67B60" w:rsidRDefault="00F67B60" w:rsidP="00F67B60">
            <w:pPr>
              <w:rPr>
                <w:lang w:val="fr-BE"/>
              </w:rPr>
            </w:pPr>
            <w:bookmarkStart w:id="93" w:name="ftn_42"/>
            <w:r w:rsidRPr="00F67B60">
              <w:rPr>
                <w:lang w:val="fr-BE"/>
              </w:rPr>
              <w:t>[42]</w:t>
            </w:r>
            <w:bookmarkEnd w:id="93"/>
          </w:p>
        </w:tc>
        <w:tc>
          <w:tcPr>
            <w:tcW w:w="6" w:type="dxa"/>
            <w:tcMar>
              <w:top w:w="15" w:type="dxa"/>
              <w:left w:w="360" w:type="dxa"/>
              <w:bottom w:w="200" w:type="dxa"/>
              <w:right w:w="400" w:type="dxa"/>
            </w:tcMar>
            <w:hideMark/>
          </w:tcPr>
          <w:p w14:paraId="5D9A4E24" w14:textId="77777777" w:rsidR="00F67B60" w:rsidRPr="00F67B60" w:rsidRDefault="00F67B60" w:rsidP="00F67B60">
            <w:pPr>
              <w:rPr>
                <w:lang w:val="fr-BE"/>
              </w:rPr>
            </w:pPr>
            <w:r w:rsidRPr="00F67B60">
              <w:rPr>
                <w:lang w:val="fr-BE"/>
              </w:rPr>
              <w:t>D. Côté, « La garde partagée des enfants : nouvelles solidarités parentales ou renouveau patriarcal ? », </w:t>
            </w:r>
            <w:r w:rsidRPr="00F67B60">
              <w:rPr>
                <w:i/>
                <w:iCs/>
                <w:lang w:val="fr-BE"/>
              </w:rPr>
              <w:t>Nouvelles questions féministes</w:t>
            </w:r>
            <w:r w:rsidRPr="00F67B60">
              <w:rPr>
                <w:lang w:val="fr-BE"/>
              </w:rPr>
              <w:t>, 2004, n° 3.</w:t>
            </w:r>
          </w:p>
        </w:tc>
      </w:tr>
      <w:tr w:rsidR="00F67B60" w:rsidRPr="00F67B60" w14:paraId="10DA1FF0" w14:textId="77777777" w:rsidTr="00F67B60">
        <w:tc>
          <w:tcPr>
            <w:tcW w:w="150" w:type="dxa"/>
            <w:hideMark/>
          </w:tcPr>
          <w:p w14:paraId="4664F7A2" w14:textId="77777777" w:rsidR="00F67B60" w:rsidRPr="00F67B60" w:rsidRDefault="00F67B60" w:rsidP="00F67B60">
            <w:pPr>
              <w:rPr>
                <w:lang w:val="fr-BE"/>
              </w:rPr>
            </w:pPr>
            <w:bookmarkStart w:id="94" w:name="ftn_43"/>
            <w:r w:rsidRPr="00F67B60">
              <w:rPr>
                <w:lang w:val="fr-BE"/>
              </w:rPr>
              <w:t>[43]</w:t>
            </w:r>
            <w:bookmarkEnd w:id="94"/>
          </w:p>
        </w:tc>
        <w:tc>
          <w:tcPr>
            <w:tcW w:w="6" w:type="dxa"/>
            <w:tcMar>
              <w:top w:w="15" w:type="dxa"/>
              <w:left w:w="360" w:type="dxa"/>
              <w:bottom w:w="200" w:type="dxa"/>
              <w:right w:w="400" w:type="dxa"/>
            </w:tcMar>
            <w:hideMark/>
          </w:tcPr>
          <w:p w14:paraId="2A7CCD3B" w14:textId="77777777" w:rsidR="00F67B60" w:rsidRPr="00F67B60" w:rsidRDefault="00F67B60" w:rsidP="00F67B60">
            <w:pPr>
              <w:rPr>
                <w:lang w:val="fr-BE"/>
              </w:rPr>
            </w:pPr>
            <w:proofErr w:type="spellStart"/>
            <w:r w:rsidRPr="00F67B60">
              <w:rPr>
                <w:lang w:val="fr-BE"/>
              </w:rPr>
              <w:t>Voy</w:t>
            </w:r>
            <w:proofErr w:type="spellEnd"/>
            <w:r w:rsidRPr="00F67B60">
              <w:rPr>
                <w:lang w:val="fr-BE"/>
              </w:rPr>
              <w:t>. notamment l'exposé des motifs de la loi qui précise que « [j]</w:t>
            </w:r>
            <w:proofErr w:type="spellStart"/>
            <w:r w:rsidRPr="00F67B60">
              <w:rPr>
                <w:lang w:val="fr-BE"/>
              </w:rPr>
              <w:t>usqu'il</w:t>
            </w:r>
            <w:proofErr w:type="spellEnd"/>
            <w:r w:rsidRPr="00F67B60">
              <w:rPr>
                <w:lang w:val="fr-BE"/>
              </w:rPr>
              <w:t xml:space="preserve"> y a une quinzaine d'années à peine, la solution la plus souvent appliquée était l'hébergement principal chez la mère avec un hébergement secondaire (droit de visite) pour le père (...). À présent, chacun admet que les deux parents doivent s'investir dans l'éducation de l'enfant » (Exposé des motifs précité, </w:t>
            </w:r>
            <w:r w:rsidRPr="00F67B60">
              <w:rPr>
                <w:i/>
                <w:iCs/>
                <w:lang w:val="fr-BE"/>
              </w:rPr>
              <w:t xml:space="preserve">Doc. </w:t>
            </w:r>
            <w:proofErr w:type="spellStart"/>
            <w:r w:rsidRPr="00F67B60">
              <w:rPr>
                <w:i/>
                <w:iCs/>
                <w:lang w:val="fr-BE"/>
              </w:rPr>
              <w:t>parl</w:t>
            </w:r>
            <w:proofErr w:type="spellEnd"/>
            <w:r w:rsidRPr="00F67B60">
              <w:rPr>
                <w:lang w:val="fr-BE"/>
              </w:rPr>
              <w:t>., Chambre, 2004-2005, n° 1673/1, p. 4).</w:t>
            </w:r>
          </w:p>
        </w:tc>
      </w:tr>
      <w:tr w:rsidR="00F67B60" w:rsidRPr="00F67B60" w14:paraId="740582FC" w14:textId="77777777" w:rsidTr="00F67B60">
        <w:tc>
          <w:tcPr>
            <w:tcW w:w="150" w:type="dxa"/>
            <w:hideMark/>
          </w:tcPr>
          <w:p w14:paraId="1B07E2F3" w14:textId="77777777" w:rsidR="00F67B60" w:rsidRPr="00F67B60" w:rsidRDefault="00F67B60" w:rsidP="00F67B60">
            <w:pPr>
              <w:rPr>
                <w:lang w:val="fr-BE"/>
              </w:rPr>
            </w:pPr>
            <w:bookmarkStart w:id="95" w:name="ftn_44"/>
            <w:r w:rsidRPr="00F67B60">
              <w:rPr>
                <w:lang w:val="fr-BE"/>
              </w:rPr>
              <w:t>[44]</w:t>
            </w:r>
            <w:bookmarkEnd w:id="95"/>
          </w:p>
        </w:tc>
        <w:tc>
          <w:tcPr>
            <w:tcW w:w="6" w:type="dxa"/>
            <w:tcMar>
              <w:top w:w="15" w:type="dxa"/>
              <w:left w:w="360" w:type="dxa"/>
              <w:bottom w:w="200" w:type="dxa"/>
              <w:right w:w="400" w:type="dxa"/>
            </w:tcMar>
            <w:hideMark/>
          </w:tcPr>
          <w:p w14:paraId="189A56ED" w14:textId="77777777" w:rsidR="00F67B60" w:rsidRPr="00F67B60" w:rsidRDefault="00F67B60" w:rsidP="00F67B60">
            <w:pPr>
              <w:rPr>
                <w:lang w:val="fr-BE"/>
              </w:rPr>
            </w:pPr>
            <w:r w:rsidRPr="00F67B60">
              <w:rPr>
                <w:lang w:val="fr-BE"/>
              </w:rPr>
              <w:t xml:space="preserve">Les auditions citées portent sur la problématique du « droit aux relations personnelles ». Plus largement, d'autres propositions de loi, notamment relatives aux relations personnelles, s'étaient greffées au projet principal lors des discussions en commission. </w:t>
            </w:r>
            <w:proofErr w:type="spellStart"/>
            <w:r w:rsidRPr="00F67B60">
              <w:rPr>
                <w:lang w:val="fr-BE"/>
              </w:rPr>
              <w:t>voy</w:t>
            </w:r>
            <w:proofErr w:type="spellEnd"/>
            <w:r w:rsidRPr="00F67B60">
              <w:rPr>
                <w:lang w:val="fr-BE"/>
              </w:rPr>
              <w:t>. Projet de loi tendant à privilégier l'hébergement égalitaire de l'enfant dont les parents sont séparés et réglementant l'exécution forcée en matière d'hébergement d'enfant, rapport de sous-commission, </w:t>
            </w:r>
            <w:r w:rsidRPr="00F67B60">
              <w:rPr>
                <w:i/>
                <w:iCs/>
                <w:lang w:val="fr-BE"/>
              </w:rPr>
              <w:t xml:space="preserve">Doc. </w:t>
            </w:r>
            <w:proofErr w:type="spellStart"/>
            <w:r w:rsidRPr="00F67B60">
              <w:rPr>
                <w:i/>
                <w:iCs/>
                <w:lang w:val="fr-BE"/>
              </w:rPr>
              <w:t>parl</w:t>
            </w:r>
            <w:proofErr w:type="spellEnd"/>
            <w:r w:rsidRPr="00F67B60">
              <w:rPr>
                <w:lang w:val="fr-BE"/>
              </w:rPr>
              <w:t>., Chambre, 2005-2006, n° 1673/014.</w:t>
            </w:r>
          </w:p>
        </w:tc>
      </w:tr>
      <w:tr w:rsidR="00F67B60" w:rsidRPr="00F67B60" w14:paraId="78AB53A2" w14:textId="77777777" w:rsidTr="00F67B60">
        <w:tc>
          <w:tcPr>
            <w:tcW w:w="150" w:type="dxa"/>
            <w:hideMark/>
          </w:tcPr>
          <w:p w14:paraId="127EE2EE" w14:textId="77777777" w:rsidR="00F67B60" w:rsidRPr="00F67B60" w:rsidRDefault="00F67B60" w:rsidP="00F67B60">
            <w:pPr>
              <w:rPr>
                <w:lang w:val="fr-BE"/>
              </w:rPr>
            </w:pPr>
            <w:bookmarkStart w:id="96" w:name="ftn_45"/>
            <w:r w:rsidRPr="00F67B60">
              <w:rPr>
                <w:lang w:val="fr-BE"/>
              </w:rPr>
              <w:t>[45]</w:t>
            </w:r>
            <w:bookmarkEnd w:id="96"/>
          </w:p>
        </w:tc>
        <w:tc>
          <w:tcPr>
            <w:tcW w:w="6" w:type="dxa"/>
            <w:tcMar>
              <w:top w:w="15" w:type="dxa"/>
              <w:left w:w="360" w:type="dxa"/>
              <w:bottom w:w="200" w:type="dxa"/>
              <w:right w:w="400" w:type="dxa"/>
            </w:tcMar>
            <w:hideMark/>
          </w:tcPr>
          <w:p w14:paraId="28D46ECC" w14:textId="77777777" w:rsidR="00F67B60" w:rsidRPr="00F67B60" w:rsidRDefault="00F67B60" w:rsidP="00F67B60">
            <w:pPr>
              <w:rPr>
                <w:lang w:val="fr-BE"/>
              </w:rPr>
            </w:pPr>
            <w:proofErr w:type="spellStart"/>
            <w:r w:rsidRPr="00F67B60">
              <w:rPr>
                <w:lang w:val="fr-BE"/>
              </w:rPr>
              <w:t>Voy</w:t>
            </w:r>
            <w:proofErr w:type="spellEnd"/>
            <w:r w:rsidRPr="00F67B60">
              <w:rPr>
                <w:lang w:val="fr-BE"/>
              </w:rPr>
              <w:t>. Rapport de sous-commission précité, </w:t>
            </w:r>
            <w:r w:rsidRPr="00F67B60">
              <w:rPr>
                <w:i/>
                <w:iCs/>
                <w:lang w:val="fr-BE"/>
              </w:rPr>
              <w:t xml:space="preserve">Doc. </w:t>
            </w:r>
            <w:proofErr w:type="spellStart"/>
            <w:r w:rsidRPr="00F67B60">
              <w:rPr>
                <w:i/>
                <w:iCs/>
                <w:lang w:val="fr-BE"/>
              </w:rPr>
              <w:t>parl</w:t>
            </w:r>
            <w:proofErr w:type="spellEnd"/>
            <w:r w:rsidRPr="00F67B60">
              <w:rPr>
                <w:lang w:val="fr-BE"/>
              </w:rPr>
              <w:t xml:space="preserve">., Chambre, 2005-2006, n° 1673/014; ainsi, un orateur « rappelle que l'[association dont il fait partie] est une des rares associations accueillant les parents "secondarisés", victimes de l'éclatement familial. Il s'agît surtout de pères » (p. 91) ; un deuxième conclut son intervention en rappelant que « [qu'il s'agit d'une association visant à soutenir les pères, notamment lorsqu'ils ne peuvent plus voir leurs enfants » (p. 106) ; un troisième définit son association comme « un regroupement d'acteurs particulièrement actifs depuis un an et demi dans le domaine de la </w:t>
            </w:r>
            <w:r w:rsidRPr="00F67B60">
              <w:rPr>
                <w:lang w:val="fr-BE"/>
              </w:rPr>
              <w:lastRenderedPageBreak/>
              <w:t>défense des droits des parents secondarisés (essentiellement des pères) » (p. 120).</w:t>
            </w:r>
          </w:p>
        </w:tc>
      </w:tr>
      <w:tr w:rsidR="00F67B60" w:rsidRPr="00F67B60" w14:paraId="3F68067D" w14:textId="77777777" w:rsidTr="00F67B60">
        <w:tc>
          <w:tcPr>
            <w:tcW w:w="150" w:type="dxa"/>
            <w:hideMark/>
          </w:tcPr>
          <w:p w14:paraId="5FB471A6" w14:textId="77777777" w:rsidR="00F67B60" w:rsidRPr="00F67B60" w:rsidRDefault="00F67B60" w:rsidP="00F67B60">
            <w:pPr>
              <w:rPr>
                <w:lang w:val="fr-BE"/>
              </w:rPr>
            </w:pPr>
            <w:bookmarkStart w:id="97" w:name="ftn_46"/>
            <w:r w:rsidRPr="00F67B60">
              <w:rPr>
                <w:lang w:val="fr-BE"/>
              </w:rPr>
              <w:lastRenderedPageBreak/>
              <w:t>[46]</w:t>
            </w:r>
            <w:bookmarkEnd w:id="97"/>
          </w:p>
        </w:tc>
        <w:tc>
          <w:tcPr>
            <w:tcW w:w="6" w:type="dxa"/>
            <w:tcMar>
              <w:top w:w="15" w:type="dxa"/>
              <w:left w:w="360" w:type="dxa"/>
              <w:bottom w:w="200" w:type="dxa"/>
              <w:right w:w="400" w:type="dxa"/>
            </w:tcMar>
            <w:hideMark/>
          </w:tcPr>
          <w:p w14:paraId="2878DAA0" w14:textId="77777777" w:rsidR="00F67B60" w:rsidRPr="00F67B60" w:rsidRDefault="00F67B60" w:rsidP="00F67B60">
            <w:pPr>
              <w:rPr>
                <w:lang w:val="fr-BE"/>
              </w:rPr>
            </w:pPr>
            <w:proofErr w:type="spellStart"/>
            <w:r w:rsidRPr="00F67B60">
              <w:rPr>
                <w:lang w:val="fr-BE"/>
              </w:rPr>
              <w:t>Voy</w:t>
            </w:r>
            <w:proofErr w:type="spellEnd"/>
            <w:r w:rsidRPr="00F67B60">
              <w:rPr>
                <w:lang w:val="fr-BE"/>
              </w:rPr>
              <w:t>. Projet de loi tendant à privilégier l'hébergement égalitaire de l'enfant dont les parents sont séparés et réglementant l'exécution forcée en matière d'hébergement d'enfant, rapport de sous-commission, </w:t>
            </w:r>
            <w:r w:rsidRPr="00F67B60">
              <w:rPr>
                <w:i/>
                <w:iCs/>
                <w:lang w:val="fr-BE"/>
              </w:rPr>
              <w:t xml:space="preserve">Doc. </w:t>
            </w:r>
            <w:proofErr w:type="spellStart"/>
            <w:r w:rsidRPr="00F67B60">
              <w:rPr>
                <w:i/>
                <w:iCs/>
                <w:lang w:val="fr-BE"/>
              </w:rPr>
              <w:t>parl</w:t>
            </w:r>
            <w:proofErr w:type="spellEnd"/>
            <w:r w:rsidRPr="00F67B60">
              <w:rPr>
                <w:lang w:val="fr-BE"/>
              </w:rPr>
              <w:t>., Chambre, 2005-2006, n° 1673/014 ; un représentant souligne que « [D]ans 85 pour cent des divorces, l'enfant est confié à la mère - qui réduit le parent secondarisé, souvent le père, à l'état d'un grand copain (...) Bien plus grave, la relation avec le parent principal (...) devient une relation avec une mère qui ne peut pas couper le cordon ombilical avec "son" enfant. » (pp. 94-95). Un autre représentant d'une association s'inquiète qu'« [e]n cas de plainte pour inceste, le droit aux relations personnelles du père est généralement suspendu ou réduit (...). Les mères doivent se rendre compte que personne ne peut être accusé à la légère de faits passibles d'emprisonnement, certainement pas lorsque des enfants sont impliqués (...) » (p. 106). Un autre encore avance qu'« on peut déduire de la psychologie évolutive ainsi que d'études anthropologiques que l'absence de "figure paternelle" peut entraîner des problèmes pour le développement de l'enfant. (...) La seule certitude ou stabilité que l'on peut offrir dans ce contexte à un enfant est l'assurance que papa reste "papa" et que maman reste "maman" » (p. 108).</w:t>
            </w:r>
          </w:p>
        </w:tc>
      </w:tr>
      <w:tr w:rsidR="00F67B60" w:rsidRPr="00F67B60" w14:paraId="6D8982D7" w14:textId="77777777" w:rsidTr="00F67B60">
        <w:tc>
          <w:tcPr>
            <w:tcW w:w="150" w:type="dxa"/>
            <w:hideMark/>
          </w:tcPr>
          <w:p w14:paraId="14CDC580" w14:textId="77777777" w:rsidR="00F67B60" w:rsidRPr="00F67B60" w:rsidRDefault="00F67B60" w:rsidP="00F67B60">
            <w:pPr>
              <w:rPr>
                <w:lang w:val="fr-BE"/>
              </w:rPr>
            </w:pPr>
            <w:bookmarkStart w:id="98" w:name="ftn_47"/>
            <w:r w:rsidRPr="00F67B60">
              <w:rPr>
                <w:lang w:val="fr-BE"/>
              </w:rPr>
              <w:t>[47]</w:t>
            </w:r>
            <w:bookmarkEnd w:id="98"/>
          </w:p>
        </w:tc>
        <w:tc>
          <w:tcPr>
            <w:tcW w:w="6" w:type="dxa"/>
            <w:tcMar>
              <w:top w:w="15" w:type="dxa"/>
              <w:left w:w="360" w:type="dxa"/>
              <w:bottom w:w="200" w:type="dxa"/>
              <w:right w:w="400" w:type="dxa"/>
            </w:tcMar>
            <w:hideMark/>
          </w:tcPr>
          <w:p w14:paraId="351E7C0B" w14:textId="77777777" w:rsidR="00F67B60" w:rsidRPr="00F67B60" w:rsidRDefault="00F67B60" w:rsidP="00F67B60">
            <w:pPr>
              <w:rPr>
                <w:lang w:val="fr-BE"/>
              </w:rPr>
            </w:pPr>
            <w:r w:rsidRPr="00F67B60">
              <w:rPr>
                <w:lang w:val="fr-BE"/>
              </w:rPr>
              <w:t>Rapport de sous-commission précité, </w:t>
            </w:r>
            <w:r w:rsidRPr="00F67B60">
              <w:rPr>
                <w:i/>
                <w:iCs/>
                <w:lang w:val="fr-BE"/>
              </w:rPr>
              <w:t xml:space="preserve">Doc. </w:t>
            </w:r>
            <w:proofErr w:type="spellStart"/>
            <w:r w:rsidRPr="00F67B60">
              <w:rPr>
                <w:i/>
                <w:iCs/>
                <w:lang w:val="fr-BE"/>
              </w:rPr>
              <w:t>parl</w:t>
            </w:r>
            <w:proofErr w:type="spellEnd"/>
            <w:r w:rsidRPr="00F67B60">
              <w:rPr>
                <w:lang w:val="fr-BE"/>
              </w:rPr>
              <w:t>., Chambre, 2005-2006, n° 1673/014, pp. 102, 118, 122 et 125.</w:t>
            </w:r>
          </w:p>
        </w:tc>
      </w:tr>
      <w:tr w:rsidR="00F67B60" w:rsidRPr="00F67B60" w14:paraId="2CB88E73" w14:textId="77777777" w:rsidTr="00F67B60">
        <w:tc>
          <w:tcPr>
            <w:tcW w:w="150" w:type="dxa"/>
            <w:hideMark/>
          </w:tcPr>
          <w:p w14:paraId="4F6D71EF" w14:textId="77777777" w:rsidR="00F67B60" w:rsidRPr="00F67B60" w:rsidRDefault="00F67B60" w:rsidP="00F67B60">
            <w:pPr>
              <w:rPr>
                <w:lang w:val="fr-BE"/>
              </w:rPr>
            </w:pPr>
            <w:bookmarkStart w:id="99" w:name="ftn_48"/>
            <w:r w:rsidRPr="00F67B60">
              <w:rPr>
                <w:lang w:val="fr-BE"/>
              </w:rPr>
              <w:t>[48]</w:t>
            </w:r>
            <w:bookmarkEnd w:id="99"/>
          </w:p>
        </w:tc>
        <w:tc>
          <w:tcPr>
            <w:tcW w:w="6" w:type="dxa"/>
            <w:tcMar>
              <w:top w:w="15" w:type="dxa"/>
              <w:left w:w="360" w:type="dxa"/>
              <w:bottom w:w="200" w:type="dxa"/>
              <w:right w:w="400" w:type="dxa"/>
            </w:tcMar>
            <w:hideMark/>
          </w:tcPr>
          <w:p w14:paraId="34B8B305" w14:textId="77777777" w:rsidR="00F67B60" w:rsidRPr="00F67B60" w:rsidRDefault="00F67B60" w:rsidP="00F67B60">
            <w:pPr>
              <w:rPr>
                <w:lang w:val="fr-BE"/>
              </w:rPr>
            </w:pPr>
            <w:r w:rsidRPr="00F67B60">
              <w:rPr>
                <w:lang w:val="fr-BE"/>
              </w:rPr>
              <w:t>D. Côté, </w:t>
            </w:r>
            <w:r w:rsidRPr="00F67B60">
              <w:rPr>
                <w:i/>
                <w:iCs/>
                <w:lang w:val="fr-BE"/>
              </w:rPr>
              <w:t xml:space="preserve">op. </w:t>
            </w:r>
            <w:proofErr w:type="spellStart"/>
            <w:r w:rsidRPr="00F67B60">
              <w:rPr>
                <w:i/>
                <w:iCs/>
                <w:lang w:val="fr-BE"/>
              </w:rPr>
              <w:t>cit</w:t>
            </w:r>
            <w:proofErr w:type="spellEnd"/>
            <w:r w:rsidRPr="00F67B60">
              <w:rPr>
                <w:lang w:val="fr-BE"/>
              </w:rPr>
              <w:t>., pp. 91-93.</w:t>
            </w:r>
          </w:p>
        </w:tc>
      </w:tr>
      <w:tr w:rsidR="00F67B60" w:rsidRPr="00F67B60" w14:paraId="1C537D9D" w14:textId="77777777" w:rsidTr="00F67B60">
        <w:tc>
          <w:tcPr>
            <w:tcW w:w="150" w:type="dxa"/>
            <w:hideMark/>
          </w:tcPr>
          <w:p w14:paraId="3F3D9E21" w14:textId="77777777" w:rsidR="00F67B60" w:rsidRPr="00F67B60" w:rsidRDefault="00F67B60" w:rsidP="00F67B60">
            <w:pPr>
              <w:rPr>
                <w:lang w:val="fr-BE"/>
              </w:rPr>
            </w:pPr>
            <w:bookmarkStart w:id="100" w:name="ftn_49"/>
            <w:r w:rsidRPr="00F67B60">
              <w:rPr>
                <w:lang w:val="fr-BE"/>
              </w:rPr>
              <w:t>[49]</w:t>
            </w:r>
            <w:bookmarkEnd w:id="100"/>
          </w:p>
        </w:tc>
        <w:tc>
          <w:tcPr>
            <w:tcW w:w="6" w:type="dxa"/>
            <w:tcMar>
              <w:top w:w="15" w:type="dxa"/>
              <w:left w:w="360" w:type="dxa"/>
              <w:bottom w:w="200" w:type="dxa"/>
              <w:right w:w="400" w:type="dxa"/>
            </w:tcMar>
            <w:hideMark/>
          </w:tcPr>
          <w:p w14:paraId="39E8355A" w14:textId="77777777" w:rsidR="00F67B60" w:rsidRPr="00F67B60" w:rsidRDefault="00F67B60" w:rsidP="00F67B60">
            <w:pPr>
              <w:rPr>
                <w:lang w:val="fr-BE"/>
              </w:rPr>
            </w:pPr>
            <w:r w:rsidRPr="00F67B60">
              <w:rPr>
                <w:lang w:val="fr-BE"/>
              </w:rPr>
              <w:t>Mons (33</w:t>
            </w:r>
            <w:r w:rsidRPr="00F67B60">
              <w:rPr>
                <w:vertAlign w:val="superscript"/>
                <w:lang w:val="fr-BE"/>
              </w:rPr>
              <w:t>e</w:t>
            </w:r>
            <w:r w:rsidRPr="00F67B60">
              <w:rPr>
                <w:lang w:val="fr-BE"/>
              </w:rPr>
              <w:t> ch.), 27 mars 2024, inédit, R.G. n° 2023/TF/173, p. 42.</w:t>
            </w:r>
          </w:p>
        </w:tc>
      </w:tr>
      <w:tr w:rsidR="00F67B60" w:rsidRPr="00F67B60" w14:paraId="0EF8D31F" w14:textId="77777777" w:rsidTr="00F67B60">
        <w:tc>
          <w:tcPr>
            <w:tcW w:w="150" w:type="dxa"/>
            <w:hideMark/>
          </w:tcPr>
          <w:p w14:paraId="4A06A130" w14:textId="77777777" w:rsidR="00F67B60" w:rsidRPr="00F67B60" w:rsidRDefault="00F67B60" w:rsidP="00F67B60">
            <w:pPr>
              <w:rPr>
                <w:lang w:val="fr-BE"/>
              </w:rPr>
            </w:pPr>
            <w:bookmarkStart w:id="101" w:name="ftn_50"/>
            <w:r w:rsidRPr="00F67B60">
              <w:rPr>
                <w:lang w:val="fr-BE"/>
              </w:rPr>
              <w:t>[50]</w:t>
            </w:r>
            <w:bookmarkEnd w:id="101"/>
          </w:p>
        </w:tc>
        <w:tc>
          <w:tcPr>
            <w:tcW w:w="6" w:type="dxa"/>
            <w:tcMar>
              <w:top w:w="15" w:type="dxa"/>
              <w:left w:w="360" w:type="dxa"/>
              <w:bottom w:w="200" w:type="dxa"/>
              <w:right w:w="400" w:type="dxa"/>
            </w:tcMar>
            <w:hideMark/>
          </w:tcPr>
          <w:p w14:paraId="7B628E44" w14:textId="77777777" w:rsidR="00F67B60" w:rsidRPr="00F67B60" w:rsidRDefault="00F67B60" w:rsidP="00F67B60">
            <w:pPr>
              <w:rPr>
                <w:lang w:val="fr-BE"/>
              </w:rPr>
            </w:pPr>
            <w:r w:rsidRPr="00F67B60">
              <w:rPr>
                <w:lang w:val="fr-BE"/>
              </w:rPr>
              <w:t>Loi organique 1/2004 du 28 décembre 2004 relative aux mesures de protection intégrale contre la violence fondée sur le genre, </w:t>
            </w:r>
            <w:r w:rsidRPr="00F67B60">
              <w:rPr>
                <w:i/>
                <w:iCs/>
                <w:lang w:val="fr-BE"/>
              </w:rPr>
              <w:t>B.O.E</w:t>
            </w:r>
            <w:r w:rsidRPr="00F67B60">
              <w:rPr>
                <w:lang w:val="fr-BE"/>
              </w:rPr>
              <w:t xml:space="preserve">., 29 décembre 2004 ; </w:t>
            </w:r>
            <w:proofErr w:type="spellStart"/>
            <w:r w:rsidRPr="00F67B60">
              <w:rPr>
                <w:lang w:val="fr-BE"/>
              </w:rPr>
              <w:t>voy</w:t>
            </w:r>
            <w:proofErr w:type="spellEnd"/>
            <w:r w:rsidRPr="00F67B60">
              <w:rPr>
                <w:lang w:val="fr-BE"/>
              </w:rPr>
              <w:t>. également, à ce sujet, GREVIO</w:t>
            </w:r>
            <w:r w:rsidRPr="00F67B60">
              <w:rPr>
                <w:i/>
                <w:iCs/>
                <w:lang w:val="fr-BE"/>
              </w:rPr>
              <w:t>, Rapport d'évaluation (de référence) du GREVIO sur les mesures d'ordre législatif et autres donnant effet aux dispositions de la Convention du Conseil de l'Europe sur la prévention et la lutte contre la violence à l'égard des femmes et la violence domestique (Convention d'Istanbul), Espagne</w:t>
            </w:r>
            <w:r w:rsidRPr="00F67B60">
              <w:rPr>
                <w:lang w:val="fr-BE"/>
              </w:rPr>
              <w:t>, adopté le 15 octobre 2020, publié le 25 novembre 2020, pp. 60-61.</w:t>
            </w:r>
          </w:p>
        </w:tc>
      </w:tr>
      <w:tr w:rsidR="00F67B60" w:rsidRPr="00F67B60" w14:paraId="673D6F2E" w14:textId="77777777" w:rsidTr="00F67B60">
        <w:tc>
          <w:tcPr>
            <w:tcW w:w="150" w:type="dxa"/>
            <w:hideMark/>
          </w:tcPr>
          <w:p w14:paraId="7AC80EDF" w14:textId="77777777" w:rsidR="00F67B60" w:rsidRPr="00F67B60" w:rsidRDefault="00F67B60" w:rsidP="00F67B60">
            <w:pPr>
              <w:rPr>
                <w:lang w:val="fr-BE"/>
              </w:rPr>
            </w:pPr>
            <w:bookmarkStart w:id="102" w:name="ftn_51"/>
            <w:r w:rsidRPr="00F67B60">
              <w:rPr>
                <w:lang w:val="fr-BE"/>
              </w:rPr>
              <w:lastRenderedPageBreak/>
              <w:t>[51]</w:t>
            </w:r>
            <w:bookmarkEnd w:id="102"/>
          </w:p>
        </w:tc>
        <w:tc>
          <w:tcPr>
            <w:tcW w:w="6" w:type="dxa"/>
            <w:tcMar>
              <w:top w:w="15" w:type="dxa"/>
              <w:left w:w="360" w:type="dxa"/>
              <w:bottom w:w="200" w:type="dxa"/>
              <w:right w:w="400" w:type="dxa"/>
            </w:tcMar>
            <w:hideMark/>
          </w:tcPr>
          <w:p w14:paraId="67EF6D35" w14:textId="77777777" w:rsidR="00F67B60" w:rsidRPr="00F67B60" w:rsidRDefault="00F67B60" w:rsidP="00F67B60">
            <w:pPr>
              <w:rPr>
                <w:lang w:val="fr-BE"/>
              </w:rPr>
            </w:pPr>
            <w:r w:rsidRPr="00F67B60">
              <w:rPr>
                <w:lang w:val="fr-BE"/>
              </w:rPr>
              <w:t>GREVIO, </w:t>
            </w:r>
            <w:r w:rsidRPr="00F67B60">
              <w:rPr>
                <w:i/>
                <w:iCs/>
                <w:lang w:val="fr-BE"/>
              </w:rPr>
              <w:t>Rapport d'évaluation (de référence) du GREVIO sur les mesures d'ordre législatif et autres donnant effet aux dispositions de la Convention du Conseil de l'Europe sur la prévention et la lutte contre la violence à l'égard des femmes et la violence domestique (Convention d'Istanbul)</w:t>
            </w:r>
            <w:r w:rsidRPr="00F67B60">
              <w:rPr>
                <w:lang w:val="fr-BE"/>
              </w:rPr>
              <w:t>, France, adopté le 28 octobre 2019, publié le 19 novembre 2019, p. 57.</w:t>
            </w:r>
          </w:p>
        </w:tc>
      </w:tr>
      <w:tr w:rsidR="00F67B60" w:rsidRPr="00F67B60" w14:paraId="58794E14" w14:textId="77777777" w:rsidTr="00F67B60">
        <w:tc>
          <w:tcPr>
            <w:tcW w:w="150" w:type="dxa"/>
            <w:hideMark/>
          </w:tcPr>
          <w:p w14:paraId="3ADF2B40" w14:textId="77777777" w:rsidR="00F67B60" w:rsidRPr="00F67B60" w:rsidRDefault="00F67B60" w:rsidP="00F67B60">
            <w:pPr>
              <w:rPr>
                <w:lang w:val="fr-BE"/>
              </w:rPr>
            </w:pPr>
            <w:bookmarkStart w:id="103" w:name="ftn_52"/>
            <w:r w:rsidRPr="00F67B60">
              <w:rPr>
                <w:lang w:val="fr-BE"/>
              </w:rPr>
              <w:t>[52]</w:t>
            </w:r>
            <w:bookmarkEnd w:id="103"/>
          </w:p>
        </w:tc>
        <w:tc>
          <w:tcPr>
            <w:tcW w:w="6" w:type="dxa"/>
            <w:tcMar>
              <w:top w:w="15" w:type="dxa"/>
              <w:left w:w="360" w:type="dxa"/>
              <w:bottom w:w="200" w:type="dxa"/>
              <w:right w:w="400" w:type="dxa"/>
            </w:tcMar>
            <w:hideMark/>
          </w:tcPr>
          <w:p w14:paraId="1E8B138A" w14:textId="77777777" w:rsidR="00F67B60" w:rsidRPr="00F67B60" w:rsidRDefault="00F67B60" w:rsidP="00F67B60">
            <w:pPr>
              <w:rPr>
                <w:lang w:val="fr-BE"/>
              </w:rPr>
            </w:pPr>
            <w:r w:rsidRPr="00F67B60">
              <w:rPr>
                <w:lang w:val="fr-BE"/>
              </w:rPr>
              <w:t>Par ailleurs, le maintien du lien familial peut, et doit, prendre des formes différenciées selon les situations et les besoins de l'enfant. À titre d'exemple, les « espaces-rencontre » permettent un maintien du lien dans un cadre sécurisé et limité dans le temps.</w:t>
            </w:r>
          </w:p>
        </w:tc>
      </w:tr>
    </w:tbl>
    <w:p w14:paraId="40B530E7" w14:textId="77777777" w:rsidR="00F67B60" w:rsidRPr="00F67B60" w:rsidRDefault="00F67B60" w:rsidP="00F67B60">
      <w:pPr>
        <w:rPr>
          <w:lang w:val="fr-BE"/>
        </w:rPr>
      </w:pPr>
    </w:p>
    <w:p w14:paraId="40ECF20C" w14:textId="77777777" w:rsidR="00BD37E1" w:rsidRPr="00F67B60" w:rsidRDefault="00BD37E1">
      <w:pPr>
        <w:rPr>
          <w:lang w:val="fr-BE"/>
        </w:rPr>
      </w:pPr>
    </w:p>
    <w:sectPr w:rsidR="00BD37E1" w:rsidRPr="00F67B60">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Aptos">
    <w:panose1 w:val="020B0004020202020204"/>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panose1 w:val="020B0004020202020204"/>
    <w:charset w:val="00"/>
    <w:family w:val="swiss"/>
    <w:pitch w:val="variable"/>
    <w:sig w:usb0="20000287" w:usb1="00000003"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303F2992"/>
    <w:multiLevelType w:val="hybridMultilevel"/>
    <w:tmpl w:val="A5D08A44"/>
    <w:lvl w:ilvl="0" w:tplc="9D729AD6">
      <w:start w:val="1"/>
      <w:numFmt w:val="upperRoman"/>
      <w:lvlText w:val="%1."/>
      <w:lvlJc w:val="righ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 w15:restartNumberingAfterBreak="0">
    <w:nsid w:val="39CB5BC9"/>
    <w:multiLevelType w:val="multilevel"/>
    <w:tmpl w:val="EBACE586"/>
    <w:lvl w:ilvl="0">
      <w:start w:val="1"/>
      <w:numFmt w:val="decimal"/>
      <w:pStyle w:val="Titre1"/>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2" w15:restartNumberingAfterBreak="0">
    <w:nsid w:val="57191B0B"/>
    <w:multiLevelType w:val="hybridMultilevel"/>
    <w:tmpl w:val="4B509CDE"/>
    <w:lvl w:ilvl="0" w:tplc="5D0C1656">
      <w:start w:val="1"/>
      <w:numFmt w:val="decimal"/>
      <w:lvlText w:val="%1."/>
      <w:lvlJc w:val="left"/>
      <w:pPr>
        <w:ind w:left="1080" w:hanging="360"/>
      </w:pPr>
    </w:lvl>
    <w:lvl w:ilvl="1" w:tplc="040C0019" w:tentative="1">
      <w:start w:val="1"/>
      <w:numFmt w:val="lowerLetter"/>
      <w:lvlText w:val="%2."/>
      <w:lvlJc w:val="left"/>
      <w:pPr>
        <w:ind w:left="1800" w:hanging="360"/>
      </w:pPr>
    </w:lvl>
    <w:lvl w:ilvl="2" w:tplc="040C001B" w:tentative="1">
      <w:start w:val="1"/>
      <w:numFmt w:val="lowerRoman"/>
      <w:lvlText w:val="%3."/>
      <w:lvlJc w:val="right"/>
      <w:pPr>
        <w:ind w:left="2520" w:hanging="180"/>
      </w:pPr>
    </w:lvl>
    <w:lvl w:ilvl="3" w:tplc="040C000F" w:tentative="1">
      <w:start w:val="1"/>
      <w:numFmt w:val="decimal"/>
      <w:lvlText w:val="%4."/>
      <w:lvlJc w:val="left"/>
      <w:pPr>
        <w:ind w:left="3240" w:hanging="360"/>
      </w:pPr>
    </w:lvl>
    <w:lvl w:ilvl="4" w:tplc="040C0019" w:tentative="1">
      <w:start w:val="1"/>
      <w:numFmt w:val="lowerLetter"/>
      <w:lvlText w:val="%5."/>
      <w:lvlJc w:val="left"/>
      <w:pPr>
        <w:ind w:left="3960" w:hanging="360"/>
      </w:pPr>
    </w:lvl>
    <w:lvl w:ilvl="5" w:tplc="040C001B" w:tentative="1">
      <w:start w:val="1"/>
      <w:numFmt w:val="lowerRoman"/>
      <w:lvlText w:val="%6."/>
      <w:lvlJc w:val="right"/>
      <w:pPr>
        <w:ind w:left="4680" w:hanging="180"/>
      </w:pPr>
    </w:lvl>
    <w:lvl w:ilvl="6" w:tplc="040C000F" w:tentative="1">
      <w:start w:val="1"/>
      <w:numFmt w:val="decimal"/>
      <w:lvlText w:val="%7."/>
      <w:lvlJc w:val="left"/>
      <w:pPr>
        <w:ind w:left="5400" w:hanging="360"/>
      </w:pPr>
    </w:lvl>
    <w:lvl w:ilvl="7" w:tplc="040C0019" w:tentative="1">
      <w:start w:val="1"/>
      <w:numFmt w:val="lowerLetter"/>
      <w:lvlText w:val="%8."/>
      <w:lvlJc w:val="left"/>
      <w:pPr>
        <w:ind w:left="6120" w:hanging="360"/>
      </w:pPr>
    </w:lvl>
    <w:lvl w:ilvl="8" w:tplc="040C001B" w:tentative="1">
      <w:start w:val="1"/>
      <w:numFmt w:val="lowerRoman"/>
      <w:lvlText w:val="%9."/>
      <w:lvlJc w:val="right"/>
      <w:pPr>
        <w:ind w:left="6840" w:hanging="180"/>
      </w:pPr>
    </w:lvl>
  </w:abstractNum>
  <w:num w:numId="1" w16cid:durableId="2030258489">
    <w:abstractNumId w:val="0"/>
  </w:num>
  <w:num w:numId="2" w16cid:durableId="1389378148">
    <w:abstractNumId w:val="2"/>
  </w:num>
  <w:num w:numId="3" w16cid:durableId="1748459703">
    <w:abstractNumId w:val="1"/>
  </w:num>
  <w:num w:numId="4" w16cid:durableId="129179640">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7"/>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67B60"/>
    <w:rsid w:val="0010456A"/>
    <w:rsid w:val="002C36E5"/>
    <w:rsid w:val="003C6E4D"/>
    <w:rsid w:val="00666BA1"/>
    <w:rsid w:val="00982193"/>
    <w:rsid w:val="00BD03DB"/>
    <w:rsid w:val="00BD37E1"/>
    <w:rsid w:val="00BE7494"/>
    <w:rsid w:val="00CB7FDB"/>
    <w:rsid w:val="00F67B60"/>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decimalSymbol w:val=","/>
  <w:listSeparator w:val=";"/>
  <w14:docId w14:val="53EF5CDC"/>
  <w15:chartTrackingRefBased/>
  <w15:docId w15:val="{52A98CBC-4EB1-D447-B436-BE4780E16DC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4"/>
        <w:szCs w:val="24"/>
        <w:lang w:val="fr-BE"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C6E4D"/>
    <w:pPr>
      <w:jc w:val="both"/>
    </w:pPr>
    <w:rPr>
      <w:lang w:val="fr-FR"/>
    </w:rPr>
  </w:style>
  <w:style w:type="paragraph" w:styleId="Titre1">
    <w:name w:val="heading 1"/>
    <w:basedOn w:val="Normal"/>
    <w:next w:val="Normal"/>
    <w:link w:val="Titre1Car"/>
    <w:autoRedefine/>
    <w:uiPriority w:val="9"/>
    <w:qFormat/>
    <w:rsid w:val="003C6E4D"/>
    <w:pPr>
      <w:keepNext/>
      <w:keepLines/>
      <w:numPr>
        <w:numId w:val="3"/>
      </w:numPr>
      <w:spacing w:before="40" w:after="80"/>
      <w:ind w:hanging="360"/>
      <w:outlineLvl w:val="0"/>
    </w:pPr>
    <w:rPr>
      <w:rFonts w:asciiTheme="majorHAnsi" w:eastAsiaTheme="majorEastAsia" w:hAnsiTheme="majorHAnsi" w:cstheme="majorBidi"/>
      <w:b/>
      <w:bCs/>
      <w:color w:val="156082" w:themeColor="accent1"/>
      <w:sz w:val="28"/>
      <w:szCs w:val="28"/>
    </w:rPr>
  </w:style>
  <w:style w:type="paragraph" w:styleId="Titre2">
    <w:name w:val="heading 2"/>
    <w:basedOn w:val="Paragraphedeliste"/>
    <w:next w:val="Normal"/>
    <w:link w:val="Titre2Car"/>
    <w:autoRedefine/>
    <w:uiPriority w:val="9"/>
    <w:unhideWhenUsed/>
    <w:qFormat/>
    <w:rsid w:val="003C6E4D"/>
    <w:pPr>
      <w:tabs>
        <w:tab w:val="num" w:pos="720"/>
      </w:tabs>
      <w:ind w:left="1080" w:hanging="360"/>
      <w:outlineLvl w:val="1"/>
    </w:pPr>
    <w:rPr>
      <w:color w:val="A02B93" w:themeColor="accent5"/>
    </w:rPr>
  </w:style>
  <w:style w:type="paragraph" w:styleId="Titre3">
    <w:name w:val="heading 3"/>
    <w:basedOn w:val="Normal"/>
    <w:next w:val="Normal"/>
    <w:link w:val="Titre3Car"/>
    <w:uiPriority w:val="9"/>
    <w:semiHidden/>
    <w:unhideWhenUsed/>
    <w:qFormat/>
    <w:rsid w:val="00F67B60"/>
    <w:pPr>
      <w:keepNext/>
      <w:keepLines/>
      <w:spacing w:before="160" w:after="80"/>
      <w:outlineLvl w:val="2"/>
    </w:pPr>
    <w:rPr>
      <w:rFonts w:eastAsiaTheme="majorEastAsia" w:cstheme="majorBidi"/>
      <w:color w:val="0F4761" w:themeColor="accent1" w:themeShade="BF"/>
      <w:sz w:val="28"/>
      <w:szCs w:val="28"/>
    </w:rPr>
  </w:style>
  <w:style w:type="paragraph" w:styleId="Titre4">
    <w:name w:val="heading 4"/>
    <w:basedOn w:val="Normal"/>
    <w:next w:val="Normal"/>
    <w:link w:val="Titre4Car"/>
    <w:uiPriority w:val="9"/>
    <w:semiHidden/>
    <w:unhideWhenUsed/>
    <w:qFormat/>
    <w:rsid w:val="00F67B60"/>
    <w:pPr>
      <w:keepNext/>
      <w:keepLines/>
      <w:spacing w:before="80" w:after="40"/>
      <w:outlineLvl w:val="3"/>
    </w:pPr>
    <w:rPr>
      <w:rFonts w:eastAsiaTheme="majorEastAsia" w:cstheme="majorBidi"/>
      <w:i/>
      <w:iCs/>
      <w:color w:val="0F4761" w:themeColor="accent1" w:themeShade="BF"/>
    </w:rPr>
  </w:style>
  <w:style w:type="paragraph" w:styleId="Titre5">
    <w:name w:val="heading 5"/>
    <w:basedOn w:val="Normal"/>
    <w:next w:val="Normal"/>
    <w:link w:val="Titre5Car"/>
    <w:uiPriority w:val="9"/>
    <w:semiHidden/>
    <w:unhideWhenUsed/>
    <w:qFormat/>
    <w:rsid w:val="00F67B60"/>
    <w:pPr>
      <w:keepNext/>
      <w:keepLines/>
      <w:spacing w:before="80" w:after="40"/>
      <w:outlineLvl w:val="4"/>
    </w:pPr>
    <w:rPr>
      <w:rFonts w:eastAsiaTheme="majorEastAsia" w:cstheme="majorBidi"/>
      <w:color w:val="0F4761" w:themeColor="accent1" w:themeShade="BF"/>
    </w:rPr>
  </w:style>
  <w:style w:type="paragraph" w:styleId="Titre6">
    <w:name w:val="heading 6"/>
    <w:basedOn w:val="Normal"/>
    <w:next w:val="Normal"/>
    <w:link w:val="Titre6Car"/>
    <w:uiPriority w:val="9"/>
    <w:semiHidden/>
    <w:unhideWhenUsed/>
    <w:qFormat/>
    <w:rsid w:val="00F67B60"/>
    <w:pPr>
      <w:keepNext/>
      <w:keepLines/>
      <w:spacing w:before="40" w:after="0"/>
      <w:outlineLvl w:val="5"/>
    </w:pPr>
    <w:rPr>
      <w:rFonts w:eastAsiaTheme="majorEastAsia" w:cstheme="majorBidi"/>
      <w:i/>
      <w:iCs/>
      <w:color w:val="595959" w:themeColor="text1" w:themeTint="A6"/>
    </w:rPr>
  </w:style>
  <w:style w:type="paragraph" w:styleId="Titre7">
    <w:name w:val="heading 7"/>
    <w:basedOn w:val="Normal"/>
    <w:next w:val="Normal"/>
    <w:link w:val="Titre7Car"/>
    <w:uiPriority w:val="9"/>
    <w:semiHidden/>
    <w:unhideWhenUsed/>
    <w:qFormat/>
    <w:rsid w:val="00F67B60"/>
    <w:pPr>
      <w:keepNext/>
      <w:keepLines/>
      <w:spacing w:before="40" w:after="0"/>
      <w:outlineLvl w:val="6"/>
    </w:pPr>
    <w:rPr>
      <w:rFonts w:eastAsiaTheme="majorEastAsia" w:cstheme="majorBidi"/>
      <w:color w:val="595959" w:themeColor="text1" w:themeTint="A6"/>
    </w:rPr>
  </w:style>
  <w:style w:type="paragraph" w:styleId="Titre8">
    <w:name w:val="heading 8"/>
    <w:basedOn w:val="Normal"/>
    <w:next w:val="Normal"/>
    <w:link w:val="Titre8Car"/>
    <w:uiPriority w:val="9"/>
    <w:semiHidden/>
    <w:unhideWhenUsed/>
    <w:qFormat/>
    <w:rsid w:val="00F67B60"/>
    <w:pPr>
      <w:keepNext/>
      <w:keepLines/>
      <w:spacing w:after="0"/>
      <w:outlineLvl w:val="7"/>
    </w:pPr>
    <w:rPr>
      <w:rFonts w:eastAsiaTheme="majorEastAsia" w:cstheme="majorBidi"/>
      <w:i/>
      <w:iCs/>
      <w:color w:val="272727" w:themeColor="text1" w:themeTint="D8"/>
    </w:rPr>
  </w:style>
  <w:style w:type="paragraph" w:styleId="Titre9">
    <w:name w:val="heading 9"/>
    <w:basedOn w:val="Normal"/>
    <w:next w:val="Normal"/>
    <w:link w:val="Titre9Car"/>
    <w:uiPriority w:val="9"/>
    <w:semiHidden/>
    <w:unhideWhenUsed/>
    <w:qFormat/>
    <w:rsid w:val="00F67B60"/>
    <w:pPr>
      <w:keepNext/>
      <w:keepLines/>
      <w:spacing w:after="0"/>
      <w:outlineLvl w:val="8"/>
    </w:pPr>
    <w:rPr>
      <w:rFonts w:eastAsiaTheme="majorEastAsia" w:cstheme="majorBidi"/>
      <w:color w:val="272727" w:themeColor="text1" w:themeTint="D8"/>
    </w:rPr>
  </w:style>
  <w:style w:type="character" w:default="1" w:styleId="Policepardfaut">
    <w:name w:val="Default Paragraph Font"/>
    <w:uiPriority w:val="1"/>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Titre">
    <w:name w:val="Title"/>
    <w:basedOn w:val="Normal"/>
    <w:next w:val="Normal"/>
    <w:link w:val="TitreCar"/>
    <w:autoRedefine/>
    <w:uiPriority w:val="10"/>
    <w:qFormat/>
    <w:rsid w:val="003C6E4D"/>
    <w:pPr>
      <w:tabs>
        <w:tab w:val="left" w:pos="5103"/>
      </w:tabs>
      <w:spacing w:after="80" w:line="240" w:lineRule="auto"/>
      <w:contextualSpacing/>
      <w:jc w:val="center"/>
    </w:pPr>
    <w:rPr>
      <w:rFonts w:asciiTheme="majorHAnsi" w:eastAsiaTheme="majorEastAsia" w:hAnsiTheme="majorHAnsi" w:cstheme="majorBidi"/>
      <w:b/>
      <w:bCs/>
      <w:color w:val="E97132" w:themeColor="accent2"/>
      <w:spacing w:val="-10"/>
      <w:kern w:val="28"/>
      <w:sz w:val="48"/>
      <w:szCs w:val="48"/>
    </w:rPr>
  </w:style>
  <w:style w:type="character" w:customStyle="1" w:styleId="TitreCar">
    <w:name w:val="Titre Car"/>
    <w:basedOn w:val="Policepardfaut"/>
    <w:link w:val="Titre"/>
    <w:uiPriority w:val="10"/>
    <w:rsid w:val="003C6E4D"/>
    <w:rPr>
      <w:rFonts w:asciiTheme="majorHAnsi" w:eastAsiaTheme="majorEastAsia" w:hAnsiTheme="majorHAnsi" w:cstheme="majorBidi"/>
      <w:b/>
      <w:bCs/>
      <w:color w:val="E97132" w:themeColor="accent2"/>
      <w:spacing w:val="-10"/>
      <w:kern w:val="28"/>
      <w:sz w:val="48"/>
      <w:szCs w:val="48"/>
      <w:lang w:val="fr-FR"/>
    </w:rPr>
  </w:style>
  <w:style w:type="character" w:customStyle="1" w:styleId="Titre1Car">
    <w:name w:val="Titre 1 Car"/>
    <w:basedOn w:val="Policepardfaut"/>
    <w:link w:val="Titre1"/>
    <w:uiPriority w:val="9"/>
    <w:rsid w:val="003C6E4D"/>
    <w:rPr>
      <w:rFonts w:asciiTheme="majorHAnsi" w:eastAsiaTheme="majorEastAsia" w:hAnsiTheme="majorHAnsi" w:cstheme="majorBidi"/>
      <w:b/>
      <w:bCs/>
      <w:color w:val="156082" w:themeColor="accent1"/>
      <w:sz w:val="28"/>
      <w:szCs w:val="28"/>
      <w:lang w:val="fr-FR"/>
    </w:rPr>
  </w:style>
  <w:style w:type="character" w:customStyle="1" w:styleId="Titre2Car">
    <w:name w:val="Titre 2 Car"/>
    <w:basedOn w:val="Policepardfaut"/>
    <w:link w:val="Titre2"/>
    <w:uiPriority w:val="9"/>
    <w:rsid w:val="003C6E4D"/>
    <w:rPr>
      <w:color w:val="A02B93" w:themeColor="accent5"/>
      <w:lang w:val="fr-FR"/>
    </w:rPr>
  </w:style>
  <w:style w:type="paragraph" w:styleId="Paragraphedeliste">
    <w:name w:val="List Paragraph"/>
    <w:basedOn w:val="Normal"/>
    <w:uiPriority w:val="34"/>
    <w:qFormat/>
    <w:rsid w:val="003C6E4D"/>
    <w:pPr>
      <w:ind w:left="720"/>
      <w:contextualSpacing/>
    </w:pPr>
  </w:style>
  <w:style w:type="character" w:customStyle="1" w:styleId="Titre3Car">
    <w:name w:val="Titre 3 Car"/>
    <w:basedOn w:val="Policepardfaut"/>
    <w:link w:val="Titre3"/>
    <w:uiPriority w:val="9"/>
    <w:semiHidden/>
    <w:rsid w:val="00F67B60"/>
    <w:rPr>
      <w:rFonts w:eastAsiaTheme="majorEastAsia" w:cstheme="majorBidi"/>
      <w:color w:val="0F4761" w:themeColor="accent1" w:themeShade="BF"/>
      <w:sz w:val="28"/>
      <w:szCs w:val="28"/>
      <w:lang w:val="fr-FR"/>
    </w:rPr>
  </w:style>
  <w:style w:type="character" w:customStyle="1" w:styleId="Titre4Car">
    <w:name w:val="Titre 4 Car"/>
    <w:basedOn w:val="Policepardfaut"/>
    <w:link w:val="Titre4"/>
    <w:uiPriority w:val="9"/>
    <w:semiHidden/>
    <w:rsid w:val="00F67B60"/>
    <w:rPr>
      <w:rFonts w:eastAsiaTheme="majorEastAsia" w:cstheme="majorBidi"/>
      <w:i/>
      <w:iCs/>
      <w:color w:val="0F4761" w:themeColor="accent1" w:themeShade="BF"/>
      <w:lang w:val="fr-FR"/>
    </w:rPr>
  </w:style>
  <w:style w:type="character" w:customStyle="1" w:styleId="Titre5Car">
    <w:name w:val="Titre 5 Car"/>
    <w:basedOn w:val="Policepardfaut"/>
    <w:link w:val="Titre5"/>
    <w:uiPriority w:val="9"/>
    <w:semiHidden/>
    <w:rsid w:val="00F67B60"/>
    <w:rPr>
      <w:rFonts w:eastAsiaTheme="majorEastAsia" w:cstheme="majorBidi"/>
      <w:color w:val="0F4761" w:themeColor="accent1" w:themeShade="BF"/>
      <w:lang w:val="fr-FR"/>
    </w:rPr>
  </w:style>
  <w:style w:type="character" w:customStyle="1" w:styleId="Titre6Car">
    <w:name w:val="Titre 6 Car"/>
    <w:basedOn w:val="Policepardfaut"/>
    <w:link w:val="Titre6"/>
    <w:uiPriority w:val="9"/>
    <w:semiHidden/>
    <w:rsid w:val="00F67B60"/>
    <w:rPr>
      <w:rFonts w:eastAsiaTheme="majorEastAsia" w:cstheme="majorBidi"/>
      <w:i/>
      <w:iCs/>
      <w:color w:val="595959" w:themeColor="text1" w:themeTint="A6"/>
      <w:lang w:val="fr-FR"/>
    </w:rPr>
  </w:style>
  <w:style w:type="character" w:customStyle="1" w:styleId="Titre7Car">
    <w:name w:val="Titre 7 Car"/>
    <w:basedOn w:val="Policepardfaut"/>
    <w:link w:val="Titre7"/>
    <w:uiPriority w:val="9"/>
    <w:semiHidden/>
    <w:rsid w:val="00F67B60"/>
    <w:rPr>
      <w:rFonts w:eastAsiaTheme="majorEastAsia" w:cstheme="majorBidi"/>
      <w:color w:val="595959" w:themeColor="text1" w:themeTint="A6"/>
      <w:lang w:val="fr-FR"/>
    </w:rPr>
  </w:style>
  <w:style w:type="character" w:customStyle="1" w:styleId="Titre8Car">
    <w:name w:val="Titre 8 Car"/>
    <w:basedOn w:val="Policepardfaut"/>
    <w:link w:val="Titre8"/>
    <w:uiPriority w:val="9"/>
    <w:semiHidden/>
    <w:rsid w:val="00F67B60"/>
    <w:rPr>
      <w:rFonts w:eastAsiaTheme="majorEastAsia" w:cstheme="majorBidi"/>
      <w:i/>
      <w:iCs/>
      <w:color w:val="272727" w:themeColor="text1" w:themeTint="D8"/>
      <w:lang w:val="fr-FR"/>
    </w:rPr>
  </w:style>
  <w:style w:type="character" w:customStyle="1" w:styleId="Titre9Car">
    <w:name w:val="Titre 9 Car"/>
    <w:basedOn w:val="Policepardfaut"/>
    <w:link w:val="Titre9"/>
    <w:uiPriority w:val="9"/>
    <w:semiHidden/>
    <w:rsid w:val="00F67B60"/>
    <w:rPr>
      <w:rFonts w:eastAsiaTheme="majorEastAsia" w:cstheme="majorBidi"/>
      <w:color w:val="272727" w:themeColor="text1" w:themeTint="D8"/>
      <w:lang w:val="fr-FR"/>
    </w:rPr>
  </w:style>
  <w:style w:type="paragraph" w:styleId="Sous-titre">
    <w:name w:val="Subtitle"/>
    <w:basedOn w:val="Normal"/>
    <w:next w:val="Normal"/>
    <w:link w:val="Sous-titreCar"/>
    <w:uiPriority w:val="11"/>
    <w:qFormat/>
    <w:rsid w:val="00F67B60"/>
    <w:pPr>
      <w:numPr>
        <w:ilvl w:val="1"/>
      </w:numPr>
    </w:pPr>
    <w:rPr>
      <w:rFonts w:eastAsiaTheme="majorEastAsia" w:cstheme="majorBidi"/>
      <w:color w:val="595959" w:themeColor="text1" w:themeTint="A6"/>
      <w:spacing w:val="15"/>
      <w:sz w:val="28"/>
      <w:szCs w:val="28"/>
    </w:rPr>
  </w:style>
  <w:style w:type="character" w:customStyle="1" w:styleId="Sous-titreCar">
    <w:name w:val="Sous-titre Car"/>
    <w:basedOn w:val="Policepardfaut"/>
    <w:link w:val="Sous-titre"/>
    <w:uiPriority w:val="11"/>
    <w:rsid w:val="00F67B60"/>
    <w:rPr>
      <w:rFonts w:eastAsiaTheme="majorEastAsia" w:cstheme="majorBidi"/>
      <w:color w:val="595959" w:themeColor="text1" w:themeTint="A6"/>
      <w:spacing w:val="15"/>
      <w:sz w:val="28"/>
      <w:szCs w:val="28"/>
      <w:lang w:val="fr-FR"/>
    </w:rPr>
  </w:style>
  <w:style w:type="paragraph" w:styleId="Citation">
    <w:name w:val="Quote"/>
    <w:basedOn w:val="Normal"/>
    <w:next w:val="Normal"/>
    <w:link w:val="CitationCar"/>
    <w:uiPriority w:val="29"/>
    <w:qFormat/>
    <w:rsid w:val="00F67B60"/>
    <w:pPr>
      <w:spacing w:before="160"/>
      <w:jc w:val="center"/>
    </w:pPr>
    <w:rPr>
      <w:i/>
      <w:iCs/>
      <w:color w:val="404040" w:themeColor="text1" w:themeTint="BF"/>
    </w:rPr>
  </w:style>
  <w:style w:type="character" w:customStyle="1" w:styleId="CitationCar">
    <w:name w:val="Citation Car"/>
    <w:basedOn w:val="Policepardfaut"/>
    <w:link w:val="Citation"/>
    <w:uiPriority w:val="29"/>
    <w:rsid w:val="00F67B60"/>
    <w:rPr>
      <w:i/>
      <w:iCs/>
      <w:color w:val="404040" w:themeColor="text1" w:themeTint="BF"/>
      <w:lang w:val="fr-FR"/>
    </w:rPr>
  </w:style>
  <w:style w:type="character" w:styleId="Accentuationintense">
    <w:name w:val="Intense Emphasis"/>
    <w:basedOn w:val="Policepardfaut"/>
    <w:uiPriority w:val="21"/>
    <w:qFormat/>
    <w:rsid w:val="00F67B60"/>
    <w:rPr>
      <w:i/>
      <w:iCs/>
      <w:color w:val="0F4761" w:themeColor="accent1" w:themeShade="BF"/>
    </w:rPr>
  </w:style>
  <w:style w:type="paragraph" w:styleId="Citationintense">
    <w:name w:val="Intense Quote"/>
    <w:basedOn w:val="Normal"/>
    <w:next w:val="Normal"/>
    <w:link w:val="CitationintenseCar"/>
    <w:uiPriority w:val="30"/>
    <w:qFormat/>
    <w:rsid w:val="00F67B60"/>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tionintenseCar">
    <w:name w:val="Citation intense Car"/>
    <w:basedOn w:val="Policepardfaut"/>
    <w:link w:val="Citationintense"/>
    <w:uiPriority w:val="30"/>
    <w:rsid w:val="00F67B60"/>
    <w:rPr>
      <w:i/>
      <w:iCs/>
      <w:color w:val="0F4761" w:themeColor="accent1" w:themeShade="BF"/>
      <w:lang w:val="fr-FR"/>
    </w:rPr>
  </w:style>
  <w:style w:type="character" w:styleId="Rfrenceintense">
    <w:name w:val="Intense Reference"/>
    <w:basedOn w:val="Policepardfaut"/>
    <w:uiPriority w:val="32"/>
    <w:qFormat/>
    <w:rsid w:val="00F67B60"/>
    <w:rPr>
      <w:b/>
      <w:bCs/>
      <w:smallCaps/>
      <w:color w:val="0F476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64437690">
      <w:bodyDiv w:val="1"/>
      <w:marLeft w:val="0"/>
      <w:marRight w:val="0"/>
      <w:marTop w:val="0"/>
      <w:marBottom w:val="0"/>
      <w:divBdr>
        <w:top w:val="none" w:sz="0" w:space="0" w:color="auto"/>
        <w:left w:val="none" w:sz="0" w:space="0" w:color="auto"/>
        <w:bottom w:val="none" w:sz="0" w:space="0" w:color="auto"/>
        <w:right w:val="none" w:sz="0" w:space="0" w:color="auto"/>
      </w:divBdr>
      <w:divsChild>
        <w:div w:id="501699407">
          <w:marLeft w:val="0"/>
          <w:marRight w:val="0"/>
          <w:marTop w:val="0"/>
          <w:marBottom w:val="0"/>
          <w:divBdr>
            <w:top w:val="none" w:sz="0" w:space="0" w:color="auto"/>
            <w:left w:val="none" w:sz="0" w:space="0" w:color="auto"/>
            <w:bottom w:val="none" w:sz="0" w:space="0" w:color="auto"/>
            <w:right w:val="none" w:sz="0" w:space="0" w:color="auto"/>
          </w:divBdr>
        </w:div>
        <w:div w:id="181167866">
          <w:marLeft w:val="0"/>
          <w:marRight w:val="0"/>
          <w:marTop w:val="0"/>
          <w:marBottom w:val="0"/>
          <w:divBdr>
            <w:top w:val="none" w:sz="0" w:space="0" w:color="auto"/>
            <w:left w:val="none" w:sz="0" w:space="0" w:color="auto"/>
            <w:bottom w:val="none" w:sz="0" w:space="0" w:color="auto"/>
            <w:right w:val="none" w:sz="0" w:space="0" w:color="auto"/>
          </w:divBdr>
        </w:div>
        <w:div w:id="1771470128">
          <w:marLeft w:val="0"/>
          <w:marRight w:val="0"/>
          <w:marTop w:val="0"/>
          <w:marBottom w:val="0"/>
          <w:divBdr>
            <w:top w:val="none" w:sz="0" w:space="0" w:color="auto"/>
            <w:left w:val="none" w:sz="0" w:space="0" w:color="auto"/>
            <w:bottom w:val="none" w:sz="0" w:space="0" w:color="auto"/>
            <w:right w:val="none" w:sz="0" w:space="0" w:color="auto"/>
          </w:divBdr>
        </w:div>
        <w:div w:id="1559588903">
          <w:marLeft w:val="0"/>
          <w:marRight w:val="0"/>
          <w:marTop w:val="0"/>
          <w:marBottom w:val="0"/>
          <w:divBdr>
            <w:top w:val="none" w:sz="0" w:space="0" w:color="auto"/>
            <w:left w:val="none" w:sz="0" w:space="0" w:color="auto"/>
            <w:bottom w:val="none" w:sz="0" w:space="0" w:color="auto"/>
            <w:right w:val="none" w:sz="0" w:space="0" w:color="auto"/>
          </w:divBdr>
        </w:div>
        <w:div w:id="1765954449">
          <w:marLeft w:val="0"/>
          <w:marRight w:val="0"/>
          <w:marTop w:val="0"/>
          <w:marBottom w:val="0"/>
          <w:divBdr>
            <w:top w:val="none" w:sz="0" w:space="0" w:color="auto"/>
            <w:left w:val="none" w:sz="0" w:space="0" w:color="auto"/>
            <w:bottom w:val="none" w:sz="0" w:space="0" w:color="auto"/>
            <w:right w:val="none" w:sz="0" w:space="0" w:color="auto"/>
          </w:divBdr>
        </w:div>
      </w:divsChild>
    </w:div>
    <w:div w:id="1902059571">
      <w:bodyDiv w:val="1"/>
      <w:marLeft w:val="0"/>
      <w:marRight w:val="0"/>
      <w:marTop w:val="0"/>
      <w:marBottom w:val="0"/>
      <w:divBdr>
        <w:top w:val="none" w:sz="0" w:space="0" w:color="auto"/>
        <w:left w:val="none" w:sz="0" w:space="0" w:color="auto"/>
        <w:bottom w:val="none" w:sz="0" w:space="0" w:color="auto"/>
        <w:right w:val="none" w:sz="0" w:space="0" w:color="auto"/>
      </w:divBdr>
      <w:divsChild>
        <w:div w:id="920337060">
          <w:marLeft w:val="0"/>
          <w:marRight w:val="0"/>
          <w:marTop w:val="0"/>
          <w:marBottom w:val="0"/>
          <w:divBdr>
            <w:top w:val="none" w:sz="0" w:space="0" w:color="auto"/>
            <w:left w:val="none" w:sz="0" w:space="0" w:color="auto"/>
            <w:bottom w:val="none" w:sz="0" w:space="0" w:color="auto"/>
            <w:right w:val="none" w:sz="0" w:space="0" w:color="auto"/>
          </w:divBdr>
        </w:div>
        <w:div w:id="709840748">
          <w:marLeft w:val="0"/>
          <w:marRight w:val="0"/>
          <w:marTop w:val="0"/>
          <w:marBottom w:val="0"/>
          <w:divBdr>
            <w:top w:val="none" w:sz="0" w:space="0" w:color="auto"/>
            <w:left w:val="none" w:sz="0" w:space="0" w:color="auto"/>
            <w:bottom w:val="none" w:sz="0" w:space="0" w:color="auto"/>
            <w:right w:val="none" w:sz="0" w:space="0" w:color="auto"/>
          </w:divBdr>
        </w:div>
        <w:div w:id="1290745731">
          <w:marLeft w:val="0"/>
          <w:marRight w:val="0"/>
          <w:marTop w:val="0"/>
          <w:marBottom w:val="0"/>
          <w:divBdr>
            <w:top w:val="none" w:sz="0" w:space="0" w:color="auto"/>
            <w:left w:val="none" w:sz="0" w:space="0" w:color="auto"/>
            <w:bottom w:val="none" w:sz="0" w:space="0" w:color="auto"/>
            <w:right w:val="none" w:sz="0" w:space="0" w:color="auto"/>
          </w:divBdr>
        </w:div>
        <w:div w:id="1329869319">
          <w:marLeft w:val="0"/>
          <w:marRight w:val="0"/>
          <w:marTop w:val="0"/>
          <w:marBottom w:val="0"/>
          <w:divBdr>
            <w:top w:val="none" w:sz="0" w:space="0" w:color="auto"/>
            <w:left w:val="none" w:sz="0" w:space="0" w:color="auto"/>
            <w:bottom w:val="none" w:sz="0" w:space="0" w:color="auto"/>
            <w:right w:val="none" w:sz="0" w:space="0" w:color="auto"/>
          </w:divBdr>
        </w:div>
        <w:div w:id="88042820">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Normal.dotm</Template>
  <TotalTime>0</TotalTime>
  <Pages>15</Pages>
  <Words>5620</Words>
  <Characters>30914</Characters>
  <Application>Microsoft Office Word</Application>
  <DocSecurity>0</DocSecurity>
  <Lines>257</Lines>
  <Paragraphs>72</Paragraphs>
  <ScaleCrop>false</ScaleCrop>
  <Company/>
  <LinksUpToDate>false</LinksUpToDate>
  <CharactersWithSpaces>36462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Emilie Djawa</dc:creator>
  <cp:keywords/>
  <dc:description/>
  <cp:lastModifiedBy>Emilie Djawa</cp:lastModifiedBy>
  <cp:revision>1</cp:revision>
  <dcterms:created xsi:type="dcterms:W3CDTF">2025-06-06T08:26:00Z</dcterms:created>
  <dcterms:modified xsi:type="dcterms:W3CDTF">2025-06-06T08:26:00Z</dcterms:modified>
</cp:coreProperties>
</file>