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B4AE0E" w14:textId="77777777" w:rsidR="008327B2" w:rsidRPr="00945BA1" w:rsidRDefault="00CB640C" w:rsidP="00A40EEF">
      <w:pPr>
        <w:pStyle w:val="Titre1"/>
      </w:pPr>
      <w:r w:rsidRPr="00945BA1">
        <w:t>Introduction</w:t>
      </w:r>
      <w:r w:rsidR="00945BA1" w:rsidRPr="00945BA1">
        <w:t xml:space="preserve"> and background</w:t>
      </w:r>
    </w:p>
    <w:p w14:paraId="59860BC7" w14:textId="44BA23F7" w:rsidR="00B35A27" w:rsidRPr="00B1187E" w:rsidRDefault="00B35A27" w:rsidP="00A40EEF">
      <w:r w:rsidRPr="00B35A27">
        <w:t>Women’s fertility is well documented</w:t>
      </w:r>
      <w:r w:rsidR="00085F3B">
        <w:t xml:space="preserve"> globally</w:t>
      </w:r>
      <w:r w:rsidRPr="00B35A27">
        <w:t xml:space="preserve">. Although data quality is not always optimal and the wealth of information varies significantly </w:t>
      </w:r>
      <w:r w:rsidR="00B052FC">
        <w:t xml:space="preserve">across </w:t>
      </w:r>
      <w:r w:rsidRPr="00B35A27">
        <w:t>countries, estimates of women</w:t>
      </w:r>
      <w:r w:rsidR="00085F3B">
        <w:t>’</w:t>
      </w:r>
      <w:r w:rsidRPr="00B35A27">
        <w:t>s fertility are available and regularly updated for all countries in the world</w:t>
      </w:r>
      <w:r w:rsidR="00B052FC">
        <w:t xml:space="preserve"> </w:t>
      </w:r>
      <w:r w:rsidR="00B052FC" w:rsidRPr="00B052FC">
        <w:rPr>
          <w:rFonts w:cs="Times New Roman"/>
        </w:rPr>
        <w:t>(Uni</w:t>
      </w:r>
      <w:r w:rsidR="007A0F9C">
        <w:rPr>
          <w:rFonts w:cs="Times New Roman"/>
        </w:rPr>
        <w:t>ted Nations Population Division</w:t>
      </w:r>
      <w:r w:rsidR="00B052FC" w:rsidRPr="00B052FC">
        <w:rPr>
          <w:rFonts w:cs="Times New Roman"/>
        </w:rPr>
        <w:t xml:space="preserve"> 2017)</w:t>
      </w:r>
      <w:r w:rsidRPr="00B35A27">
        <w:t xml:space="preserve">. </w:t>
      </w:r>
      <w:r w:rsidRPr="00744A2B">
        <w:t xml:space="preserve">Fertility differentials, </w:t>
      </w:r>
      <w:r w:rsidR="00744A2B">
        <w:t>e.g.</w:t>
      </w:r>
      <w:r w:rsidR="00085F3B">
        <w:t>,</w:t>
      </w:r>
      <w:r w:rsidR="00744A2B">
        <w:t xml:space="preserve"> </w:t>
      </w:r>
      <w:r w:rsidRPr="00744A2B">
        <w:t xml:space="preserve">by education, are also generally well known through surveys, censuses, and civil registration systems. </w:t>
      </w:r>
      <w:r w:rsidR="00085F3B">
        <w:t>F</w:t>
      </w:r>
      <w:r w:rsidR="00B1187E">
        <w:t>emale fertility transitions</w:t>
      </w:r>
      <w:r w:rsidR="00B1187E" w:rsidRPr="00B1187E">
        <w:t xml:space="preserve"> </w:t>
      </w:r>
      <w:r w:rsidR="00B1187E">
        <w:t xml:space="preserve">are also fairly well described in most countries. </w:t>
      </w:r>
      <w:r w:rsidRPr="00B1187E">
        <w:t xml:space="preserve">On the other hand, information on male fertility is much </w:t>
      </w:r>
      <w:r w:rsidR="00744A2B">
        <w:t>less common</w:t>
      </w:r>
      <w:r w:rsidR="0011475F">
        <w:t xml:space="preserve"> </w:t>
      </w:r>
      <w:r w:rsidR="007A0F9C">
        <w:rPr>
          <w:rFonts w:cs="Times New Roman"/>
        </w:rPr>
        <w:t>(Bledsoe</w:t>
      </w:r>
      <w:r w:rsidR="00B97B82">
        <w:rPr>
          <w:rFonts w:cs="Times New Roman"/>
        </w:rPr>
        <w:t xml:space="preserve"> </w:t>
      </w:r>
      <w:r w:rsidR="00B97B82" w:rsidRPr="00B97B82">
        <w:rPr>
          <w:rFonts w:cs="Times New Roman"/>
          <w:i/>
        </w:rPr>
        <w:t>et al.</w:t>
      </w:r>
      <w:r w:rsidR="007A0F9C">
        <w:rPr>
          <w:rFonts w:cs="Times New Roman"/>
        </w:rPr>
        <w:t xml:space="preserve"> 2000; Coleman</w:t>
      </w:r>
      <w:r w:rsidR="009C3DB9" w:rsidRPr="001C3436">
        <w:rPr>
          <w:rFonts w:cs="Times New Roman"/>
        </w:rPr>
        <w:t xml:space="preserve"> 2000; Greene </w:t>
      </w:r>
      <w:r w:rsidR="007A0F9C">
        <w:rPr>
          <w:rFonts w:cs="Times New Roman"/>
        </w:rPr>
        <w:t xml:space="preserve">and </w:t>
      </w:r>
      <w:proofErr w:type="spellStart"/>
      <w:r w:rsidR="007A0F9C">
        <w:rPr>
          <w:rFonts w:cs="Times New Roman"/>
        </w:rPr>
        <w:t>Biddlecom</w:t>
      </w:r>
      <w:proofErr w:type="spellEnd"/>
      <w:r w:rsidR="007A0F9C">
        <w:rPr>
          <w:rFonts w:cs="Times New Roman"/>
        </w:rPr>
        <w:t xml:space="preserve"> 2000; Zhang</w:t>
      </w:r>
      <w:r w:rsidR="009C3DB9" w:rsidRPr="001C3436">
        <w:rPr>
          <w:rFonts w:cs="Times New Roman"/>
        </w:rPr>
        <w:t xml:space="preserve"> 2011)</w:t>
      </w:r>
      <w:r w:rsidRPr="00B1187E">
        <w:t xml:space="preserve">. </w:t>
      </w:r>
      <w:r w:rsidRPr="00143CD7">
        <w:t xml:space="preserve">How many children do men have in their lives? </w:t>
      </w:r>
      <w:r w:rsidR="00744A2B" w:rsidRPr="00744A2B">
        <w:t xml:space="preserve">At what </w:t>
      </w:r>
      <w:r w:rsidR="00744A2B">
        <w:t>ages do they have their child</w:t>
      </w:r>
      <w:r w:rsidR="00CB640C">
        <w:t>r</w:t>
      </w:r>
      <w:r w:rsidR="00744A2B">
        <w:t>en</w:t>
      </w:r>
      <w:r w:rsidRPr="00744A2B">
        <w:t xml:space="preserve">? </w:t>
      </w:r>
      <w:r w:rsidRPr="00143CD7">
        <w:t xml:space="preserve">How </w:t>
      </w:r>
      <w:r w:rsidR="00334B93">
        <w:t xml:space="preserve">has </w:t>
      </w:r>
      <w:r w:rsidR="00F70F3F">
        <w:t>male fertility change</w:t>
      </w:r>
      <w:r w:rsidR="00334B93">
        <w:t>d</w:t>
      </w:r>
      <w:r w:rsidR="00F70F3F">
        <w:t xml:space="preserve"> over </w:t>
      </w:r>
      <w:r w:rsidR="002549AA">
        <w:t>time</w:t>
      </w:r>
      <w:r w:rsidR="00334B93">
        <w:t>, and what can we expect in the coming decades</w:t>
      </w:r>
      <w:r w:rsidR="002549AA">
        <w:t xml:space="preserve">? </w:t>
      </w:r>
      <w:r w:rsidRPr="00B1187E">
        <w:t>These questions remain unanswered in many countries, espe</w:t>
      </w:r>
      <w:r w:rsidR="00B1187E" w:rsidRPr="00B1187E">
        <w:t>cially in developing countries</w:t>
      </w:r>
      <w:r w:rsidR="009C3DB9">
        <w:t xml:space="preserve">. </w:t>
      </w:r>
    </w:p>
    <w:p w14:paraId="067EB015" w14:textId="1E937611" w:rsidR="00CB640C" w:rsidRDefault="00507F63" w:rsidP="00A40EEF">
      <w:pPr>
        <w:rPr>
          <w:b/>
        </w:rPr>
      </w:pPr>
      <w:r>
        <w:t xml:space="preserve">This lack of information on male fertility reflects the focus </w:t>
      </w:r>
      <w:r w:rsidR="00B35A27" w:rsidRPr="00B35A27">
        <w:t>on women</w:t>
      </w:r>
      <w:r w:rsidR="00085F3B">
        <w:t>’</w:t>
      </w:r>
      <w:r w:rsidR="00B35A27" w:rsidRPr="00B35A27">
        <w:t>s fertility</w:t>
      </w:r>
      <w:r>
        <w:t xml:space="preserve"> in data</w:t>
      </w:r>
      <w:r w:rsidR="009073FC">
        <w:t>-</w:t>
      </w:r>
      <w:r>
        <w:t xml:space="preserve">collection efforts </w:t>
      </w:r>
      <w:r w:rsidRPr="00507F63">
        <w:rPr>
          <w:rFonts w:cs="Times New Roman"/>
          <w:szCs w:val="24"/>
        </w:rPr>
        <w:t>(</w:t>
      </w:r>
      <w:proofErr w:type="spellStart"/>
      <w:r w:rsidRPr="00507F63">
        <w:rPr>
          <w:rFonts w:cs="Times New Roman"/>
          <w:szCs w:val="24"/>
        </w:rPr>
        <w:t>Andro</w:t>
      </w:r>
      <w:proofErr w:type="spellEnd"/>
      <w:r w:rsidRPr="00507F63">
        <w:rPr>
          <w:rFonts w:cs="Times New Roman"/>
          <w:szCs w:val="24"/>
        </w:rPr>
        <w:t xml:space="preserve"> </w:t>
      </w:r>
      <w:r w:rsidR="007A0F9C">
        <w:rPr>
          <w:rFonts w:cs="Times New Roman"/>
          <w:szCs w:val="24"/>
        </w:rPr>
        <w:t xml:space="preserve">and </w:t>
      </w:r>
      <w:proofErr w:type="spellStart"/>
      <w:r w:rsidR="007A0F9C">
        <w:rPr>
          <w:rFonts w:cs="Times New Roman"/>
          <w:szCs w:val="24"/>
        </w:rPr>
        <w:t>Desgrées</w:t>
      </w:r>
      <w:proofErr w:type="spellEnd"/>
      <w:r w:rsidR="007A0F9C">
        <w:rPr>
          <w:rFonts w:cs="Times New Roman"/>
          <w:szCs w:val="24"/>
        </w:rPr>
        <w:t xml:space="preserve"> du </w:t>
      </w:r>
      <w:proofErr w:type="spellStart"/>
      <w:r w:rsidR="007A0F9C">
        <w:rPr>
          <w:rFonts w:cs="Times New Roman"/>
          <w:szCs w:val="24"/>
        </w:rPr>
        <w:t>Loû</w:t>
      </w:r>
      <w:proofErr w:type="spellEnd"/>
      <w:r w:rsidRPr="00507F63">
        <w:rPr>
          <w:rFonts w:cs="Times New Roman"/>
          <w:szCs w:val="24"/>
        </w:rPr>
        <w:t xml:space="preserve"> 2009; </w:t>
      </w:r>
      <w:proofErr w:type="spellStart"/>
      <w:r w:rsidRPr="00507F63">
        <w:rPr>
          <w:rFonts w:cs="Times New Roman"/>
          <w:szCs w:val="24"/>
        </w:rPr>
        <w:t>Goldscheider</w:t>
      </w:r>
      <w:proofErr w:type="spellEnd"/>
      <w:r w:rsidRPr="00507F63">
        <w:rPr>
          <w:rFonts w:cs="Times New Roman"/>
          <w:szCs w:val="24"/>
        </w:rPr>
        <w:t xml:space="preserve"> </w:t>
      </w:r>
      <w:r w:rsidR="007A0F9C">
        <w:rPr>
          <w:rFonts w:cs="Times New Roman"/>
          <w:szCs w:val="24"/>
        </w:rPr>
        <w:t>and Kaufman</w:t>
      </w:r>
      <w:r w:rsidRPr="00507F63">
        <w:rPr>
          <w:rFonts w:cs="Times New Roman"/>
          <w:szCs w:val="24"/>
        </w:rPr>
        <w:t xml:space="preserve"> 1996; Greene </w:t>
      </w:r>
      <w:r w:rsidR="007A0F9C">
        <w:rPr>
          <w:rFonts w:cs="Times New Roman"/>
          <w:szCs w:val="24"/>
        </w:rPr>
        <w:t xml:space="preserve">and </w:t>
      </w:r>
      <w:proofErr w:type="spellStart"/>
      <w:r w:rsidR="007A0F9C">
        <w:rPr>
          <w:rFonts w:cs="Times New Roman"/>
          <w:szCs w:val="24"/>
        </w:rPr>
        <w:t>Biddlecom</w:t>
      </w:r>
      <w:proofErr w:type="spellEnd"/>
      <w:r w:rsidRPr="00507F63">
        <w:rPr>
          <w:rFonts w:cs="Times New Roman"/>
          <w:szCs w:val="24"/>
        </w:rPr>
        <w:t xml:space="preserve"> 2000)</w:t>
      </w:r>
      <w:r w:rsidR="00B35A27" w:rsidRPr="00B35A27">
        <w:t xml:space="preserve">. </w:t>
      </w:r>
      <w:r w:rsidR="00B35A27">
        <w:t xml:space="preserve">If the aim is to count births, </w:t>
      </w:r>
      <w:r w:rsidR="00B35A27" w:rsidRPr="00B35A27">
        <w:t xml:space="preserve">this choice </w:t>
      </w:r>
      <w:r w:rsidR="00370657">
        <w:t xml:space="preserve">to focus on women </w:t>
      </w:r>
      <w:r w:rsidR="00B35A27" w:rsidRPr="00B35A27">
        <w:t xml:space="preserve">can be justified by a better quality of information and by a more precise and limited definition </w:t>
      </w:r>
      <w:r w:rsidR="0011475F">
        <w:t>of the population of child</w:t>
      </w:r>
      <w:r w:rsidR="00B35A27" w:rsidRPr="00B35A27">
        <w:t>bearing</w:t>
      </w:r>
      <w:r w:rsidR="00B35A27">
        <w:t xml:space="preserve"> age among women</w:t>
      </w:r>
      <w:r>
        <w:t>, as well as, in some settings, a greater availability of women to respond to surveys</w:t>
      </w:r>
      <w:r w:rsidR="00FF41C5">
        <w:t xml:space="preserve"> </w:t>
      </w:r>
      <w:r w:rsidR="00C02221">
        <w:rPr>
          <w:rFonts w:cs="Times New Roman"/>
        </w:rPr>
        <w:t>(Coleman</w:t>
      </w:r>
      <w:r w:rsidR="00B63349" w:rsidRPr="003B0259">
        <w:rPr>
          <w:rFonts w:cs="Times New Roman"/>
        </w:rPr>
        <w:t xml:space="preserve"> 2000; Greene </w:t>
      </w:r>
      <w:r w:rsidR="00C02221">
        <w:rPr>
          <w:rFonts w:cs="Times New Roman"/>
        </w:rPr>
        <w:t xml:space="preserve">and </w:t>
      </w:r>
      <w:proofErr w:type="spellStart"/>
      <w:r w:rsidR="00C02221">
        <w:rPr>
          <w:rFonts w:cs="Times New Roman"/>
        </w:rPr>
        <w:t>Biddlecom</w:t>
      </w:r>
      <w:proofErr w:type="spellEnd"/>
      <w:r w:rsidR="00B63349" w:rsidRPr="003B0259">
        <w:rPr>
          <w:rFonts w:cs="Times New Roman"/>
        </w:rPr>
        <w:t xml:space="preserve"> 2000)</w:t>
      </w:r>
      <w:r w:rsidR="00B35A27">
        <w:t xml:space="preserve">. But </w:t>
      </w:r>
      <w:r>
        <w:t>limiting data collection to women</w:t>
      </w:r>
      <w:r w:rsidR="00B35A27">
        <w:t xml:space="preserve"> </w:t>
      </w:r>
      <w:r w:rsidR="00B35A27" w:rsidRPr="00B35A27">
        <w:t>leads to ignor</w:t>
      </w:r>
      <w:r w:rsidR="009073FC">
        <w:t>ing</w:t>
      </w:r>
      <w:r w:rsidR="00B35A27" w:rsidRPr="00B35A27">
        <w:t xml:space="preserve"> the specificities </w:t>
      </w:r>
      <w:r w:rsidR="00B35A27">
        <w:t>of men</w:t>
      </w:r>
      <w:r w:rsidR="00085F3B">
        <w:t>’</w:t>
      </w:r>
      <w:r w:rsidR="00B35A27">
        <w:t>s reproductive</w:t>
      </w:r>
      <w:r w:rsidR="00B35A27" w:rsidRPr="002549AA">
        <w:rPr>
          <w:lang w:val="en-GB"/>
        </w:rPr>
        <w:t xml:space="preserve"> behaviour</w:t>
      </w:r>
      <w:r w:rsidR="00B35A27" w:rsidRPr="00B35A27">
        <w:t xml:space="preserve">, or </w:t>
      </w:r>
      <w:r>
        <w:t>to assume</w:t>
      </w:r>
      <w:r w:rsidR="00744A2B">
        <w:t xml:space="preserve"> </w:t>
      </w:r>
      <w:r w:rsidR="00B35A27" w:rsidRPr="00B35A27">
        <w:t xml:space="preserve">that </w:t>
      </w:r>
      <w:r>
        <w:t xml:space="preserve">men’s fertility </w:t>
      </w:r>
      <w:r w:rsidR="00334B93">
        <w:t xml:space="preserve">levels, patterns and changes </w:t>
      </w:r>
      <w:r w:rsidR="00B35A27" w:rsidRPr="00B35A27">
        <w:t>do not differ significantly from women.</w:t>
      </w:r>
      <w:r w:rsidR="0011475F">
        <w:t xml:space="preserve"> </w:t>
      </w:r>
    </w:p>
    <w:p w14:paraId="4535C07D" w14:textId="21056782" w:rsidR="00334B93" w:rsidRPr="00BD55C8" w:rsidRDefault="00CD646C" w:rsidP="00A40EEF">
      <w:r w:rsidRPr="00CD646C">
        <w:t>Despite the relative lack of research, empirical evidence on patterns and levels of male fertility has been produced in a variety of contexts</w:t>
      </w:r>
      <w:r w:rsidR="001C3436">
        <w:t xml:space="preserve"> </w:t>
      </w:r>
      <w:r w:rsidR="00C42682" w:rsidRPr="002549AA">
        <w:rPr>
          <w:rFonts w:cs="Times New Roman"/>
          <w:szCs w:val="24"/>
        </w:rPr>
        <w:t>(</w:t>
      </w:r>
      <w:proofErr w:type="spellStart"/>
      <w:r w:rsidR="00C42682" w:rsidRPr="002549AA">
        <w:rPr>
          <w:rFonts w:cs="Times New Roman"/>
          <w:szCs w:val="24"/>
        </w:rPr>
        <w:t>Brouard</w:t>
      </w:r>
      <w:proofErr w:type="spellEnd"/>
      <w:r w:rsidR="007A0F9C">
        <w:rPr>
          <w:rFonts w:cs="Times New Roman"/>
          <w:szCs w:val="24"/>
        </w:rPr>
        <w:t xml:space="preserve"> 1977; </w:t>
      </w:r>
      <w:proofErr w:type="spellStart"/>
      <w:r w:rsidR="007A0F9C">
        <w:rPr>
          <w:rFonts w:cs="Times New Roman"/>
          <w:szCs w:val="24"/>
        </w:rPr>
        <w:t>Donadjé</w:t>
      </w:r>
      <w:proofErr w:type="spellEnd"/>
      <w:r w:rsidR="00C42682" w:rsidRPr="00C42682">
        <w:rPr>
          <w:rFonts w:cs="Times New Roman"/>
          <w:szCs w:val="24"/>
        </w:rPr>
        <w:t xml:space="preserve"> 1992; </w:t>
      </w:r>
      <w:proofErr w:type="spellStart"/>
      <w:r w:rsidR="00C42682" w:rsidRPr="00C42682">
        <w:rPr>
          <w:rFonts w:cs="Times New Roman"/>
          <w:szCs w:val="24"/>
        </w:rPr>
        <w:t>Dudel</w:t>
      </w:r>
      <w:proofErr w:type="spellEnd"/>
      <w:r w:rsidR="00C42682" w:rsidRPr="00C42682">
        <w:rPr>
          <w:rFonts w:cs="Times New Roman"/>
          <w:szCs w:val="24"/>
        </w:rPr>
        <w:t xml:space="preserve"> </w:t>
      </w:r>
      <w:r w:rsidR="007A0F9C">
        <w:rPr>
          <w:rFonts w:cs="Times New Roman"/>
          <w:szCs w:val="24"/>
        </w:rPr>
        <w:t xml:space="preserve">and </w:t>
      </w:r>
      <w:proofErr w:type="spellStart"/>
      <w:r w:rsidR="007A0F9C">
        <w:rPr>
          <w:rFonts w:cs="Times New Roman"/>
          <w:szCs w:val="24"/>
        </w:rPr>
        <w:t>Klüsener</w:t>
      </w:r>
      <w:proofErr w:type="spellEnd"/>
      <w:r w:rsidR="007A0F9C">
        <w:rPr>
          <w:rFonts w:cs="Times New Roman"/>
          <w:szCs w:val="24"/>
        </w:rPr>
        <w:t xml:space="preserve"> 2016; Estee</w:t>
      </w:r>
      <w:r w:rsidR="00C42682" w:rsidRPr="00C42682">
        <w:rPr>
          <w:rFonts w:cs="Times New Roman"/>
          <w:szCs w:val="24"/>
        </w:rPr>
        <w:t xml:space="preserve"> 2004; </w:t>
      </w:r>
      <w:proofErr w:type="spellStart"/>
      <w:r w:rsidR="00C42682" w:rsidRPr="00C42682">
        <w:rPr>
          <w:rFonts w:cs="Times New Roman"/>
          <w:szCs w:val="24"/>
        </w:rPr>
        <w:t>Keilman</w:t>
      </w:r>
      <w:proofErr w:type="spellEnd"/>
      <w:r w:rsidR="00B97B82">
        <w:rPr>
          <w:rFonts w:cs="Times New Roman"/>
          <w:szCs w:val="24"/>
        </w:rPr>
        <w:t xml:space="preserve"> </w:t>
      </w:r>
      <w:r w:rsidR="00B97B82" w:rsidRPr="00B97B82">
        <w:rPr>
          <w:rFonts w:cs="Times New Roman"/>
          <w:i/>
          <w:szCs w:val="24"/>
        </w:rPr>
        <w:t>et al.</w:t>
      </w:r>
      <w:r w:rsidR="00C42682" w:rsidRPr="00C42682">
        <w:rPr>
          <w:rFonts w:cs="Times New Roman"/>
          <w:szCs w:val="24"/>
        </w:rPr>
        <w:t xml:space="preserve"> 2014; </w:t>
      </w:r>
      <w:proofErr w:type="spellStart"/>
      <w:r w:rsidR="00B74D75">
        <w:rPr>
          <w:rFonts w:cs="Times New Roman"/>
          <w:szCs w:val="24"/>
        </w:rPr>
        <w:t>K</w:t>
      </w:r>
      <w:r w:rsidR="00B74D75" w:rsidRPr="00B74D75">
        <w:rPr>
          <w:rFonts w:cs="Times New Roman"/>
          <w:szCs w:val="24"/>
        </w:rPr>
        <w:t>uczynski</w:t>
      </w:r>
      <w:proofErr w:type="spellEnd"/>
      <w:r w:rsidR="00B74D75">
        <w:rPr>
          <w:rFonts w:cs="Times New Roman"/>
          <w:szCs w:val="24"/>
        </w:rPr>
        <w:t xml:space="preserve"> 1932</w:t>
      </w:r>
      <w:r w:rsidR="003E2F1F">
        <w:rPr>
          <w:rFonts w:cs="Times New Roman"/>
          <w:szCs w:val="24"/>
        </w:rPr>
        <w:t>;</w:t>
      </w:r>
      <w:r w:rsidR="00B74D75">
        <w:rPr>
          <w:rFonts w:cs="Times New Roman"/>
          <w:szCs w:val="24"/>
        </w:rPr>
        <w:t xml:space="preserve"> </w:t>
      </w:r>
      <w:proofErr w:type="spellStart"/>
      <w:r w:rsidR="007A0F9C">
        <w:rPr>
          <w:rFonts w:cs="Times New Roman"/>
          <w:szCs w:val="24"/>
        </w:rPr>
        <w:t>Lognard</w:t>
      </w:r>
      <w:proofErr w:type="spellEnd"/>
      <w:r w:rsidR="00C42682" w:rsidRPr="00C42682">
        <w:rPr>
          <w:rFonts w:cs="Times New Roman"/>
          <w:szCs w:val="24"/>
        </w:rPr>
        <w:t xml:space="preserve"> 2010; </w:t>
      </w:r>
      <w:proofErr w:type="spellStart"/>
      <w:r w:rsidR="00C42682" w:rsidRPr="00C42682">
        <w:rPr>
          <w:rFonts w:cs="Times New Roman"/>
          <w:szCs w:val="24"/>
        </w:rPr>
        <w:t>Nordfalk</w:t>
      </w:r>
      <w:proofErr w:type="spellEnd"/>
      <w:r w:rsidR="00B97B82">
        <w:rPr>
          <w:rFonts w:cs="Times New Roman"/>
          <w:szCs w:val="24"/>
        </w:rPr>
        <w:t xml:space="preserve"> </w:t>
      </w:r>
      <w:r w:rsidR="00B97B82" w:rsidRPr="00B97B82">
        <w:rPr>
          <w:rFonts w:cs="Times New Roman"/>
          <w:i/>
          <w:szCs w:val="24"/>
        </w:rPr>
        <w:t>et al.</w:t>
      </w:r>
      <w:r w:rsidR="00B97B82">
        <w:rPr>
          <w:rFonts w:cs="Times New Roman"/>
          <w:szCs w:val="24"/>
        </w:rPr>
        <w:t xml:space="preserve"> </w:t>
      </w:r>
      <w:r w:rsidR="007A0F9C">
        <w:rPr>
          <w:rFonts w:cs="Times New Roman"/>
          <w:szCs w:val="24"/>
        </w:rPr>
        <w:t xml:space="preserve">2015; Paget and </w:t>
      </w:r>
      <w:proofErr w:type="spellStart"/>
      <w:r w:rsidR="007A0F9C">
        <w:rPr>
          <w:rFonts w:cs="Times New Roman"/>
          <w:szCs w:val="24"/>
        </w:rPr>
        <w:t>Timæus</w:t>
      </w:r>
      <w:proofErr w:type="spellEnd"/>
      <w:r w:rsidR="007A0F9C">
        <w:rPr>
          <w:rFonts w:cs="Times New Roman"/>
          <w:szCs w:val="24"/>
        </w:rPr>
        <w:t xml:space="preserve"> 1994; </w:t>
      </w:r>
      <w:proofErr w:type="spellStart"/>
      <w:r w:rsidR="007A0F9C">
        <w:rPr>
          <w:rFonts w:cs="Times New Roman"/>
          <w:szCs w:val="24"/>
        </w:rPr>
        <w:t>Pison</w:t>
      </w:r>
      <w:proofErr w:type="spellEnd"/>
      <w:r w:rsidR="00B97B82">
        <w:rPr>
          <w:rFonts w:cs="Times New Roman"/>
          <w:szCs w:val="24"/>
        </w:rPr>
        <w:t xml:space="preserve"> 1986; </w:t>
      </w:r>
      <w:proofErr w:type="spellStart"/>
      <w:r w:rsidR="00B97B82">
        <w:rPr>
          <w:rFonts w:cs="Times New Roman"/>
          <w:szCs w:val="24"/>
        </w:rPr>
        <w:t>Ratcliffe</w:t>
      </w:r>
      <w:proofErr w:type="spellEnd"/>
      <w:r w:rsidR="00B97B82">
        <w:rPr>
          <w:rFonts w:cs="Times New Roman"/>
          <w:szCs w:val="24"/>
        </w:rPr>
        <w:t xml:space="preserve"> </w:t>
      </w:r>
      <w:r w:rsidR="00B97B82" w:rsidRPr="00B97B82">
        <w:rPr>
          <w:rFonts w:cs="Times New Roman"/>
          <w:i/>
          <w:szCs w:val="24"/>
        </w:rPr>
        <w:t>et al.</w:t>
      </w:r>
      <w:r w:rsidR="00C42682" w:rsidRPr="00C42682">
        <w:rPr>
          <w:rFonts w:cs="Times New Roman"/>
          <w:szCs w:val="24"/>
        </w:rPr>
        <w:t xml:space="preserve"> 2000; </w:t>
      </w:r>
      <w:proofErr w:type="spellStart"/>
      <w:r w:rsidR="00C42682" w:rsidRPr="00C42682">
        <w:rPr>
          <w:rFonts w:cs="Times New Roman"/>
          <w:szCs w:val="24"/>
        </w:rPr>
        <w:t>Tragaki</w:t>
      </w:r>
      <w:proofErr w:type="spellEnd"/>
      <w:r w:rsidR="00C42682" w:rsidRPr="00C42682">
        <w:rPr>
          <w:rFonts w:cs="Times New Roman"/>
          <w:szCs w:val="24"/>
        </w:rPr>
        <w:t xml:space="preserve"> </w:t>
      </w:r>
      <w:r w:rsidR="007A0F9C">
        <w:rPr>
          <w:rFonts w:cs="Times New Roman"/>
          <w:szCs w:val="24"/>
        </w:rPr>
        <w:t xml:space="preserve">and </w:t>
      </w:r>
      <w:proofErr w:type="spellStart"/>
      <w:r w:rsidR="007A0F9C">
        <w:rPr>
          <w:rFonts w:cs="Times New Roman"/>
          <w:szCs w:val="24"/>
        </w:rPr>
        <w:t>Bagavos</w:t>
      </w:r>
      <w:proofErr w:type="spellEnd"/>
      <w:r w:rsidR="00C42682" w:rsidRPr="00C42682">
        <w:rPr>
          <w:rFonts w:cs="Times New Roman"/>
          <w:szCs w:val="24"/>
        </w:rPr>
        <w:t xml:space="preserve"> 2014)</w:t>
      </w:r>
      <w:r w:rsidRPr="00CD646C">
        <w:t xml:space="preserve">. From these studies, it is well established that the age pattern of male fertility is different from that of </w:t>
      </w:r>
      <w:r w:rsidR="00571F90">
        <w:t>women</w:t>
      </w:r>
      <w:r w:rsidRPr="00CD646C">
        <w:t xml:space="preserve">: the curves of age-specific fertility rates look similar, but the age span is larger among </w:t>
      </w:r>
      <w:r w:rsidR="00370657">
        <w:t>men</w:t>
      </w:r>
      <w:r w:rsidRPr="00CD646C">
        <w:t xml:space="preserve">, and the rates are typically lower at young ages and higher at higher ages among </w:t>
      </w:r>
      <w:r w:rsidR="00370657">
        <w:t>men</w:t>
      </w:r>
      <w:r w:rsidR="001F4029">
        <w:t xml:space="preserve"> </w:t>
      </w:r>
      <w:r w:rsidR="001F4029" w:rsidRPr="001F4029">
        <w:rPr>
          <w:rFonts w:cs="Times New Roman"/>
          <w:szCs w:val="24"/>
        </w:rPr>
        <w:t xml:space="preserve">(Paget </w:t>
      </w:r>
      <w:r w:rsidR="007A0F9C">
        <w:rPr>
          <w:rFonts w:cs="Times New Roman"/>
          <w:szCs w:val="24"/>
        </w:rPr>
        <w:t xml:space="preserve">and </w:t>
      </w:r>
      <w:proofErr w:type="spellStart"/>
      <w:r w:rsidR="007A0F9C">
        <w:rPr>
          <w:rFonts w:cs="Times New Roman"/>
          <w:szCs w:val="24"/>
        </w:rPr>
        <w:t>Timæus</w:t>
      </w:r>
      <w:proofErr w:type="spellEnd"/>
      <w:r w:rsidR="001F4029" w:rsidRPr="001F4029">
        <w:rPr>
          <w:rFonts w:cs="Times New Roman"/>
          <w:szCs w:val="24"/>
        </w:rPr>
        <w:t xml:space="preserve"> 1994)</w:t>
      </w:r>
      <w:r w:rsidRPr="00CD646C">
        <w:t xml:space="preserve">. The </w:t>
      </w:r>
      <w:r w:rsidR="00426CEF">
        <w:t xml:space="preserve">level </w:t>
      </w:r>
      <w:r w:rsidRPr="00CD646C">
        <w:t xml:space="preserve">of fertility also varies </w:t>
      </w:r>
      <w:r w:rsidR="000860D3">
        <w:t xml:space="preserve">with </w:t>
      </w:r>
      <w:r w:rsidRPr="00CD646C">
        <w:t xml:space="preserve">gender. In </w:t>
      </w:r>
      <w:r>
        <w:t>low</w:t>
      </w:r>
      <w:r w:rsidR="00C952D9">
        <w:t>-</w:t>
      </w:r>
      <w:r>
        <w:t xml:space="preserve">fertility </w:t>
      </w:r>
      <w:r w:rsidRPr="00CD646C">
        <w:t xml:space="preserve">settings, total fertility rates </w:t>
      </w:r>
      <w:r w:rsidR="00743799">
        <w:t xml:space="preserve">(TFRs) </w:t>
      </w:r>
      <w:r w:rsidRPr="00CD646C">
        <w:t xml:space="preserve">among </w:t>
      </w:r>
      <w:r w:rsidR="00370657">
        <w:t>men</w:t>
      </w:r>
      <w:r w:rsidR="00370657" w:rsidRPr="00CD646C">
        <w:t xml:space="preserve"> </w:t>
      </w:r>
      <w:r w:rsidRPr="00CD646C">
        <w:t xml:space="preserve">and </w:t>
      </w:r>
      <w:r w:rsidR="00370657">
        <w:t xml:space="preserve">women </w:t>
      </w:r>
      <w:r w:rsidRPr="00CD646C">
        <w:t xml:space="preserve">tend to be close to </w:t>
      </w:r>
      <w:r w:rsidRPr="00E54811">
        <w:t>each other</w:t>
      </w:r>
      <w:r w:rsidR="00F70F3F">
        <w:t xml:space="preserve">, and slightly lower among </w:t>
      </w:r>
      <w:r w:rsidR="00370657">
        <w:t xml:space="preserve">men </w:t>
      </w:r>
      <w:r w:rsidR="007A0F9C">
        <w:rPr>
          <w:rFonts w:cs="Times New Roman"/>
          <w:szCs w:val="24"/>
        </w:rPr>
        <w:t>(</w:t>
      </w:r>
      <w:proofErr w:type="spellStart"/>
      <w:r w:rsidR="007A0F9C">
        <w:rPr>
          <w:rFonts w:cs="Times New Roman"/>
          <w:szCs w:val="24"/>
        </w:rPr>
        <w:t>Dudel</w:t>
      </w:r>
      <w:proofErr w:type="spellEnd"/>
      <w:r w:rsidR="007A0F9C">
        <w:rPr>
          <w:rFonts w:cs="Times New Roman"/>
          <w:szCs w:val="24"/>
        </w:rPr>
        <w:t xml:space="preserve"> and </w:t>
      </w:r>
      <w:proofErr w:type="spellStart"/>
      <w:r w:rsidR="007A0F9C">
        <w:rPr>
          <w:rFonts w:cs="Times New Roman"/>
          <w:szCs w:val="24"/>
        </w:rPr>
        <w:t>Klüsener</w:t>
      </w:r>
      <w:proofErr w:type="spellEnd"/>
      <w:r w:rsidR="007A0F9C">
        <w:rPr>
          <w:rFonts w:cs="Times New Roman"/>
          <w:szCs w:val="24"/>
        </w:rPr>
        <w:t xml:space="preserve"> 2016; Estee 2004; Zhang</w:t>
      </w:r>
      <w:r w:rsidR="00F70F3F" w:rsidRPr="008B52D9">
        <w:rPr>
          <w:rFonts w:cs="Times New Roman"/>
          <w:szCs w:val="24"/>
        </w:rPr>
        <w:t xml:space="preserve"> 2011)</w:t>
      </w:r>
      <w:r w:rsidRPr="00E54811">
        <w:t>. In specific</w:t>
      </w:r>
      <w:r w:rsidRPr="00CD646C">
        <w:t xml:space="preserve"> circumstances affecting gender balance (e.g.</w:t>
      </w:r>
      <w:r w:rsidR="00CC059A">
        <w:t>,</w:t>
      </w:r>
      <w:r w:rsidRPr="00CD646C">
        <w:t xml:space="preserve"> wars, high male or female </w:t>
      </w:r>
      <w:r w:rsidRPr="00CD646C">
        <w:lastRenderedPageBreak/>
        <w:t xml:space="preserve">migration), </w:t>
      </w:r>
      <w:r w:rsidR="00743799">
        <w:t xml:space="preserve">TFRs </w:t>
      </w:r>
      <w:r w:rsidRPr="00CD646C">
        <w:t xml:space="preserve">may be very different between </w:t>
      </w:r>
      <w:r w:rsidR="00370657">
        <w:t>men</w:t>
      </w:r>
      <w:r w:rsidR="00370657" w:rsidRPr="00CD646C">
        <w:t xml:space="preserve"> </w:t>
      </w:r>
      <w:r w:rsidRPr="00CD646C">
        <w:t xml:space="preserve">and </w:t>
      </w:r>
      <w:r w:rsidR="00370657">
        <w:t>women</w:t>
      </w:r>
      <w:r w:rsidRPr="00CD646C">
        <w:t xml:space="preserve">. </w:t>
      </w:r>
      <w:r w:rsidR="00CC6473">
        <w:t xml:space="preserve">For instance, male fertility was substantially higher than female fertility in </w:t>
      </w:r>
      <w:r w:rsidR="003E2F1F">
        <w:t xml:space="preserve">France in </w:t>
      </w:r>
      <w:r w:rsidR="00CC6473">
        <w:t>the 1920s, after World War I</w:t>
      </w:r>
      <w:r w:rsidR="00315A6F">
        <w:t>, reflecting the shortage of men</w:t>
      </w:r>
      <w:r w:rsidR="003E2F1F">
        <w:t xml:space="preserve"> </w:t>
      </w:r>
      <w:r w:rsidR="007A0F9C">
        <w:rPr>
          <w:rFonts w:cs="Times New Roman"/>
        </w:rPr>
        <w:t>(</w:t>
      </w:r>
      <w:proofErr w:type="spellStart"/>
      <w:r w:rsidR="007A0F9C">
        <w:rPr>
          <w:rFonts w:cs="Times New Roman"/>
        </w:rPr>
        <w:t>Brouard</w:t>
      </w:r>
      <w:proofErr w:type="spellEnd"/>
      <w:r w:rsidR="007A0F9C">
        <w:rPr>
          <w:rFonts w:cs="Times New Roman"/>
        </w:rPr>
        <w:t xml:space="preserve"> 1977; Coleman</w:t>
      </w:r>
      <w:r w:rsidR="009D1096" w:rsidRPr="007F15E5">
        <w:rPr>
          <w:rFonts w:cs="Times New Roman"/>
        </w:rPr>
        <w:t xml:space="preserve"> 2000</w:t>
      </w:r>
      <w:r w:rsidR="009D1096">
        <w:rPr>
          <w:rFonts w:cs="Times New Roman"/>
        </w:rPr>
        <w:t xml:space="preserve">; </w:t>
      </w:r>
      <w:proofErr w:type="spellStart"/>
      <w:r w:rsidR="009D1096">
        <w:rPr>
          <w:rFonts w:cs="Times New Roman"/>
          <w:szCs w:val="24"/>
        </w:rPr>
        <w:t>K</w:t>
      </w:r>
      <w:r w:rsidR="009D1096" w:rsidRPr="00B74D75">
        <w:rPr>
          <w:rFonts w:cs="Times New Roman"/>
          <w:szCs w:val="24"/>
        </w:rPr>
        <w:t>uczynski</w:t>
      </w:r>
      <w:proofErr w:type="spellEnd"/>
      <w:r w:rsidR="009D1096">
        <w:rPr>
          <w:rFonts w:cs="Times New Roman"/>
          <w:szCs w:val="24"/>
        </w:rPr>
        <w:t xml:space="preserve"> 1932</w:t>
      </w:r>
      <w:r w:rsidR="009D1096" w:rsidRPr="007F15E5">
        <w:rPr>
          <w:rFonts w:cs="Times New Roman"/>
        </w:rPr>
        <w:t>)</w:t>
      </w:r>
      <w:r w:rsidR="00CC6473">
        <w:t xml:space="preserve">. </w:t>
      </w:r>
      <w:r>
        <w:t>In high fertility settings, research conduc</w:t>
      </w:r>
      <w:r w:rsidR="00426CEF">
        <w:t>ted in polygynous societies has</w:t>
      </w:r>
      <w:r>
        <w:t xml:space="preserve"> shown that</w:t>
      </w:r>
      <w:r w:rsidRPr="00CD646C">
        <w:t xml:space="preserve"> </w:t>
      </w:r>
      <w:r w:rsidR="00743799">
        <w:t xml:space="preserve">TFRs </w:t>
      </w:r>
      <w:r w:rsidR="00334B93">
        <w:t xml:space="preserve">can </w:t>
      </w:r>
      <w:r w:rsidRPr="00CD646C">
        <w:t xml:space="preserve">be much higher among </w:t>
      </w:r>
      <w:r w:rsidR="00370657">
        <w:t>men</w:t>
      </w:r>
      <w:r w:rsidRPr="00CD646C">
        <w:t xml:space="preserve"> than among </w:t>
      </w:r>
      <w:r w:rsidR="00571F90">
        <w:t>women</w:t>
      </w:r>
      <w:r w:rsidR="00805D26">
        <w:t xml:space="preserve"> </w:t>
      </w:r>
      <w:r w:rsidR="007A0F9C">
        <w:rPr>
          <w:rFonts w:cs="Times New Roman"/>
          <w:szCs w:val="24"/>
        </w:rPr>
        <w:t>(</w:t>
      </w:r>
      <w:proofErr w:type="spellStart"/>
      <w:r w:rsidR="007A0F9C">
        <w:rPr>
          <w:rFonts w:cs="Times New Roman"/>
          <w:szCs w:val="24"/>
        </w:rPr>
        <w:t>Donadjé</w:t>
      </w:r>
      <w:proofErr w:type="spellEnd"/>
      <w:r w:rsidR="007A0F9C">
        <w:rPr>
          <w:rFonts w:cs="Times New Roman"/>
          <w:szCs w:val="24"/>
        </w:rPr>
        <w:t xml:space="preserve"> 1992; </w:t>
      </w:r>
      <w:proofErr w:type="spellStart"/>
      <w:r w:rsidR="007A0F9C">
        <w:rPr>
          <w:rFonts w:cs="Times New Roman"/>
          <w:szCs w:val="24"/>
        </w:rPr>
        <w:t>Pison</w:t>
      </w:r>
      <w:proofErr w:type="spellEnd"/>
      <w:r w:rsidR="00C42682" w:rsidRPr="00C42682">
        <w:rPr>
          <w:rFonts w:cs="Times New Roman"/>
          <w:szCs w:val="24"/>
        </w:rPr>
        <w:t xml:space="preserve"> 1986; </w:t>
      </w:r>
      <w:proofErr w:type="spellStart"/>
      <w:r w:rsidR="00B97B82">
        <w:rPr>
          <w:rFonts w:cs="Times New Roman"/>
          <w:szCs w:val="24"/>
        </w:rPr>
        <w:t>Ratcliffe</w:t>
      </w:r>
      <w:proofErr w:type="spellEnd"/>
      <w:r w:rsidR="00B97B82">
        <w:rPr>
          <w:rFonts w:cs="Times New Roman"/>
          <w:szCs w:val="24"/>
        </w:rPr>
        <w:t xml:space="preserve"> </w:t>
      </w:r>
      <w:r w:rsidR="00B97B82" w:rsidRPr="00B97B82">
        <w:rPr>
          <w:rFonts w:cs="Times New Roman"/>
          <w:i/>
          <w:szCs w:val="24"/>
        </w:rPr>
        <w:t>et al.</w:t>
      </w:r>
      <w:r w:rsidR="007A0F9C" w:rsidRPr="00C42682">
        <w:rPr>
          <w:rFonts w:cs="Times New Roman"/>
          <w:szCs w:val="24"/>
        </w:rPr>
        <w:t xml:space="preserve"> 2000</w:t>
      </w:r>
      <w:r w:rsidR="00C42682" w:rsidRPr="00C42682">
        <w:rPr>
          <w:rFonts w:cs="Times New Roman"/>
          <w:szCs w:val="24"/>
        </w:rPr>
        <w:t>)</w:t>
      </w:r>
      <w:r w:rsidR="00805D26">
        <w:t xml:space="preserve">. </w:t>
      </w:r>
      <w:proofErr w:type="spellStart"/>
      <w:r w:rsidRPr="00CD646C">
        <w:t>Pison</w:t>
      </w:r>
      <w:proofErr w:type="spellEnd"/>
      <w:r w:rsidRPr="00CD646C">
        <w:t xml:space="preserve"> </w:t>
      </w:r>
      <w:r w:rsidR="00C42682" w:rsidRPr="00C42682">
        <w:rPr>
          <w:rFonts w:cs="Times New Roman"/>
        </w:rPr>
        <w:t>(1986)</w:t>
      </w:r>
      <w:r w:rsidR="001C3436">
        <w:t xml:space="preserve"> </w:t>
      </w:r>
      <w:r w:rsidRPr="00CD646C">
        <w:t xml:space="preserve">found a </w:t>
      </w:r>
      <w:r w:rsidR="00743799">
        <w:t xml:space="preserve">TFR </w:t>
      </w:r>
      <w:r w:rsidRPr="00CD646C">
        <w:t xml:space="preserve">of 11.2 children among male </w:t>
      </w:r>
      <w:proofErr w:type="spellStart"/>
      <w:r w:rsidRPr="00CD646C">
        <w:t>Bande</w:t>
      </w:r>
      <w:proofErr w:type="spellEnd"/>
      <w:r w:rsidRPr="00CD646C">
        <w:t xml:space="preserve"> Fulani in Senegal in the late 1970s</w:t>
      </w:r>
      <w:r w:rsidR="003C1EE3">
        <w:t>–</w:t>
      </w:r>
      <w:r w:rsidRPr="00CD646C">
        <w:t xml:space="preserve">early 1980s (6.7 among </w:t>
      </w:r>
      <w:r w:rsidR="00571F90">
        <w:t>women</w:t>
      </w:r>
      <w:r w:rsidRPr="00BD55C8">
        <w:t>)</w:t>
      </w:r>
      <w:r w:rsidR="003C1EE3">
        <w:t>,</w:t>
      </w:r>
      <w:r w:rsidRPr="00BD55C8">
        <w:t xml:space="preserve"> and </w:t>
      </w:r>
      <w:proofErr w:type="spellStart"/>
      <w:r w:rsidRPr="00BD55C8">
        <w:t>Ratcliffe</w:t>
      </w:r>
      <w:proofErr w:type="spellEnd"/>
      <w:r w:rsidRPr="00BD55C8">
        <w:t xml:space="preserve"> </w:t>
      </w:r>
      <w:r w:rsidRPr="006245BA">
        <w:rPr>
          <w:i/>
        </w:rPr>
        <w:t>et al.</w:t>
      </w:r>
      <w:r w:rsidRPr="00BD55C8">
        <w:t xml:space="preserve"> </w:t>
      </w:r>
      <w:r w:rsidRPr="00BD55C8">
        <w:rPr>
          <w:noProof/>
        </w:rPr>
        <w:t>(2000)</w:t>
      </w:r>
      <w:r w:rsidRPr="00BD55C8">
        <w:t xml:space="preserve"> found a TFR of 12.0 in </w:t>
      </w:r>
      <w:r w:rsidR="003C1EE3">
        <w:t>r</w:t>
      </w:r>
      <w:r w:rsidRPr="00BD55C8">
        <w:t xml:space="preserve">ural Gambia in the mid-1990s (6.8 among </w:t>
      </w:r>
      <w:r w:rsidR="00571F90">
        <w:t>women</w:t>
      </w:r>
      <w:r w:rsidRPr="00BD55C8">
        <w:t>).</w:t>
      </w:r>
      <w:r w:rsidR="003F23D6" w:rsidRPr="00BD55C8">
        <w:t xml:space="preserve"> Mean ages at fatherhood are also much higher than mean ages at childbearing in these populations.</w:t>
      </w:r>
      <w:r w:rsidR="003E1BEC" w:rsidRPr="00BD55C8">
        <w:t xml:space="preserve"> </w:t>
      </w:r>
    </w:p>
    <w:p w14:paraId="3A26515B" w14:textId="3A29CE32" w:rsidR="00F70F3F" w:rsidRDefault="00CD646C" w:rsidP="00A40EEF">
      <w:r w:rsidRPr="00CD646C">
        <w:t xml:space="preserve">While differences between male and female fertility have been documented in a variety of contexts, there is little or no published information on age-specific male fertility rates </w:t>
      </w:r>
      <w:r w:rsidR="007D299A">
        <w:t xml:space="preserve">for </w:t>
      </w:r>
      <w:r w:rsidR="00F70F3F">
        <w:t xml:space="preserve">many countries of the </w:t>
      </w:r>
      <w:r w:rsidR="007D299A">
        <w:t>w</w:t>
      </w:r>
      <w:r w:rsidR="00F70F3F">
        <w:t>orld</w:t>
      </w:r>
      <w:r w:rsidRPr="00CD646C">
        <w:t xml:space="preserve">. </w:t>
      </w:r>
      <w:r w:rsidR="00172A5D">
        <w:t xml:space="preserve">Comparative studies are </w:t>
      </w:r>
      <w:r w:rsidRPr="00CD646C">
        <w:t>to a large extent limited to developed and emerging countries</w:t>
      </w:r>
      <w:r w:rsidR="00334B93">
        <w:t xml:space="preserve">, using data </w:t>
      </w:r>
      <w:r w:rsidR="00334B93" w:rsidRPr="00CD646C">
        <w:t xml:space="preserve">from the </w:t>
      </w:r>
      <w:r w:rsidR="00334B93" w:rsidRPr="004F7824">
        <w:rPr>
          <w:i/>
        </w:rPr>
        <w:t>United Nations Demograph</w:t>
      </w:r>
      <w:r w:rsidR="00295DC5" w:rsidRPr="004F7824">
        <w:rPr>
          <w:i/>
        </w:rPr>
        <w:t>ic</w:t>
      </w:r>
      <w:r w:rsidR="00334B93" w:rsidRPr="004F7824">
        <w:rPr>
          <w:i/>
        </w:rPr>
        <w:t xml:space="preserve"> Yearbook</w:t>
      </w:r>
      <w:r w:rsidRPr="00CD646C">
        <w:t xml:space="preserve">. </w:t>
      </w:r>
      <w:r w:rsidR="00172A5D">
        <w:t xml:space="preserve">For instance, </w:t>
      </w:r>
      <w:r w:rsidR="00172A5D" w:rsidRPr="00172A5D">
        <w:t xml:space="preserve">Zhang’s </w:t>
      </w:r>
      <w:r w:rsidR="00172A5D" w:rsidRPr="00172A5D">
        <w:rPr>
          <w:rFonts w:cs="Times New Roman"/>
        </w:rPr>
        <w:t>(2011)</w:t>
      </w:r>
      <w:r w:rsidR="006C6EDF">
        <w:t xml:space="preserve"> </w:t>
      </w:r>
      <w:r w:rsidR="00172A5D" w:rsidRPr="00172A5D">
        <w:t>extensive analysis of male fertility levels across 43 countries</w:t>
      </w:r>
      <w:r w:rsidR="00652550">
        <w:t xml:space="preserve"> </w:t>
      </w:r>
      <w:r w:rsidR="00334B93">
        <w:t xml:space="preserve">included </w:t>
      </w:r>
      <w:r w:rsidR="00172A5D" w:rsidRPr="00172A5D">
        <w:t xml:space="preserve">only one country from sub-Saharan Africa </w:t>
      </w:r>
      <w:r w:rsidR="008C1730" w:rsidRPr="00172A5D">
        <w:t>(Mauritius)</w:t>
      </w:r>
      <w:r w:rsidR="00172A5D" w:rsidRPr="00172A5D">
        <w:t>.</w:t>
      </w:r>
      <w:r w:rsidR="008C1730">
        <w:t xml:space="preserve"> </w:t>
      </w:r>
      <w:r w:rsidRPr="00CD646C">
        <w:t>In developing countries, and especially in sub-Saharan Africa, demographic accounts of male fertility are rare and are mainly available at the local or regional level</w:t>
      </w:r>
      <w:r w:rsidR="002549AA">
        <w:t xml:space="preserve"> </w:t>
      </w:r>
      <w:r w:rsidR="006245BA">
        <w:rPr>
          <w:rFonts w:cs="Times New Roman"/>
          <w:szCs w:val="24"/>
        </w:rPr>
        <w:t>(</w:t>
      </w:r>
      <w:proofErr w:type="spellStart"/>
      <w:r w:rsidR="006245BA">
        <w:rPr>
          <w:rFonts w:cs="Times New Roman"/>
          <w:szCs w:val="24"/>
        </w:rPr>
        <w:t>Donadjé</w:t>
      </w:r>
      <w:proofErr w:type="spellEnd"/>
      <w:r w:rsidR="006245BA">
        <w:rPr>
          <w:rFonts w:cs="Times New Roman"/>
          <w:szCs w:val="24"/>
        </w:rPr>
        <w:t xml:space="preserve"> 1992; </w:t>
      </w:r>
      <w:proofErr w:type="spellStart"/>
      <w:r w:rsidR="006245BA">
        <w:rPr>
          <w:rFonts w:cs="Times New Roman"/>
          <w:szCs w:val="24"/>
        </w:rPr>
        <w:t>Pison</w:t>
      </w:r>
      <w:proofErr w:type="spellEnd"/>
      <w:r w:rsidR="00C42682" w:rsidRPr="00B76D7C">
        <w:rPr>
          <w:rFonts w:cs="Times New Roman"/>
          <w:szCs w:val="24"/>
        </w:rPr>
        <w:t xml:space="preserve"> 1986; </w:t>
      </w:r>
      <w:proofErr w:type="spellStart"/>
      <w:r w:rsidR="00B97B82">
        <w:rPr>
          <w:rFonts w:cs="Times New Roman"/>
          <w:szCs w:val="24"/>
        </w:rPr>
        <w:t>Ratcliffe</w:t>
      </w:r>
      <w:proofErr w:type="spellEnd"/>
      <w:r w:rsidR="00B97B82">
        <w:rPr>
          <w:rFonts w:cs="Times New Roman"/>
          <w:szCs w:val="24"/>
        </w:rPr>
        <w:t xml:space="preserve"> </w:t>
      </w:r>
      <w:r w:rsidR="00B97B82" w:rsidRPr="00B97B82">
        <w:rPr>
          <w:rFonts w:cs="Times New Roman"/>
          <w:i/>
          <w:szCs w:val="24"/>
        </w:rPr>
        <w:t>et al.</w:t>
      </w:r>
      <w:r w:rsidR="00B97B82" w:rsidRPr="00C42682">
        <w:rPr>
          <w:rFonts w:cs="Times New Roman"/>
          <w:szCs w:val="24"/>
        </w:rPr>
        <w:t xml:space="preserve"> 2000</w:t>
      </w:r>
      <w:r w:rsidR="00C42682" w:rsidRPr="00B76D7C">
        <w:rPr>
          <w:rFonts w:cs="Times New Roman"/>
          <w:szCs w:val="24"/>
        </w:rPr>
        <w:t>)</w:t>
      </w:r>
      <w:r w:rsidRPr="00CD646C">
        <w:t xml:space="preserve">. </w:t>
      </w:r>
    </w:p>
    <w:p w14:paraId="6B0BD0A5" w14:textId="2F6139EF" w:rsidR="006E0F46" w:rsidRPr="00BD55C8" w:rsidRDefault="00BE732C" w:rsidP="00A40EEF">
      <w:proofErr w:type="gramStart"/>
      <w:r>
        <w:t>While t</w:t>
      </w:r>
      <w:r w:rsidR="003E1BEC">
        <w:t>rends in male fert</w:t>
      </w:r>
      <w:r w:rsidR="00867355">
        <w:t>ility are even less documented</w:t>
      </w:r>
      <w:r w:rsidR="00B63349">
        <w:t xml:space="preserve"> </w:t>
      </w:r>
      <w:r w:rsidR="006245BA">
        <w:rPr>
          <w:rFonts w:cs="Times New Roman"/>
          <w:szCs w:val="24"/>
        </w:rPr>
        <w:t>(</w:t>
      </w:r>
      <w:proofErr w:type="spellStart"/>
      <w:r w:rsidR="006245BA">
        <w:rPr>
          <w:rFonts w:cs="Times New Roman"/>
          <w:szCs w:val="24"/>
        </w:rPr>
        <w:t>Dudel</w:t>
      </w:r>
      <w:proofErr w:type="spellEnd"/>
      <w:r w:rsidR="006245BA">
        <w:rPr>
          <w:rFonts w:cs="Times New Roman"/>
          <w:szCs w:val="24"/>
        </w:rPr>
        <w:t xml:space="preserve"> and </w:t>
      </w:r>
      <w:proofErr w:type="spellStart"/>
      <w:r w:rsidR="006245BA">
        <w:rPr>
          <w:rFonts w:cs="Times New Roman"/>
          <w:szCs w:val="24"/>
        </w:rPr>
        <w:t>Klüsener</w:t>
      </w:r>
      <w:proofErr w:type="spellEnd"/>
      <w:r w:rsidR="00426CEF" w:rsidRPr="00426CEF">
        <w:rPr>
          <w:rFonts w:cs="Times New Roman"/>
          <w:szCs w:val="24"/>
        </w:rPr>
        <w:t xml:space="preserve"> 2018</w:t>
      </w:r>
      <w:r w:rsidR="00142A90">
        <w:rPr>
          <w:rFonts w:cs="Times New Roman"/>
          <w:szCs w:val="24"/>
        </w:rPr>
        <w:t>a</w:t>
      </w:r>
      <w:r w:rsidR="00426CEF" w:rsidRPr="00426CEF">
        <w:rPr>
          <w:rFonts w:cs="Times New Roman"/>
          <w:szCs w:val="24"/>
        </w:rPr>
        <w:t xml:space="preserve">; </w:t>
      </w:r>
      <w:proofErr w:type="spellStart"/>
      <w:r w:rsidR="00426CEF" w:rsidRPr="00426CEF">
        <w:rPr>
          <w:rFonts w:cs="Times New Roman"/>
          <w:szCs w:val="24"/>
        </w:rPr>
        <w:t>Vallin</w:t>
      </w:r>
      <w:proofErr w:type="spellEnd"/>
      <w:r w:rsidR="00426CEF" w:rsidRPr="00426CEF">
        <w:rPr>
          <w:rFonts w:cs="Times New Roman"/>
          <w:szCs w:val="24"/>
        </w:rPr>
        <w:t xml:space="preserve"> </w:t>
      </w:r>
      <w:r w:rsidR="006245BA">
        <w:rPr>
          <w:rFonts w:cs="Times New Roman"/>
          <w:szCs w:val="24"/>
        </w:rPr>
        <w:t>and Caselli</w:t>
      </w:r>
      <w:r w:rsidR="00426CEF" w:rsidRPr="00426CEF">
        <w:rPr>
          <w:rFonts w:cs="Times New Roman"/>
          <w:szCs w:val="24"/>
        </w:rPr>
        <w:t xml:space="preserve"> 2001)</w:t>
      </w:r>
      <w:r w:rsidR="00867355">
        <w:t xml:space="preserve">, existing research </w:t>
      </w:r>
      <w:r>
        <w:t xml:space="preserve">does </w:t>
      </w:r>
      <w:r w:rsidR="00867355">
        <w:t>show a few key findings.</w:t>
      </w:r>
      <w:proofErr w:type="gramEnd"/>
      <w:r w:rsidR="00867355">
        <w:t xml:space="preserve"> First, </w:t>
      </w:r>
      <w:r w:rsidR="006E1054">
        <w:t>the ratio of male to female total fertility tends to decrease during the course of the fertility transition</w:t>
      </w:r>
      <w:r w:rsidR="00315A6F">
        <w:t xml:space="preserve"> </w:t>
      </w:r>
      <w:r w:rsidR="006245BA">
        <w:rPr>
          <w:rFonts w:cs="Times New Roman"/>
        </w:rPr>
        <w:t>(Coleman</w:t>
      </w:r>
      <w:r w:rsidR="00315A6F" w:rsidRPr="00315A6F">
        <w:rPr>
          <w:rFonts w:cs="Times New Roman"/>
        </w:rPr>
        <w:t xml:space="preserve"> 2000)</w:t>
      </w:r>
      <w:r w:rsidR="006E1054">
        <w:t xml:space="preserve">. Parish registers from </w:t>
      </w:r>
      <w:proofErr w:type="spellStart"/>
      <w:r w:rsidR="006E1054">
        <w:t>Bejsce</w:t>
      </w:r>
      <w:proofErr w:type="spellEnd"/>
      <w:r w:rsidR="006E1054">
        <w:t xml:space="preserve"> (</w:t>
      </w:r>
      <w:r w:rsidR="006E1054" w:rsidRPr="006E1054">
        <w:t>Poland</w:t>
      </w:r>
      <w:r w:rsidR="006E1054">
        <w:t xml:space="preserve">) show that male total fertility was around 20% higher than female fertility during much of the </w:t>
      </w:r>
      <w:r>
        <w:t xml:space="preserve">nineteenth </w:t>
      </w:r>
      <w:r w:rsidR="006E1054">
        <w:t xml:space="preserve">century but was lower than female fertility by the second half of the twentieth century </w:t>
      </w:r>
      <w:r w:rsidR="006E1054" w:rsidRPr="006E1054">
        <w:rPr>
          <w:rFonts w:cs="Times New Roman"/>
        </w:rPr>
        <w:t>(</w:t>
      </w:r>
      <w:proofErr w:type="spellStart"/>
      <w:r w:rsidR="006245BA" w:rsidRPr="00C42682">
        <w:rPr>
          <w:rFonts w:cs="Times New Roman"/>
          <w:szCs w:val="24"/>
        </w:rPr>
        <w:t>Keilman</w:t>
      </w:r>
      <w:proofErr w:type="spellEnd"/>
      <w:r w:rsidR="00B97B82">
        <w:rPr>
          <w:rFonts w:cs="Times New Roman"/>
          <w:szCs w:val="24"/>
        </w:rPr>
        <w:t xml:space="preserve"> </w:t>
      </w:r>
      <w:r w:rsidR="00B97B82" w:rsidRPr="00B97B82">
        <w:rPr>
          <w:rFonts w:cs="Times New Roman"/>
          <w:i/>
          <w:szCs w:val="24"/>
        </w:rPr>
        <w:t>et al.</w:t>
      </w:r>
      <w:r w:rsidR="006245BA" w:rsidRPr="00C42682">
        <w:rPr>
          <w:rFonts w:cs="Times New Roman"/>
          <w:szCs w:val="24"/>
        </w:rPr>
        <w:t xml:space="preserve"> 2014</w:t>
      </w:r>
      <w:r w:rsidR="006E1054" w:rsidRPr="006E1054">
        <w:rPr>
          <w:rFonts w:cs="Times New Roman"/>
        </w:rPr>
        <w:t>)</w:t>
      </w:r>
      <w:r w:rsidR="006E1054">
        <w:t xml:space="preserve">. </w:t>
      </w:r>
      <w:proofErr w:type="spellStart"/>
      <w:r w:rsidR="006E1054">
        <w:t>Brouard’s</w:t>
      </w:r>
      <w:proofErr w:type="spellEnd"/>
      <w:r w:rsidR="006E1054">
        <w:t xml:space="preserve"> description of male and female fertility trends over the twentieth century in France also illustrates this decreasing ratio of male to female fertility </w:t>
      </w:r>
      <w:r w:rsidR="006245BA">
        <w:rPr>
          <w:rFonts w:cs="Times New Roman"/>
        </w:rPr>
        <w:t>(</w:t>
      </w:r>
      <w:proofErr w:type="spellStart"/>
      <w:r w:rsidR="006245BA">
        <w:rPr>
          <w:rFonts w:cs="Times New Roman"/>
        </w:rPr>
        <w:t>Brouard</w:t>
      </w:r>
      <w:proofErr w:type="spellEnd"/>
      <w:r w:rsidR="006E1054" w:rsidRPr="006E1054">
        <w:rPr>
          <w:rFonts w:cs="Times New Roman"/>
        </w:rPr>
        <w:t xml:space="preserve"> 1977)</w:t>
      </w:r>
      <w:r w:rsidR="00426CEF">
        <w:t xml:space="preserve">. </w:t>
      </w:r>
      <w:r w:rsidR="00424E04">
        <w:t xml:space="preserve">In Taiwan, Zhang (2011) showed that male </w:t>
      </w:r>
      <w:r w:rsidR="009D1096">
        <w:t xml:space="preserve">total </w:t>
      </w:r>
      <w:r w:rsidR="00424E04">
        <w:t>fertility</w:t>
      </w:r>
      <w:r w:rsidR="009D1096">
        <w:t>, which was roughly 20% higher than female fertility in the 1970s,</w:t>
      </w:r>
      <w:r w:rsidR="00424E04">
        <w:t xml:space="preserve"> had declined faster than female fertility </w:t>
      </w:r>
      <w:r w:rsidR="009D1096">
        <w:t>and was close to female fertility by the early 2000s</w:t>
      </w:r>
      <w:r w:rsidR="00424E04">
        <w:t xml:space="preserve">. Finally, a recent research by </w:t>
      </w:r>
      <w:proofErr w:type="spellStart"/>
      <w:r w:rsidR="00424E04">
        <w:t>Dudel</w:t>
      </w:r>
      <w:proofErr w:type="spellEnd"/>
      <w:r w:rsidR="00424E04">
        <w:t xml:space="preserve"> and </w:t>
      </w:r>
      <w:proofErr w:type="spellStart"/>
      <w:r w:rsidR="00424E04">
        <w:t>Klüsener</w:t>
      </w:r>
      <w:proofErr w:type="spellEnd"/>
      <w:r w:rsidR="00424E04">
        <w:t xml:space="preserve"> </w:t>
      </w:r>
      <w:r w:rsidR="00424E04" w:rsidRPr="00426CEF">
        <w:rPr>
          <w:rFonts w:cs="Times New Roman"/>
        </w:rPr>
        <w:t>(2018</w:t>
      </w:r>
      <w:r w:rsidR="00424E04">
        <w:rPr>
          <w:rFonts w:cs="Times New Roman"/>
        </w:rPr>
        <w:t>a</w:t>
      </w:r>
      <w:r w:rsidR="00424E04" w:rsidRPr="00426CEF">
        <w:rPr>
          <w:rFonts w:cs="Times New Roman"/>
        </w:rPr>
        <w:t>)</w:t>
      </w:r>
      <w:r w:rsidR="00424E04">
        <w:t xml:space="preserve"> on male and female fertility trends since the 1970s in 14 European countries shows that male fertility is lower than </w:t>
      </w:r>
      <w:r w:rsidR="00424E04" w:rsidRPr="00BD55C8">
        <w:t>female fertility in recent periods, but was higher in several countries in the 1970s (e.g. Spain, Italy).</w:t>
      </w:r>
      <w:r w:rsidR="00426CEF" w:rsidRPr="00BD55C8">
        <w:t xml:space="preserve"> Although t</w:t>
      </w:r>
      <w:r w:rsidR="00D31045" w:rsidRPr="00BD55C8">
        <w:t xml:space="preserve">hese </w:t>
      </w:r>
      <w:r w:rsidR="00315A6F" w:rsidRPr="00BD55C8">
        <w:t xml:space="preserve">pieces of research </w:t>
      </w:r>
      <w:r w:rsidR="00426CEF" w:rsidRPr="00BD55C8">
        <w:t xml:space="preserve">are limited to a few countries, they suggest </w:t>
      </w:r>
      <w:r w:rsidR="00D31045" w:rsidRPr="00BD55C8">
        <w:t>that male fertility declined faster than female fertility.</w:t>
      </w:r>
      <w:r w:rsidR="00315A6F" w:rsidRPr="00BD55C8">
        <w:t xml:space="preserve"> </w:t>
      </w:r>
      <w:r w:rsidR="006E0F46" w:rsidRPr="00BD55C8">
        <w:t xml:space="preserve">However, very little is known </w:t>
      </w:r>
      <w:r w:rsidR="00176BB5" w:rsidRPr="00BD55C8">
        <w:t>on</w:t>
      </w:r>
      <w:r w:rsidR="006E0F46" w:rsidRPr="00BD55C8">
        <w:t xml:space="preserve"> changes in male </w:t>
      </w:r>
      <w:r w:rsidR="006E0F46" w:rsidRPr="00BD55C8">
        <w:lastRenderedPageBreak/>
        <w:t xml:space="preserve">fertility during the fertility transition in </w:t>
      </w:r>
      <w:r w:rsidR="00176BB5" w:rsidRPr="00BD55C8">
        <w:t xml:space="preserve">most countries, and especially in </w:t>
      </w:r>
      <w:r w:rsidR="006E0F46" w:rsidRPr="00BD55C8">
        <w:t xml:space="preserve">developing countries. </w:t>
      </w:r>
      <w:r w:rsidR="00176BB5" w:rsidRPr="00BD55C8">
        <w:t>At what pace does male fertility decline,</w:t>
      </w:r>
      <w:r w:rsidR="004470BF" w:rsidRPr="00BD55C8">
        <w:t xml:space="preserve"> </w:t>
      </w:r>
      <w:r w:rsidR="00176BB5" w:rsidRPr="00BD55C8">
        <w:t xml:space="preserve">how different </w:t>
      </w:r>
      <w:r w:rsidR="00C460BA" w:rsidRPr="00BD55C8">
        <w:t xml:space="preserve">are </w:t>
      </w:r>
      <w:r w:rsidR="00176BB5" w:rsidRPr="00BD55C8">
        <w:t>fertility decline</w:t>
      </w:r>
      <w:r w:rsidR="00C460BA" w:rsidRPr="00BD55C8">
        <w:t>s</w:t>
      </w:r>
      <w:r w:rsidR="00176BB5" w:rsidRPr="00BD55C8">
        <w:t xml:space="preserve"> among </w:t>
      </w:r>
      <w:r w:rsidR="00370657">
        <w:t>men</w:t>
      </w:r>
      <w:r w:rsidR="00176BB5" w:rsidRPr="00BD55C8">
        <w:t xml:space="preserve"> </w:t>
      </w:r>
      <w:r w:rsidR="00C460BA" w:rsidRPr="00BD55C8">
        <w:t xml:space="preserve">and </w:t>
      </w:r>
      <w:r w:rsidR="00571F90">
        <w:t>women</w:t>
      </w:r>
      <w:r w:rsidR="00176BB5" w:rsidRPr="00BD55C8">
        <w:t xml:space="preserve">, and what </w:t>
      </w:r>
      <w:r>
        <w:t xml:space="preserve">can </w:t>
      </w:r>
      <w:r w:rsidR="00176BB5" w:rsidRPr="00BD55C8">
        <w:t xml:space="preserve">these differences </w:t>
      </w:r>
      <w:proofErr w:type="gramStart"/>
      <w:r w:rsidR="00176BB5" w:rsidRPr="00BD55C8">
        <w:t>tell</w:t>
      </w:r>
      <w:proofErr w:type="gramEnd"/>
      <w:r w:rsidR="00176BB5" w:rsidRPr="00BD55C8">
        <w:t xml:space="preserve"> </w:t>
      </w:r>
      <w:r>
        <w:t xml:space="preserve">us </w:t>
      </w:r>
      <w:r w:rsidR="00176BB5" w:rsidRPr="00BD55C8">
        <w:t>regarding the dynamic</w:t>
      </w:r>
      <w:r w:rsidR="00800684">
        <w:t>s</w:t>
      </w:r>
      <w:r w:rsidR="00176BB5" w:rsidRPr="00BD55C8">
        <w:t xml:space="preserve"> of the fertility</w:t>
      </w:r>
      <w:r w:rsidR="0014009E" w:rsidRPr="00BD55C8">
        <w:t xml:space="preserve"> transition</w:t>
      </w:r>
      <w:r w:rsidR="00176BB5" w:rsidRPr="00BD55C8">
        <w:t>?</w:t>
      </w:r>
    </w:p>
    <w:p w14:paraId="3F5039CF" w14:textId="16B06865" w:rsidR="00F7015E" w:rsidRPr="00A40EEF" w:rsidRDefault="00C460BA" w:rsidP="00A40EEF">
      <w:r w:rsidRPr="00BD55C8">
        <w:t xml:space="preserve">The </w:t>
      </w:r>
      <w:r w:rsidR="00312DF5" w:rsidRPr="00BD55C8">
        <w:t xml:space="preserve">aim </w:t>
      </w:r>
      <w:r w:rsidRPr="00BD55C8">
        <w:t xml:space="preserve">of this paper is to </w:t>
      </w:r>
      <w:r w:rsidR="00334B93" w:rsidRPr="00BD55C8">
        <w:t>provide a</w:t>
      </w:r>
      <w:r w:rsidR="00334B93">
        <w:t xml:space="preserve"> broad overview of </w:t>
      </w:r>
      <w:r w:rsidRPr="00334B93">
        <w:t xml:space="preserve">male fertility </w:t>
      </w:r>
      <w:r w:rsidR="000654CB">
        <w:t xml:space="preserve">around the world and over time, and to </w:t>
      </w:r>
      <w:r w:rsidR="00C96DA6">
        <w:t xml:space="preserve">identify the factors leading to </w:t>
      </w:r>
      <w:r w:rsidR="000654CB">
        <w:t>differences between male and female fertility levels and trends</w:t>
      </w:r>
      <w:r w:rsidRPr="00334B93">
        <w:t xml:space="preserve">. </w:t>
      </w:r>
      <w:r w:rsidR="00F7015E" w:rsidRPr="00334B93">
        <w:t>In the first section, the data and methods are presented. Next, a general portrait</w:t>
      </w:r>
      <w:r w:rsidR="00F7015E" w:rsidRPr="001915F6">
        <w:t xml:space="preserve"> of male fertility in about 1</w:t>
      </w:r>
      <w:r w:rsidR="005C5BFD">
        <w:t>6</w:t>
      </w:r>
      <w:r w:rsidR="00F7015E" w:rsidRPr="001915F6">
        <w:t xml:space="preserve">0 countries </w:t>
      </w:r>
      <w:r w:rsidR="00F7015E">
        <w:t>is drawn for the recent period (circa 201</w:t>
      </w:r>
      <w:r w:rsidR="000654CB">
        <w:t>1</w:t>
      </w:r>
      <w:r w:rsidR="00F7015E">
        <w:t xml:space="preserve">). Male and female </w:t>
      </w:r>
      <w:r w:rsidR="00F7015E" w:rsidRPr="00BD55C8">
        <w:t xml:space="preserve">fertility are compared in these countries, and the demographic factors associated with differences </w:t>
      </w:r>
      <w:r w:rsidR="00D80BD5">
        <w:t>between</w:t>
      </w:r>
      <w:r w:rsidR="00D80BD5" w:rsidRPr="00BD55C8">
        <w:t xml:space="preserve"> </w:t>
      </w:r>
      <w:r w:rsidR="00F7015E" w:rsidRPr="00BD55C8">
        <w:t>gender</w:t>
      </w:r>
      <w:r w:rsidR="005A7F47">
        <w:t>s</w:t>
      </w:r>
      <w:r w:rsidR="00F7015E" w:rsidRPr="00BD55C8">
        <w:t xml:space="preserve"> are highlighted. In the final section, </w:t>
      </w:r>
      <w:r w:rsidR="00336178" w:rsidRPr="00BD55C8">
        <w:t xml:space="preserve">we focus on the systematic shift in the relationship between male and female fertility over the course of the demographic transition. Using retrospective estimates and population projections, we show that </w:t>
      </w:r>
      <w:r w:rsidR="00C96DA6" w:rsidRPr="00BD55C8">
        <w:t xml:space="preserve">male fertility, which is higher than female fertility </w:t>
      </w:r>
      <w:r w:rsidR="004F7824">
        <w:t xml:space="preserve">in high fertility </w:t>
      </w:r>
      <w:r w:rsidR="00C96DA6" w:rsidRPr="00BD55C8">
        <w:t>settings, decreases faster than female fertility</w:t>
      </w:r>
      <w:r w:rsidR="008B7D6E">
        <w:t xml:space="preserve"> and goes below it </w:t>
      </w:r>
      <w:r w:rsidR="00C96DA6" w:rsidRPr="00BD55C8">
        <w:t xml:space="preserve">by the end of the </w:t>
      </w:r>
      <w:r w:rsidR="00C96DA6" w:rsidRPr="00315A8D">
        <w:t xml:space="preserve">fertility transition. </w:t>
      </w:r>
      <w:r w:rsidR="00683793" w:rsidRPr="00315A8D">
        <w:t>Some</w:t>
      </w:r>
      <w:r w:rsidR="0063779E" w:rsidRPr="00315A8D">
        <w:t xml:space="preserve"> </w:t>
      </w:r>
      <w:r w:rsidR="00F70F3F" w:rsidRPr="00315A8D">
        <w:t xml:space="preserve">implications of these results and the interest </w:t>
      </w:r>
      <w:r w:rsidR="008B7D6E" w:rsidRPr="00315A8D">
        <w:t xml:space="preserve">in </w:t>
      </w:r>
      <w:r w:rsidR="0063779E" w:rsidRPr="00315A8D">
        <w:t xml:space="preserve">combining male and female fertility data in studying </w:t>
      </w:r>
      <w:r w:rsidR="008B7D6E" w:rsidRPr="00315A8D">
        <w:t xml:space="preserve">the </w:t>
      </w:r>
      <w:r w:rsidR="0063779E" w:rsidRPr="00315A8D">
        <w:t xml:space="preserve">fertility transition </w:t>
      </w:r>
      <w:r w:rsidR="00F70F3F" w:rsidRPr="00315A8D">
        <w:t xml:space="preserve">are </w:t>
      </w:r>
      <w:r w:rsidR="0063779E" w:rsidRPr="00315A8D">
        <w:t>discussed in the conclusion.</w:t>
      </w:r>
      <w:r w:rsidR="0063779E" w:rsidRPr="00A40EEF">
        <w:t xml:space="preserve"> </w:t>
      </w:r>
    </w:p>
    <w:p w14:paraId="03C69B63" w14:textId="77777777" w:rsidR="00950E85" w:rsidRDefault="00950E85" w:rsidP="00A40EEF">
      <w:pPr>
        <w:pStyle w:val="Titre1"/>
      </w:pPr>
      <w:r w:rsidRPr="00143CD7">
        <w:t xml:space="preserve">Data </w:t>
      </w:r>
      <w:r w:rsidR="0021348C">
        <w:t>and methods</w:t>
      </w:r>
    </w:p>
    <w:p w14:paraId="7543C8A1" w14:textId="082522BF" w:rsidR="00DE28EC" w:rsidRDefault="008B7D6E" w:rsidP="00A40EEF">
      <w:r>
        <w:t>L</w:t>
      </w:r>
      <w:r w:rsidR="0063779E">
        <w:t xml:space="preserve">ack of data has often been mentioned as a key reason for the limited number of studies on male fertility. </w:t>
      </w:r>
      <w:r w:rsidR="004F7824">
        <w:t>Yet, the data that does exist has been largely untapped</w:t>
      </w:r>
      <w:r w:rsidR="0063779E">
        <w:t xml:space="preserve"> </w:t>
      </w:r>
      <w:r w:rsidR="006245BA">
        <w:rPr>
          <w:rFonts w:cs="Times New Roman"/>
        </w:rPr>
        <w:t>(Schoumaker</w:t>
      </w:r>
      <w:r w:rsidR="0063779E" w:rsidRPr="0063779E">
        <w:rPr>
          <w:rFonts w:cs="Times New Roman"/>
        </w:rPr>
        <w:t xml:space="preserve"> 2017)</w:t>
      </w:r>
      <w:r w:rsidR="0063779E">
        <w:t xml:space="preserve">. </w:t>
      </w:r>
      <w:r w:rsidR="0063779E" w:rsidRPr="00950E85">
        <w:t>T</w:t>
      </w:r>
      <w:r w:rsidR="00DE28EC">
        <w:t>hree</w:t>
      </w:r>
      <w:r w:rsidR="0063779E" w:rsidRPr="00950E85">
        <w:t xml:space="preserve"> main sources of data are avai</w:t>
      </w:r>
      <w:r w:rsidR="00DE28EC">
        <w:t>lable to measure male fertility: vital statistics, surveys</w:t>
      </w:r>
      <w:r>
        <w:t>,</w:t>
      </w:r>
      <w:r w:rsidR="00DE28EC">
        <w:t xml:space="preserve"> and censuses.</w:t>
      </w:r>
      <w:r w:rsidR="0063779E" w:rsidRPr="00950E85">
        <w:t xml:space="preserve"> </w:t>
      </w:r>
    </w:p>
    <w:p w14:paraId="4474B403" w14:textId="1DC137E7" w:rsidR="00FC1B3B" w:rsidRDefault="00DE28EC" w:rsidP="00A40EEF">
      <w:r>
        <w:t>Male age-specific fertility rates computed from v</w:t>
      </w:r>
      <w:r w:rsidR="0063779E" w:rsidRPr="00950E85">
        <w:t xml:space="preserve">ital statistics </w:t>
      </w:r>
      <w:r>
        <w:t xml:space="preserve">are </w:t>
      </w:r>
      <w:r w:rsidR="00295DC5">
        <w:t xml:space="preserve">regularly </w:t>
      </w:r>
      <w:r w:rsidRPr="00950E85">
        <w:t xml:space="preserve">published in the </w:t>
      </w:r>
      <w:r w:rsidRPr="004F7824">
        <w:rPr>
          <w:i/>
        </w:rPr>
        <w:t>United Nations Demographic Yearbook</w:t>
      </w:r>
      <w:r>
        <w:t xml:space="preserve"> </w:t>
      </w:r>
      <w:r w:rsidRPr="00950E85">
        <w:t xml:space="preserve">for about </w:t>
      </w:r>
      <w:r>
        <w:t>70</w:t>
      </w:r>
      <w:r w:rsidRPr="00950E85">
        <w:t xml:space="preserve"> </w:t>
      </w:r>
      <w:r>
        <w:t>(</w:t>
      </w:r>
      <w:r w:rsidRPr="00950E85">
        <w:t>mainly Western</w:t>
      </w:r>
      <w:r>
        <w:t>)</w:t>
      </w:r>
      <w:r w:rsidRPr="00950E85">
        <w:t xml:space="preserve"> countries</w:t>
      </w:r>
      <w:r>
        <w:t xml:space="preserve"> </w:t>
      </w:r>
      <w:r w:rsidR="00C02221">
        <w:rPr>
          <w:rFonts w:cs="Times New Roman"/>
        </w:rPr>
        <w:t>(United Nations</w:t>
      </w:r>
      <w:r w:rsidRPr="00E54811">
        <w:rPr>
          <w:rFonts w:cs="Times New Roman"/>
        </w:rPr>
        <w:t xml:space="preserve"> 2017)</w:t>
      </w:r>
      <w:r w:rsidRPr="00950E85">
        <w:t>.</w:t>
      </w:r>
      <w:r>
        <w:t xml:space="preserve"> These rates are </w:t>
      </w:r>
      <w:r w:rsidR="00915922">
        <w:t xml:space="preserve">obtained </w:t>
      </w:r>
      <w:r w:rsidR="002D2D64">
        <w:t xml:space="preserve">by </w:t>
      </w:r>
      <w:r w:rsidR="0021348C">
        <w:t>dividing the numbers of birt</w:t>
      </w:r>
      <w:r>
        <w:t xml:space="preserve">hs classified </w:t>
      </w:r>
      <w:r w:rsidR="0021348C">
        <w:t xml:space="preserve">by age groups of </w:t>
      </w:r>
      <w:r>
        <w:t>fathers</w:t>
      </w:r>
      <w:r w:rsidR="002D2D64">
        <w:t xml:space="preserve"> over a one-year period</w:t>
      </w:r>
      <w:r w:rsidR="0021348C">
        <w:t xml:space="preserve"> by t</w:t>
      </w:r>
      <w:r>
        <w:t xml:space="preserve">he number of </w:t>
      </w:r>
      <w:r w:rsidR="00370657">
        <w:t>men</w:t>
      </w:r>
      <w:r>
        <w:t xml:space="preserve"> at mid-year by age groups</w:t>
      </w:r>
      <w:r w:rsidR="0021348C">
        <w:t xml:space="preserve">. </w:t>
      </w:r>
      <w:r w:rsidR="00370FE9">
        <w:t xml:space="preserve">These estimates </w:t>
      </w:r>
      <w:r w:rsidR="00A31C21">
        <w:t xml:space="preserve">may be affected by several </w:t>
      </w:r>
      <w:r w:rsidR="008B7D6E">
        <w:t>factors</w:t>
      </w:r>
      <w:r w:rsidR="00A31C21">
        <w:t xml:space="preserve">. First, </w:t>
      </w:r>
      <w:r w:rsidR="00915922">
        <w:t>the age of the father</w:t>
      </w:r>
      <w:r w:rsidR="0063779E" w:rsidRPr="00950E85">
        <w:t xml:space="preserve"> </w:t>
      </w:r>
      <w:r w:rsidR="00A31C21">
        <w:t xml:space="preserve">may be </w:t>
      </w:r>
      <w:r w:rsidR="0063779E" w:rsidRPr="00950E85">
        <w:t>unknown</w:t>
      </w:r>
      <w:r w:rsidR="00A31C21">
        <w:t>. In most countries where rates are estim</w:t>
      </w:r>
      <w:r w:rsidR="005C5BFD">
        <w:t>ated from vital statistics, the</w:t>
      </w:r>
      <w:r w:rsidR="00A31C21">
        <w:t xml:space="preserve"> percentage </w:t>
      </w:r>
      <w:r w:rsidR="005C5BFD">
        <w:t xml:space="preserve">of births with unknown age of father </w:t>
      </w:r>
      <w:r w:rsidR="00A31C21">
        <w:t xml:space="preserve">is low (lower or </w:t>
      </w:r>
      <w:r w:rsidR="00A31C21" w:rsidRPr="00BD55C8">
        <w:t xml:space="preserve">equal to 5% in half of the countries), but it is higher than 15% in about </w:t>
      </w:r>
      <w:r w:rsidR="008B7D6E">
        <w:t>10</w:t>
      </w:r>
      <w:r w:rsidR="008B7D6E" w:rsidRPr="00BD55C8">
        <w:t xml:space="preserve"> </w:t>
      </w:r>
      <w:r w:rsidR="00A31C21" w:rsidRPr="00BD55C8">
        <w:t>countries</w:t>
      </w:r>
      <w:r w:rsidR="00C8599F" w:rsidRPr="00BD55C8">
        <w:t xml:space="preserve"> (</w:t>
      </w:r>
      <w:r w:rsidR="00AA35B8">
        <w:t>s</w:t>
      </w:r>
      <w:r w:rsidR="00C8599F" w:rsidRPr="00BD55C8">
        <w:t xml:space="preserve">ee Table </w:t>
      </w:r>
      <w:r w:rsidR="004F7824">
        <w:t>A</w:t>
      </w:r>
      <w:r w:rsidR="004F7824" w:rsidRPr="00BD55C8">
        <w:t xml:space="preserve"> </w:t>
      </w:r>
      <w:r w:rsidR="00C8599F" w:rsidRPr="00BD55C8">
        <w:t xml:space="preserve">in supporting </w:t>
      </w:r>
      <w:r w:rsidR="003529A5" w:rsidRPr="00BD55C8">
        <w:t>material</w:t>
      </w:r>
      <w:r w:rsidR="00C8599F" w:rsidRPr="00BD55C8">
        <w:t>)</w:t>
      </w:r>
      <w:r w:rsidR="00A31C21" w:rsidRPr="00BD55C8">
        <w:t xml:space="preserve">. </w:t>
      </w:r>
      <w:r w:rsidR="005C5BFD" w:rsidRPr="00BD55C8">
        <w:t xml:space="preserve">To compute male age-specific fertility rates, these births </w:t>
      </w:r>
      <w:r w:rsidR="00A31C21" w:rsidRPr="00BD55C8">
        <w:t xml:space="preserve">to fathers of unknown age </w:t>
      </w:r>
      <w:r w:rsidR="005C5BFD" w:rsidRPr="00BD55C8">
        <w:t xml:space="preserve">are distributed </w:t>
      </w:r>
      <w:r w:rsidR="00A31C21" w:rsidRPr="00BD55C8">
        <w:t xml:space="preserve">across the age groups “in accordance with the distribution of births by age of father prior to the calculation of the rates” </w:t>
      </w:r>
      <w:r w:rsidR="00A31C21" w:rsidRPr="00BD55C8">
        <w:rPr>
          <w:rFonts w:cs="Times New Roman"/>
        </w:rPr>
        <w:t>(Unit</w:t>
      </w:r>
      <w:r w:rsidR="006245BA">
        <w:rPr>
          <w:rFonts w:cs="Times New Roman"/>
        </w:rPr>
        <w:t>ed Nations</w:t>
      </w:r>
      <w:r w:rsidR="00A31C21" w:rsidRPr="00BD55C8">
        <w:rPr>
          <w:rFonts w:cs="Times New Roman"/>
        </w:rPr>
        <w:t xml:space="preserve"> 2017, 389)</w:t>
      </w:r>
      <w:r w:rsidR="00A31C21" w:rsidRPr="00BD55C8">
        <w:t>.</w:t>
      </w:r>
      <w:r w:rsidR="005D2711" w:rsidRPr="00BD55C8">
        <w:t xml:space="preserve"> This approach performs well when the </w:t>
      </w:r>
      <w:r w:rsidR="005D2711" w:rsidRPr="00BD55C8">
        <w:lastRenderedPageBreak/>
        <w:t xml:space="preserve">percentage of births with </w:t>
      </w:r>
      <w:r w:rsidR="000860D3">
        <w:t xml:space="preserve">the </w:t>
      </w:r>
      <w:r w:rsidR="005D2711" w:rsidRPr="00BD55C8">
        <w:t xml:space="preserve">father’s age </w:t>
      </w:r>
      <w:r w:rsidR="000860D3">
        <w:t xml:space="preserve">missing </w:t>
      </w:r>
      <w:r w:rsidR="005D2711" w:rsidRPr="00BD55C8">
        <w:t>i</w:t>
      </w:r>
      <w:r w:rsidR="006245BA">
        <w:t>s below 20% (</w:t>
      </w:r>
      <w:proofErr w:type="spellStart"/>
      <w:r w:rsidR="006245BA">
        <w:t>Dudel</w:t>
      </w:r>
      <w:proofErr w:type="spellEnd"/>
      <w:r w:rsidR="006245BA">
        <w:t xml:space="preserve"> and </w:t>
      </w:r>
      <w:proofErr w:type="spellStart"/>
      <w:r w:rsidR="006245BA">
        <w:t>Klüsener</w:t>
      </w:r>
      <w:proofErr w:type="spellEnd"/>
      <w:r w:rsidR="005D2711" w:rsidRPr="00BD55C8">
        <w:t xml:space="preserve"> 2018b), as is the case in most countries</w:t>
      </w:r>
      <w:r w:rsidR="000860D3">
        <w:t>.</w:t>
      </w:r>
      <w:r w:rsidR="00FC1B3B" w:rsidRPr="00BD55C8">
        <w:rPr>
          <w:rStyle w:val="Appeldenotedefin"/>
        </w:rPr>
        <w:endnoteReference w:id="1"/>
      </w:r>
      <w:r w:rsidR="00FC1B3B" w:rsidRPr="00BD55C8">
        <w:t xml:space="preserve"> Secondly, male age-specific fertility rates are sometimes only available for births within marriage (Austria, Belarus</w:t>
      </w:r>
      <w:r w:rsidR="00FC1B3B">
        <w:t>, Japan, Switzerland</w:t>
      </w:r>
      <w:r w:rsidR="00FC1B3B" w:rsidRPr="00BD55C8">
        <w:t>). In these few cases, the male age-specific fertility rates were adjusted upward, using the ratio of the total number of births (obtained from data among women) to the number of births within marriage. This is identical to the approach used to redistribute births to fathers of unknown</w:t>
      </w:r>
      <w:r w:rsidR="00FC1B3B">
        <w:t xml:space="preserve"> age; however, given the larger percentage of births concerned in three of these countries (Austria, Belarus and Switzerland), this may lead to a slight overestimation of the mean age at fatherhood because married fathers are on average older than unmarried fathers.</w:t>
      </w:r>
      <w:r w:rsidR="00FC1B3B">
        <w:rPr>
          <w:rStyle w:val="Appeldenotedefin"/>
        </w:rPr>
        <w:endnoteReference w:id="2"/>
      </w:r>
      <w:r w:rsidR="00FC1B3B">
        <w:t xml:space="preserve"> Third, in the few developing countries where vital statistics were used to estimate male fertility (Cuba, Venezuela, Turkey, Philippines, Panama, El Salvador, Uruguay, Costa Rica), </w:t>
      </w:r>
      <w:proofErr w:type="spellStart"/>
      <w:r w:rsidR="00FC1B3B">
        <w:t>undercoverage</w:t>
      </w:r>
      <w:proofErr w:type="spellEnd"/>
      <w:r w:rsidR="00FC1B3B">
        <w:t xml:space="preserve"> of births may lead to underestimation of fertility, though this is expected to be limited, as the coverage of births is estimated to be at least 90% complete in all the countries but Venezuela. In some of these countries, estimating the denominator for the computation of rates may also be an issue, especially when the census is old, leading to either overestimation or underestimation of male fertility. Finally, male fertility rates may be affected by international migration when men do not live in the country where the births are recorded. This issue is discussed in the following section, as it may also affect estimates from surveys and censuses. In summary, these rates are expected to be reliable in most countries; in countries with a high percentage of age of father missing, the mean age at fatherhood is likely to be a little overestimated. In a few countries, however, estimates of TFR and mean age at fatherhood should be treated as orders of magnitude rather than exact values (see Table </w:t>
      </w:r>
      <w:proofErr w:type="gramStart"/>
      <w:r w:rsidR="00FC1B3B">
        <w:t>A</w:t>
      </w:r>
      <w:proofErr w:type="gramEnd"/>
      <w:r w:rsidR="00FC1B3B">
        <w:t xml:space="preserve"> in supporting material).</w:t>
      </w:r>
    </w:p>
    <w:p w14:paraId="4C2AA3BE" w14:textId="1D8BD989" w:rsidR="00FC1B3B" w:rsidRDefault="00FC1B3B" w:rsidP="00A40EEF">
      <w:r>
        <w:t xml:space="preserve">A second approach to measure male age-specific fertility rates relies on data from household surveys and censuses. </w:t>
      </w:r>
      <w:r w:rsidRPr="00950E85">
        <w:t>The data collected on living childr</w:t>
      </w:r>
      <w:r>
        <w:t>en and their biological fathers</w:t>
      </w:r>
      <w:r w:rsidRPr="00950E85">
        <w:t xml:space="preserve"> make it possible to estimate </w:t>
      </w:r>
      <w:r>
        <w:t xml:space="preserve">male </w:t>
      </w:r>
      <w:r w:rsidRPr="00950E85">
        <w:t>fertility using the own</w:t>
      </w:r>
      <w:r>
        <w:t>-</w:t>
      </w:r>
      <w:r w:rsidRPr="00950E85">
        <w:t>children method</w:t>
      </w:r>
      <w:r>
        <w:t xml:space="preserve"> </w:t>
      </w:r>
      <w:r w:rsidR="006245BA">
        <w:rPr>
          <w:rFonts w:cs="Times New Roman"/>
        </w:rPr>
        <w:t>(</w:t>
      </w:r>
      <w:proofErr w:type="spellStart"/>
      <w:r w:rsidR="006245BA">
        <w:rPr>
          <w:rFonts w:cs="Times New Roman"/>
        </w:rPr>
        <w:t>Dharmalingam</w:t>
      </w:r>
      <w:proofErr w:type="spellEnd"/>
      <w:r w:rsidR="006245BA">
        <w:rPr>
          <w:rFonts w:cs="Times New Roman"/>
        </w:rPr>
        <w:t xml:space="preserve"> 2004; Schoumaker</w:t>
      </w:r>
      <w:r w:rsidRPr="00904480">
        <w:rPr>
          <w:rFonts w:cs="Times New Roman"/>
        </w:rPr>
        <w:t xml:space="preserve"> 2017)</w:t>
      </w:r>
      <w:r w:rsidRPr="00950E85">
        <w:t>.</w:t>
      </w:r>
      <w:r>
        <w:t xml:space="preserve"> The own-children method is used in this paper to compute male age-specific fertility rates between 15 and 79 for the last five years in close to 100 </w:t>
      </w:r>
      <w:r w:rsidRPr="00950E85">
        <w:t>countries in Africa, Asia</w:t>
      </w:r>
      <w:r>
        <w:t>,</w:t>
      </w:r>
      <w:r w:rsidRPr="00950E85">
        <w:t xml:space="preserve"> and </w:t>
      </w:r>
      <w:r>
        <w:t xml:space="preserve">Central and South </w:t>
      </w:r>
      <w:r w:rsidRPr="00950E85">
        <w:t>America with Demog</w:t>
      </w:r>
      <w:r>
        <w:t>raphic and Health Surveys (DHS), Multiple Indicators Clusters Surveys (MICS), Pan Arab Program Project for family Health (PAPFAM) surveys, and censuses</w:t>
      </w:r>
      <w:r w:rsidRPr="00950E85">
        <w:t xml:space="preserve">. </w:t>
      </w:r>
      <w:r>
        <w:t xml:space="preserve">This </w:t>
      </w:r>
      <w:r w:rsidRPr="00950E85">
        <w:t xml:space="preserve">allows </w:t>
      </w:r>
      <w:r>
        <w:t xml:space="preserve">for </w:t>
      </w:r>
      <w:r w:rsidRPr="00950E85">
        <w:t>cover</w:t>
      </w:r>
      <w:r>
        <w:t>age of</w:t>
      </w:r>
      <w:r w:rsidRPr="00950E85">
        <w:t xml:space="preserve"> a much wider spectrum of countries than those covered by vital statistics.</w:t>
      </w:r>
      <w:r>
        <w:t xml:space="preserve"> </w:t>
      </w:r>
    </w:p>
    <w:p w14:paraId="1AD882E6" w14:textId="0D7926AB" w:rsidR="00FC1B3B" w:rsidRDefault="00FC1B3B" w:rsidP="00A40EEF">
      <w:r>
        <w:lastRenderedPageBreak/>
        <w:t xml:space="preserve">With DHS, as well as with most MICS and similar surveys (e.g., PAPFAM), the own-children method consists of (1) linking surviving children to their fathers if they live in the same household, (2) imputing father’s age for children who could not be matched to their father (those not living in the same household), (3) reverse-surviving children to estimate the number of births by age groups of fathers, and (4) computing male age-specific fertility rates by dividing the number of births by exposure </w:t>
      </w:r>
      <w:r w:rsidR="006245BA">
        <w:rPr>
          <w:rFonts w:cs="Times New Roman"/>
        </w:rPr>
        <w:t>(Schoumaker</w:t>
      </w:r>
      <w:r w:rsidRPr="003A10B2">
        <w:rPr>
          <w:rFonts w:cs="Times New Roman"/>
        </w:rPr>
        <w:t xml:space="preserve"> 2017)</w:t>
      </w:r>
      <w:r>
        <w:t>. Linking children with their father is straightforward if children and fathers live in the same household, as the information allowing the linkage is collected for each child. Reverse-survival of children is also usually direct with these surveys, as survival data are available from birth histories collected among women</w:t>
      </w:r>
      <w:r>
        <w:rPr>
          <w:rStyle w:val="Appeldenotedefin"/>
        </w:rPr>
        <w:endnoteReference w:id="3"/>
      </w:r>
      <w:r>
        <w:t xml:space="preserve">. In the classical own-children method, adults are also reverse-survived to take into account the fact that some children may be born to fathers </w:t>
      </w:r>
      <w:r w:rsidRPr="00D2397D">
        <w:t>deceased by th</w:t>
      </w:r>
      <w:r>
        <w:t>e time of the survey. With the</w:t>
      </w:r>
      <w:r w:rsidRPr="00D2397D">
        <w:t xml:space="preserve"> DHS and with most MICS, reverse-survival of adult </w:t>
      </w:r>
      <w:r>
        <w:t>men</w:t>
      </w:r>
      <w:r w:rsidRPr="00D2397D">
        <w:t xml:space="preserve"> is not necessary; in these surveys, information on the survival status of the father is available</w:t>
      </w:r>
      <w:r>
        <w:t>,</w:t>
      </w:r>
      <w:r>
        <w:rPr>
          <w:rStyle w:val="Appeldenotedefin"/>
        </w:rPr>
        <w:endnoteReference w:id="4"/>
      </w:r>
      <w:r w:rsidRPr="00D2397D">
        <w:t xml:space="preserve"> and only children with surviving fathers are used for the computation of fertility rates</w:t>
      </w:r>
      <w:r w:rsidR="006245BA">
        <w:t xml:space="preserve"> (Schoumaker</w:t>
      </w:r>
      <w:r>
        <w:t xml:space="preserve"> 2017</w:t>
      </w:r>
      <w:r w:rsidRPr="002D5D43">
        <w:t>)</w:t>
      </w:r>
      <w:r>
        <w:t>.</w:t>
      </w:r>
      <w:r w:rsidRPr="002D5D43">
        <w:rPr>
          <w:rStyle w:val="Appeldenotedefin"/>
        </w:rPr>
        <w:endnoteReference w:id="5"/>
      </w:r>
      <w:r w:rsidRPr="002D5D43">
        <w:t xml:space="preserve"> With censuses and some MICS, life</w:t>
      </w:r>
      <w:r>
        <w:t>-</w:t>
      </w:r>
      <w:r w:rsidRPr="002D5D43">
        <w:t xml:space="preserve">table data from </w:t>
      </w:r>
      <w:r w:rsidRPr="004F7824">
        <w:rPr>
          <w:i/>
        </w:rPr>
        <w:t>World Population Prospects</w:t>
      </w:r>
      <w:r w:rsidRPr="002D5D43">
        <w:t xml:space="preserve"> </w:t>
      </w:r>
      <w:r w:rsidRPr="002D5D43">
        <w:rPr>
          <w:rFonts w:cs="Times New Roman"/>
        </w:rPr>
        <w:t>(Uni</w:t>
      </w:r>
      <w:r w:rsidR="00C02221">
        <w:rPr>
          <w:rFonts w:cs="Times New Roman"/>
        </w:rPr>
        <w:t>ted Nations Population Division</w:t>
      </w:r>
      <w:r w:rsidRPr="002D5D43">
        <w:rPr>
          <w:rFonts w:cs="Times New Roman"/>
        </w:rPr>
        <w:t xml:space="preserve"> 2017)</w:t>
      </w:r>
      <w:r w:rsidRPr="002D5D43">
        <w:t xml:space="preserve"> are used to reverse-survive </w:t>
      </w:r>
      <w:r>
        <w:t>men</w:t>
      </w:r>
      <w:r w:rsidRPr="002D5D43">
        <w:t xml:space="preserve"> if the survival status of the father is not available, and are used to reverse-survive children when no full birth history is available in the women</w:t>
      </w:r>
      <w:r>
        <w:t>’s</w:t>
      </w:r>
      <w:r w:rsidRPr="002D5D43">
        <w:t xml:space="preserve"> survey.</w:t>
      </w:r>
      <w:r>
        <w:t xml:space="preserve"> </w:t>
      </w:r>
    </w:p>
    <w:p w14:paraId="7F2260FB" w14:textId="7BCD1EF9" w:rsidR="00FC1B3B" w:rsidRDefault="00FC1B3B" w:rsidP="00A40EEF">
      <w:r>
        <w:t xml:space="preserve">A systematic comparison of three approaches to compute male age-specific fertility rates indicates that the own-children method provides trustworthy estimates male fertility in developing countries </w:t>
      </w:r>
      <w:r w:rsidR="006245BA">
        <w:rPr>
          <w:rFonts w:cs="Times New Roman"/>
        </w:rPr>
        <w:t>(Schoumaker</w:t>
      </w:r>
      <w:r w:rsidRPr="003A10B2">
        <w:rPr>
          <w:rFonts w:cs="Times New Roman"/>
        </w:rPr>
        <w:t xml:space="preserve"> 2017)</w:t>
      </w:r>
      <w:r>
        <w:t xml:space="preserve">. Yet, these estimates have a number of limitations. First, they rely on the reporting of children in surveys and censuses; in case of underreporting of children, fertility will be underestimated. This is not specific to male fertility, and it also affects female fertility estimates using the own-children method </w:t>
      </w:r>
      <w:r w:rsidRPr="001C3436">
        <w:t xml:space="preserve">since the same number of children is used to estimate male and female fertility. </w:t>
      </w:r>
      <w:r>
        <w:t xml:space="preserve">Secondly, the percentage of </w:t>
      </w:r>
      <w:r w:rsidRPr="005863CC">
        <w:t>unmatched children</w:t>
      </w:r>
      <w:r>
        <w:t xml:space="preserve"> is </w:t>
      </w:r>
      <w:r w:rsidRPr="005863CC">
        <w:t>much higher for fathers than for mothers</w:t>
      </w:r>
      <w:r>
        <w:t>, and as a result the age of the father is missing for a substantial number of cases</w:t>
      </w:r>
      <w:r w:rsidRPr="005863CC">
        <w:t>.</w:t>
      </w:r>
      <w:r>
        <w:t xml:space="preserve"> On average, the percentage of unmatched children (aged less than five) is 25% in the censuses and surveys we use, and it is over 60% in several Southern African countries (Namibia, South Africa, Botswana, Swaziland). This is partly due to mortality, but it mainly reflects the fact that surviving fathers often do not live in the same household as their children (see Table A in supporting material). For this reason, we do not assume that the age pattern of fertility is similar for fathers of matched children and for fathers of unmatched children. We use a conditional approach, where the age of the father at </w:t>
      </w:r>
      <w:r>
        <w:lastRenderedPageBreak/>
        <w:t>birth for the unmatched children is imputed using information on the age of the mother at birth.</w:t>
      </w:r>
      <w:r>
        <w:rPr>
          <w:rStyle w:val="Appeldenotedefin"/>
        </w:rPr>
        <w:endnoteReference w:id="6"/>
      </w:r>
      <w:r>
        <w:t xml:space="preserve"> This leads to lower mean ages at fatherhood th</w:t>
      </w:r>
      <w:r w:rsidRPr="00BD55C8">
        <w:t xml:space="preserve">an </w:t>
      </w:r>
      <w:r>
        <w:t xml:space="preserve">when the </w:t>
      </w:r>
      <w:r w:rsidRPr="00BD55C8">
        <w:t xml:space="preserve">mother’s age </w:t>
      </w:r>
      <w:r>
        <w:t xml:space="preserve">is not taken into account </w:t>
      </w:r>
      <w:r w:rsidRPr="00BD55C8">
        <w:t xml:space="preserve">in the imputation process. However, the difference is limited in most cases, and is </w:t>
      </w:r>
      <w:proofErr w:type="gramStart"/>
      <w:r w:rsidRPr="00BD55C8">
        <w:t>at most one year in Southern African countries</w:t>
      </w:r>
      <w:proofErr w:type="gramEnd"/>
      <w:r w:rsidRPr="00BD55C8">
        <w:t xml:space="preserve"> (</w:t>
      </w:r>
      <w:r>
        <w:t>s</w:t>
      </w:r>
      <w:r w:rsidRPr="00BD55C8">
        <w:t xml:space="preserve">ee Table A in </w:t>
      </w:r>
      <w:r>
        <w:t>supporting material</w:t>
      </w:r>
      <w:r w:rsidRPr="00BD55C8">
        <w:t>). The male TFR is also slightly affected by the imputation metho</w:t>
      </w:r>
      <w:r>
        <w:t xml:space="preserve">d (reaching a maximum of 0.2 children in Namibia). Thirdly, and potentially more importantly, international migration may also influence male fertility estimates. The standard approach </w:t>
      </w:r>
      <w:r w:rsidRPr="00A45CA8">
        <w:t xml:space="preserve">assumes that the fathers of unmatched children do not live abroad. </w:t>
      </w:r>
      <w:r>
        <w:t>However, i</w:t>
      </w:r>
      <w:r w:rsidRPr="00A45CA8">
        <w:t xml:space="preserve">n contexts where a substantial share of the male adult population </w:t>
      </w:r>
      <w:r>
        <w:t xml:space="preserve">lives </w:t>
      </w:r>
      <w:r w:rsidRPr="00A45CA8">
        <w:t>abroad without their children, the own-children estimates may be biased upward</w:t>
      </w:r>
      <w:r>
        <w:t>, since the children are included in the numerator and their fathers are not included in the denominator</w:t>
      </w:r>
      <w:r w:rsidRPr="00A45CA8">
        <w:t>.</w:t>
      </w:r>
      <w:r>
        <w:t xml:space="preserve"> Some MICS offer useful information to evaluate the sensitivity of male fertility estimates to this issue and to correct fertility estimates. In 11 surveys used in this paper, a question is included indicating whether the father of the children lived abroad. The percentage of children </w:t>
      </w:r>
      <w:r w:rsidRPr="002D5D43">
        <w:t>aged less than five whose father lives abroad varies from 0.1% (Palestine) to 18.8% (Nepal). A simple way to correct fertility rates for international migration is to remove the children whose father is abroad from the computation of these rates</w:t>
      </w:r>
      <w:r>
        <w:t>.</w:t>
      </w:r>
      <w:r w:rsidRPr="002D5D43">
        <w:rPr>
          <w:rStyle w:val="Appeldenotedefin"/>
        </w:rPr>
        <w:endnoteReference w:id="7"/>
      </w:r>
      <w:r w:rsidRPr="002D5D43">
        <w:t xml:space="preserve"> This leads to fertility rates that are lower by a factor roughly equal to</w:t>
      </w:r>
      <w:r>
        <w:t xml:space="preserve"> the percentage of children whose father is abroad. In the case of Nepal, the TFR under </w:t>
      </w:r>
      <w:r w:rsidRPr="002D5D43">
        <w:t xml:space="preserve">the standard approach is estimated to be equal to 3.4, </w:t>
      </w:r>
      <w:r>
        <w:t>but</w:t>
      </w:r>
      <w:r w:rsidRPr="002D5D43">
        <w:t xml:space="preserve"> 2.8 when accounting for outmigration of fathers (</w:t>
      </w:r>
      <w:r>
        <w:t>s</w:t>
      </w:r>
      <w:r w:rsidRPr="002D5D43">
        <w:t xml:space="preserve">ee Table </w:t>
      </w:r>
      <w:r>
        <w:t>A</w:t>
      </w:r>
      <w:r w:rsidRPr="002D5D43">
        <w:t xml:space="preserve"> in </w:t>
      </w:r>
      <w:r>
        <w:t>supporting material</w:t>
      </w:r>
      <w:r w:rsidRPr="002D5D43">
        <w:t>)</w:t>
      </w:r>
      <w:r>
        <w:t>. The Nepalese situation is exceptional because of the high percentage of fathers living abroad. In most cases, the impact should be limited, as illustrated with data from the other countries with available information on fathers living abroad. Nevertheless, one should keep in mind that in countries with high outmigration, male fertility may be overestimated.</w:t>
      </w:r>
      <w:r>
        <w:rPr>
          <w:rStyle w:val="Appeldenotedefin"/>
        </w:rPr>
        <w:endnoteReference w:id="8"/>
      </w:r>
      <w:r>
        <w:t xml:space="preserve"> Finally international immigration of fathers may also be an issue for estimating male fertility, both using vital statistics and with the own-children method. The case of Qatar is used to illustrate the impact of large numbers of male immigrants on estimated male fertility. According to the </w:t>
      </w:r>
      <w:r w:rsidRPr="00147AA3">
        <w:rPr>
          <w:i/>
        </w:rPr>
        <w:t>United Nations Demographic Yearbook</w:t>
      </w:r>
      <w:r>
        <w:t>, the male TFR in Qatar was 0.6 in 2010. This very low TFR reflects the large numbers of temporary male immigrants, many of whom live in labor camps</w:t>
      </w:r>
      <w:r w:rsidRPr="002D5D43">
        <w:t>, and whose family usually remains</w:t>
      </w:r>
      <w:r>
        <w:t xml:space="preserve"> in their country of origin. These immigrants in labor camps, which represent roughly half of Qatar’s population </w:t>
      </w:r>
      <w:r w:rsidRPr="002D5D43">
        <w:t>(Ministry of Development Planning and Statistics 2016)</w:t>
      </w:r>
      <w:r>
        <w:t xml:space="preserve">, are included in the denominator of the rates, but their children—living in the home country—are not counted in </w:t>
      </w:r>
      <w:r w:rsidRPr="00BD55C8">
        <w:t xml:space="preserve">the numerators. The 2012 MICS, which did not cover populations living in labor camps, leads to a much higher estimate for the male TFR in Qatar (2.6 children), indicating the </w:t>
      </w:r>
      <w:r w:rsidRPr="00BD55C8">
        <w:lastRenderedPageBreak/>
        <w:t>sensitivity of male fertility estimates in this context (</w:t>
      </w:r>
      <w:r>
        <w:t>s</w:t>
      </w:r>
      <w:r w:rsidRPr="00BD55C8">
        <w:t xml:space="preserve">ee Table </w:t>
      </w:r>
      <w:r>
        <w:t>A in supporting material</w:t>
      </w:r>
      <w:r w:rsidRPr="00BD55C8">
        <w:t>). Qatar and the other Gulf countries are extreme cases because of the very large</w:t>
      </w:r>
      <w:r>
        <w:t xml:space="preserve"> numbers of temporary workers.</w:t>
      </w:r>
      <w:r>
        <w:rPr>
          <w:rStyle w:val="Appeldenotedefin"/>
        </w:rPr>
        <w:endnoteReference w:id="9"/>
      </w:r>
      <w:r>
        <w:t xml:space="preserve"> In most cases, however, immigration should lead to a limited underestimation of fertility, which may in fact be partly compensated by outmigration. In summary, rates estimated from surveys and censuses may be affected by several issues and are not error-free, but are expected in most cases to provide trustworthy estimates. </w:t>
      </w:r>
    </w:p>
    <w:p w14:paraId="64EF7C8F" w14:textId="7FD0C213" w:rsidR="00FC1B3B" w:rsidRPr="00BD55C8" w:rsidRDefault="00FC1B3B" w:rsidP="00A40EEF">
      <w:r w:rsidRPr="00950E85">
        <w:t xml:space="preserve">In total, estimates </w:t>
      </w:r>
      <w:r>
        <w:t xml:space="preserve">of male age-specific fertility </w:t>
      </w:r>
      <w:r w:rsidRPr="00950E85">
        <w:t xml:space="preserve">are </w:t>
      </w:r>
      <w:r w:rsidRPr="00CA2112">
        <w:t>available for 163 countries, most of them from surveys (86) or vital statistics (68), and the rest from censuses or from an indirect method in China (see supporting material, Table A and Figure S1). Data on female fertility are obtained for the same countries with the same data sources and methods</w:t>
      </w:r>
      <w:r>
        <w:t xml:space="preserve">. These rates are used to compute TFRs for men and women, and mean age at childbearing and at fatherhood. TFRs are obtained by summing age-specific </w:t>
      </w:r>
      <w:r w:rsidRPr="00BD55C8">
        <w:t>fertility rates (multiplied by 5) over the 15</w:t>
      </w:r>
      <w:r>
        <w:t>–</w:t>
      </w:r>
      <w:r w:rsidRPr="00BD55C8">
        <w:t xml:space="preserve">79 age range among </w:t>
      </w:r>
      <w:r>
        <w:t>men</w:t>
      </w:r>
      <w:r w:rsidRPr="00BD55C8">
        <w:t>, and over the 15</w:t>
      </w:r>
      <w:r>
        <w:t>–</w:t>
      </w:r>
      <w:r w:rsidRPr="00BD55C8">
        <w:t xml:space="preserve">49 age range among </w:t>
      </w:r>
      <w:r>
        <w:t>women</w:t>
      </w:r>
      <w:r w:rsidRPr="00BD55C8">
        <w:t xml:space="preserve">. Mean age at childbearing and mean age at fatherhood are averages of central ages of age groups, weighted by age-specific fertility rates. Estimates refer on average to </w:t>
      </w:r>
      <w:r>
        <w:t xml:space="preserve">the </w:t>
      </w:r>
      <w:r w:rsidRPr="00BD55C8">
        <w:t>year 2011, and 90% of these estimates refer to a year between 2006 and 2014 (</w:t>
      </w:r>
      <w:r>
        <w:t>s</w:t>
      </w:r>
      <w:r w:rsidRPr="00BD55C8">
        <w:t xml:space="preserve">ee Table </w:t>
      </w:r>
      <w:proofErr w:type="gramStart"/>
      <w:r w:rsidRPr="00BD55C8">
        <w:t>A</w:t>
      </w:r>
      <w:proofErr w:type="gramEnd"/>
      <w:r w:rsidRPr="00BD55C8">
        <w:t xml:space="preserve"> in </w:t>
      </w:r>
      <w:r>
        <w:t>supporting material</w:t>
      </w:r>
      <w:r w:rsidRPr="00BD55C8">
        <w:t>).</w:t>
      </w:r>
    </w:p>
    <w:p w14:paraId="528A720F" w14:textId="225D89E5" w:rsidR="00FC1B3B" w:rsidRDefault="00FC1B3B" w:rsidP="00A40EEF">
      <w:pPr>
        <w:rPr>
          <w:szCs w:val="24"/>
        </w:rPr>
      </w:pPr>
      <w:r w:rsidRPr="00BD55C8">
        <w:t xml:space="preserve">Fertility trends were also estimated in 69 countries with DHS data; selected results are presented for nine countries from different parts of the </w:t>
      </w:r>
      <w:r>
        <w:t>w</w:t>
      </w:r>
      <w:r w:rsidRPr="00BD55C8">
        <w:t>orld and with varying fertility levels and trends. The own</w:t>
      </w:r>
      <w:r>
        <w:t>-</w:t>
      </w:r>
      <w:r w:rsidRPr="00BD55C8">
        <w:t>children method is used</w:t>
      </w:r>
      <w:r w:rsidRPr="006722A2">
        <w:t xml:space="preserve"> to compute male age-specific</w:t>
      </w:r>
      <w:r>
        <w:t xml:space="preserve"> fertility rates by calendar year for the 15 years preceding the surveys. When available, </w:t>
      </w:r>
      <w:r>
        <w:rPr>
          <w:szCs w:val="24"/>
        </w:rPr>
        <w:t>d</w:t>
      </w:r>
      <w:r w:rsidRPr="00AE12A9">
        <w:rPr>
          <w:szCs w:val="24"/>
        </w:rPr>
        <w:t xml:space="preserve">ata from several surveys </w:t>
      </w:r>
      <w:r>
        <w:rPr>
          <w:szCs w:val="24"/>
        </w:rPr>
        <w:t xml:space="preserve">are pooled </w:t>
      </w:r>
      <w:r w:rsidRPr="00431861">
        <w:rPr>
          <w:szCs w:val="24"/>
        </w:rPr>
        <w:t xml:space="preserve">to cover a long period (around 30 years in many countries), to limit fluctuations due to small numbers and to attenuate </w:t>
      </w:r>
      <w:r>
        <w:rPr>
          <w:szCs w:val="24"/>
        </w:rPr>
        <w:t xml:space="preserve">the impact on estimates of </w:t>
      </w:r>
      <w:r w:rsidRPr="00431861">
        <w:rPr>
          <w:szCs w:val="24"/>
        </w:rPr>
        <w:t>data</w:t>
      </w:r>
      <w:r>
        <w:rPr>
          <w:szCs w:val="24"/>
        </w:rPr>
        <w:t>-</w:t>
      </w:r>
      <w:r w:rsidRPr="00431861">
        <w:rPr>
          <w:szCs w:val="24"/>
        </w:rPr>
        <w:t xml:space="preserve">quality </w:t>
      </w:r>
      <w:r>
        <w:rPr>
          <w:szCs w:val="24"/>
        </w:rPr>
        <w:t xml:space="preserve">problems (see </w:t>
      </w:r>
      <w:r w:rsidRPr="00AE3E81">
        <w:rPr>
          <w:szCs w:val="24"/>
        </w:rPr>
        <w:t xml:space="preserve">supporting material for a description of the method and its illustration in the case of Zimbabwe). Finally, </w:t>
      </w:r>
      <w:r>
        <w:rPr>
          <w:szCs w:val="24"/>
        </w:rPr>
        <w:t xml:space="preserve">in the last part of the paper, </w:t>
      </w:r>
      <w:r w:rsidRPr="00AE3E81">
        <w:rPr>
          <w:szCs w:val="24"/>
        </w:rPr>
        <w:t xml:space="preserve">population projections from the United Nations World Population Prospects </w:t>
      </w:r>
      <w:r>
        <w:rPr>
          <w:szCs w:val="24"/>
        </w:rPr>
        <w:t xml:space="preserve">(2017) </w:t>
      </w:r>
      <w:r w:rsidRPr="00AE3E81">
        <w:rPr>
          <w:szCs w:val="24"/>
        </w:rPr>
        <w:t xml:space="preserve">are used </w:t>
      </w:r>
      <w:r>
        <w:rPr>
          <w:szCs w:val="24"/>
        </w:rPr>
        <w:t>in combination with assumptions on the age pattern of male fertility</w:t>
      </w:r>
      <w:r w:rsidRPr="00AE3E81">
        <w:rPr>
          <w:szCs w:val="24"/>
        </w:rPr>
        <w:t xml:space="preserve"> to evaluate trend</w:t>
      </w:r>
      <w:r>
        <w:rPr>
          <w:szCs w:val="24"/>
        </w:rPr>
        <w:t>s</w:t>
      </w:r>
      <w:r w:rsidRPr="00AE3E81">
        <w:rPr>
          <w:szCs w:val="24"/>
        </w:rPr>
        <w:t xml:space="preserve"> in male total fertility </w:t>
      </w:r>
      <w:r>
        <w:rPr>
          <w:szCs w:val="24"/>
        </w:rPr>
        <w:t xml:space="preserve">rates until 2100 </w:t>
      </w:r>
      <w:r w:rsidRPr="00AE3E81">
        <w:rPr>
          <w:szCs w:val="24"/>
        </w:rPr>
        <w:t>in selected countries.</w:t>
      </w:r>
    </w:p>
    <w:p w14:paraId="244689CF" w14:textId="64D6229B" w:rsidR="00FC1B3B" w:rsidRDefault="00FC1B3B" w:rsidP="00A40EEF">
      <w:pPr>
        <w:pStyle w:val="Titre1"/>
      </w:pPr>
      <w:r>
        <w:t>Male fertility around the world: From 1 to 13 children, and between 29 and 46 years on average</w:t>
      </w:r>
    </w:p>
    <w:p w14:paraId="4121944E" w14:textId="3226DE91" w:rsidR="00FC1B3B" w:rsidRDefault="00FC1B3B" w:rsidP="00A40EEF">
      <w:r>
        <w:t xml:space="preserve">Figure 1a shows the male TFRs circa 2011 for 163 countries. </w:t>
      </w:r>
      <w:r w:rsidRPr="00C87F4B">
        <w:t xml:space="preserve">While the average number of children per woman varies </w:t>
      </w:r>
      <w:r>
        <w:t xml:space="preserve">across countries </w:t>
      </w:r>
      <w:r w:rsidRPr="00C87F4B">
        <w:t xml:space="preserve">from about 1 </w:t>
      </w:r>
      <w:r>
        <w:t xml:space="preserve">child </w:t>
      </w:r>
      <w:r w:rsidRPr="00C87F4B">
        <w:t>to 8</w:t>
      </w:r>
      <w:r>
        <w:t xml:space="preserve"> children</w:t>
      </w:r>
      <w:r w:rsidRPr="00C87F4B">
        <w:t xml:space="preserve">, variations in male fertility are much more pronounced. In European countries, it is between 1 and 2 </w:t>
      </w:r>
      <w:r w:rsidRPr="00C87F4B">
        <w:lastRenderedPageBreak/>
        <w:t xml:space="preserve">children on average, and is generally close to female fertility. </w:t>
      </w:r>
      <w:r>
        <w:t>M</w:t>
      </w:r>
      <w:r w:rsidRPr="00C87F4B">
        <w:t>ale fertility</w:t>
      </w:r>
      <w:r>
        <w:t xml:space="preserve"> is especially low in </w:t>
      </w:r>
      <w:r w:rsidRPr="00C87F4B">
        <w:t xml:space="preserve">Southern and Eastern Europe, averaging around 1.2 children, while </w:t>
      </w:r>
      <w:r>
        <w:t xml:space="preserve">countries in </w:t>
      </w:r>
      <w:r w:rsidRPr="00C87F4B">
        <w:t xml:space="preserve">Western and Northern Europe </w:t>
      </w:r>
      <w:r>
        <w:t xml:space="preserve">usually </w:t>
      </w:r>
      <w:r w:rsidRPr="00C87F4B">
        <w:t>have between 1.7 and 2.1 children per man, as in North America, Australia</w:t>
      </w:r>
      <w:r>
        <w:t>,</w:t>
      </w:r>
      <w:r w:rsidRPr="00C87F4B">
        <w:t xml:space="preserve"> and New Zealand. Variations are more pronounced in Asia, with very low fertility levels in Japan </w:t>
      </w:r>
      <w:r>
        <w:t>and</w:t>
      </w:r>
      <w:r w:rsidRPr="00C87F4B">
        <w:t xml:space="preserve"> South Korea (around 1.2 children)</w:t>
      </w:r>
      <w:r>
        <w:t>,</w:t>
      </w:r>
      <w:r>
        <w:rPr>
          <w:rStyle w:val="Appeldenotedefin"/>
        </w:rPr>
        <w:endnoteReference w:id="10"/>
      </w:r>
      <w:r w:rsidRPr="00C87F4B">
        <w:t xml:space="preserve"> </w:t>
      </w:r>
      <w:r>
        <w:t xml:space="preserve">but with substantially </w:t>
      </w:r>
      <w:r w:rsidRPr="00C87F4B">
        <w:t xml:space="preserve">higher </w:t>
      </w:r>
      <w:r>
        <w:t xml:space="preserve">fertility </w:t>
      </w:r>
      <w:r w:rsidRPr="00C87F4B">
        <w:t xml:space="preserve">in </w:t>
      </w:r>
      <w:r>
        <w:t xml:space="preserve">some </w:t>
      </w:r>
      <w:r w:rsidRPr="00C87F4B">
        <w:t xml:space="preserve">countries, </w:t>
      </w:r>
      <w:r>
        <w:t>such as Pakistan (</w:t>
      </w:r>
      <w:r w:rsidRPr="00C87F4B">
        <w:t>5</w:t>
      </w:r>
      <w:r>
        <w:t xml:space="preserve">.1), Iraq (5.5), and </w:t>
      </w:r>
      <w:r w:rsidRPr="00C87F4B">
        <w:t>Afghanistan</w:t>
      </w:r>
      <w:r>
        <w:t xml:space="preserve"> (6.9)</w:t>
      </w:r>
      <w:r w:rsidRPr="00C87F4B">
        <w:t xml:space="preserve">. In </w:t>
      </w:r>
      <w:r>
        <w:t xml:space="preserve">Central and South </w:t>
      </w:r>
      <w:r w:rsidRPr="00C87F4B">
        <w:t xml:space="preserve">America, male fertility is overall </w:t>
      </w:r>
      <w:r>
        <w:t xml:space="preserve">lower </w:t>
      </w:r>
      <w:r w:rsidRPr="00C87F4B">
        <w:t xml:space="preserve">than in Asia, but variations are also noticeable, ranging from </w:t>
      </w:r>
      <w:r>
        <w:t>fewer</w:t>
      </w:r>
      <w:r w:rsidRPr="00C87F4B">
        <w:t xml:space="preserve"> than 2 children (Cuba, Chile, Costa Rica) to more than 5 (Haiti). Finally, sub-Saharan Africa has by far the highest levels of male fertility. Of the 4</w:t>
      </w:r>
      <w:r>
        <w:t>3</w:t>
      </w:r>
      <w:r w:rsidRPr="00C87F4B">
        <w:t xml:space="preserve"> sub-Saharan countries for which data are available, half have a male </w:t>
      </w:r>
      <w:r>
        <w:t xml:space="preserve">TFR above </w:t>
      </w:r>
      <w:r w:rsidRPr="00C87F4B">
        <w:t xml:space="preserve">8.5 children, and </w:t>
      </w:r>
      <w:r>
        <w:t xml:space="preserve">the male TFR is greater than </w:t>
      </w:r>
      <w:r w:rsidRPr="00C87F4B">
        <w:t xml:space="preserve">10 children in a quarter of the countries. The highest fertility rates are found </w:t>
      </w:r>
      <w:r>
        <w:t xml:space="preserve">in </w:t>
      </w:r>
      <w:r w:rsidRPr="00C87F4B">
        <w:t xml:space="preserve">Niger </w:t>
      </w:r>
      <w:r>
        <w:t xml:space="preserve">and South Sudan </w:t>
      </w:r>
      <w:r w:rsidRPr="00C87F4B">
        <w:t xml:space="preserve">(more than 13 children), and more generally in the Sahel countries. Only four countries </w:t>
      </w:r>
      <w:r>
        <w:t xml:space="preserve">from sub-Saharan Africa </w:t>
      </w:r>
      <w:r w:rsidRPr="00C87F4B">
        <w:t xml:space="preserve">(Botswana, Lesotho, Namibia, South Africa) have </w:t>
      </w:r>
      <w:r>
        <w:t xml:space="preserve">fewer </w:t>
      </w:r>
      <w:r w:rsidRPr="00C87F4B">
        <w:t>than 6 children per man.</w:t>
      </w:r>
      <w:r>
        <w:t xml:space="preserve"> Such very high fertility levels among men in sub-Saharan Africa are the norm rather than the exception, and are consistent with those found at the local level in the few studies in sub-Saharan Africa </w:t>
      </w:r>
      <w:r w:rsidR="006245BA">
        <w:rPr>
          <w:rFonts w:cs="Times New Roman"/>
          <w:szCs w:val="24"/>
        </w:rPr>
        <w:t>(</w:t>
      </w:r>
      <w:proofErr w:type="spellStart"/>
      <w:r w:rsidR="006245BA">
        <w:rPr>
          <w:rFonts w:cs="Times New Roman"/>
          <w:szCs w:val="24"/>
        </w:rPr>
        <w:t>Donadjé</w:t>
      </w:r>
      <w:proofErr w:type="spellEnd"/>
      <w:r w:rsidR="006245BA">
        <w:rPr>
          <w:rFonts w:cs="Times New Roman"/>
          <w:szCs w:val="24"/>
        </w:rPr>
        <w:t xml:space="preserve"> 1992; </w:t>
      </w:r>
      <w:proofErr w:type="spellStart"/>
      <w:r w:rsidR="006245BA">
        <w:rPr>
          <w:rFonts w:cs="Times New Roman"/>
          <w:szCs w:val="24"/>
        </w:rPr>
        <w:t>Pison</w:t>
      </w:r>
      <w:proofErr w:type="spellEnd"/>
      <w:r w:rsidRPr="00B76D7C">
        <w:rPr>
          <w:rFonts w:cs="Times New Roman"/>
          <w:szCs w:val="24"/>
        </w:rPr>
        <w:t xml:space="preserve"> 1986; </w:t>
      </w:r>
      <w:proofErr w:type="spellStart"/>
      <w:r w:rsidR="006245BA" w:rsidRPr="00C42682">
        <w:rPr>
          <w:rFonts w:cs="Times New Roman"/>
          <w:szCs w:val="24"/>
        </w:rPr>
        <w:t>Ratcliffe</w:t>
      </w:r>
      <w:proofErr w:type="spellEnd"/>
      <w:r w:rsidR="00B97B82">
        <w:rPr>
          <w:rFonts w:cs="Times New Roman"/>
          <w:szCs w:val="24"/>
        </w:rPr>
        <w:t xml:space="preserve"> </w:t>
      </w:r>
      <w:r w:rsidR="00B97B82" w:rsidRPr="00B97B82">
        <w:rPr>
          <w:rFonts w:cs="Times New Roman"/>
          <w:i/>
          <w:szCs w:val="24"/>
        </w:rPr>
        <w:t>et al.</w:t>
      </w:r>
      <w:r w:rsidR="006245BA" w:rsidRPr="00C42682">
        <w:rPr>
          <w:rFonts w:cs="Times New Roman"/>
          <w:szCs w:val="24"/>
        </w:rPr>
        <w:t xml:space="preserve"> 2000</w:t>
      </w:r>
      <w:r w:rsidRPr="00B76D7C">
        <w:rPr>
          <w:rFonts w:cs="Times New Roman"/>
          <w:szCs w:val="24"/>
        </w:rPr>
        <w:t>)</w:t>
      </w:r>
      <w:r>
        <w:t xml:space="preserve">. They are also consistent with completed fertility measured in men’s </w:t>
      </w:r>
      <w:r w:rsidRPr="007260F3">
        <w:t xml:space="preserve">surveys </w:t>
      </w:r>
      <w:r>
        <w:t xml:space="preserve">in the DHS </w:t>
      </w:r>
      <w:r w:rsidRPr="007260F3">
        <w:rPr>
          <w:rFonts w:cs="Times New Roman"/>
        </w:rPr>
        <w:t xml:space="preserve">(Blanc </w:t>
      </w:r>
      <w:r w:rsidR="006245BA">
        <w:rPr>
          <w:rFonts w:cs="Times New Roman"/>
        </w:rPr>
        <w:t>and Gage</w:t>
      </w:r>
      <w:r w:rsidRPr="007260F3">
        <w:rPr>
          <w:rFonts w:cs="Times New Roman"/>
        </w:rPr>
        <w:t xml:space="preserve"> 2000; Johnson </w:t>
      </w:r>
      <w:r w:rsidR="006245BA">
        <w:rPr>
          <w:rFonts w:cs="Times New Roman"/>
        </w:rPr>
        <w:t xml:space="preserve">and </w:t>
      </w:r>
      <w:proofErr w:type="spellStart"/>
      <w:r w:rsidR="006245BA">
        <w:rPr>
          <w:rFonts w:cs="Times New Roman"/>
        </w:rPr>
        <w:t>Gu</w:t>
      </w:r>
      <w:proofErr w:type="spellEnd"/>
      <w:r w:rsidRPr="007260F3">
        <w:rPr>
          <w:rFonts w:cs="Times New Roman"/>
        </w:rPr>
        <w:t xml:space="preserve"> 2009)</w:t>
      </w:r>
      <w:r>
        <w:t>.</w:t>
      </w:r>
    </w:p>
    <w:p w14:paraId="1AEE33CA" w14:textId="42E0EF12" w:rsidR="00FC1B3B" w:rsidRDefault="00FC1B3B" w:rsidP="00FC1B3B">
      <w:pPr>
        <w:jc w:val="center"/>
      </w:pPr>
      <w:r>
        <w:t>[Figure 1]</w:t>
      </w:r>
    </w:p>
    <w:p w14:paraId="02E707A8" w14:textId="0C7261FE" w:rsidR="00FC1B3B" w:rsidRDefault="00FC1B3B" w:rsidP="00A40EEF">
      <w:r>
        <w:t>Mean ages at fatherhood also vary considerably across countries (Figure 1b), from 28.5 years (China) to more than 45 years (Gambia, Guinea-Bissau). Variations are much larger among men than among women, for who the mean age at childbearing varies from around 26 years (India, Armenia) to 33 years (Libya). Among men, fertility is especially late (mean age at fatherhood over 40 years) in many sub-Saharan African countries, particularly in the Sahel region where polygyny is frequent and male fertility is very high. In contrast, the mean age at fatherhood is between 30 and 36 years in most countries outside Africa, and is overall slightly higher in most European countries than in Asia and in the Americas.</w:t>
      </w:r>
    </w:p>
    <w:p w14:paraId="741D6091" w14:textId="77777777" w:rsidR="00FC1B3B" w:rsidRPr="00085412" w:rsidRDefault="00FC1B3B" w:rsidP="00A40EEF">
      <w:pPr>
        <w:pStyle w:val="Titre1"/>
      </w:pPr>
      <w:r w:rsidRPr="00085412">
        <w:t>Differences between men and women are often substantial</w:t>
      </w:r>
    </w:p>
    <w:p w14:paraId="260E7EC9" w14:textId="6AA748D4" w:rsidR="00FC1B3B" w:rsidRDefault="00FC1B3B" w:rsidP="00A40EEF">
      <w:r w:rsidRPr="00D818D9">
        <w:t xml:space="preserve">In most Western countries, where fertility is low, </w:t>
      </w:r>
      <w:r>
        <w:t xml:space="preserve">male fertility </w:t>
      </w:r>
      <w:r w:rsidRPr="00D818D9">
        <w:t xml:space="preserve">is slightly lower than </w:t>
      </w:r>
      <w:r>
        <w:t>female fertility</w:t>
      </w:r>
      <w:r w:rsidRPr="00D818D9">
        <w:t xml:space="preserve"> </w:t>
      </w:r>
      <w:r>
        <w:t xml:space="preserve">by a </w:t>
      </w:r>
      <w:r w:rsidRPr="00D818D9">
        <w:t>few percent</w:t>
      </w:r>
      <w:r>
        <w:t xml:space="preserve"> </w:t>
      </w:r>
      <w:r w:rsidRPr="00D818D9">
        <w:t xml:space="preserve">(Figure </w:t>
      </w:r>
      <w:r>
        <w:t>2</w:t>
      </w:r>
      <w:r w:rsidRPr="00D818D9">
        <w:t xml:space="preserve">). These fertility differences, most of the time </w:t>
      </w:r>
      <w:r>
        <w:t xml:space="preserve">smaller </w:t>
      </w:r>
      <w:r w:rsidRPr="00D818D9">
        <w:t xml:space="preserve">than 0.1 children, are </w:t>
      </w:r>
      <w:r>
        <w:t xml:space="preserve">usually </w:t>
      </w:r>
      <w:r w:rsidRPr="00D818D9">
        <w:t>insignificant.</w:t>
      </w:r>
      <w:r>
        <w:t xml:space="preserve"> They apply to around one-third of the 163 countries. In contrast, male fertility is higher than female fertility in about two-thirds of the countries, and </w:t>
      </w:r>
      <w:r w:rsidRPr="00D818D9">
        <w:lastRenderedPageBreak/>
        <w:t xml:space="preserve">is </w:t>
      </w:r>
      <w:r>
        <w:t xml:space="preserve">in fact </w:t>
      </w:r>
      <w:r w:rsidRPr="00D818D9">
        <w:t xml:space="preserve">much higher in </w:t>
      </w:r>
      <w:r>
        <w:t xml:space="preserve">a large number of </w:t>
      </w:r>
      <w:r w:rsidRPr="00D818D9">
        <w:t xml:space="preserve">countries, those where the fertility transition is not </w:t>
      </w:r>
      <w:r>
        <w:t xml:space="preserve">yet </w:t>
      </w:r>
      <w:r w:rsidRPr="00D818D9">
        <w:t>complete.</w:t>
      </w:r>
      <w:r>
        <w:t xml:space="preserve"> In half of the countries, m</w:t>
      </w:r>
      <w:r w:rsidRPr="001D694C">
        <w:t xml:space="preserve">ale fertility is at least </w:t>
      </w:r>
      <w:r>
        <w:t>15</w:t>
      </w:r>
      <w:r w:rsidRPr="001D694C">
        <w:t>% higher than female fertility</w:t>
      </w:r>
      <w:r>
        <w:t>, and it is at least 50% higher in 30 countries, most of them in sub-Saharan Africa.</w:t>
      </w:r>
      <w:r w:rsidRPr="00085412">
        <w:rPr>
          <w:rStyle w:val="Appeldenotedefin"/>
          <w:rFonts w:cs="Times New Roman"/>
        </w:rPr>
        <w:endnoteReference w:id="11"/>
      </w:r>
      <w:r>
        <w:t xml:space="preserve"> Bahrain and Qatar are two outliers, where male fertility is much lower than female fertility because of the large number of male immigrants. As discussed before, when immigrants living in </w:t>
      </w:r>
      <w:proofErr w:type="spellStart"/>
      <w:r>
        <w:t>labour</w:t>
      </w:r>
      <w:proofErr w:type="spellEnd"/>
      <w:r>
        <w:t xml:space="preserve"> camps are not taken into account, as in the Qatar MICS, male fertility is closer to and higher than female fertility.</w:t>
      </w:r>
    </w:p>
    <w:p w14:paraId="1522A2FD" w14:textId="16108AE1" w:rsidR="00FC1B3B" w:rsidRDefault="00FC1B3B" w:rsidP="00A40EEF">
      <w:r w:rsidRPr="008F73D8">
        <w:t xml:space="preserve">In </w:t>
      </w:r>
      <w:r>
        <w:t xml:space="preserve">all the 163 </w:t>
      </w:r>
      <w:r w:rsidRPr="008F73D8">
        <w:t>countries, men also have their children later than women</w:t>
      </w:r>
      <w:r>
        <w:t xml:space="preserve"> </w:t>
      </w:r>
      <w:r w:rsidRPr="008F73D8">
        <w:t>(</w:t>
      </w:r>
      <w:r w:rsidRPr="00C87F4B">
        <w:t xml:space="preserve">Figure </w:t>
      </w:r>
      <w:r>
        <w:rPr>
          <w:noProof/>
        </w:rPr>
        <w:t>3</w:t>
      </w:r>
      <w:r w:rsidRPr="008F73D8">
        <w:t xml:space="preserve">), and in some cases much later and </w:t>
      </w:r>
      <w:r>
        <w:t xml:space="preserve">until </w:t>
      </w:r>
      <w:r w:rsidRPr="008F73D8">
        <w:t xml:space="preserve">very </w:t>
      </w:r>
      <w:r>
        <w:t xml:space="preserve">high </w:t>
      </w:r>
      <w:r w:rsidRPr="008F73D8">
        <w:t xml:space="preserve">ages. </w:t>
      </w:r>
      <w:r w:rsidRPr="00742571">
        <w:t xml:space="preserve">Among the countries listed here, the </w:t>
      </w:r>
      <w:r w:rsidRPr="00F44622">
        <w:t>mean age at fatherhood is on average 35 years, compared to 29 years for the mean age at</w:t>
      </w:r>
      <w:r>
        <w:t xml:space="preserve"> childbearing</w:t>
      </w:r>
      <w:r w:rsidRPr="00742571">
        <w:t xml:space="preserve">. </w:t>
      </w:r>
      <w:r>
        <w:t xml:space="preserve">The smallest gaps (2 years) are found in Asia (Japan, China, Turkmenistan), and the largest gaps (around 16 years) in sub-Saharan Africa (Gambia, Guinea-Bissau). </w:t>
      </w:r>
      <w:r w:rsidRPr="003B0259">
        <w:t xml:space="preserve">As discussed below, these age differences at childbearing and at fatherhood </w:t>
      </w:r>
      <w:r>
        <w:t>are key to understanding differences between male and female fertility</w:t>
      </w:r>
      <w:r w:rsidRPr="003B0259">
        <w:t>.</w:t>
      </w:r>
      <w:r>
        <w:t xml:space="preserve"> They are also obviously related to differences in age at forming union between men and women: on average, men are older than their partners in virtually all countries of the world, and differences in age at first union are highest in West African countries </w:t>
      </w:r>
      <w:r w:rsidR="006245BA">
        <w:rPr>
          <w:rFonts w:cs="Times New Roman"/>
        </w:rPr>
        <w:t>(</w:t>
      </w:r>
      <w:proofErr w:type="spellStart"/>
      <w:r w:rsidR="006245BA">
        <w:rPr>
          <w:rFonts w:cs="Times New Roman"/>
        </w:rPr>
        <w:t>Mignot</w:t>
      </w:r>
      <w:proofErr w:type="spellEnd"/>
      <w:r w:rsidRPr="00877488">
        <w:rPr>
          <w:rFonts w:cs="Times New Roman"/>
        </w:rPr>
        <w:t xml:space="preserve"> 2010)</w:t>
      </w:r>
      <w:r w:rsidRPr="00877488">
        <w:t>.</w:t>
      </w:r>
    </w:p>
    <w:p w14:paraId="0428DA94" w14:textId="2E5622AE" w:rsidR="00FC1B3B" w:rsidRDefault="00FC1B3B" w:rsidP="00FC1B3B">
      <w:pPr>
        <w:jc w:val="center"/>
      </w:pPr>
      <w:r>
        <w:t>[Figure 2]</w:t>
      </w:r>
    </w:p>
    <w:p w14:paraId="34CDBF79" w14:textId="67CA117B" w:rsidR="00FC1B3B" w:rsidRDefault="00FC1B3B" w:rsidP="00FC1B3B">
      <w:pPr>
        <w:jc w:val="center"/>
      </w:pPr>
      <w:r>
        <w:t>[Figure 3]</w:t>
      </w:r>
    </w:p>
    <w:p w14:paraId="69D2C2E5" w14:textId="783A2CF6" w:rsidR="00FC1B3B" w:rsidRDefault="00FC1B3B" w:rsidP="00A40EEF">
      <w:r>
        <w:t>Series of age-specific fertility rates illustrate more clearly the different reproductive experiences among men and women (</w:t>
      </w:r>
      <w:r w:rsidRPr="00C87F4B">
        <w:t xml:space="preserve">Figure </w:t>
      </w:r>
      <w:r>
        <w:rPr>
          <w:noProof/>
        </w:rPr>
        <w:t>4</w:t>
      </w:r>
      <w:r>
        <w:t xml:space="preserve">). </w:t>
      </w:r>
      <w:r w:rsidRPr="00B64EE1">
        <w:t xml:space="preserve">In Senegal, </w:t>
      </w:r>
      <w:r>
        <w:t>f</w:t>
      </w:r>
      <w:r w:rsidRPr="00742571">
        <w:t>ertility rate</w:t>
      </w:r>
      <w:r>
        <w:t xml:space="preserve">s present great contrasts, </w:t>
      </w:r>
      <w:r w:rsidRPr="00742571">
        <w:t xml:space="preserve">and peaks occur at different stages of the life cycle. </w:t>
      </w:r>
      <w:r>
        <w:t>M</w:t>
      </w:r>
      <w:r w:rsidRPr="00B64EE1">
        <w:t xml:space="preserve">en start their reproductive lives significantly later than women, and continue to have children well beyond the age of 50. Age-specific fertility rates for men reach very high levels in their early 40s, while the peak fertility rate for women is between the ages of 25 and 29. </w:t>
      </w:r>
      <w:r>
        <w:t>In this case, t</w:t>
      </w:r>
      <w:r w:rsidRPr="00742571">
        <w:t xml:space="preserve">he mean age </w:t>
      </w:r>
      <w:r>
        <w:t>at fatherhood (</w:t>
      </w:r>
      <w:r w:rsidRPr="00742571">
        <w:t>44</w:t>
      </w:r>
      <w:r>
        <w:t xml:space="preserve"> years)</w:t>
      </w:r>
      <w:r w:rsidRPr="00742571">
        <w:t xml:space="preserve"> is 14 years higher than the </w:t>
      </w:r>
      <w:r>
        <w:t xml:space="preserve">mean </w:t>
      </w:r>
      <w:r w:rsidRPr="00742571">
        <w:t xml:space="preserve">age </w:t>
      </w:r>
      <w:r>
        <w:t>at childbearing, and the TFR is twice as high among men (11.0 children) as among women (5.3 children)</w:t>
      </w:r>
      <w:r w:rsidRPr="00742571">
        <w:t>. Outside sub-Saharan Africa, differences between men and wom</w:t>
      </w:r>
      <w:r>
        <w:t>e</w:t>
      </w:r>
      <w:r w:rsidRPr="00742571">
        <w:t xml:space="preserve">n are generally less pronounced, as illustrated by the </w:t>
      </w:r>
      <w:r>
        <w:t>situations in Haiti and France.</w:t>
      </w:r>
      <w:r w:rsidRPr="00742571">
        <w:t xml:space="preserve"> </w:t>
      </w:r>
      <w:r>
        <w:t xml:space="preserve">In France, age at fatherhood is on average three years later than age at childbearing, and TFRs are equal (2.0 children). Haiti is an intermediate case, with a six-year difference between mean age at fatherhood and mean age at childbearing (37 vs. 31 years), and a male TFR almost 50% higher than female (5.1 vs. 3.5 children). </w:t>
      </w:r>
    </w:p>
    <w:p w14:paraId="39F6D34F" w14:textId="4D15500C" w:rsidR="00FC1B3B" w:rsidRDefault="00FC1B3B" w:rsidP="00FC1B3B">
      <w:pPr>
        <w:jc w:val="center"/>
      </w:pPr>
      <w:r>
        <w:lastRenderedPageBreak/>
        <w:t>[Figure 4]</w:t>
      </w:r>
    </w:p>
    <w:p w14:paraId="3E4BA2D9" w14:textId="77777777" w:rsidR="00FC1B3B" w:rsidRPr="00A70F8C" w:rsidRDefault="00FC1B3B" w:rsidP="00A40EEF">
      <w:pPr>
        <w:pStyle w:val="Titre1"/>
      </w:pPr>
      <w:r>
        <w:t>Understanding differences between male and female fertility</w:t>
      </w:r>
    </w:p>
    <w:p w14:paraId="76B3257D" w14:textId="3C41FAFD" w:rsidR="00FC1B3B" w:rsidRDefault="00FC1B3B" w:rsidP="00A40EEF">
      <w:r w:rsidRPr="00742571">
        <w:t>The fact that men</w:t>
      </w:r>
      <w:r>
        <w:t>’</w:t>
      </w:r>
      <w:r w:rsidRPr="00742571">
        <w:t xml:space="preserve">s fertility may be so different from that of women may be surprising. How can the </w:t>
      </w:r>
      <w:r>
        <w:t xml:space="preserve">TFR for </w:t>
      </w:r>
      <w:r w:rsidRPr="00742571">
        <w:t>men reach 12 or 13 children</w:t>
      </w:r>
      <w:r>
        <w:t xml:space="preserve"> but </w:t>
      </w:r>
      <w:r w:rsidRPr="00742571">
        <w:t xml:space="preserve">that of women </w:t>
      </w:r>
      <w:r>
        <w:t xml:space="preserve">be at </w:t>
      </w:r>
      <w:r w:rsidRPr="00742571">
        <w:t>around 6 children</w:t>
      </w:r>
      <w:r>
        <w:t xml:space="preserve"> for the same country</w:t>
      </w:r>
      <w:r w:rsidRPr="00742571">
        <w:t xml:space="preserve">? </w:t>
      </w:r>
      <w:r>
        <w:t xml:space="preserve">The discrepancies between male and female fertility have been discussed by various authors, with some research dating back to the 1930s and 1940s </w:t>
      </w:r>
      <w:r w:rsidR="00AC6091">
        <w:rPr>
          <w:rFonts w:cs="Times New Roman"/>
        </w:rPr>
        <w:t>(</w:t>
      </w:r>
      <w:proofErr w:type="spellStart"/>
      <w:r w:rsidR="00AC6091">
        <w:rPr>
          <w:rFonts w:cs="Times New Roman"/>
        </w:rPr>
        <w:t>Karmel</w:t>
      </w:r>
      <w:proofErr w:type="spellEnd"/>
      <w:r w:rsidR="00AC6091">
        <w:rPr>
          <w:rFonts w:cs="Times New Roman"/>
        </w:rPr>
        <w:t xml:space="preserve"> 1947; </w:t>
      </w:r>
      <w:proofErr w:type="spellStart"/>
      <w:r w:rsidR="00AC6091">
        <w:rPr>
          <w:rFonts w:cs="Times New Roman"/>
        </w:rPr>
        <w:t>Kuczynski</w:t>
      </w:r>
      <w:proofErr w:type="spellEnd"/>
      <w:r w:rsidRPr="000D6843">
        <w:rPr>
          <w:rFonts w:cs="Times New Roman"/>
        </w:rPr>
        <w:t xml:space="preserve"> 1932; </w:t>
      </w:r>
      <w:proofErr w:type="spellStart"/>
      <w:r w:rsidR="00AC6091">
        <w:rPr>
          <w:rFonts w:cs="Times New Roman"/>
        </w:rPr>
        <w:t>Pison</w:t>
      </w:r>
      <w:proofErr w:type="spellEnd"/>
      <w:r>
        <w:rPr>
          <w:rFonts w:cs="Times New Roman"/>
        </w:rPr>
        <w:t xml:space="preserve"> 1986; </w:t>
      </w:r>
      <w:r w:rsidR="00AC6091">
        <w:rPr>
          <w:rFonts w:cs="Times New Roman"/>
        </w:rPr>
        <w:t>Vincent</w:t>
      </w:r>
      <w:r w:rsidRPr="000D6843">
        <w:rPr>
          <w:rFonts w:cs="Times New Roman"/>
        </w:rPr>
        <w:t xml:space="preserve"> 1946)</w:t>
      </w:r>
      <w:r>
        <w:t>. In a nutshell, t</w:t>
      </w:r>
      <w:r w:rsidRPr="00742571">
        <w:t>hese differences in fertility are related to differences in the ages at which women and men have children, and to differences in the number of men and women at these ages</w:t>
      </w:r>
      <w:r>
        <w:t>, i.e. the shape of the population pyramid</w:t>
      </w:r>
      <w:r w:rsidRPr="00742571">
        <w:t xml:space="preserve"> </w:t>
      </w:r>
      <w:r w:rsidR="00AC6091">
        <w:rPr>
          <w:rFonts w:cs="Times New Roman"/>
        </w:rPr>
        <w:t xml:space="preserve">(Coleman 2000; </w:t>
      </w:r>
      <w:proofErr w:type="spellStart"/>
      <w:r w:rsidR="00AC6091">
        <w:rPr>
          <w:rFonts w:cs="Times New Roman"/>
        </w:rPr>
        <w:t>Pison</w:t>
      </w:r>
      <w:proofErr w:type="spellEnd"/>
      <w:r w:rsidR="00AC6091">
        <w:rPr>
          <w:rFonts w:cs="Times New Roman"/>
        </w:rPr>
        <w:t xml:space="preserve"> 1986; Schoumaker</w:t>
      </w:r>
      <w:r w:rsidRPr="00E837CF">
        <w:rPr>
          <w:rFonts w:cs="Times New Roman"/>
        </w:rPr>
        <w:t xml:space="preserve"> 2017; </w:t>
      </w:r>
      <w:proofErr w:type="spellStart"/>
      <w:r w:rsidRPr="00E837CF">
        <w:rPr>
          <w:rFonts w:cs="Times New Roman"/>
        </w:rPr>
        <w:t>Vallin</w:t>
      </w:r>
      <w:proofErr w:type="spellEnd"/>
      <w:r w:rsidRPr="00E837CF">
        <w:rPr>
          <w:rFonts w:cs="Times New Roman"/>
        </w:rPr>
        <w:t xml:space="preserve"> </w:t>
      </w:r>
      <w:r w:rsidR="00AC6091">
        <w:rPr>
          <w:rFonts w:cs="Times New Roman"/>
        </w:rPr>
        <w:t>and Caselli</w:t>
      </w:r>
      <w:r w:rsidRPr="00E837CF">
        <w:rPr>
          <w:rFonts w:cs="Times New Roman"/>
        </w:rPr>
        <w:t xml:space="preserve"> 2001)</w:t>
      </w:r>
      <w:r w:rsidRPr="00742571">
        <w:t>.</w:t>
      </w:r>
    </w:p>
    <w:p w14:paraId="205A58EB" w14:textId="01BC1D91" w:rsidR="00FC1B3B" w:rsidRDefault="00FC1B3B" w:rsidP="007A747D">
      <w:r>
        <w:t xml:space="preserve">In real populations, the shape of the population pyramid reflects (past) fertility and mortality conditions and sex ratio at birth, as well as international migration. In some cases, excess male mortality or sex-selective migration may lead to large sex imbalances at reproductive ages, and to differences between male and female fertility </w:t>
      </w:r>
      <w:r w:rsidR="00AC6091">
        <w:rPr>
          <w:rFonts w:cs="Times New Roman"/>
        </w:rPr>
        <w:t>(</w:t>
      </w:r>
      <w:proofErr w:type="spellStart"/>
      <w:r w:rsidR="00AC6091">
        <w:rPr>
          <w:rFonts w:cs="Times New Roman"/>
        </w:rPr>
        <w:t>Brouard</w:t>
      </w:r>
      <w:proofErr w:type="spellEnd"/>
      <w:r w:rsidRPr="007671A6">
        <w:rPr>
          <w:rFonts w:cs="Times New Roman"/>
        </w:rPr>
        <w:t xml:space="preserve"> 1977</w:t>
      </w:r>
      <w:r>
        <w:rPr>
          <w:rFonts w:cs="Times New Roman"/>
        </w:rPr>
        <w:t xml:space="preserve">; </w:t>
      </w:r>
      <w:proofErr w:type="spellStart"/>
      <w:r w:rsidR="00AC6091">
        <w:rPr>
          <w:rFonts w:cs="Times New Roman"/>
        </w:rPr>
        <w:t>Kuczynski</w:t>
      </w:r>
      <w:proofErr w:type="spellEnd"/>
      <w:r>
        <w:rPr>
          <w:rFonts w:cs="Times New Roman"/>
        </w:rPr>
        <w:t xml:space="preserve"> 1932</w:t>
      </w:r>
      <w:r w:rsidRPr="007671A6">
        <w:rPr>
          <w:rFonts w:cs="Times New Roman"/>
        </w:rPr>
        <w:t>)</w:t>
      </w:r>
      <w:r>
        <w:t>. In contrast, substantial male immigration will lead to a surplus of men, and will be associated with lower male fertility (</w:t>
      </w:r>
      <w:proofErr w:type="spellStart"/>
      <w:r w:rsidR="00AC6091" w:rsidRPr="00C42682">
        <w:rPr>
          <w:rFonts w:cs="Times New Roman"/>
          <w:szCs w:val="24"/>
        </w:rPr>
        <w:t>Keilman</w:t>
      </w:r>
      <w:proofErr w:type="spellEnd"/>
      <w:r w:rsidR="00B97B82">
        <w:rPr>
          <w:rFonts w:cs="Times New Roman"/>
          <w:szCs w:val="24"/>
        </w:rPr>
        <w:t xml:space="preserve"> </w:t>
      </w:r>
      <w:r w:rsidR="00B97B82" w:rsidRPr="00B97B82">
        <w:rPr>
          <w:rFonts w:cs="Times New Roman"/>
          <w:i/>
          <w:szCs w:val="24"/>
        </w:rPr>
        <w:t>et al.</w:t>
      </w:r>
      <w:r w:rsidR="00AC6091" w:rsidRPr="00C42682">
        <w:rPr>
          <w:rFonts w:cs="Times New Roman"/>
          <w:szCs w:val="24"/>
        </w:rPr>
        <w:t xml:space="preserve"> 2014</w:t>
      </w:r>
      <w:r>
        <w:t>)</w:t>
      </w:r>
      <w:r w:rsidRPr="00742571">
        <w:t>.</w:t>
      </w:r>
      <w:r>
        <w:t xml:space="preserve"> However, the major factor in explaining differences in male and female fertility around the world is the combination of the difference between age at fatherhood and age at childbearing, and the stage of the demographic transition of the country, i.e. whether younger cohorts are more numerous than older cohorts.</w:t>
      </w:r>
    </w:p>
    <w:p w14:paraId="374D2410" w14:textId="4AB79148" w:rsidR="00FC1B3B" w:rsidRDefault="00FC1B3B" w:rsidP="00A40EEF">
      <w:r>
        <w:t>Figure 5 shows that the difference</w:t>
      </w:r>
      <w:r w:rsidRPr="00540765">
        <w:t xml:space="preserve"> between age at fatherhood and age at </w:t>
      </w:r>
      <w:r>
        <w:t xml:space="preserve">childbearing is indeed a key factor in accounting for the variations in the ratio of male to female fertility across the 163 countries (r=0.86; r=0.91 without Qatar and Bahrain). In sub-Saharan Africa, </w:t>
      </w:r>
      <w:r w:rsidRPr="00540765">
        <w:t xml:space="preserve">male </w:t>
      </w:r>
      <w:r>
        <w:t xml:space="preserve">TFRs </w:t>
      </w:r>
      <w:r w:rsidRPr="00540765">
        <w:t>are often 1.5 to 2 times greater th</w:t>
      </w:r>
      <w:r>
        <w:t>an female TFRs, and age differences are close to or greater than 10 years.</w:t>
      </w:r>
      <w:r w:rsidRPr="00540765">
        <w:t xml:space="preserve"> </w:t>
      </w:r>
      <w:r>
        <w:t>In Western countries, age differences vary between 2 and 4 years, and the ratio of male to female TFR is often lower than one. Part of this strong correlation is due to the association between age difference between partners and the shape of the population pyramid. Countries in sub-Saharan Africa have not only the highest age differences between partners but also the youngest age structure</w:t>
      </w:r>
      <w:r w:rsidR="001F4D1D">
        <w:t>s</w:t>
      </w:r>
      <w:r>
        <w:t xml:space="preserve">. In contrast, Western countries combine low age differences between partners and older age structures. Both factors are thus at play in the differences between male and female TFRs, as will be demonstrated in the case of stable populations. The effect of international migration is visible in some countries where the ratio is much lower than expected from the age difference (e.g. in Bahrain and Qatar, with large </w:t>
      </w:r>
      <w:r>
        <w:lastRenderedPageBreak/>
        <w:t>male immigration), or higher than expected in countries with large male outmigration, as in Nepal with the DHS. In contrast, estimates correcting for international migration (either in Nepal or Qatar) are more in line with other estimates.</w:t>
      </w:r>
    </w:p>
    <w:p w14:paraId="2F3F7D08" w14:textId="31AC766C" w:rsidR="00FC1B3B" w:rsidRDefault="00FC1B3B" w:rsidP="00FC1B3B">
      <w:pPr>
        <w:jc w:val="center"/>
      </w:pPr>
      <w:r>
        <w:t>[Figure 5]</w:t>
      </w:r>
    </w:p>
    <w:p w14:paraId="5B3CD83D" w14:textId="77777777" w:rsidR="00FC1B3B" w:rsidRPr="00C3373C" w:rsidRDefault="00FC1B3B" w:rsidP="00A40EEF">
      <w:pPr>
        <w:pStyle w:val="Titre2"/>
        <w:numPr>
          <w:ilvl w:val="1"/>
          <w:numId w:val="6"/>
        </w:numPr>
      </w:pPr>
      <w:r>
        <w:t>Exploring d</w:t>
      </w:r>
      <w:r w:rsidRPr="00C3373C">
        <w:t>ifferences between male and female fertility in stable populations</w:t>
      </w:r>
    </w:p>
    <w:p w14:paraId="48408103" w14:textId="3B03460A" w:rsidR="00FC1B3B" w:rsidRDefault="00FC1B3B" w:rsidP="00A40EEF">
      <w:r>
        <w:t>The stable population model offers a convenient way of understanding the demographic mechanisms generating the differences between male and female fertility in the absence of migration, and to evaluate the consequences of the demographic transition for these differences. The stable population is a population that emerges if age-specific fertility rates and age-specific mortality rates remained unchanged, and if net migration is zero at all ages. In a stable population, the shape of the age and sex structure is constant, as is the growth rate.</w:t>
      </w:r>
      <w:r w:rsidRPr="00DF42AF">
        <w:t xml:space="preserve"> </w:t>
      </w:r>
      <w:r>
        <w:t>M</w:t>
      </w:r>
      <w:r w:rsidRPr="001C3436">
        <w:t xml:space="preserve">ale age-specific fertility rates </w:t>
      </w:r>
      <w:r>
        <w:t xml:space="preserve">will also be constant and </w:t>
      </w:r>
      <w:r w:rsidRPr="001C3436">
        <w:t>consistent</w:t>
      </w:r>
      <w:r>
        <w:t xml:space="preserve"> with female fertility rates</w:t>
      </w:r>
      <w:r w:rsidRPr="001C3436">
        <w:t>, i.e.</w:t>
      </w:r>
      <w:r>
        <w:t>,</w:t>
      </w:r>
      <w:r w:rsidRPr="001C3436">
        <w:t xml:space="preserve"> </w:t>
      </w:r>
      <w:r>
        <w:t xml:space="preserve">will </w:t>
      </w:r>
      <w:r w:rsidRPr="001C3436">
        <w:t xml:space="preserve">they lead to the same </w:t>
      </w:r>
      <w:r>
        <w:t xml:space="preserve">number of births and the same </w:t>
      </w:r>
      <w:r w:rsidRPr="001C3436">
        <w:t>population growth rate</w:t>
      </w:r>
      <w:r>
        <w:t>.</w:t>
      </w:r>
      <w:r>
        <w:rPr>
          <w:rStyle w:val="Appeldenotedefin"/>
        </w:rPr>
        <w:endnoteReference w:id="12"/>
      </w:r>
    </w:p>
    <w:p w14:paraId="6DA23CA9" w14:textId="0F6F5976" w:rsidR="00FC1B3B" w:rsidRDefault="00FC1B3B" w:rsidP="00A40EEF">
      <w:r>
        <w:t xml:space="preserve">In a </w:t>
      </w:r>
      <w:r w:rsidRPr="00540765">
        <w:t>stable population</w:t>
      </w:r>
      <w:r>
        <w:t xml:space="preserve">, </w:t>
      </w:r>
      <w:proofErr w:type="spellStart"/>
      <w:r>
        <w:t>i.e</w:t>
      </w:r>
      <w:proofErr w:type="spellEnd"/>
      <w:r>
        <w:t>, after the population has reached stability,</w:t>
      </w:r>
      <w:r w:rsidRPr="00540765">
        <w:t xml:space="preserve"> the </w:t>
      </w:r>
      <w:r>
        <w:t xml:space="preserve">ratio of the </w:t>
      </w:r>
      <w:r w:rsidRPr="00540765">
        <w:t>male total fertility rate (TFR</w:t>
      </w:r>
      <w:r w:rsidRPr="00540765">
        <w:rPr>
          <w:vertAlign w:val="superscript"/>
        </w:rPr>
        <w:t>M</w:t>
      </w:r>
      <w:r w:rsidRPr="00540765">
        <w:t xml:space="preserve">) </w:t>
      </w:r>
      <w:r>
        <w:t xml:space="preserve">to the </w:t>
      </w:r>
      <w:r w:rsidRPr="00540765">
        <w:t>female total fertility rate (TFR</w:t>
      </w:r>
      <w:r w:rsidRPr="00540765">
        <w:rPr>
          <w:vertAlign w:val="superscript"/>
        </w:rPr>
        <w:t>F</w:t>
      </w:r>
      <w:r w:rsidRPr="00540765">
        <w:t xml:space="preserve">) </w:t>
      </w:r>
      <w:r>
        <w:t xml:space="preserve">can be approximated in </w:t>
      </w:r>
      <w:r w:rsidRPr="00540765">
        <w:t>the following way</w:t>
      </w:r>
      <w:r>
        <w:t xml:space="preserve"> </w:t>
      </w:r>
      <w:r w:rsidR="00AC6091">
        <w:rPr>
          <w:rFonts w:cs="Times New Roman"/>
        </w:rPr>
        <w:t>(Schoumaker</w:t>
      </w:r>
      <w:r w:rsidRPr="004A2163">
        <w:rPr>
          <w:rFonts w:cs="Times New Roman"/>
        </w:rPr>
        <w:t xml:space="preserve"> 2017)</w:t>
      </w:r>
      <w:r w:rsidRPr="00540765">
        <w:t xml:space="preserve">: </w:t>
      </w:r>
    </w:p>
    <w:p w14:paraId="03FE00CE" w14:textId="77777777" w:rsidR="00FC1B3B" w:rsidRPr="00CA6A34" w:rsidRDefault="00CE3C48" w:rsidP="00A40EEF">
      <m:oMath>
        <m:sSup>
          <m:sSupPr>
            <m:ctrlPr>
              <w:rPr>
                <w:rFonts w:ascii="Cambria Math" w:hAnsi="Cambria Math"/>
              </w:rPr>
            </m:ctrlPr>
          </m:sSupPr>
          <m:e>
            <m:f>
              <m:fPr>
                <m:ctrlPr>
                  <w:rPr>
                    <w:rFonts w:ascii="Cambria Math" w:hAnsi="Cambria Math"/>
                  </w:rPr>
                </m:ctrlPr>
              </m:fPr>
              <m:num>
                <m:sSup>
                  <m:sSupPr>
                    <m:ctrlPr>
                      <w:rPr>
                        <w:rFonts w:ascii="Cambria Math" w:hAnsi="Cambria Math"/>
                      </w:rPr>
                    </m:ctrlPr>
                  </m:sSupPr>
                  <m:e>
                    <m:r>
                      <m:rPr>
                        <m:nor/>
                      </m:rPr>
                      <m:t>TFR</m:t>
                    </m:r>
                  </m:e>
                  <m:sup>
                    <m:r>
                      <m:rPr>
                        <m:nor/>
                      </m:rPr>
                      <m:t>M</m:t>
                    </m:r>
                  </m:sup>
                </m:sSup>
              </m:num>
              <m:den>
                <m:sSup>
                  <m:sSupPr>
                    <m:ctrlPr>
                      <w:rPr>
                        <w:rFonts w:ascii="Cambria Math" w:hAnsi="Cambria Math"/>
                      </w:rPr>
                    </m:ctrlPr>
                  </m:sSupPr>
                  <m:e>
                    <m:r>
                      <m:rPr>
                        <m:nor/>
                      </m:rPr>
                      <m:t>TFR</m:t>
                    </m:r>
                  </m:e>
                  <m:sup>
                    <m:r>
                      <m:rPr>
                        <m:nor/>
                      </m:rPr>
                      <m:t>F</m:t>
                    </m:r>
                  </m:sup>
                </m:sSup>
              </m:den>
            </m:f>
          </m:e>
          <m:sup/>
        </m:sSup>
        <m:r>
          <m:rPr>
            <m:nor/>
          </m:rPr>
          <m:t>≈</m:t>
        </m:r>
        <m:f>
          <m:fPr>
            <m:ctrlPr>
              <w:rPr>
                <w:rFonts w:ascii="Cambria Math" w:hAnsi="Cambria Math"/>
              </w:rPr>
            </m:ctrlPr>
          </m:fPr>
          <m:num>
            <m:r>
              <m:rPr>
                <m:nor/>
              </m:rPr>
              <m:t>1</m:t>
            </m:r>
          </m:num>
          <m:den>
            <m:r>
              <m:rPr>
                <m:nor/>
              </m:rPr>
              <m:t>SRB</m:t>
            </m:r>
          </m:den>
        </m:f>
        <m:r>
          <m:rPr>
            <m:nor/>
          </m:rPr>
          <m:t>∙</m:t>
        </m:r>
        <m:f>
          <m:fPr>
            <m:ctrlPr>
              <w:rPr>
                <w:rFonts w:ascii="Cambria Math" w:hAnsi="Cambria Math"/>
              </w:rPr>
            </m:ctrlPr>
          </m:fPr>
          <m:num>
            <m:r>
              <w:rPr>
                <w:rFonts w:ascii="Cambria Math" w:hAnsi="Cambria Math"/>
              </w:rPr>
              <m:t>p</m:t>
            </m:r>
            <m:r>
              <m:rPr>
                <m:sty m:val="p"/>
              </m:rPr>
              <w:rPr>
                <w:rFonts w:ascii="Cambria Math" w:hAnsi="Cambria Math"/>
              </w:rPr>
              <m:t>(</m:t>
            </m:r>
            <m:r>
              <w:rPr>
                <w:rFonts w:ascii="Cambria Math" w:hAnsi="Cambria Math"/>
              </w:rPr>
              <m:t>MAC</m:t>
            </m:r>
            <m:r>
              <m:rPr>
                <m:sty m:val="p"/>
              </m:rPr>
              <w:rPr>
                <w:rFonts w:ascii="Cambria Math" w:hAnsi="Cambria Math"/>
              </w:rPr>
              <m:t>)</m:t>
            </m:r>
          </m:num>
          <m:den>
            <m:r>
              <w:rPr>
                <w:rFonts w:ascii="Cambria Math" w:hAnsi="Cambria Math"/>
              </w:rPr>
              <m:t>p</m:t>
            </m:r>
            <m:r>
              <m:rPr>
                <m:sty m:val="p"/>
              </m:rPr>
              <w:rPr>
                <w:rFonts w:ascii="Cambria Math" w:hAnsi="Cambria Math"/>
              </w:rPr>
              <m:t>(</m:t>
            </m:r>
            <m:r>
              <w:rPr>
                <w:rFonts w:ascii="Cambria Math" w:hAnsi="Cambria Math"/>
              </w:rPr>
              <m:t>MAF</m:t>
            </m:r>
            <m:r>
              <m:rPr>
                <m:sty m:val="p"/>
              </m:rPr>
              <w:rPr>
                <w:rFonts w:ascii="Cambria Math" w:hAnsi="Cambria Math"/>
              </w:rPr>
              <m:t>)</m:t>
            </m:r>
          </m:den>
        </m:f>
        <m:r>
          <m:rPr>
            <m:nor/>
          </m:rPr>
          <m:t>∙</m:t>
        </m:r>
        <w:proofErr w:type="spellStart"/>
        <m:r>
          <m:rPr>
            <m:nor/>
          </m:rPr>
          <m:t>exp</m:t>
        </m:r>
        <w:proofErr w:type="spellEnd"/>
        <m:d>
          <m:dPr>
            <m:ctrlPr>
              <w:rPr>
                <w:rFonts w:ascii="Cambria Math" w:hAnsi="Cambria Math"/>
              </w:rPr>
            </m:ctrlPr>
          </m:dPr>
          <m:e>
            <m:r>
              <m:rPr>
                <m:nor/>
              </m:rPr>
              <m:t>r∙</m:t>
            </m:r>
            <m:d>
              <m:dPr>
                <m:ctrlPr>
                  <w:rPr>
                    <w:rFonts w:ascii="Cambria Math" w:hAnsi="Cambria Math"/>
                  </w:rPr>
                </m:ctrlPr>
              </m:dPr>
              <m:e>
                <m:sSup>
                  <m:sSupPr>
                    <m:ctrlPr>
                      <w:rPr>
                        <w:rFonts w:ascii="Cambria Math" w:hAnsi="Cambria Math"/>
                      </w:rPr>
                    </m:ctrlPr>
                  </m:sSupPr>
                  <m:e>
                    <m:r>
                      <m:rPr>
                        <m:nor/>
                      </m:rPr>
                      <m:t>T</m:t>
                    </m:r>
                  </m:e>
                  <m:sup>
                    <m:r>
                      <m:rPr>
                        <m:nor/>
                      </m:rPr>
                      <m:t>M</m:t>
                    </m:r>
                  </m:sup>
                </m:sSup>
                <m:r>
                  <m:rPr>
                    <m:sty m:val="p"/>
                  </m:rPr>
                  <w:rPr>
                    <w:rFonts w:ascii="Cambria Math" w:hAnsi="Cambria Math"/>
                  </w:rPr>
                  <m:t>-</m:t>
                </m:r>
                <m:sSup>
                  <m:sSupPr>
                    <m:ctrlPr>
                      <w:rPr>
                        <w:rFonts w:ascii="Cambria Math" w:hAnsi="Cambria Math"/>
                      </w:rPr>
                    </m:ctrlPr>
                  </m:sSupPr>
                  <m:e>
                    <m:r>
                      <m:rPr>
                        <m:nor/>
                      </m:rPr>
                      <m:t>T</m:t>
                    </m:r>
                  </m:e>
                  <m:sup>
                    <m:r>
                      <m:rPr>
                        <m:nor/>
                      </m:rPr>
                      <m:t>F</m:t>
                    </m:r>
                  </m:sup>
                </m:sSup>
              </m:e>
            </m:d>
          </m:e>
        </m:d>
      </m:oMath>
      <w:r w:rsidR="00FC1B3B" w:rsidRPr="00CB6DAA">
        <w:tab/>
      </w:r>
      <w:r w:rsidR="00FC1B3B" w:rsidRPr="00CB6DAA">
        <w:tab/>
        <w:t>(Eq. 1)</w:t>
      </w:r>
    </w:p>
    <w:p w14:paraId="42719768" w14:textId="5DC7BB9A" w:rsidR="00FC1B3B" w:rsidRDefault="00FC1B3B" w:rsidP="00A40EEF">
      <w:r w:rsidRPr="00540765">
        <w:t xml:space="preserve">Where </w:t>
      </w:r>
      <w:r w:rsidRPr="00540765">
        <w:rPr>
          <w:i/>
        </w:rPr>
        <w:t>SRB</w:t>
      </w:r>
      <w:r w:rsidRPr="00540765">
        <w:t xml:space="preserve"> is the se</w:t>
      </w:r>
      <w:r>
        <w:t>x ratio at birth (ratio of male births to female births</w:t>
      </w:r>
      <w:r w:rsidRPr="00540765">
        <w:t xml:space="preserve">), </w:t>
      </w:r>
      <w:proofErr w:type="gramStart"/>
      <w:r w:rsidRPr="00540765">
        <w:t>p(</w:t>
      </w:r>
      <w:proofErr w:type="gramEnd"/>
      <w:r w:rsidRPr="00540765">
        <w:t xml:space="preserve">MAC) and p(MAF) are the survival probabilities from birth to the mean age at childbearing </w:t>
      </w:r>
      <w:r>
        <w:t>(women) and at fatherhood (men</w:t>
      </w:r>
      <w:r w:rsidRPr="00540765">
        <w:t>), r is the population growth rate, and T</w:t>
      </w:r>
      <w:r w:rsidRPr="00540765">
        <w:rPr>
          <w:vertAlign w:val="superscript"/>
        </w:rPr>
        <w:t>M</w:t>
      </w:r>
      <w:r w:rsidRPr="00540765">
        <w:t xml:space="preserve"> and T</w:t>
      </w:r>
      <w:r w:rsidRPr="00540765">
        <w:rPr>
          <w:vertAlign w:val="superscript"/>
        </w:rPr>
        <w:t>F</w:t>
      </w:r>
      <w:r w:rsidRPr="00540765">
        <w:t xml:space="preserve"> are the mean length</w:t>
      </w:r>
      <w:r w:rsidR="001F4D1D">
        <w:t>s</w:t>
      </w:r>
      <w:r w:rsidRPr="00540765">
        <w:t xml:space="preserve"> of generation for </w:t>
      </w:r>
      <w:r>
        <w:t>men</w:t>
      </w:r>
      <w:r w:rsidRPr="00540765">
        <w:t xml:space="preserve"> and </w:t>
      </w:r>
      <w:r>
        <w:t xml:space="preserve">women, which are closely related to </w:t>
      </w:r>
      <w:r w:rsidRPr="00540765">
        <w:t xml:space="preserve">the mean age </w:t>
      </w:r>
      <w:r>
        <w:t>at fatherhood</w:t>
      </w:r>
      <w:r w:rsidRPr="00540765">
        <w:t xml:space="preserve"> </w:t>
      </w:r>
      <w:r>
        <w:t xml:space="preserve">and mean age at childbearing </w:t>
      </w:r>
      <w:r w:rsidR="00B97B82">
        <w:rPr>
          <w:rFonts w:cs="Times New Roman"/>
        </w:rPr>
        <w:t xml:space="preserve">(Preston </w:t>
      </w:r>
      <w:r w:rsidR="00B97B82" w:rsidRPr="00B97B82">
        <w:rPr>
          <w:rFonts w:cs="Times New Roman"/>
          <w:i/>
        </w:rPr>
        <w:t>et al.</w:t>
      </w:r>
      <w:r w:rsidR="00AC6091">
        <w:rPr>
          <w:rFonts w:cs="Times New Roman"/>
        </w:rPr>
        <w:t xml:space="preserve"> </w:t>
      </w:r>
      <w:r w:rsidRPr="005475DE">
        <w:rPr>
          <w:rFonts w:cs="Times New Roman"/>
        </w:rPr>
        <w:t>2001)</w:t>
      </w:r>
      <w:r w:rsidRPr="00540765">
        <w:t>.</w:t>
      </w:r>
      <w:r>
        <w:t xml:space="preserve"> The ratio of male to female total fertility (in a stable population) is closely approximated with Eq. 1 in low- and medium-fertility contexts, and well approximated in high-fertility contexts.</w:t>
      </w:r>
      <w:r>
        <w:rPr>
          <w:rStyle w:val="Appeldenotedefin"/>
        </w:rPr>
        <w:endnoteReference w:id="13"/>
      </w:r>
    </w:p>
    <w:p w14:paraId="1ACA4FF1" w14:textId="129DEA4D" w:rsidR="00FC1B3B" w:rsidRDefault="00FC1B3B" w:rsidP="00A40EEF">
      <w:r>
        <w:t xml:space="preserve">The ratio of male to female </w:t>
      </w:r>
      <w:r w:rsidRPr="00540765">
        <w:t>total fertility</w:t>
      </w:r>
      <w:r>
        <w:t xml:space="preserve"> in a stable population</w:t>
      </w:r>
      <w:r w:rsidRPr="00540765">
        <w:t xml:space="preserve"> </w:t>
      </w:r>
      <w:r>
        <w:t xml:space="preserve">is thus </w:t>
      </w:r>
      <w:r w:rsidR="00897D81">
        <w:t>estimated</w:t>
      </w:r>
      <w:r>
        <w:t xml:space="preserve"> </w:t>
      </w:r>
      <w:r w:rsidR="00897D81">
        <w:t xml:space="preserve">as </w:t>
      </w:r>
      <w:r>
        <w:t xml:space="preserve">the product of three factors that determine the number of men relative to women at the ages at which they have their children. First, the sex ratio at birth is usually greater than 1 (around 1.05), and contributes to a larger number of men, i.e., to a larger denominator of fertility rates. It depresses male fertility rates compared to female fertility rates by a factor equal to 1/SRB. </w:t>
      </w:r>
      <w:r w:rsidRPr="00540765">
        <w:t xml:space="preserve">Secondly, the survival probability to the mean age at </w:t>
      </w:r>
      <w:r>
        <w:t xml:space="preserve">fatherhood among men </w:t>
      </w:r>
      <w:r w:rsidRPr="00540765">
        <w:t xml:space="preserve">will be </w:t>
      </w:r>
      <w:r>
        <w:t xml:space="preserve">smaller </w:t>
      </w:r>
      <w:r w:rsidRPr="00540765">
        <w:t xml:space="preserve">than the survival probability to the </w:t>
      </w:r>
      <w:r>
        <w:t xml:space="preserve">mean </w:t>
      </w:r>
      <w:r w:rsidRPr="00540765">
        <w:t xml:space="preserve">age at </w:t>
      </w:r>
      <w:r>
        <w:t xml:space="preserve">childbearing </w:t>
      </w:r>
      <w:r w:rsidRPr="00540765">
        <w:t xml:space="preserve">among </w:t>
      </w:r>
      <w:r>
        <w:t>women</w:t>
      </w:r>
      <w:r w:rsidRPr="00540765">
        <w:t xml:space="preserve">, both because </w:t>
      </w:r>
      <w:r>
        <w:lastRenderedPageBreak/>
        <w:t xml:space="preserve">male </w:t>
      </w:r>
      <w:r w:rsidRPr="00540765">
        <w:t xml:space="preserve">mortality is usually </w:t>
      </w:r>
      <w:r>
        <w:t xml:space="preserve">higher </w:t>
      </w:r>
      <w:r w:rsidRPr="00540765">
        <w:t xml:space="preserve">than </w:t>
      </w:r>
      <w:r>
        <w:t>fe</w:t>
      </w:r>
      <w:r w:rsidRPr="00540765">
        <w:t xml:space="preserve">male mortality and because age at fatherhood is </w:t>
      </w:r>
      <w:r>
        <w:t xml:space="preserve">later </w:t>
      </w:r>
      <w:r w:rsidRPr="00540765">
        <w:t>than age at childbearing.</w:t>
      </w:r>
      <w:r>
        <w:t xml:space="preserve"> This contributes to a smaller number of men at reproductive ages, and thus to higher male fertility rates. Third, if the population growth rate is positive and if men have their children later than women (higher mean length of generation), the number of men will be smaller than the number of women from younger cohorts. It will also contribute to higher male fertility. In contrast, in stable populations with negative growth rates, this third element will contribute to lower male fertility.</w:t>
      </w:r>
      <w:r>
        <w:rPr>
          <w:rStyle w:val="Appeldenotedefin"/>
        </w:rPr>
        <w:endnoteReference w:id="14"/>
      </w:r>
      <w:r>
        <w:t xml:space="preserve"> </w:t>
      </w:r>
    </w:p>
    <w:p w14:paraId="5E699E40" w14:textId="0919EA37" w:rsidR="00FC1B3B" w:rsidRDefault="00FC1B3B" w:rsidP="00A40EEF">
      <w:r w:rsidRPr="009C4788">
        <w:rPr>
          <w:bCs/>
        </w:rPr>
        <w:t>Table</w:t>
      </w:r>
      <w:r w:rsidRPr="009C4788">
        <w:t xml:space="preserve"> </w:t>
      </w:r>
      <w:r w:rsidRPr="009C4788">
        <w:rPr>
          <w:bCs/>
          <w:noProof/>
        </w:rPr>
        <w:t>1</w:t>
      </w:r>
      <w:r w:rsidRPr="004327ED">
        <w:t xml:space="preserve"> illustrates the weight of these three factors in a few stable</w:t>
      </w:r>
      <w:r>
        <w:t xml:space="preserve"> populations corresponding to various demographic </w:t>
      </w:r>
      <w:r w:rsidRPr="004327ED">
        <w:t xml:space="preserve">conditions. The first </w:t>
      </w:r>
      <w:r>
        <w:t xml:space="preserve">example </w:t>
      </w:r>
      <w:r w:rsidRPr="004327ED">
        <w:t>corresponds roughly to the stable</w:t>
      </w:r>
      <w:r>
        <w:t xml:space="preserve"> equivalent</w:t>
      </w:r>
      <w:r w:rsidRPr="004327ED">
        <w:t xml:space="preserve"> population </w:t>
      </w:r>
      <w:r>
        <w:t>of Senegal in the 1950s. The second refers to the same country 60 years later, with improved survival rate and a higher growth rate. The third is based on Haiti around 2010, the fourth uses data from the United States around 2010, and the fifth uses data from China. The last three lines show the ratio of the male TFR to the female TFR computed in three ways: (1) directly from the observed values in the stable population, (2) using Eq. 1, and (3) using Eq. 1 but replacing the difference between the mean lengths of generation by the difference between MAF and MAC (more easily computed). In the first example from Senegal, male fertility is roughly 70% higher than female fertility, resulting from the large difference between age at fatherhood and age at childbearing, combined with high mortality (and correspondingly large sex differences in survival) and a fairly high growth rate. In the second Senegalese example, the male TFR is around 50% higher than the female TFR; this is to large extent explained by the combination of the high growth rate and the large difference between age at fatherhood and age at childbearing; in contrast, difference in survival plays a more limited role. In Haiti, the male TFR in the stable equivalent population is about 10% greater than the female TFR, resulting both from differences in survival between men and women, and the positive growth rate combined with a substantial difference between age at fatherhood and age at childbearing. The US example presents a situation with a small difference between age at fatherhood and age childbearing and a negative intrinsic growth rate, leading to a male TFR lower than the female TFR. Even with a slightly positive growth rate, the higher number of male children at birth would lead to lower male fertility compared to female fertility. Finally, the Chinese situation illustrates the influence of a higher-than-usual sex ratio at birth (1.1), combined with a small age difference between partners, a high survival rate and a negative growth rate. In this context, the male TFR is expected to be 10% lower than the female TFR.</w:t>
      </w:r>
    </w:p>
    <w:p w14:paraId="1E142694" w14:textId="0618BA8F" w:rsidR="00ED4F0E" w:rsidRDefault="00ED4F0E" w:rsidP="00ED4F0E">
      <w:pPr>
        <w:jc w:val="center"/>
      </w:pPr>
      <w:r>
        <w:lastRenderedPageBreak/>
        <w:t>[Table 1]</w:t>
      </w:r>
    </w:p>
    <w:p w14:paraId="1A250134" w14:textId="1C9649E2" w:rsidR="00FC1B3B" w:rsidRDefault="00FC1B3B" w:rsidP="00A40EEF">
      <w:r w:rsidRPr="005177F6">
        <w:t>Eq.</w:t>
      </w:r>
      <w:r>
        <w:t xml:space="preserve"> </w:t>
      </w:r>
      <w:r w:rsidRPr="005177F6">
        <w:t>1 and examples from Table 1 show that differences between male and female fertility are thus a logical consequence of these demographic characteristics, and that changes in these demographic characteristics will necessarily lead to changes in the ratio of male to female fertility. In the course of the demographic transition, some ch</w:t>
      </w:r>
      <w:r>
        <w:t xml:space="preserve">anges may have opposite effects—as illustrated by the case of Senegal—but in the long run, diminishing growth rates, </w:t>
      </w:r>
      <w:r w:rsidRPr="005177F6">
        <w:t xml:space="preserve">improvement in survival, </w:t>
      </w:r>
      <w:r>
        <w:t xml:space="preserve">and </w:t>
      </w:r>
      <w:r w:rsidRPr="005177F6">
        <w:t xml:space="preserve">decreasing differences between age at fatherhood and age at </w:t>
      </w:r>
      <w:r>
        <w:t>childbearing</w:t>
      </w:r>
      <w:r w:rsidRPr="005177F6">
        <w:t xml:space="preserve"> </w:t>
      </w:r>
      <w:r>
        <w:t>are expected to lead to shifts in the relationship between male and female fertility</w:t>
      </w:r>
      <w:r w:rsidRPr="005177F6">
        <w:t>.</w:t>
      </w:r>
      <w:r>
        <w:t xml:space="preserve"> This question is addressed in section 6.</w:t>
      </w:r>
    </w:p>
    <w:p w14:paraId="18ABE569" w14:textId="77777777" w:rsidR="00FC1B3B" w:rsidRPr="00945BA1" w:rsidRDefault="00FC1B3B" w:rsidP="007B19C8">
      <w:pPr>
        <w:pStyle w:val="Titre2"/>
        <w:numPr>
          <w:ilvl w:val="1"/>
          <w:numId w:val="6"/>
        </w:numPr>
      </w:pPr>
      <w:bookmarkStart w:id="0" w:name="_Ref511377033"/>
      <w:r w:rsidRPr="00945BA1">
        <w:t>The role of polygyny</w:t>
      </w:r>
      <w:bookmarkEnd w:id="0"/>
      <w:r>
        <w:t xml:space="preserve"> </w:t>
      </w:r>
    </w:p>
    <w:p w14:paraId="158CA57E" w14:textId="6B185C3A" w:rsidR="00FC1B3B" w:rsidRDefault="00FC1B3B" w:rsidP="007B19C8">
      <w:r>
        <w:t xml:space="preserve">Although union patterns are not explicitly included in Eq. 1, differences between male and female fertility are of course related to unions </w:t>
      </w:r>
      <w:r w:rsidRPr="001C3436">
        <w:rPr>
          <w:rFonts w:cs="Times New Roman"/>
        </w:rPr>
        <w:t>(</w:t>
      </w:r>
      <w:r w:rsidR="00AC6091">
        <w:rPr>
          <w:rFonts w:cs="Times New Roman"/>
        </w:rPr>
        <w:t>Bledsoe</w:t>
      </w:r>
      <w:r w:rsidR="00B97B82">
        <w:rPr>
          <w:rFonts w:cs="Times New Roman"/>
        </w:rPr>
        <w:t xml:space="preserve"> </w:t>
      </w:r>
      <w:r w:rsidR="00B97B82" w:rsidRPr="00B97B82">
        <w:rPr>
          <w:rFonts w:cs="Times New Roman"/>
          <w:i/>
        </w:rPr>
        <w:t>et al.</w:t>
      </w:r>
      <w:r w:rsidR="00AC6091">
        <w:rPr>
          <w:rFonts w:cs="Times New Roman"/>
        </w:rPr>
        <w:t xml:space="preserve"> 2000; Coleman 2000; </w:t>
      </w:r>
      <w:proofErr w:type="spellStart"/>
      <w:r w:rsidR="00AC6091">
        <w:rPr>
          <w:rFonts w:cs="Times New Roman"/>
        </w:rPr>
        <w:t>Pison</w:t>
      </w:r>
      <w:proofErr w:type="spellEnd"/>
      <w:r w:rsidRPr="001C3436">
        <w:rPr>
          <w:rFonts w:cs="Times New Roman"/>
        </w:rPr>
        <w:t xml:space="preserve"> 1986)</w:t>
      </w:r>
      <w:r>
        <w:t xml:space="preserve">. More specifically, large differences between male and female fertility </w:t>
      </w:r>
      <w:r w:rsidRPr="00540765">
        <w:t>will often be accompanied by polygyny</w:t>
      </w:r>
      <w:r>
        <w:t xml:space="preserve">. </w:t>
      </w:r>
    </w:p>
    <w:p w14:paraId="4FB59D07" w14:textId="6070366B" w:rsidR="00FC1B3B" w:rsidRDefault="00FC1B3B" w:rsidP="007B19C8">
      <w:r>
        <w:t xml:space="preserve">At the micro-level, the lack of detailed marital histories and birth histories among men make it difficult to link marital status and fertility over the life course </w:t>
      </w:r>
      <w:r w:rsidR="00AC6091">
        <w:rPr>
          <w:rFonts w:cs="Times New Roman"/>
        </w:rPr>
        <w:t>(Blanc and Gage</w:t>
      </w:r>
      <w:r w:rsidRPr="00935F5D">
        <w:rPr>
          <w:rFonts w:cs="Times New Roman"/>
        </w:rPr>
        <w:t xml:space="preserve"> 2000)</w:t>
      </w:r>
      <w:r>
        <w:t xml:space="preserve">. There is, </w:t>
      </w:r>
      <w:r w:rsidRPr="004E1B68">
        <w:t xml:space="preserve">however, clear evidence that polygyny is associated with higher completed fertility among </w:t>
      </w:r>
      <w:r>
        <w:t>men</w:t>
      </w:r>
      <w:r w:rsidRPr="004E1B68">
        <w:t xml:space="preserve"> </w:t>
      </w:r>
      <w:r w:rsidRPr="004E1B68">
        <w:rPr>
          <w:rFonts w:cs="Times New Roman"/>
        </w:rPr>
        <w:t xml:space="preserve">(Blanc </w:t>
      </w:r>
      <w:r w:rsidR="00AC6091">
        <w:rPr>
          <w:rFonts w:cs="Times New Roman"/>
        </w:rPr>
        <w:t>and</w:t>
      </w:r>
      <w:r w:rsidR="00C02221">
        <w:rPr>
          <w:rFonts w:cs="Times New Roman"/>
        </w:rPr>
        <w:t xml:space="preserve"> Gage</w:t>
      </w:r>
      <w:r w:rsidRPr="004E1B68">
        <w:rPr>
          <w:rFonts w:cs="Times New Roman"/>
        </w:rPr>
        <w:t xml:space="preserve"> 2000; </w:t>
      </w:r>
      <w:r w:rsidR="00AC6091">
        <w:rPr>
          <w:rFonts w:cs="Times New Roman"/>
        </w:rPr>
        <w:t>Bledsoe</w:t>
      </w:r>
      <w:r w:rsidR="00B97B82">
        <w:rPr>
          <w:rFonts w:cs="Times New Roman"/>
        </w:rPr>
        <w:t xml:space="preserve"> </w:t>
      </w:r>
      <w:r w:rsidR="00B97B82" w:rsidRPr="00B97B82">
        <w:rPr>
          <w:rFonts w:cs="Times New Roman"/>
          <w:i/>
        </w:rPr>
        <w:t>et al.</w:t>
      </w:r>
      <w:r w:rsidR="00AC6091">
        <w:rPr>
          <w:rFonts w:cs="Times New Roman"/>
        </w:rPr>
        <w:t xml:space="preserve"> 2000</w:t>
      </w:r>
      <w:r w:rsidRPr="004E1B68">
        <w:rPr>
          <w:rFonts w:cs="Times New Roman"/>
        </w:rPr>
        <w:t>)</w:t>
      </w:r>
      <w:r w:rsidRPr="004E1B68">
        <w:t>. At the macro-level, Figure 6 shows, for 43 countries with available data on polygyny in DHS, the relationship between the male</w:t>
      </w:r>
      <w:r>
        <w:t>–</w:t>
      </w:r>
      <w:r w:rsidRPr="004E1B68">
        <w:t>female ratio in the TFR (left side of Eq.</w:t>
      </w:r>
      <w:r>
        <w:t xml:space="preserve"> </w:t>
      </w:r>
      <w:r w:rsidRPr="004E1B68">
        <w:t xml:space="preserve">1) and the percentage of women in </w:t>
      </w:r>
      <w:r>
        <w:t xml:space="preserve">a union that are in a </w:t>
      </w:r>
      <w:r w:rsidRPr="004E1B68">
        <w:t>polygynous union. The strong correlation</w:t>
      </w:r>
      <w:r>
        <w:t xml:space="preserve"> (r=0.80) between these two variables clearly illustrates that polygyny is relevant </w:t>
      </w:r>
      <w:r w:rsidRPr="003A7998">
        <w:t>for understanding the differences</w:t>
      </w:r>
      <w:r>
        <w:t xml:space="preserve">. Countries with large male to female fertility ratios, such as Gambia, Chad, Burkina Faso, and Senegal, all have a large share of women in polygynous unions (around 40% or more). In contrast, countries with low percentages of women in polygynous unions (e.g., Egypt, India, Cambodia, with 2–3% of women declaring being in a polygynous union) show smaller male-female fertility ratios. </w:t>
      </w:r>
    </w:p>
    <w:p w14:paraId="0555EF9C" w14:textId="6D1D545C" w:rsidR="00FC1B3B" w:rsidRDefault="00FC1B3B" w:rsidP="007B19C8">
      <w:r>
        <w:t>Polygyny is possible precisely because of the large age difference between partners</w:t>
      </w:r>
      <w:r w:rsidR="00AC6091">
        <w:t xml:space="preserve"> in a growing population (</w:t>
      </w:r>
      <w:proofErr w:type="spellStart"/>
      <w:r w:rsidR="00AC6091">
        <w:t>Pison</w:t>
      </w:r>
      <w:proofErr w:type="spellEnd"/>
      <w:r>
        <w:t xml:space="preserve"> 1986), the same demographic conditions that lead to much larger male fertility rates compared to female. It is thus not surprising to find that large differences between male and female fertility are correlated with polygyny, even if polygyny </w:t>
      </w:r>
      <w:r w:rsidRPr="00540765">
        <w:t>is not a necessary condition</w:t>
      </w:r>
      <w:r>
        <w:t xml:space="preserve"> for such large differences</w:t>
      </w:r>
      <w:r w:rsidRPr="00540765">
        <w:t xml:space="preserve"> </w:t>
      </w:r>
      <w:r w:rsidRPr="00E837CF">
        <w:rPr>
          <w:rFonts w:cs="Times New Roman"/>
        </w:rPr>
        <w:t>(Field</w:t>
      </w:r>
      <w:r>
        <w:rPr>
          <w:rFonts w:cs="Times New Roman"/>
        </w:rPr>
        <w:t xml:space="preserve"> </w:t>
      </w:r>
      <w:r w:rsidRPr="00AC6091">
        <w:rPr>
          <w:rFonts w:cs="Times New Roman"/>
          <w:i/>
        </w:rPr>
        <w:t>et al.</w:t>
      </w:r>
      <w:r w:rsidRPr="00E837CF">
        <w:rPr>
          <w:rFonts w:cs="Times New Roman"/>
        </w:rPr>
        <w:t xml:space="preserve"> 2016)</w:t>
      </w:r>
      <w:r w:rsidRPr="00540765">
        <w:t>.</w:t>
      </w:r>
      <w:r w:rsidRPr="00FB7C80">
        <w:t xml:space="preserve"> </w:t>
      </w:r>
      <w:r>
        <w:t xml:space="preserve">Yet, similar ratios of male to female fertility can be found for very different levels of polygyny. For instance, male </w:t>
      </w:r>
      <w:r>
        <w:lastRenderedPageBreak/>
        <w:t xml:space="preserve">fertility is around 70% higher than female fertility in both Ethiopia and Mali, but levels of polygyny are 10% in Ethiopia and 35% in Mali. Polygyny is thus relevant, but does not entirely explain these differences, and other mating patterns can be associated with these differences. </w:t>
      </w:r>
    </w:p>
    <w:p w14:paraId="6F6130CF" w14:textId="7E9A6C2F" w:rsidR="00FC1B3B" w:rsidRDefault="00FC1B3B" w:rsidP="00FC1B3B">
      <w:pPr>
        <w:jc w:val="center"/>
      </w:pPr>
      <w:r>
        <w:t>[Figure 6]</w:t>
      </w:r>
    </w:p>
    <w:p w14:paraId="6FEFB1CF" w14:textId="77777777" w:rsidR="00FC1B3B" w:rsidRPr="007671A6" w:rsidRDefault="00FC1B3B" w:rsidP="00A40EEF">
      <w:pPr>
        <w:pStyle w:val="Titre1"/>
      </w:pPr>
      <w:bookmarkStart w:id="1" w:name="_Ref511385711"/>
      <w:proofErr w:type="gramStart"/>
      <w:r>
        <w:t xml:space="preserve">From higher male fertility to higher </w:t>
      </w:r>
      <w:r w:rsidRPr="007671A6">
        <w:t>female fertility</w:t>
      </w:r>
      <w:bookmarkEnd w:id="1"/>
      <w:r>
        <w:t>?</w:t>
      </w:r>
      <w:proofErr w:type="gramEnd"/>
    </w:p>
    <w:p w14:paraId="59855373" w14:textId="3641D549" w:rsidR="00FC1B3B" w:rsidRDefault="00FC1B3B" w:rsidP="00A40EEF">
      <w:r w:rsidRPr="008058BF">
        <w:t xml:space="preserve">How </w:t>
      </w:r>
      <w:r>
        <w:t>do male and female fertility evolve over the course of the fertility tra</w:t>
      </w:r>
      <w:r w:rsidRPr="00785CDC">
        <w:t>nsition? Eq. 1 shows that the ratio between male and female fertility is expected</w:t>
      </w:r>
      <w:r>
        <w:t xml:space="preserve"> to</w:t>
      </w:r>
      <w:r w:rsidRPr="00785CDC">
        <w:t xml:space="preserve"> de</w:t>
      </w:r>
      <w:r>
        <w:t>crease considerably over time, with the diminishing of the population growth rate and the improvement of survival rates, even if age differences between partners do not narrow. Decreasing age differences between partners, a common observation during the</w:t>
      </w:r>
      <w:r w:rsidR="00AC6091">
        <w:t xml:space="preserve"> demographic transition (</w:t>
      </w:r>
      <w:proofErr w:type="spellStart"/>
      <w:r w:rsidR="00AC6091">
        <w:t>Mignot</w:t>
      </w:r>
      <w:proofErr w:type="spellEnd"/>
      <w:r>
        <w:t xml:space="preserve"> 2010), should accelerate the shift from a male to a female higher fertility. What is the evidence, and what can be expected in the coming decades? </w:t>
      </w:r>
    </w:p>
    <w:p w14:paraId="6ADF495A" w14:textId="439A895A" w:rsidR="00FC1B3B" w:rsidRDefault="00FC1B3B" w:rsidP="00A40EEF">
      <w:r>
        <w:t xml:space="preserve">The own-children method was used to reconstruct male and female fertility trends over several decades in 69 countries with DHS data. Trends in the ratio of </w:t>
      </w:r>
      <w:r w:rsidRPr="00F92E02">
        <w:t xml:space="preserve">male to female fertility are computed to evaluate the convergence of male and female fertility. </w:t>
      </w:r>
      <w:r>
        <w:t>We find that c</w:t>
      </w:r>
      <w:r w:rsidRPr="00F92E02">
        <w:t>onvergence between male and female fertility is not widespread</w:t>
      </w:r>
      <w:r>
        <w:t xml:space="preserve">; in fact, in many countries, it has not begun, or has begun only slowly. To be sure, some countries have witnessed a rapid decline in the ratio of male to female fertility. But overall, large differences between male and female fertility tend to persist in developing countries, especially in sub-Saharan Africa. </w:t>
      </w:r>
    </w:p>
    <w:p w14:paraId="130DF517" w14:textId="46F59E36" w:rsidR="00FC1B3B" w:rsidRDefault="00FC1B3B" w:rsidP="00A40EEF">
      <w:r w:rsidRPr="00C87F4B">
        <w:t xml:space="preserve">Figure </w:t>
      </w:r>
      <w:r>
        <w:rPr>
          <w:noProof/>
        </w:rPr>
        <w:t xml:space="preserve">7 (a–c) </w:t>
      </w:r>
      <w:r>
        <w:t xml:space="preserve">illustrates changes in male–female fertility ratios in nine countries. In the first group of countries (Indonesia, Peru, Cambodia, </w:t>
      </w:r>
      <w:r w:rsidRPr="00C87F4B">
        <w:t xml:space="preserve">Figure </w:t>
      </w:r>
      <w:r>
        <w:rPr>
          <w:noProof/>
        </w:rPr>
        <w:t>7a</w:t>
      </w:r>
      <w:r>
        <w:t xml:space="preserve">), the ratio of male to female fertility has declined over recent decades, and </w:t>
      </w:r>
      <w:r w:rsidRPr="00E324BB">
        <w:t>convergence is</w:t>
      </w:r>
      <w:r>
        <w:t xml:space="preserve"> nearly attained. The decline in male fertility has been especially </w:t>
      </w:r>
      <w:r w:rsidRPr="007D70EF">
        <w:t xml:space="preserve">pronounced in </w:t>
      </w:r>
      <w:r w:rsidRPr="00CA2112">
        <w:t>Cambodia since the 1990s (see Figure S3 in supporting material for trends in male and female</w:t>
      </w:r>
      <w:r>
        <w:t xml:space="preserve"> total fertility rates)</w:t>
      </w:r>
      <w:r w:rsidRPr="007D70EF">
        <w:t xml:space="preserve">. </w:t>
      </w:r>
      <w:r>
        <w:t xml:space="preserve">In these three countries, age at fatherhood has also decreased faster than age at childbearing, and the gap has narrowed from around six to four years in Peru and Cambodia, and from eight to five years in Indonesia. The second group includes three African countries (Zimbabwe, Ghana, Namibia) that started their transition later, but where the ratio of male to female fertility has been clearly decreasing. Male fertility has declined faster than female fertility but remains substantially higher by roughly 50%. The faster decline among men also is partly the reflection of the shrinking difference between mean age at fatherhood and mean age at childbearing. For </w:t>
      </w:r>
      <w:r>
        <w:lastRenderedPageBreak/>
        <w:t xml:space="preserve">instance, in Ghana, this difference decreased by three years since the late 1970s; in contrast, in Namibia, it has remained fairly stable. In the third group of countries (Senegal, Guinea, Niger), where polygyny is high and fertility has not declined or only slightly so, male fertility remains much higher than female fertility, and the ratio of male to female fertility has been stable or has decreased very slightly. In these countries, the difference between mean age at fatherhood and mean age at childbearing has also been quite stable, at around 14 to 15 years in Senegal and Guinea, and 12 years in Niger. </w:t>
      </w:r>
    </w:p>
    <w:p w14:paraId="19801C58" w14:textId="69C34833" w:rsidR="00FC1B3B" w:rsidRDefault="00FC1B3B" w:rsidP="00A40EEF">
      <w:r>
        <w:t xml:space="preserve">Reconstructed trends </w:t>
      </w:r>
      <w:r w:rsidRPr="00E324BB">
        <w:t xml:space="preserve">also show that not only </w:t>
      </w:r>
      <w:r>
        <w:t>may</w:t>
      </w:r>
      <w:r w:rsidRPr="00E324BB">
        <w:t xml:space="preserve"> the speed of fertility decline </w:t>
      </w:r>
      <w:r>
        <w:t xml:space="preserve">be faster among men </w:t>
      </w:r>
      <w:r w:rsidRPr="00CA2112">
        <w:t>than women, the trend may to some extent diverge between genders. For instance, the recent stalls in female fertility in Namibia and Zimbabwe are not visible among men (Figure S3 in supporting material). Such differences in fertility trends between men and women, highlighted</w:t>
      </w:r>
      <w:r>
        <w:t xml:space="preserve"> in some historical studies </w:t>
      </w:r>
      <w:r w:rsidR="00BE2C65">
        <w:rPr>
          <w:rFonts w:cs="Times New Roman"/>
        </w:rPr>
        <w:t>(</w:t>
      </w:r>
      <w:proofErr w:type="spellStart"/>
      <w:r w:rsidR="00BE2C65">
        <w:rPr>
          <w:rFonts w:cs="Times New Roman"/>
        </w:rPr>
        <w:t>Brouard</w:t>
      </w:r>
      <w:proofErr w:type="spellEnd"/>
      <w:r w:rsidR="00BE2C65">
        <w:rPr>
          <w:rFonts w:cs="Times New Roman"/>
        </w:rPr>
        <w:t xml:space="preserve"> 1977; </w:t>
      </w:r>
      <w:proofErr w:type="spellStart"/>
      <w:r w:rsidR="00BE2C65">
        <w:rPr>
          <w:rFonts w:cs="Times New Roman"/>
        </w:rPr>
        <w:t>Dharmalingam</w:t>
      </w:r>
      <w:proofErr w:type="spellEnd"/>
      <w:r w:rsidRPr="00BA6C52">
        <w:rPr>
          <w:rFonts w:cs="Times New Roman"/>
        </w:rPr>
        <w:t xml:space="preserve"> 2004)</w:t>
      </w:r>
      <w:r>
        <w:t xml:space="preserve">, may result from anomalies in the age structure. For instance, a temporary deficit of women relative to men at reproductive ages may lead to a stall in female fertility while male fertility continues to decline. While these differences are not huge—and the reasons for these differences have not been explored here—they suggest it is worth looking at both male and female fertility in analyses of the causes of fertility stalls. </w:t>
      </w:r>
    </w:p>
    <w:p w14:paraId="62CC1D28" w14:textId="77777777" w:rsidR="00FC1B3B" w:rsidRDefault="00FC1B3B" w:rsidP="00A40EEF"/>
    <w:p w14:paraId="6643CDD7" w14:textId="5A9CC7DD" w:rsidR="00FC1B3B" w:rsidRDefault="00FC1B3B" w:rsidP="00FC1B3B">
      <w:pPr>
        <w:jc w:val="center"/>
      </w:pPr>
      <w:r>
        <w:t>[Figure 7]</w:t>
      </w:r>
    </w:p>
    <w:p w14:paraId="4BAC5601" w14:textId="77777777" w:rsidR="00FC1B3B" w:rsidRDefault="00FC1B3B" w:rsidP="00FC1B3B">
      <w:pPr>
        <w:jc w:val="center"/>
      </w:pPr>
    </w:p>
    <w:p w14:paraId="785C86B7" w14:textId="2E51CA3D" w:rsidR="00FC1B3B" w:rsidRDefault="00FC1B3B" w:rsidP="00A40EEF">
      <w:r w:rsidRPr="00CA2112">
        <w:t>Will male fertility ultimately be lower than female fertility, and at what point can we expect</w:t>
      </w:r>
      <w:r>
        <w:t xml:space="preserve"> this to happen? To answer these questions, we simulate trends in male fertility for three countries (Niger, Zimbabwe, Indonesia), to measure the long-term trend in the ratio of male to female fertility (see supporting material for fertility estimates and for a spreadsheet allowing replication of these results). </w:t>
      </w:r>
    </w:p>
    <w:p w14:paraId="10A91C8F" w14:textId="6CB33F30" w:rsidR="00FC1B3B" w:rsidRDefault="00FC1B3B" w:rsidP="00A40EEF">
      <w:r>
        <w:t xml:space="preserve">The medium variant from </w:t>
      </w:r>
      <w:r w:rsidRPr="00F656E4">
        <w:rPr>
          <w:i/>
        </w:rPr>
        <w:t>World Population Prospects</w:t>
      </w:r>
      <w:r>
        <w:t xml:space="preserve"> </w:t>
      </w:r>
      <w:r w:rsidRPr="00E20F8A">
        <w:rPr>
          <w:rFonts w:cs="Times New Roman"/>
        </w:rPr>
        <w:t>(Uni</w:t>
      </w:r>
      <w:r w:rsidR="00BE2C65">
        <w:rPr>
          <w:rFonts w:cs="Times New Roman"/>
        </w:rPr>
        <w:t>ted Nations Population Division</w:t>
      </w:r>
      <w:r w:rsidRPr="00E20F8A">
        <w:rPr>
          <w:rFonts w:cs="Times New Roman"/>
        </w:rPr>
        <w:t xml:space="preserve"> 2017)</w:t>
      </w:r>
      <w:r>
        <w:t xml:space="preserve"> is used from 2015 to 2100. Female fertility rates are projected to decline from 2015 to 2100,</w:t>
      </w:r>
      <w:r>
        <w:rPr>
          <w:rStyle w:val="Appeldenotedefin"/>
        </w:rPr>
        <w:endnoteReference w:id="15"/>
      </w:r>
      <w:r>
        <w:t xml:space="preserve"> and mortality rates are also projected to decrease over this period. In these projections, net migration is low and only slightly influences the age structure. The total number of births for each 5-year period between 2015 and 2100 and the population by 5-year age groups and by sex every 5 years are obtained from this projection. Since male age-specific fertility rates (and the TFR) should generate the same number of births as those obtained with the projected </w:t>
      </w:r>
      <w:r>
        <w:lastRenderedPageBreak/>
        <w:t xml:space="preserve">female rates, and since the population of men by age is available from the projection, one need only define a series of proportionate age-specific male fertility rates (that add up to 1) to estimate the male TFR (see appendix 1 for details). The male TFR is obtained with the following formula: </w:t>
      </w:r>
    </w:p>
    <w:p w14:paraId="42B95A03" w14:textId="77777777" w:rsidR="00FC1B3B" w:rsidRPr="00984E96" w:rsidRDefault="00FC1B3B" w:rsidP="00A40EEF">
      <w:r>
        <w:tab/>
      </w:r>
      <m:oMath>
        <m:sSup>
          <m:sSupPr>
            <m:ctrlPr>
              <w:rPr>
                <w:rFonts w:ascii="Cambria Math" w:eastAsiaTheme="minorEastAsia" w:hAnsi="Cambria Math"/>
              </w:rPr>
            </m:ctrlPr>
          </m:sSupPr>
          <m:e>
            <m:r>
              <w:rPr>
                <w:rFonts w:ascii="Cambria Math" w:eastAsiaTheme="minorEastAsia" w:hAnsi="Cambria Math"/>
              </w:rPr>
              <m:t>TFR</m:t>
            </m:r>
          </m:e>
          <m:sup>
            <m:r>
              <w:rPr>
                <w:rFonts w:ascii="Cambria Math" w:eastAsiaTheme="minorEastAsia" w:hAnsi="Cambria Math"/>
              </w:rPr>
              <m:t>m</m:t>
            </m:r>
          </m:sup>
        </m:sSup>
        <m:d>
          <m:dPr>
            <m:ctrlPr>
              <w:rPr>
                <w:rFonts w:ascii="Cambria Math" w:eastAsiaTheme="minorEastAsia" w:hAnsi="Cambria Math"/>
              </w:rPr>
            </m:ctrlPr>
          </m:dPr>
          <m:e>
            <m:r>
              <w:rPr>
                <w:rFonts w:ascii="Cambria Math" w:eastAsiaTheme="minorEastAsia" w:hAnsi="Cambria Math"/>
              </w:rPr>
              <m:t>t</m:t>
            </m:r>
          </m:e>
        </m:d>
        <m:r>
          <m:rPr>
            <m:sty m:val="p"/>
          </m:rPr>
          <w:rPr>
            <w:rFonts w:ascii="Cambria Math" w:hAnsi="Cambria Math"/>
          </w:rPr>
          <m:t>=</m:t>
        </m:r>
        <m:f>
          <m:fPr>
            <m:ctrlPr>
              <w:rPr>
                <w:rFonts w:ascii="Cambria Math" w:hAnsi="Cambria Math"/>
              </w:rPr>
            </m:ctrlPr>
          </m:fPr>
          <m:num>
            <m:r>
              <w:rPr>
                <w:rFonts w:ascii="Cambria Math" w:hAnsi="Cambria Math"/>
              </w:rPr>
              <m:t>B</m:t>
            </m:r>
            <m:d>
              <m:dPr>
                <m:ctrlPr>
                  <w:rPr>
                    <w:rFonts w:ascii="Cambria Math" w:hAnsi="Cambria Math"/>
                  </w:rPr>
                </m:ctrlPr>
              </m:dPr>
              <m:e>
                <m:r>
                  <w:rPr>
                    <w:rFonts w:ascii="Cambria Math" w:hAnsi="Cambria Math"/>
                  </w:rPr>
                  <m:t>t</m:t>
                </m:r>
              </m:e>
            </m:d>
          </m:num>
          <m:den>
            <m:nary>
              <m:naryPr>
                <m:chr m:val="∑"/>
                <m:limLoc m:val="undOvr"/>
                <m:ctrlPr>
                  <w:rPr>
                    <w:rFonts w:ascii="Cambria Math" w:hAnsi="Cambria Math"/>
                  </w:rPr>
                </m:ctrlPr>
              </m:naryPr>
              <m:sub>
                <m:r>
                  <w:rPr>
                    <w:rFonts w:ascii="Cambria Math" w:hAnsi="Cambria Math"/>
                  </w:rPr>
                  <m:t>x</m:t>
                </m:r>
                <m:r>
                  <m:rPr>
                    <m:sty m:val="p"/>
                  </m:rPr>
                  <w:rPr>
                    <w:rFonts w:ascii="Cambria Math" w:hAnsi="Cambria Math"/>
                  </w:rPr>
                  <m:t>=15</m:t>
                </m:r>
              </m:sub>
              <m:sup>
                <m:r>
                  <m:rPr>
                    <m:sty m:val="p"/>
                  </m:rPr>
                  <w:rPr>
                    <w:rFonts w:ascii="Cambria Math" w:hAnsi="Cambria Math"/>
                  </w:rPr>
                  <m:t>79</m:t>
                </m:r>
              </m:sup>
              <m:e>
                <m:sSubSup>
                  <m:sSubSupPr>
                    <m:ctrlPr>
                      <w:rPr>
                        <w:rFonts w:ascii="Cambria Math" w:hAnsi="Cambria Math"/>
                      </w:rPr>
                    </m:ctrlPr>
                  </m:sSubSupPr>
                  <m:e>
                    <m:r>
                      <w:rPr>
                        <w:rFonts w:ascii="Cambria Math" w:hAnsi="Cambria Math"/>
                      </w:rPr>
                      <m:t>f</m:t>
                    </m:r>
                  </m:e>
                  <m:sub>
                    <m:r>
                      <w:rPr>
                        <w:rFonts w:ascii="Cambria Math" w:hAnsi="Cambria Math"/>
                      </w:rPr>
                      <m:t>x</m:t>
                    </m:r>
                  </m:sub>
                  <m:sup>
                    <m:r>
                      <m:rPr>
                        <m:sty m:val="p"/>
                      </m:rPr>
                      <w:rPr>
                        <w:rFonts w:ascii="Cambria Math" w:hAnsi="Cambria Math"/>
                      </w:rPr>
                      <m:t>0</m:t>
                    </m:r>
                    <m:r>
                      <w:rPr>
                        <w:rFonts w:ascii="Cambria Math" w:hAnsi="Cambria Math"/>
                      </w:rPr>
                      <m:t>m</m:t>
                    </m:r>
                  </m:sup>
                </m:sSubSup>
                <m:d>
                  <m:dPr>
                    <m:ctrlPr>
                      <w:rPr>
                        <w:rFonts w:ascii="Cambria Math" w:hAnsi="Cambria Math"/>
                      </w:rPr>
                    </m:ctrlPr>
                  </m:dPr>
                  <m:e>
                    <m:r>
                      <w:rPr>
                        <w:rFonts w:ascii="Cambria Math" w:hAnsi="Cambria Math"/>
                      </w:rPr>
                      <m:t>t</m:t>
                    </m:r>
                  </m:e>
                </m:d>
                <m:r>
                  <m:rPr>
                    <m:sty m:val="p"/>
                  </m:rPr>
                  <w:rPr>
                    <w:rFonts w:ascii="Cambria Math" w:hAnsi="Cambria Math"/>
                  </w:rPr>
                  <m:t>.</m:t>
                </m:r>
                <m:sSubSup>
                  <m:sSubSupPr>
                    <m:ctrlPr>
                      <w:rPr>
                        <w:rFonts w:ascii="Cambria Math" w:hAnsi="Cambria Math"/>
                      </w:rPr>
                    </m:ctrlPr>
                  </m:sSubSupPr>
                  <m:e>
                    <m:r>
                      <w:rPr>
                        <w:rFonts w:ascii="Cambria Math" w:hAnsi="Cambria Math"/>
                      </w:rPr>
                      <m:t>M</m:t>
                    </m:r>
                  </m:e>
                  <m:sub>
                    <m:r>
                      <w:rPr>
                        <w:rFonts w:ascii="Cambria Math" w:hAnsi="Cambria Math"/>
                      </w:rPr>
                      <m:t>x</m:t>
                    </m:r>
                  </m:sub>
                  <m:sup/>
                </m:sSubSup>
                <m:d>
                  <m:dPr>
                    <m:ctrlPr>
                      <w:rPr>
                        <w:rFonts w:ascii="Cambria Math" w:hAnsi="Cambria Math"/>
                      </w:rPr>
                    </m:ctrlPr>
                  </m:dPr>
                  <m:e>
                    <m:r>
                      <w:rPr>
                        <w:rFonts w:ascii="Cambria Math" w:hAnsi="Cambria Math"/>
                      </w:rPr>
                      <m:t>t</m:t>
                    </m:r>
                  </m:e>
                </m:d>
              </m:e>
            </m:nary>
          </m:den>
        </m:f>
      </m:oMath>
      <w:r>
        <w:rPr>
          <w:rFonts w:eastAsiaTheme="minorEastAsia"/>
        </w:rPr>
        <w:tab/>
        <w:t>[Eq. 2]</w:t>
      </w:r>
    </w:p>
    <w:p w14:paraId="5BBF0A8B" w14:textId="266FDE2F" w:rsidR="00FC1B3B" w:rsidRDefault="00FC1B3B" w:rsidP="00A40EEF">
      <w:r>
        <w:t xml:space="preserve">Where </w:t>
      </w:r>
      <m:oMath>
        <m:r>
          <w:rPr>
            <w:rFonts w:ascii="Cambria Math" w:hAnsi="Cambria Math"/>
          </w:rPr>
          <m:t>B</m:t>
        </m:r>
        <m:d>
          <m:dPr>
            <m:ctrlPr>
              <w:rPr>
                <w:rFonts w:ascii="Cambria Math" w:hAnsi="Cambria Math"/>
                <w:i/>
              </w:rPr>
            </m:ctrlPr>
          </m:dPr>
          <m:e>
            <m:r>
              <w:rPr>
                <w:rFonts w:ascii="Cambria Math" w:hAnsi="Cambria Math"/>
              </w:rPr>
              <m:t>t</m:t>
            </m:r>
          </m:e>
        </m:d>
      </m:oMath>
      <w:r>
        <w:t xml:space="preserve"> is the annual number of births during period t, </w:t>
      </w:r>
      <m:oMath>
        <m:sSubSup>
          <m:sSubSupPr>
            <m:ctrlPr>
              <w:rPr>
                <w:rFonts w:ascii="Cambria Math" w:hAnsi="Cambria Math"/>
                <w:i/>
              </w:rPr>
            </m:ctrlPr>
          </m:sSubSupPr>
          <m:e>
            <m:r>
              <w:rPr>
                <w:rFonts w:ascii="Cambria Math" w:hAnsi="Cambria Math"/>
              </w:rPr>
              <m:t>f</m:t>
            </m:r>
          </m:e>
          <m:sub>
            <m:r>
              <w:rPr>
                <w:rFonts w:ascii="Cambria Math" w:hAnsi="Cambria Math"/>
              </w:rPr>
              <m:t>x</m:t>
            </m:r>
          </m:sub>
          <m:sup>
            <m:r>
              <w:rPr>
                <w:rFonts w:ascii="Cambria Math" w:hAnsi="Cambria Math"/>
              </w:rPr>
              <m:t>0m</m:t>
            </m:r>
          </m:sup>
        </m:sSubSup>
        <m:d>
          <m:dPr>
            <m:ctrlPr>
              <w:rPr>
                <w:rFonts w:ascii="Cambria Math" w:hAnsi="Cambria Math"/>
                <w:i/>
              </w:rPr>
            </m:ctrlPr>
          </m:dPr>
          <m:e>
            <m:r>
              <w:rPr>
                <w:rFonts w:ascii="Cambria Math" w:hAnsi="Cambria Math"/>
              </w:rPr>
              <m:t>t</m:t>
            </m:r>
          </m:e>
        </m:d>
        <m:r>
          <w:rPr>
            <w:rFonts w:ascii="Cambria Math" w:hAnsi="Cambria Math"/>
          </w:rPr>
          <m:t xml:space="preserve"> </m:t>
        </m:r>
      </m:oMath>
      <w:r>
        <w:t xml:space="preserve">are proportionate age-specific male fertility rates at age x during period t, and </w:t>
      </w:r>
      <m:oMath>
        <m:sSubSup>
          <m:sSubSupPr>
            <m:ctrlPr>
              <w:rPr>
                <w:rFonts w:ascii="Cambria Math" w:hAnsi="Cambria Math"/>
                <w:i/>
              </w:rPr>
            </m:ctrlPr>
          </m:sSubSupPr>
          <m:e>
            <m:r>
              <w:rPr>
                <w:rFonts w:ascii="Cambria Math" w:hAnsi="Cambria Math"/>
              </w:rPr>
              <m:t>M</m:t>
            </m:r>
          </m:e>
          <m:sub>
            <m:r>
              <w:rPr>
                <w:rFonts w:ascii="Cambria Math" w:hAnsi="Cambria Math"/>
              </w:rPr>
              <m:t>x</m:t>
            </m:r>
          </m:sub>
          <m:sup/>
        </m:sSubSup>
        <m:d>
          <m:dPr>
            <m:ctrlPr>
              <w:rPr>
                <w:rFonts w:ascii="Cambria Math" w:hAnsi="Cambria Math"/>
                <w:i/>
              </w:rPr>
            </m:ctrlPr>
          </m:dPr>
          <m:e>
            <m:r>
              <w:rPr>
                <w:rFonts w:ascii="Cambria Math" w:hAnsi="Cambria Math"/>
              </w:rPr>
              <m:t>t</m:t>
            </m:r>
          </m:e>
        </m:d>
      </m:oMath>
      <w:r>
        <w:t xml:space="preserve"> is the number of men aged x at mid period </w:t>
      </w:r>
      <w:r w:rsidRPr="00CB0F9B">
        <w:rPr>
          <w:i/>
        </w:rPr>
        <w:t>t</w:t>
      </w:r>
      <w:r>
        <w:t xml:space="preserve">. The number of births </w:t>
      </w:r>
      <m:oMath>
        <m:r>
          <w:rPr>
            <w:rFonts w:ascii="Cambria Math" w:hAnsi="Cambria Math"/>
          </w:rPr>
          <m:t>B</m:t>
        </m:r>
        <m:d>
          <m:dPr>
            <m:ctrlPr>
              <w:rPr>
                <w:rFonts w:ascii="Cambria Math" w:hAnsi="Cambria Math"/>
                <w:i/>
              </w:rPr>
            </m:ctrlPr>
          </m:dPr>
          <m:e>
            <m:r>
              <w:rPr>
                <w:rFonts w:ascii="Cambria Math" w:hAnsi="Cambria Math"/>
              </w:rPr>
              <m:t>t</m:t>
            </m:r>
          </m:e>
        </m:d>
        <m:r>
          <w:rPr>
            <w:rFonts w:ascii="Cambria Math" w:hAnsi="Cambria Math"/>
          </w:rPr>
          <m:t xml:space="preserve"> </m:t>
        </m:r>
      </m:oMath>
      <w:r>
        <w:t xml:space="preserve">and the number of men </w:t>
      </w:r>
      <m:oMath>
        <m:sSubSup>
          <m:sSubSupPr>
            <m:ctrlPr>
              <w:rPr>
                <w:rFonts w:ascii="Cambria Math" w:hAnsi="Cambria Math"/>
                <w:i/>
              </w:rPr>
            </m:ctrlPr>
          </m:sSubSupPr>
          <m:e>
            <m:r>
              <w:rPr>
                <w:rFonts w:ascii="Cambria Math" w:hAnsi="Cambria Math"/>
              </w:rPr>
              <m:t>M</m:t>
            </m:r>
          </m:e>
          <m:sub>
            <m:r>
              <w:rPr>
                <w:rFonts w:ascii="Cambria Math" w:hAnsi="Cambria Math"/>
              </w:rPr>
              <m:t>x</m:t>
            </m:r>
          </m:sub>
          <m:sup/>
        </m:sSubSup>
        <m:d>
          <m:dPr>
            <m:ctrlPr>
              <w:rPr>
                <w:rFonts w:ascii="Cambria Math" w:hAnsi="Cambria Math"/>
                <w:i/>
              </w:rPr>
            </m:ctrlPr>
          </m:dPr>
          <m:e>
            <m:r>
              <w:rPr>
                <w:rFonts w:ascii="Cambria Math" w:hAnsi="Cambria Math"/>
              </w:rPr>
              <m:t>t</m:t>
            </m:r>
          </m:e>
        </m:d>
      </m:oMath>
      <w:r>
        <w:t xml:space="preserve"> are known from the projection. </w:t>
      </w:r>
    </w:p>
    <w:p w14:paraId="4B044E16" w14:textId="76D96B43" w:rsidR="00891533" w:rsidRDefault="00FC1B3B" w:rsidP="00A40EEF">
      <w:r>
        <w:t>For each of the three countries, we devise three scenarios regarding the trend in the mean age at fatherhood: (1) constant, (2) decreasing, or (3) increasing. Proportionate age-specific fertility rates are interpolated linearly between 2015 and 2100 (see spreadsheet in supporting material for details). The age pattern of male fertility for the starting year comes from the most recent DHS in the country, and the target pattern comes from another country with higher or lower mean age at fatherhood</w:t>
      </w:r>
      <w:r>
        <w:rPr>
          <w:rStyle w:val="Appeldenotedefin"/>
        </w:rPr>
        <w:endnoteReference w:id="16"/>
      </w:r>
      <w:r>
        <w:t>.</w:t>
      </w:r>
      <w:r w:rsidR="00D24CA6">
        <w:t xml:space="preserve"> The female ages at childbearing only slightly change in the United Nations projections.</w:t>
      </w:r>
    </w:p>
    <w:p w14:paraId="7F3488CA" w14:textId="0B2FDC65" w:rsidR="00D55C14" w:rsidRDefault="001C3436" w:rsidP="00A40EEF">
      <w:r w:rsidRPr="00C87F4B">
        <w:t xml:space="preserve">Figure </w:t>
      </w:r>
      <w:r w:rsidR="00B56124">
        <w:rPr>
          <w:noProof/>
        </w:rPr>
        <w:t>8</w:t>
      </w:r>
      <w:r w:rsidR="00EB07B9">
        <w:t xml:space="preserve"> </w:t>
      </w:r>
      <w:r w:rsidR="008C60C3">
        <w:t>show</w:t>
      </w:r>
      <w:r w:rsidR="00170AB2">
        <w:t>s</w:t>
      </w:r>
      <w:r w:rsidR="008C60C3">
        <w:t xml:space="preserve"> </w:t>
      </w:r>
      <w:r w:rsidR="00D55C14">
        <w:t xml:space="preserve">the </w:t>
      </w:r>
      <w:r w:rsidR="008C60C3">
        <w:t>ratios of male to female fertility in Niger</w:t>
      </w:r>
      <w:r w:rsidR="00B56124">
        <w:t>, Zimbabwe</w:t>
      </w:r>
      <w:r w:rsidR="003E6662">
        <w:t>,</w:t>
      </w:r>
      <w:r w:rsidR="00B56124">
        <w:t xml:space="preserve"> and Indonesia</w:t>
      </w:r>
      <w:r w:rsidR="008C60C3">
        <w:t xml:space="preserve">. </w:t>
      </w:r>
      <w:r w:rsidR="00170AB2">
        <w:t>These</w:t>
      </w:r>
      <w:r w:rsidR="008C60C3">
        <w:t xml:space="preserve"> simple simulation</w:t>
      </w:r>
      <w:r w:rsidR="00170AB2">
        <w:t>s show</w:t>
      </w:r>
      <w:r w:rsidR="008C60C3">
        <w:t xml:space="preserve"> a few key findings. First, as expected, male fertility is currently much higher tha</w:t>
      </w:r>
      <w:r w:rsidR="00170AB2">
        <w:t>n</w:t>
      </w:r>
      <w:r w:rsidR="008C60C3">
        <w:t xml:space="preserve"> female fertility</w:t>
      </w:r>
      <w:r w:rsidR="00D55C14">
        <w:t xml:space="preserve"> in Niger and in Zimbabwe</w:t>
      </w:r>
      <w:r w:rsidR="008C60C3">
        <w:t>,</w:t>
      </w:r>
      <w:r w:rsidR="00D55C14">
        <w:t xml:space="preserve"> and close to female fertility in Indonesia,</w:t>
      </w:r>
      <w:r w:rsidR="008C60C3">
        <w:t xml:space="preserve"> as found with </w:t>
      </w:r>
      <w:r w:rsidR="00170AB2">
        <w:t>the own</w:t>
      </w:r>
      <w:r w:rsidR="003E6662">
        <w:t>-</w:t>
      </w:r>
      <w:r w:rsidR="00170AB2">
        <w:t xml:space="preserve">children method and </w:t>
      </w:r>
      <w:r w:rsidR="008C60C3">
        <w:t>DHS data</w:t>
      </w:r>
      <w:r w:rsidR="00D24CA6">
        <w:t xml:space="preserve"> (Figure S3 in supporting material)</w:t>
      </w:r>
      <w:r w:rsidR="008C60C3">
        <w:t>. Secondly, male fertility will decli</w:t>
      </w:r>
      <w:r w:rsidR="00D55C14">
        <w:t>ne faster than female fertility in the three countries</w:t>
      </w:r>
      <w:r w:rsidR="008C60C3">
        <w:t xml:space="preserve"> and </w:t>
      </w:r>
      <w:r w:rsidR="00AF1867">
        <w:t xml:space="preserve">should </w:t>
      </w:r>
      <w:r w:rsidR="008C60C3">
        <w:t xml:space="preserve">ultimately </w:t>
      </w:r>
      <w:r w:rsidR="00104885">
        <w:t>end up</w:t>
      </w:r>
      <w:r w:rsidR="008C60C3">
        <w:t xml:space="preserve"> very close to female fertility.</w:t>
      </w:r>
      <w:r w:rsidR="00117C63">
        <w:t xml:space="preserve"> </w:t>
      </w:r>
      <w:r w:rsidR="008C60C3">
        <w:t>Third, convergence is not expected to start immediately</w:t>
      </w:r>
      <w:r w:rsidR="00D55C14">
        <w:t xml:space="preserve"> in Niger</w:t>
      </w:r>
      <w:r w:rsidR="008C60C3">
        <w:t xml:space="preserve">, but rather </w:t>
      </w:r>
      <w:r w:rsidR="00104885">
        <w:t xml:space="preserve">somewhere between </w:t>
      </w:r>
      <w:r w:rsidR="00D55C14">
        <w:t>2025</w:t>
      </w:r>
      <w:r w:rsidR="00104885">
        <w:t xml:space="preserve"> and </w:t>
      </w:r>
      <w:r w:rsidR="008C60C3">
        <w:t>2030, and m</w:t>
      </w:r>
      <w:r w:rsidR="00CF769B">
        <w:t xml:space="preserve">ale fertility will remain substantially higher than female fertility in Niger </w:t>
      </w:r>
      <w:r w:rsidR="00D55C14">
        <w:t xml:space="preserve">well beyond </w:t>
      </w:r>
      <w:r w:rsidR="00CF769B">
        <w:t>2050</w:t>
      </w:r>
      <w:r w:rsidR="00D55C14">
        <w:t xml:space="preserve"> and is expected to remain higher </w:t>
      </w:r>
      <w:r w:rsidR="00104885">
        <w:t>even</w:t>
      </w:r>
      <w:r w:rsidR="00D55C14">
        <w:t xml:space="preserve"> in 2100. </w:t>
      </w:r>
      <w:r w:rsidR="00117C63">
        <w:t xml:space="preserve">Male fertility should be lower than female fertility in Indonesia by around 2035, but it should also remain higher than female fertility in Zimbabwe for much of the coming century. </w:t>
      </w:r>
      <w:r w:rsidR="00D55C14">
        <w:t xml:space="preserve">Fourth, the decrease in the ratio of the male to the female TFR will depend on changes in </w:t>
      </w:r>
      <w:r w:rsidR="00104885">
        <w:t xml:space="preserve">the </w:t>
      </w:r>
      <w:r w:rsidR="00D55C14">
        <w:t xml:space="preserve">age pattern of fertility, and will be faster if men have their children younger on average, especially in Niger where the population growth rate is high and </w:t>
      </w:r>
      <w:r w:rsidR="00104885">
        <w:t xml:space="preserve">male </w:t>
      </w:r>
      <w:r w:rsidR="00D55C14">
        <w:t xml:space="preserve">fertility is late. In contrast, at lower levels of fertility, changes in the age pattern of fertility will have a more limited impact on the speed of decline in the ratio of male to female fertility. Fifth, even with a constant age pattern of male fertility or an </w:t>
      </w:r>
      <w:r w:rsidR="00D55C14">
        <w:lastRenderedPageBreak/>
        <w:t xml:space="preserve">increasing mean age at fatherhood, the male </w:t>
      </w:r>
      <w:r w:rsidR="00743799">
        <w:t xml:space="preserve">TFR </w:t>
      </w:r>
      <w:r w:rsidR="00D55C14">
        <w:t>will decrease faster than the female</w:t>
      </w:r>
      <w:r w:rsidR="00CA2112">
        <w:t xml:space="preserve"> TFR</w:t>
      </w:r>
      <w:r w:rsidR="00104885">
        <w:t>,</w:t>
      </w:r>
      <w:r w:rsidR="00D55C14">
        <w:t xml:space="preserve"> and the difference will narrow considerably over time. The trend is thus inexorable, even if changes in </w:t>
      </w:r>
      <w:r w:rsidR="00897D81">
        <w:t>union</w:t>
      </w:r>
      <w:r w:rsidR="00D55C14">
        <w:t xml:space="preserve"> pattern</w:t>
      </w:r>
      <w:r w:rsidR="00104885">
        <w:t>s</w:t>
      </w:r>
      <w:r w:rsidR="00D55C14">
        <w:t xml:space="preserve"> can slow it down or accelerate it. </w:t>
      </w:r>
    </w:p>
    <w:p w14:paraId="127A1FAF" w14:textId="0A6B5CCE" w:rsidR="00FC1B3B" w:rsidRDefault="00FC1B3B" w:rsidP="00FC1B3B">
      <w:pPr>
        <w:jc w:val="center"/>
      </w:pPr>
      <w:r>
        <w:t>[Figure 8]</w:t>
      </w:r>
    </w:p>
    <w:p w14:paraId="01DFE224" w14:textId="77777777" w:rsidR="00A14819" w:rsidRDefault="00E83A41" w:rsidP="00A40EEF">
      <w:pPr>
        <w:pStyle w:val="Titre1"/>
      </w:pPr>
      <w:r>
        <w:t>Discussion and conclusion</w:t>
      </w:r>
    </w:p>
    <w:p w14:paraId="04F32F7C" w14:textId="3A654EA5" w:rsidR="00714ACD" w:rsidRDefault="00170AB2" w:rsidP="00A40EEF">
      <w:r>
        <w:t xml:space="preserve">Male and female fertility are very different in </w:t>
      </w:r>
      <w:r w:rsidR="00594DC7">
        <w:t xml:space="preserve">many </w:t>
      </w:r>
      <w:r>
        <w:t>countries of the world</w:t>
      </w:r>
      <w:r w:rsidR="00092358">
        <w:t xml:space="preserve"> and, overall, male fertility is much more diverse than female fertility</w:t>
      </w:r>
      <w:r>
        <w:t>. While they are very close in Western countries, contributing to the impression that</w:t>
      </w:r>
      <w:r w:rsidR="00B90ECD">
        <w:t xml:space="preserve"> measuring fertility only among women </w:t>
      </w:r>
      <w:r w:rsidR="00092358">
        <w:t>may be “</w:t>
      </w:r>
      <w:r w:rsidR="00B90ECD">
        <w:t>sufficient</w:t>
      </w:r>
      <w:r w:rsidR="00092358">
        <w:t>”</w:t>
      </w:r>
      <w:r>
        <w:t xml:space="preserve">, the most common pattern around the world is one of higher fertility among </w:t>
      </w:r>
      <w:r w:rsidR="00370657">
        <w:t>men</w:t>
      </w:r>
      <w:r>
        <w:t>.</w:t>
      </w:r>
      <w:r w:rsidR="00B90ECD">
        <w:t xml:space="preserve"> </w:t>
      </w:r>
      <w:r w:rsidR="00262645">
        <w:t>Male f</w:t>
      </w:r>
      <w:r w:rsidR="00B90ECD">
        <w:t>ertility is also always later</w:t>
      </w:r>
      <w:r w:rsidR="00092358">
        <w:t xml:space="preserve"> </w:t>
      </w:r>
      <w:r w:rsidR="00B90ECD">
        <w:t>than female fertility</w:t>
      </w:r>
      <w:r w:rsidR="00092358">
        <w:t>, and sometimes much later</w:t>
      </w:r>
      <w:r w:rsidR="00B90ECD">
        <w:t>.</w:t>
      </w:r>
      <w:r>
        <w:t xml:space="preserve"> In sub-Saharan Africa, </w:t>
      </w:r>
      <w:r w:rsidR="00714ACD">
        <w:t xml:space="preserve">reproductive experiences strongly differ, with </w:t>
      </w:r>
      <w:r w:rsidR="00BC6804">
        <w:t>a host of possible implications, in terms of i</w:t>
      </w:r>
      <w:r w:rsidR="00BC6804" w:rsidRPr="00BC6804">
        <w:t>nvestment in parenting, orphanhood</w:t>
      </w:r>
      <w:r w:rsidR="00262645">
        <w:t>,</w:t>
      </w:r>
      <w:r w:rsidR="00BC6804" w:rsidRPr="00BC6804">
        <w:t xml:space="preserve"> and </w:t>
      </w:r>
      <w:r w:rsidR="00262645">
        <w:t xml:space="preserve">children’s </w:t>
      </w:r>
      <w:r w:rsidR="00BC6804" w:rsidRPr="00BC6804">
        <w:t xml:space="preserve">health </w:t>
      </w:r>
      <w:r w:rsidR="00BC6804" w:rsidRPr="001C3436">
        <w:rPr>
          <w:rFonts w:cs="Times New Roman"/>
        </w:rPr>
        <w:t>(</w:t>
      </w:r>
      <w:r w:rsidR="00BE2C65">
        <w:rPr>
          <w:rFonts w:cs="Times New Roman"/>
        </w:rPr>
        <w:t>Bledsoe</w:t>
      </w:r>
      <w:r w:rsidR="00B97B82">
        <w:rPr>
          <w:rFonts w:cs="Times New Roman"/>
        </w:rPr>
        <w:t xml:space="preserve"> </w:t>
      </w:r>
      <w:r w:rsidR="00B97B82" w:rsidRPr="00B97B82">
        <w:rPr>
          <w:rFonts w:cs="Times New Roman"/>
          <w:i/>
        </w:rPr>
        <w:t>et al.</w:t>
      </w:r>
      <w:r w:rsidR="00BE2C65">
        <w:rPr>
          <w:rFonts w:cs="Times New Roman"/>
        </w:rPr>
        <w:t xml:space="preserve"> 2000</w:t>
      </w:r>
      <w:r w:rsidR="00BC6804" w:rsidRPr="001C3436">
        <w:rPr>
          <w:rFonts w:cs="Times New Roman"/>
        </w:rPr>
        <w:t xml:space="preserve">; </w:t>
      </w:r>
      <w:proofErr w:type="spellStart"/>
      <w:r w:rsidR="00BC6804" w:rsidRPr="001C3436">
        <w:rPr>
          <w:rFonts w:cs="Times New Roman"/>
        </w:rPr>
        <w:t>Nybo</w:t>
      </w:r>
      <w:proofErr w:type="spellEnd"/>
      <w:r w:rsidR="00BC6804" w:rsidRPr="001C3436">
        <w:rPr>
          <w:rFonts w:cs="Times New Roman"/>
        </w:rPr>
        <w:t xml:space="preserve"> Andersen</w:t>
      </w:r>
      <w:r w:rsidR="00BE2C65">
        <w:rPr>
          <w:rFonts w:cs="Times New Roman"/>
        </w:rPr>
        <w:t xml:space="preserve"> and</w:t>
      </w:r>
      <w:r w:rsidR="00BC6804" w:rsidRPr="001C3436">
        <w:rPr>
          <w:rFonts w:cs="Times New Roman"/>
        </w:rPr>
        <w:t xml:space="preserve"> </w:t>
      </w:r>
      <w:proofErr w:type="spellStart"/>
      <w:r w:rsidR="00BE2C65">
        <w:rPr>
          <w:rFonts w:cs="Times New Roman"/>
        </w:rPr>
        <w:t>Urhoj</w:t>
      </w:r>
      <w:proofErr w:type="spellEnd"/>
      <w:r w:rsidR="00BC6804" w:rsidRPr="001C3436">
        <w:rPr>
          <w:rFonts w:cs="Times New Roman"/>
        </w:rPr>
        <w:t xml:space="preserve"> 2017)</w:t>
      </w:r>
      <w:r w:rsidR="00714ACD" w:rsidRPr="00BC6804">
        <w:t>.</w:t>
      </w:r>
    </w:p>
    <w:p w14:paraId="00716891" w14:textId="51D4E8D2" w:rsidR="00BD2EDA" w:rsidRDefault="00B90ECD" w:rsidP="00A40EEF">
      <w:r>
        <w:t xml:space="preserve">These differences between male and female </w:t>
      </w:r>
      <w:r w:rsidR="002D4BE8">
        <w:t xml:space="preserve">total </w:t>
      </w:r>
      <w:r>
        <w:t xml:space="preserve">fertility are </w:t>
      </w:r>
      <w:r w:rsidR="00E324BB">
        <w:t xml:space="preserve">largely </w:t>
      </w:r>
      <w:r>
        <w:t>endogenous</w:t>
      </w:r>
      <w:r w:rsidR="00BD2EDA">
        <w:t>, i.e.</w:t>
      </w:r>
      <w:r w:rsidR="00262645">
        <w:t>,</w:t>
      </w:r>
      <w:r w:rsidR="00DD7350">
        <w:t xml:space="preserve"> </w:t>
      </w:r>
      <w:r w:rsidR="00BD2EDA">
        <w:t>t</w:t>
      </w:r>
      <w:r w:rsidR="00DD7350">
        <w:t>hey are a logical consequence of differences in age at which men and women have their children, and of differences in numbers of men and women at these ages which</w:t>
      </w:r>
      <w:r w:rsidR="00262645">
        <w:t>—</w:t>
      </w:r>
      <w:r w:rsidR="00DD7350">
        <w:t>in stable populations</w:t>
      </w:r>
      <w:r w:rsidR="00262645">
        <w:t>—</w:t>
      </w:r>
      <w:r w:rsidR="00DD7350">
        <w:t xml:space="preserve">mainly reflect population growth and differences in mortality across gender. </w:t>
      </w:r>
      <w:r w:rsidR="00D21166">
        <w:t xml:space="preserve">One of the implications of these large differences between male and female fertility is that </w:t>
      </w:r>
      <w:r w:rsidR="00DD7350">
        <w:t xml:space="preserve">it should come as no surprise that male and female fertility preferences are </w:t>
      </w:r>
      <w:r w:rsidR="00D21166">
        <w:t xml:space="preserve">also </w:t>
      </w:r>
      <w:r w:rsidR="00DD7350">
        <w:t xml:space="preserve">different. </w:t>
      </w:r>
      <w:r w:rsidR="00D9004F">
        <w:t>I</w:t>
      </w:r>
      <w:r w:rsidR="00D21166">
        <w:t xml:space="preserve">deal family size </w:t>
      </w:r>
      <w:r w:rsidR="00D9004F">
        <w:t xml:space="preserve">is </w:t>
      </w:r>
      <w:r w:rsidR="00D21166">
        <w:t xml:space="preserve">often </w:t>
      </w:r>
      <w:r w:rsidR="00D9004F">
        <w:t xml:space="preserve">higher </w:t>
      </w:r>
      <w:r w:rsidR="00D21166">
        <w:t>among men, espec</w:t>
      </w:r>
      <w:r w:rsidR="00D9004F">
        <w:t>ially in sub-Saharan Africa</w:t>
      </w:r>
      <w:r w:rsidR="00D545FA">
        <w:t xml:space="preserve"> </w:t>
      </w:r>
      <w:r w:rsidR="00B97B82">
        <w:rPr>
          <w:rFonts w:cs="Times New Roman"/>
        </w:rPr>
        <w:t>(</w:t>
      </w:r>
      <w:proofErr w:type="spellStart"/>
      <w:r w:rsidR="00B97B82">
        <w:rPr>
          <w:rFonts w:cs="Times New Roman"/>
        </w:rPr>
        <w:t>Ezeh</w:t>
      </w:r>
      <w:proofErr w:type="spellEnd"/>
      <w:r w:rsidR="00B97B82">
        <w:rPr>
          <w:rFonts w:cs="Times New Roman"/>
        </w:rPr>
        <w:t xml:space="preserve"> </w:t>
      </w:r>
      <w:r w:rsidR="00B97B82" w:rsidRPr="00B97B82">
        <w:rPr>
          <w:rFonts w:cs="Times New Roman"/>
          <w:i/>
        </w:rPr>
        <w:t>et al.</w:t>
      </w:r>
      <w:r w:rsidR="00D545FA" w:rsidRPr="00D545FA">
        <w:rPr>
          <w:rFonts w:cs="Times New Roman"/>
        </w:rPr>
        <w:t xml:space="preserve"> 1996)</w:t>
      </w:r>
      <w:r w:rsidR="00D9004F">
        <w:t xml:space="preserve">. But such differences in ideal family size </w:t>
      </w:r>
      <w:r w:rsidR="000A5344">
        <w:t xml:space="preserve">between </w:t>
      </w:r>
      <w:r w:rsidR="00D9004F">
        <w:t>gender</w:t>
      </w:r>
      <w:r w:rsidR="000A5344">
        <w:t>s</w:t>
      </w:r>
      <w:r w:rsidR="00D9004F">
        <w:t xml:space="preserve"> need not imply t</w:t>
      </w:r>
      <w:r w:rsidR="00B15BC8">
        <w:t>hat they</w:t>
      </w:r>
      <w:r w:rsidR="00D9004F">
        <w:t xml:space="preserve"> are </w:t>
      </w:r>
      <w:r w:rsidR="00D545FA">
        <w:t>in</w:t>
      </w:r>
      <w:r w:rsidR="00D9004F">
        <w:t>compatible</w:t>
      </w:r>
      <w:r w:rsidR="00BE2C65">
        <w:t xml:space="preserve"> (Field </w:t>
      </w:r>
      <w:r w:rsidR="00BE2C65" w:rsidRPr="00BE2C65">
        <w:rPr>
          <w:i/>
        </w:rPr>
        <w:t>et al.</w:t>
      </w:r>
      <w:r w:rsidR="00BE2C65">
        <w:t xml:space="preserve"> 2016)</w:t>
      </w:r>
      <w:r w:rsidR="00D9004F">
        <w:t xml:space="preserve">. Simply put, it is perfectly possible for men to desire 10 children and have 10 by the end of their reproductive lives, and for women to desire </w:t>
      </w:r>
      <w:r w:rsidR="000A5344">
        <w:t>five</w:t>
      </w:r>
      <w:r w:rsidR="00D9004F">
        <w:t xml:space="preserve"> children and have </w:t>
      </w:r>
      <w:r w:rsidR="000A5344">
        <w:t>five</w:t>
      </w:r>
      <w:r w:rsidR="00D9004F">
        <w:t>.</w:t>
      </w:r>
      <w:r w:rsidR="00B15BC8">
        <w:t xml:space="preserve"> </w:t>
      </w:r>
    </w:p>
    <w:p w14:paraId="19C535D8" w14:textId="2F6E47D3" w:rsidR="009451AB" w:rsidRDefault="00CB14EF" w:rsidP="00A40EEF">
      <w:r>
        <w:t>F</w:t>
      </w:r>
      <w:r w:rsidR="006518C6">
        <w:t>ertility trends show that male and female fertility have become very similar in countries that have almost completed their fertility transition (e.g.</w:t>
      </w:r>
      <w:r w:rsidR="000A5344">
        <w:t>,</w:t>
      </w:r>
      <w:r w:rsidR="006518C6">
        <w:t xml:space="preserve"> Cambodia, Peru, Indonesia) and that male fertility has been decreasing faster than female fertility in mid-transition countries (e.g.</w:t>
      </w:r>
      <w:r w:rsidR="000A5344">
        <w:t>,</w:t>
      </w:r>
      <w:r w:rsidR="006518C6">
        <w:t xml:space="preserve"> Ghana, Zimbabwe, Namibia). On the other hand, male fertility has remained much higher than female fertility in countries that have not started or just started their transition (e.g.</w:t>
      </w:r>
      <w:r w:rsidR="000A5344">
        <w:t>,</w:t>
      </w:r>
      <w:r w:rsidR="006518C6">
        <w:t xml:space="preserve"> Niger, Senegal, </w:t>
      </w:r>
      <w:r w:rsidR="002549AA">
        <w:t>Guinea</w:t>
      </w:r>
      <w:r w:rsidR="006518C6">
        <w:t xml:space="preserve">). </w:t>
      </w:r>
      <w:r w:rsidR="001E40AE">
        <w:t xml:space="preserve">Yet, male fertility </w:t>
      </w:r>
      <w:r w:rsidR="00F656E4">
        <w:t xml:space="preserve">is projected to </w:t>
      </w:r>
      <w:r w:rsidR="001E40AE">
        <w:t xml:space="preserve">decrease faster than female fertility. This </w:t>
      </w:r>
      <w:r w:rsidR="00B15BC8">
        <w:t xml:space="preserve">is a </w:t>
      </w:r>
      <w:r>
        <w:t xml:space="preserve">logical </w:t>
      </w:r>
      <w:r w:rsidR="00B15BC8">
        <w:t xml:space="preserve">consequence of the </w:t>
      </w:r>
      <w:r w:rsidR="001E40AE">
        <w:t>change in the age structure during the fertility transition</w:t>
      </w:r>
      <w:r w:rsidR="00B15BC8">
        <w:t xml:space="preserve">. In the short run, the ratio of male to female </w:t>
      </w:r>
      <w:r w:rsidR="00897D81">
        <w:t xml:space="preserve">fertility </w:t>
      </w:r>
      <w:r w:rsidR="00B15BC8">
        <w:t>may increase. But in the long run, male fertility will decline faster than female fertility, an</w:t>
      </w:r>
      <w:r w:rsidR="00382791">
        <w:t xml:space="preserve">d will ultimately </w:t>
      </w:r>
      <w:r w:rsidR="001E40AE">
        <w:t xml:space="preserve">be a little lower </w:t>
      </w:r>
      <w:r w:rsidR="002A3CD0">
        <w:lastRenderedPageBreak/>
        <w:t>too</w:t>
      </w:r>
      <w:r w:rsidR="00B15BC8">
        <w:t xml:space="preserve">. </w:t>
      </w:r>
      <w:r w:rsidR="006518C6">
        <w:t xml:space="preserve">Simulations illustrate that </w:t>
      </w:r>
      <w:r w:rsidR="001E40AE">
        <w:t xml:space="preserve">this shift </w:t>
      </w:r>
      <w:r w:rsidR="006518C6">
        <w:t>will be faster if the difference between age at fatherhood and age at childbearing decreases, i.e.</w:t>
      </w:r>
      <w:r w:rsidR="002A3CD0">
        <w:t>,</w:t>
      </w:r>
      <w:r w:rsidR="006518C6">
        <w:t xml:space="preserve"> if age at fatherhood decreases faster than age at childbearing. </w:t>
      </w:r>
      <w:r w:rsidR="001E40AE">
        <w:t>The gap between male and female ages at reproduction indeed tends to narrow during the demographic transition, as does the age diff</w:t>
      </w:r>
      <w:r w:rsidR="00BE2C65">
        <w:t>erence between partners (</w:t>
      </w:r>
      <w:proofErr w:type="spellStart"/>
      <w:r w:rsidR="00BE2C65">
        <w:t>Mignot</w:t>
      </w:r>
      <w:proofErr w:type="spellEnd"/>
      <w:r w:rsidR="001E40AE">
        <w:t xml:space="preserve"> 2010)</w:t>
      </w:r>
      <w:r w:rsidR="00A679C1">
        <w:t>, and</w:t>
      </w:r>
      <w:r w:rsidR="00CA66B1">
        <w:t xml:space="preserve"> </w:t>
      </w:r>
      <w:r w:rsidR="00A679C1">
        <w:t xml:space="preserve">we </w:t>
      </w:r>
      <w:r w:rsidR="00CA66B1">
        <w:t xml:space="preserve">may thus expect that </w:t>
      </w:r>
      <w:r w:rsidR="002A3CD0">
        <w:t xml:space="preserve">decline in </w:t>
      </w:r>
      <w:r w:rsidR="00CA66B1">
        <w:t xml:space="preserve">male fertility will </w:t>
      </w:r>
      <w:r w:rsidR="002A3CD0">
        <w:t xml:space="preserve">take </w:t>
      </w:r>
      <w:r w:rsidR="00CA66B1">
        <w:t xml:space="preserve">the fast track. However, </w:t>
      </w:r>
      <w:r w:rsidR="002A3CD0">
        <w:t xml:space="preserve">this </w:t>
      </w:r>
      <w:r w:rsidR="00CA66B1">
        <w:t xml:space="preserve">decline could be delayed by increasing </w:t>
      </w:r>
      <w:r w:rsidR="009451AB">
        <w:t>differences between age at fatherhood and age at childbearing. Analyzing trends in age differences</w:t>
      </w:r>
      <w:r w:rsidR="00E3572F">
        <w:t xml:space="preserve"> between </w:t>
      </w:r>
      <w:r w:rsidR="00370657">
        <w:t>men</w:t>
      </w:r>
      <w:r w:rsidR="00E3572F">
        <w:t xml:space="preserve"> and </w:t>
      </w:r>
      <w:r w:rsidR="00571F90">
        <w:t>women</w:t>
      </w:r>
      <w:r w:rsidR="009451AB">
        <w:t xml:space="preserve"> may </w:t>
      </w:r>
      <w:r w:rsidR="00E3572F">
        <w:t>provide insights into resistance to changes</w:t>
      </w:r>
      <w:r w:rsidR="00CA66B1">
        <w:t xml:space="preserve"> in male fertility and, more broadly, institutions such as polygyny that are correlated with </w:t>
      </w:r>
      <w:r w:rsidR="002A3CD0">
        <w:t xml:space="preserve">high </w:t>
      </w:r>
      <w:r w:rsidR="00CA66B1">
        <w:t>male fertility</w:t>
      </w:r>
      <w:r w:rsidR="00E3572F">
        <w:t>.</w:t>
      </w:r>
      <w:r w:rsidR="00CA66B1">
        <w:t xml:space="preserve"> </w:t>
      </w:r>
    </w:p>
    <w:p w14:paraId="3DAF6C60" w14:textId="09073839" w:rsidR="001618A6" w:rsidRDefault="00EA63CF" w:rsidP="00A40EEF">
      <w:r>
        <w:t>M</w:t>
      </w:r>
      <w:r w:rsidR="001618A6">
        <w:t xml:space="preserve">ale and female fertility trends may </w:t>
      </w:r>
      <w:r>
        <w:t xml:space="preserve">also </w:t>
      </w:r>
      <w:r w:rsidR="001618A6">
        <w:t xml:space="preserve">tell </w:t>
      </w:r>
      <w:r w:rsidR="00E3572F">
        <w:t xml:space="preserve">complementary </w:t>
      </w:r>
      <w:r w:rsidR="001618A6">
        <w:t>stories. Recent stalls in female fertility in Zimbabwe and Namibia, for instance, are not clear</w:t>
      </w:r>
      <w:r>
        <w:t>ly visible</w:t>
      </w:r>
      <w:r w:rsidR="001618A6">
        <w:t xml:space="preserve"> </w:t>
      </w:r>
      <w:r w:rsidR="00F656E4">
        <w:t xml:space="preserve">through </w:t>
      </w:r>
      <w:r w:rsidR="001618A6">
        <w:t>male fertility</w:t>
      </w:r>
      <w:r>
        <w:t xml:space="preserve"> data (Figure 3 in supporting material)</w:t>
      </w:r>
      <w:r w:rsidR="001618A6">
        <w:t xml:space="preserve">. These differences in fertility </w:t>
      </w:r>
      <w:r>
        <w:t xml:space="preserve">trends </w:t>
      </w:r>
      <w:r w:rsidR="00EB74BA">
        <w:t xml:space="preserve">illustrate </w:t>
      </w:r>
      <w:r w:rsidR="001618A6">
        <w:t>that</w:t>
      </w:r>
      <w:r w:rsidR="00A679C1">
        <w:t xml:space="preserve"> </w:t>
      </w:r>
      <w:r w:rsidR="001618A6" w:rsidRPr="00BC3B2E">
        <w:t xml:space="preserve">male and female fertility may follow different paths. </w:t>
      </w:r>
      <w:r w:rsidR="00EB74BA" w:rsidRPr="00BC3B2E">
        <w:t>Such diverging trends between male and female fertility are related to the age structures of these populations, and point to causes of fertility stalls (e.g.</w:t>
      </w:r>
      <w:r w:rsidR="002A3CD0">
        <w:t>,</w:t>
      </w:r>
      <w:r w:rsidR="00EB74BA" w:rsidRPr="00BC3B2E">
        <w:t xml:space="preserve"> shortages of </w:t>
      </w:r>
      <w:r w:rsidR="00370657">
        <w:t>men</w:t>
      </w:r>
      <w:r w:rsidR="00EB74BA" w:rsidRPr="00BC3B2E">
        <w:t>) that have</w:t>
      </w:r>
      <w:r w:rsidR="00EB74BA">
        <w:t xml:space="preserve"> not been explored so far</w:t>
      </w:r>
      <w:r w:rsidR="001618A6">
        <w:t>.</w:t>
      </w:r>
      <w:r w:rsidR="00230254">
        <w:t xml:space="preserve"> For instance, part of these stalls may be an “adaptation” of female fertility to irregularities in age structures among men. </w:t>
      </w:r>
      <w:r w:rsidR="00D5013D">
        <w:t xml:space="preserve">Estimates of past male and female fertility also suggest that male fertility </w:t>
      </w:r>
      <w:r>
        <w:t>may start</w:t>
      </w:r>
      <w:r w:rsidR="00D5013D">
        <w:t xml:space="preserve"> changing before female fertility. Identifying early signs of fertility changes </w:t>
      </w:r>
      <w:r>
        <w:t xml:space="preserve">among </w:t>
      </w:r>
      <w:r w:rsidR="00370657">
        <w:t>men</w:t>
      </w:r>
      <w:r>
        <w:t xml:space="preserve"> </w:t>
      </w:r>
      <w:r w:rsidR="00D5013D">
        <w:t>could also contribute to enrich</w:t>
      </w:r>
      <w:r w:rsidR="00717D52">
        <w:t>ing</w:t>
      </w:r>
      <w:r w:rsidR="00D5013D">
        <w:t xml:space="preserve"> the description and understanding of fertility transitions. </w:t>
      </w:r>
    </w:p>
    <w:p w14:paraId="41DA9F34" w14:textId="5B09DA32" w:rsidR="00A679C1" w:rsidRDefault="001618A6" w:rsidP="00A40EEF">
      <w:r>
        <w:t xml:space="preserve">All in all, </w:t>
      </w:r>
      <w:r w:rsidR="00EB74BA">
        <w:t xml:space="preserve">reproductive experiences </w:t>
      </w:r>
      <w:r w:rsidR="00594DC7">
        <w:t xml:space="preserve">can </w:t>
      </w:r>
      <w:r w:rsidR="00EB74BA">
        <w:t xml:space="preserve">vary </w:t>
      </w:r>
      <w:r w:rsidR="00594DC7">
        <w:t xml:space="preserve">substantially </w:t>
      </w:r>
      <w:r w:rsidR="00EB74BA">
        <w:t xml:space="preserve">across gender, and </w:t>
      </w:r>
      <w:r>
        <w:t>using both male and female fertility data gives a more complete description of fertility experiences and transitions.</w:t>
      </w:r>
      <w:r w:rsidR="001A358C">
        <w:t xml:space="preserve"> </w:t>
      </w:r>
      <w:r w:rsidR="00EA63CF">
        <w:t>There are clearly two fertility transitions, on</w:t>
      </w:r>
      <w:r w:rsidR="00534E4F">
        <w:t xml:space="preserve">e for </w:t>
      </w:r>
      <w:r w:rsidR="00571F90">
        <w:t>women</w:t>
      </w:r>
      <w:r w:rsidR="00534E4F">
        <w:t xml:space="preserve"> and one for </w:t>
      </w:r>
      <w:r w:rsidR="00370657">
        <w:t>men</w:t>
      </w:r>
      <w:r w:rsidR="00534E4F">
        <w:t>.</w:t>
      </w:r>
      <w:r w:rsidR="00EA63CF">
        <w:t xml:space="preserve"> </w:t>
      </w:r>
      <w:r w:rsidR="00534E4F">
        <w:t>T</w:t>
      </w:r>
      <w:r w:rsidR="00EA63CF">
        <w:t>hese transitions are closely related,</w:t>
      </w:r>
      <w:r w:rsidR="00534E4F">
        <w:t xml:space="preserve"> but are </w:t>
      </w:r>
      <w:r w:rsidR="00CC6FED">
        <w:t xml:space="preserve">nevertheless </w:t>
      </w:r>
      <w:r w:rsidR="00534E4F">
        <w:t>clearly different and lead to a major shift from a male ‘advantage’ to a female ‘advantage’ in terms of fertility. Whether this leads to changes in gender relations is another story, but this shift</w:t>
      </w:r>
      <w:r w:rsidR="00717D52">
        <w:t>,</w:t>
      </w:r>
      <w:r w:rsidR="00534E4F">
        <w:t xml:space="preserve"> </w:t>
      </w:r>
      <w:r w:rsidR="00CC6FED">
        <w:t xml:space="preserve">and the increasing similarity in fertility levels and patterns </w:t>
      </w:r>
      <w:r w:rsidR="00717D52">
        <w:t xml:space="preserve">between </w:t>
      </w:r>
      <w:r w:rsidR="00CC6FED">
        <w:t>genders</w:t>
      </w:r>
      <w:r w:rsidR="00717D52">
        <w:t>,</w:t>
      </w:r>
      <w:r w:rsidR="00CC6FED">
        <w:t xml:space="preserve"> </w:t>
      </w:r>
      <w:r w:rsidR="00534E4F">
        <w:t xml:space="preserve">provides a background that may have implications beyond fertility. </w:t>
      </w:r>
      <w:r w:rsidR="0064394A">
        <w:t xml:space="preserve">The </w:t>
      </w:r>
      <w:r w:rsidR="00C37DE5">
        <w:t xml:space="preserve">interpretation of </w:t>
      </w:r>
      <w:r w:rsidR="0064394A">
        <w:t xml:space="preserve">these results from an evolutionary perspective is beyond the scope of this paper, </w:t>
      </w:r>
      <w:r w:rsidR="00111907">
        <w:t xml:space="preserve">but </w:t>
      </w:r>
      <w:r w:rsidR="00F93A19">
        <w:t xml:space="preserve">they may </w:t>
      </w:r>
      <w:r w:rsidR="00C37DE5">
        <w:t xml:space="preserve">be relevant to some </w:t>
      </w:r>
      <w:r w:rsidR="00F93A19">
        <w:t xml:space="preserve">questions addressed </w:t>
      </w:r>
      <w:r w:rsidR="00C37DE5">
        <w:t xml:space="preserve">in this field </w:t>
      </w:r>
      <w:r w:rsidR="00BE2C65">
        <w:t>(Coleman</w:t>
      </w:r>
      <w:r w:rsidR="00F93A19">
        <w:t xml:space="preserve"> 2000</w:t>
      </w:r>
      <w:r w:rsidR="00C37DE5">
        <w:t xml:space="preserve">; Sear </w:t>
      </w:r>
      <w:bookmarkStart w:id="2" w:name="_GoBack"/>
      <w:r w:rsidR="00C37DE5" w:rsidRPr="00B97B82">
        <w:rPr>
          <w:i/>
        </w:rPr>
        <w:t>et al.</w:t>
      </w:r>
      <w:bookmarkEnd w:id="2"/>
      <w:r w:rsidR="00C37DE5">
        <w:t xml:space="preserve"> 2016</w:t>
      </w:r>
      <w:r w:rsidR="00F93A19">
        <w:t>)</w:t>
      </w:r>
      <w:r w:rsidR="00C37DE5">
        <w:t>.</w:t>
      </w:r>
    </w:p>
    <w:p w14:paraId="0DDD7331" w14:textId="49FB4570" w:rsidR="005C3011" w:rsidRDefault="00A679C1" w:rsidP="00A40EEF">
      <w:r>
        <w:t xml:space="preserve">This paper has focused on male fertility rates and mean ages at fatherhood. However, existing </w:t>
      </w:r>
      <w:r w:rsidR="001A358C">
        <w:t>data also offer other possibilities that have been little exploited, be it for describing male fertility with greater detail (e.g.</w:t>
      </w:r>
      <w:r w:rsidR="00717D52">
        <w:t>,</w:t>
      </w:r>
      <w:r w:rsidR="001A358C">
        <w:t xml:space="preserve"> with parity progression ratios) or for estimating male fertility </w:t>
      </w:r>
      <w:r w:rsidR="001A358C">
        <w:lastRenderedPageBreak/>
        <w:t>determinants.</w:t>
      </w:r>
      <w:r w:rsidR="00594DC7">
        <w:t xml:space="preserve"> Using these data would </w:t>
      </w:r>
      <w:r w:rsidR="00594DC7" w:rsidRPr="00AE12A9">
        <w:t xml:space="preserve">allow </w:t>
      </w:r>
      <w:r w:rsidR="00717D52">
        <w:t xml:space="preserve">the exploration of </w:t>
      </w:r>
      <w:r w:rsidR="00594DC7">
        <w:t>fertility changes from new perspectives, hopefully improving the understanding of fertility tr</w:t>
      </w:r>
      <w:r w:rsidR="00CC6FED">
        <w:t xml:space="preserve">ansitions. </w:t>
      </w:r>
    </w:p>
    <w:p w14:paraId="0398D7AD" w14:textId="5E806919" w:rsidR="00AC3AE0" w:rsidRDefault="00AC3AE0" w:rsidP="00A40EEF"/>
    <w:p w14:paraId="1996B628" w14:textId="77777777" w:rsidR="00B76D7C" w:rsidRDefault="00B76D7C" w:rsidP="00A40EEF">
      <w:pPr>
        <w:rPr>
          <w:rFonts w:asciiTheme="majorHAnsi" w:eastAsiaTheme="majorEastAsia" w:hAnsiTheme="majorHAnsi" w:cstheme="majorBidi"/>
          <w:color w:val="000000" w:themeColor="text1"/>
          <w:sz w:val="28"/>
          <w:szCs w:val="28"/>
        </w:rPr>
      </w:pPr>
      <w:r w:rsidRPr="00656247">
        <w:br w:type="page"/>
      </w:r>
    </w:p>
    <w:p w14:paraId="45D6D9BF" w14:textId="77777777" w:rsidR="00885488" w:rsidRDefault="00443BBA" w:rsidP="00A40EEF">
      <w:pPr>
        <w:pStyle w:val="Titre1"/>
      </w:pPr>
      <w:r>
        <w:lastRenderedPageBreak/>
        <w:t xml:space="preserve">References </w:t>
      </w:r>
    </w:p>
    <w:p w14:paraId="5E6C5D96" w14:textId="3A8131AE" w:rsidR="004A2580" w:rsidRPr="00C02221" w:rsidRDefault="00B61A49" w:rsidP="00A40EEF">
      <w:pPr>
        <w:pStyle w:val="Bibliographie"/>
        <w:rPr>
          <w:rFonts w:cs="Times New Roman"/>
        </w:rPr>
      </w:pPr>
      <w:r w:rsidRPr="00C02221">
        <w:t>Allison, Paul</w:t>
      </w:r>
      <w:r w:rsidR="006B2690" w:rsidRPr="00C02221">
        <w:t>. 2001</w:t>
      </w:r>
      <w:r w:rsidR="004A2580" w:rsidRPr="00C02221">
        <w:t xml:space="preserve">. </w:t>
      </w:r>
      <w:r w:rsidR="004A2580" w:rsidRPr="00C02221">
        <w:rPr>
          <w:i/>
        </w:rPr>
        <w:t xml:space="preserve">Missing </w:t>
      </w:r>
      <w:r w:rsidR="00C470E4" w:rsidRPr="00C02221">
        <w:rPr>
          <w:i/>
        </w:rPr>
        <w:t>D</w:t>
      </w:r>
      <w:r w:rsidR="004A2580" w:rsidRPr="00C02221">
        <w:rPr>
          <w:i/>
        </w:rPr>
        <w:t>ata</w:t>
      </w:r>
      <w:r w:rsidR="004A2580" w:rsidRPr="00C02221">
        <w:t xml:space="preserve">. </w:t>
      </w:r>
      <w:proofErr w:type="gramStart"/>
      <w:r w:rsidR="004A2580" w:rsidRPr="00C02221">
        <w:t>Quantitative Applications in the Social Sciences 136</w:t>
      </w:r>
      <w:r w:rsidR="00C470E4" w:rsidRPr="00C02221">
        <w:t>.</w:t>
      </w:r>
      <w:proofErr w:type="gramEnd"/>
      <w:r w:rsidR="00C470E4" w:rsidRPr="00C02221">
        <w:t xml:space="preserve"> </w:t>
      </w:r>
      <w:r w:rsidR="004A2580" w:rsidRPr="00C02221">
        <w:t>Thousand Oaks</w:t>
      </w:r>
      <w:r w:rsidR="00C470E4" w:rsidRPr="00C02221">
        <w:t>: SAGE</w:t>
      </w:r>
      <w:r w:rsidR="004A2580" w:rsidRPr="00C02221">
        <w:t>.</w:t>
      </w:r>
    </w:p>
    <w:p w14:paraId="7E4F1E3A" w14:textId="64C52531" w:rsidR="00937C43" w:rsidRPr="006B2690" w:rsidRDefault="006B2690" w:rsidP="00A40EEF">
      <w:pPr>
        <w:pStyle w:val="Bibliographie"/>
      </w:pPr>
      <w:proofErr w:type="spellStart"/>
      <w:r>
        <w:rPr>
          <w:lang w:val="fr-BE"/>
        </w:rPr>
        <w:t>Andro</w:t>
      </w:r>
      <w:proofErr w:type="spellEnd"/>
      <w:r>
        <w:rPr>
          <w:lang w:val="fr-BE"/>
        </w:rPr>
        <w:t>, Armelle,</w:t>
      </w:r>
      <w:r w:rsidR="00937C43" w:rsidRPr="00EA5331">
        <w:rPr>
          <w:lang w:val="fr-BE"/>
        </w:rPr>
        <w:t xml:space="preserve"> </w:t>
      </w:r>
      <w:r>
        <w:rPr>
          <w:lang w:val="fr-BE"/>
        </w:rPr>
        <w:t xml:space="preserve">and </w:t>
      </w:r>
      <w:proofErr w:type="spellStart"/>
      <w:r>
        <w:rPr>
          <w:lang w:val="fr-BE"/>
        </w:rPr>
        <w:t>Annabel</w:t>
      </w:r>
      <w:proofErr w:type="spellEnd"/>
      <w:r>
        <w:rPr>
          <w:lang w:val="fr-BE"/>
        </w:rPr>
        <w:t xml:space="preserve"> </w:t>
      </w:r>
      <w:proofErr w:type="spellStart"/>
      <w:r w:rsidR="00937C43" w:rsidRPr="00EA5331">
        <w:rPr>
          <w:lang w:val="fr-BE"/>
        </w:rPr>
        <w:t>Desgrées</w:t>
      </w:r>
      <w:proofErr w:type="spellEnd"/>
      <w:r w:rsidR="00937C43" w:rsidRPr="00EA5331">
        <w:rPr>
          <w:lang w:val="fr-BE"/>
        </w:rPr>
        <w:t xml:space="preserve"> du </w:t>
      </w:r>
      <w:proofErr w:type="spellStart"/>
      <w:r w:rsidR="00937C43" w:rsidRPr="00EA5331">
        <w:rPr>
          <w:lang w:val="fr-BE"/>
        </w:rPr>
        <w:t>Loû</w:t>
      </w:r>
      <w:proofErr w:type="spellEnd"/>
      <w:r>
        <w:rPr>
          <w:lang w:val="fr-BE"/>
        </w:rPr>
        <w:t>. 2009</w:t>
      </w:r>
      <w:r w:rsidR="00937C43" w:rsidRPr="00EA5331">
        <w:rPr>
          <w:lang w:val="fr-BE"/>
        </w:rPr>
        <w:t>.</w:t>
      </w:r>
      <w:r>
        <w:rPr>
          <w:lang w:val="fr-BE"/>
        </w:rPr>
        <w:t> </w:t>
      </w:r>
      <w:r w:rsidR="001945A3" w:rsidRPr="001945A3">
        <w:rPr>
          <w:lang w:val="fr-BE"/>
        </w:rPr>
        <w:t>“</w:t>
      </w:r>
      <w:r w:rsidR="00937C43" w:rsidRPr="00EA5331">
        <w:rPr>
          <w:lang w:val="fr-BE"/>
        </w:rPr>
        <w:t>La place des hommes dans la santé sexuelle et reproductive : Enjeux et difficultés</w:t>
      </w:r>
      <w:r w:rsidR="001945A3">
        <w:rPr>
          <w:lang w:val="fr-BE"/>
        </w:rPr>
        <w:t>.</w:t>
      </w:r>
      <w:r w:rsidR="001945A3" w:rsidRPr="001945A3">
        <w:rPr>
          <w:lang w:val="fr-BE"/>
        </w:rPr>
        <w:t>”</w:t>
      </w:r>
      <w:r w:rsidR="00937C43" w:rsidRPr="00EA5331">
        <w:rPr>
          <w:lang w:val="fr-BE"/>
        </w:rPr>
        <w:t xml:space="preserve"> </w:t>
      </w:r>
      <w:proofErr w:type="spellStart"/>
      <w:r w:rsidR="00937C43" w:rsidRPr="006B2690">
        <w:rPr>
          <w:i/>
          <w:iCs/>
        </w:rPr>
        <w:t>Autrepart</w:t>
      </w:r>
      <w:proofErr w:type="spellEnd"/>
      <w:r w:rsidR="00937C43" w:rsidRPr="006B2690">
        <w:t xml:space="preserve"> </w:t>
      </w:r>
      <w:r w:rsidR="00937C43" w:rsidRPr="006B2690">
        <w:rPr>
          <w:iCs/>
        </w:rPr>
        <w:t>52</w:t>
      </w:r>
      <w:r w:rsidR="00AD645C">
        <w:rPr>
          <w:iCs/>
        </w:rPr>
        <w:t xml:space="preserve">(4): </w:t>
      </w:r>
      <w:r w:rsidR="00937C43" w:rsidRPr="006B2690">
        <w:t>3–12.</w:t>
      </w:r>
    </w:p>
    <w:p w14:paraId="3C479600" w14:textId="5D31FCBD" w:rsidR="00937C43" w:rsidRPr="00937C43" w:rsidRDefault="00290E83" w:rsidP="00A40EEF">
      <w:pPr>
        <w:pStyle w:val="Bibliographie"/>
      </w:pPr>
      <w:proofErr w:type="gramStart"/>
      <w:r w:rsidRPr="00290E83">
        <w:t>Blanc, Ann</w:t>
      </w:r>
      <w:r w:rsidR="002E5F55">
        <w:t>,</w:t>
      </w:r>
      <w:r w:rsidRPr="00290E83">
        <w:t xml:space="preserve"> a</w:t>
      </w:r>
      <w:r w:rsidR="002E5F55">
        <w:t>nd Anast</w:t>
      </w:r>
      <w:r w:rsidRPr="00290E83">
        <w:t xml:space="preserve">asia </w:t>
      </w:r>
      <w:r w:rsidR="00937C43" w:rsidRPr="00290E83">
        <w:t>Gage.</w:t>
      </w:r>
      <w:proofErr w:type="gramEnd"/>
      <w:r w:rsidR="00937C43" w:rsidRPr="00290E83">
        <w:t xml:space="preserve"> </w:t>
      </w:r>
      <w:r>
        <w:t>2000</w:t>
      </w:r>
      <w:r w:rsidR="00937C43" w:rsidRPr="00290E83">
        <w:t xml:space="preserve">. </w:t>
      </w:r>
      <w:r w:rsidR="00E247AA">
        <w:t>“</w:t>
      </w:r>
      <w:r w:rsidR="00937C43" w:rsidRPr="006B2690">
        <w:t>Men, polygyny</w:t>
      </w:r>
      <w:r w:rsidR="0053728F" w:rsidRPr="006B2690">
        <w:t>,</w:t>
      </w:r>
      <w:r w:rsidR="00937C43" w:rsidRPr="006B2690">
        <w:t xml:space="preserve"> and fertility over the life-course in sub-Saharan Africa.</w:t>
      </w:r>
      <w:r w:rsidR="00E247AA">
        <w:t>”</w:t>
      </w:r>
      <w:r w:rsidR="00937C43" w:rsidRPr="006B2690">
        <w:t xml:space="preserve"> </w:t>
      </w:r>
      <w:proofErr w:type="gramStart"/>
      <w:r w:rsidR="00937C43" w:rsidRPr="006B2690">
        <w:t xml:space="preserve">In </w:t>
      </w:r>
      <w:r w:rsidR="00937C43" w:rsidRPr="00937C43">
        <w:rPr>
          <w:i/>
          <w:iCs/>
        </w:rPr>
        <w:t xml:space="preserve">Fertility and </w:t>
      </w:r>
      <w:r w:rsidR="0053728F">
        <w:rPr>
          <w:i/>
          <w:iCs/>
        </w:rPr>
        <w:t>the M</w:t>
      </w:r>
      <w:r w:rsidR="00937C43" w:rsidRPr="00937C43">
        <w:rPr>
          <w:i/>
          <w:iCs/>
        </w:rPr>
        <w:t xml:space="preserve">ale </w:t>
      </w:r>
      <w:r w:rsidR="0053728F">
        <w:rPr>
          <w:i/>
          <w:iCs/>
        </w:rPr>
        <w:t>L</w:t>
      </w:r>
      <w:r w:rsidR="00937C43" w:rsidRPr="00937C43">
        <w:rPr>
          <w:i/>
          <w:iCs/>
        </w:rPr>
        <w:t xml:space="preserve">ife-cycle in the </w:t>
      </w:r>
      <w:r w:rsidR="0053728F">
        <w:rPr>
          <w:i/>
          <w:iCs/>
        </w:rPr>
        <w:t>E</w:t>
      </w:r>
      <w:r w:rsidR="00937C43" w:rsidRPr="00937C43">
        <w:rPr>
          <w:i/>
          <w:iCs/>
        </w:rPr>
        <w:t xml:space="preserve">ra of </w:t>
      </w:r>
      <w:r w:rsidR="0053728F">
        <w:rPr>
          <w:i/>
          <w:iCs/>
        </w:rPr>
        <w:t>F</w:t>
      </w:r>
      <w:r w:rsidR="00937C43" w:rsidRPr="00937C43">
        <w:rPr>
          <w:i/>
          <w:iCs/>
        </w:rPr>
        <w:t xml:space="preserve">ertility </w:t>
      </w:r>
      <w:r w:rsidR="0053728F">
        <w:rPr>
          <w:i/>
          <w:iCs/>
        </w:rPr>
        <w:t>D</w:t>
      </w:r>
      <w:r w:rsidR="00937C43" w:rsidRPr="00937C43">
        <w:rPr>
          <w:i/>
          <w:iCs/>
        </w:rPr>
        <w:t>ecline</w:t>
      </w:r>
      <w:r w:rsidR="00E247AA">
        <w:rPr>
          <w:i/>
          <w:iCs/>
        </w:rPr>
        <w:t xml:space="preserve">, </w:t>
      </w:r>
      <w:r w:rsidR="00E247AA" w:rsidRPr="00E247AA">
        <w:rPr>
          <w:iCs/>
        </w:rPr>
        <w:t>edited by</w:t>
      </w:r>
      <w:r w:rsidR="00937C43" w:rsidRPr="00937C43">
        <w:t xml:space="preserve"> </w:t>
      </w:r>
      <w:r w:rsidR="00E247AA">
        <w:t>Caroline</w:t>
      </w:r>
      <w:r w:rsidR="00E247AA" w:rsidRPr="006B2690">
        <w:t xml:space="preserve"> Bledsoe, </w:t>
      </w:r>
      <w:r w:rsidR="00E247AA">
        <w:t>Susan</w:t>
      </w:r>
      <w:r w:rsidR="00290FF4">
        <w:t>a</w:t>
      </w:r>
      <w:r w:rsidR="00E247AA" w:rsidRPr="006B2690">
        <w:t xml:space="preserve"> Lerne</w:t>
      </w:r>
      <w:r w:rsidR="00E247AA">
        <w:t xml:space="preserve">r, and </w:t>
      </w:r>
      <w:r w:rsidR="00290FF4">
        <w:t>Jane</w:t>
      </w:r>
      <w:r w:rsidR="00E247AA" w:rsidRPr="00937C43">
        <w:t xml:space="preserve"> </w:t>
      </w:r>
      <w:proofErr w:type="spellStart"/>
      <w:r w:rsidR="00E247AA" w:rsidRPr="00937C43">
        <w:t>Guyer</w:t>
      </w:r>
      <w:proofErr w:type="spellEnd"/>
      <w:r w:rsidR="00E247AA" w:rsidRPr="00937C43">
        <w:t xml:space="preserve">, </w:t>
      </w:r>
      <w:r w:rsidR="00E247AA">
        <w:t>163–87</w:t>
      </w:r>
      <w:r w:rsidR="00821C1C">
        <w:t>.</w:t>
      </w:r>
      <w:proofErr w:type="gramEnd"/>
      <w:r w:rsidR="00937C43" w:rsidRPr="00937C43">
        <w:t xml:space="preserve"> New York: Oxford University Press.</w:t>
      </w:r>
    </w:p>
    <w:p w14:paraId="21524C74" w14:textId="31124831" w:rsidR="00937C43" w:rsidRPr="00C02221" w:rsidRDefault="002E5F55" w:rsidP="00A40EEF">
      <w:pPr>
        <w:pStyle w:val="Bibliographie"/>
        <w:rPr>
          <w:lang w:val="fr-BE"/>
        </w:rPr>
      </w:pPr>
      <w:proofErr w:type="gramStart"/>
      <w:r w:rsidRPr="002E5F55">
        <w:t>Bledsoe, Caroline</w:t>
      </w:r>
      <w:r w:rsidR="00937C43" w:rsidRPr="002E5F55">
        <w:t xml:space="preserve">, </w:t>
      </w:r>
      <w:r w:rsidRPr="002E5F55">
        <w:t xml:space="preserve">Jane </w:t>
      </w:r>
      <w:proofErr w:type="spellStart"/>
      <w:r w:rsidR="00937C43" w:rsidRPr="002E5F55">
        <w:t>Guyer</w:t>
      </w:r>
      <w:proofErr w:type="spellEnd"/>
      <w:r w:rsidR="00937C43" w:rsidRPr="002E5F55">
        <w:t>,</w:t>
      </w:r>
      <w:r>
        <w:t xml:space="preserve"> and</w:t>
      </w:r>
      <w:r w:rsidR="00937C43" w:rsidRPr="002E5F55">
        <w:t xml:space="preserve"> </w:t>
      </w:r>
      <w:r>
        <w:t xml:space="preserve">Susana </w:t>
      </w:r>
      <w:r w:rsidR="00937C43" w:rsidRPr="002E5F55">
        <w:t>Lerner</w:t>
      </w:r>
      <w:r>
        <w:t>.</w:t>
      </w:r>
      <w:proofErr w:type="gramEnd"/>
      <w:r>
        <w:t xml:space="preserve"> 2000</w:t>
      </w:r>
      <w:r w:rsidR="00937C43" w:rsidRPr="002E5F55">
        <w:t xml:space="preserve">. </w:t>
      </w:r>
      <w:r>
        <w:t>“</w:t>
      </w:r>
      <w:r w:rsidR="00937C43" w:rsidRPr="00937C43">
        <w:t>Introduction.</w:t>
      </w:r>
      <w:r>
        <w:t>”</w:t>
      </w:r>
      <w:r w:rsidR="00937C43" w:rsidRPr="00937C43">
        <w:t xml:space="preserve"> </w:t>
      </w:r>
      <w:proofErr w:type="gramStart"/>
      <w:r w:rsidRPr="006B2690">
        <w:t xml:space="preserve">In </w:t>
      </w:r>
      <w:r w:rsidRPr="00937C43">
        <w:rPr>
          <w:i/>
          <w:iCs/>
        </w:rPr>
        <w:t xml:space="preserve">Fertility and </w:t>
      </w:r>
      <w:r>
        <w:rPr>
          <w:i/>
          <w:iCs/>
        </w:rPr>
        <w:t>the M</w:t>
      </w:r>
      <w:r w:rsidRPr="00937C43">
        <w:rPr>
          <w:i/>
          <w:iCs/>
        </w:rPr>
        <w:t xml:space="preserve">ale </w:t>
      </w:r>
      <w:r>
        <w:rPr>
          <w:i/>
          <w:iCs/>
        </w:rPr>
        <w:t>L</w:t>
      </w:r>
      <w:r w:rsidRPr="00937C43">
        <w:rPr>
          <w:i/>
          <w:iCs/>
        </w:rPr>
        <w:t xml:space="preserve">ife-cycle in the </w:t>
      </w:r>
      <w:r>
        <w:rPr>
          <w:i/>
          <w:iCs/>
        </w:rPr>
        <w:t>E</w:t>
      </w:r>
      <w:r w:rsidRPr="00937C43">
        <w:rPr>
          <w:i/>
          <w:iCs/>
        </w:rPr>
        <w:t xml:space="preserve">ra of </w:t>
      </w:r>
      <w:r>
        <w:rPr>
          <w:i/>
          <w:iCs/>
        </w:rPr>
        <w:t>F</w:t>
      </w:r>
      <w:r w:rsidRPr="00937C43">
        <w:rPr>
          <w:i/>
          <w:iCs/>
        </w:rPr>
        <w:t xml:space="preserve">ertility </w:t>
      </w:r>
      <w:r>
        <w:rPr>
          <w:i/>
          <w:iCs/>
        </w:rPr>
        <w:t>D</w:t>
      </w:r>
      <w:r w:rsidRPr="00937C43">
        <w:rPr>
          <w:i/>
          <w:iCs/>
        </w:rPr>
        <w:t>ecline</w:t>
      </w:r>
      <w:r>
        <w:rPr>
          <w:i/>
          <w:iCs/>
        </w:rPr>
        <w:t xml:space="preserve">, </w:t>
      </w:r>
      <w:r w:rsidRPr="00E247AA">
        <w:rPr>
          <w:iCs/>
        </w:rPr>
        <w:t>edited by</w:t>
      </w:r>
      <w:r w:rsidRPr="00937C43">
        <w:t xml:space="preserve"> </w:t>
      </w:r>
      <w:r>
        <w:t>Caroline</w:t>
      </w:r>
      <w:r w:rsidRPr="006B2690">
        <w:t xml:space="preserve"> Bledsoe, </w:t>
      </w:r>
      <w:r>
        <w:t>Susana</w:t>
      </w:r>
      <w:r w:rsidRPr="006B2690">
        <w:t xml:space="preserve"> Lerne</w:t>
      </w:r>
      <w:r>
        <w:t>r, and Jane</w:t>
      </w:r>
      <w:r w:rsidRPr="00937C43">
        <w:t xml:space="preserve"> </w:t>
      </w:r>
      <w:proofErr w:type="spellStart"/>
      <w:r w:rsidRPr="00937C43">
        <w:t>Guyer</w:t>
      </w:r>
      <w:proofErr w:type="spellEnd"/>
      <w:r w:rsidRPr="00937C43">
        <w:t xml:space="preserve">, </w:t>
      </w:r>
      <w:r>
        <w:t>1–26</w:t>
      </w:r>
      <w:r w:rsidR="00821C1C">
        <w:t>.</w:t>
      </w:r>
      <w:proofErr w:type="gramEnd"/>
      <w:r w:rsidRPr="00937C43">
        <w:t xml:space="preserve"> </w:t>
      </w:r>
      <w:r w:rsidRPr="00C02221">
        <w:rPr>
          <w:lang w:val="fr-BE"/>
        </w:rPr>
        <w:t xml:space="preserve">New York: Oxford </w:t>
      </w:r>
      <w:proofErr w:type="spellStart"/>
      <w:r w:rsidRPr="00C02221">
        <w:rPr>
          <w:lang w:val="fr-BE"/>
        </w:rPr>
        <w:t>University</w:t>
      </w:r>
      <w:proofErr w:type="spellEnd"/>
      <w:r w:rsidRPr="00C02221">
        <w:rPr>
          <w:lang w:val="fr-BE"/>
        </w:rPr>
        <w:t xml:space="preserve"> </w:t>
      </w:r>
      <w:proofErr w:type="spellStart"/>
      <w:r w:rsidRPr="00C02221">
        <w:rPr>
          <w:lang w:val="fr-BE"/>
        </w:rPr>
        <w:t>Press</w:t>
      </w:r>
      <w:proofErr w:type="spellEnd"/>
      <w:r w:rsidRPr="00C02221">
        <w:rPr>
          <w:lang w:val="fr-BE"/>
        </w:rPr>
        <w:t>.</w:t>
      </w:r>
    </w:p>
    <w:p w14:paraId="6D4BB86F" w14:textId="069A3E3E" w:rsidR="00937C43" w:rsidRPr="00821C1C" w:rsidRDefault="001945A3" w:rsidP="00A40EEF">
      <w:pPr>
        <w:pStyle w:val="Bibliographie"/>
      </w:pPr>
      <w:proofErr w:type="spellStart"/>
      <w:r>
        <w:rPr>
          <w:lang w:val="fr-BE"/>
        </w:rPr>
        <w:t>Brouard</w:t>
      </w:r>
      <w:proofErr w:type="spellEnd"/>
      <w:r>
        <w:rPr>
          <w:lang w:val="fr-BE"/>
        </w:rPr>
        <w:t>, Nicolas. 1977</w:t>
      </w:r>
      <w:r w:rsidR="00937C43" w:rsidRPr="00EA5331">
        <w:rPr>
          <w:lang w:val="fr-BE"/>
        </w:rPr>
        <w:t xml:space="preserve">. </w:t>
      </w:r>
      <w:r w:rsidRPr="001945A3">
        <w:rPr>
          <w:lang w:val="fr-BE"/>
        </w:rPr>
        <w:t>“</w:t>
      </w:r>
      <w:r w:rsidR="00937C43" w:rsidRPr="00EA5331">
        <w:rPr>
          <w:lang w:val="fr-BE"/>
        </w:rPr>
        <w:t>Evolution de la fécondité masculine depuis le début du siècle.</w:t>
      </w:r>
      <w:r w:rsidRPr="001945A3">
        <w:rPr>
          <w:lang w:val="fr-BE"/>
        </w:rPr>
        <w:t>”</w:t>
      </w:r>
      <w:r w:rsidR="00937C43" w:rsidRPr="00EA5331">
        <w:rPr>
          <w:lang w:val="fr-BE"/>
        </w:rPr>
        <w:t xml:space="preserve"> </w:t>
      </w:r>
      <w:r w:rsidR="00937C43" w:rsidRPr="00821C1C">
        <w:rPr>
          <w:i/>
          <w:iCs/>
        </w:rPr>
        <w:t>Population</w:t>
      </w:r>
      <w:r w:rsidR="00937C43" w:rsidRPr="00821C1C">
        <w:t xml:space="preserve"> </w:t>
      </w:r>
      <w:r w:rsidR="00937C43" w:rsidRPr="00821C1C">
        <w:rPr>
          <w:iCs/>
        </w:rPr>
        <w:t>32</w:t>
      </w:r>
      <w:r w:rsidR="00AD645C" w:rsidRPr="00821C1C">
        <w:t>(</w:t>
      </w:r>
      <w:r>
        <w:t>6</w:t>
      </w:r>
      <w:r w:rsidR="00AD645C">
        <w:t>):</w:t>
      </w:r>
      <w:r w:rsidR="00AD645C" w:rsidRPr="00821C1C">
        <w:t xml:space="preserve"> 1123–1158.</w:t>
      </w:r>
    </w:p>
    <w:p w14:paraId="0CEF604E" w14:textId="4FE42692" w:rsidR="00937C43" w:rsidRPr="00821C1C" w:rsidRDefault="00821C1C" w:rsidP="00A40EEF">
      <w:pPr>
        <w:pStyle w:val="Bibliographie"/>
      </w:pPr>
      <w:r>
        <w:t>Coleman, David. 2000</w:t>
      </w:r>
      <w:r w:rsidR="00937C43" w:rsidRPr="00937C43">
        <w:t xml:space="preserve">. </w:t>
      </w:r>
      <w:r>
        <w:t>“</w:t>
      </w:r>
      <w:r w:rsidR="00937C43" w:rsidRPr="00937C43">
        <w:t xml:space="preserve">Male fertility trends in industrial countries: </w:t>
      </w:r>
      <w:r w:rsidR="0053728F">
        <w:t>T</w:t>
      </w:r>
      <w:r w:rsidR="00937C43" w:rsidRPr="00937C43">
        <w:t>heories in search of some evidence.</w:t>
      </w:r>
      <w:r>
        <w:t>”</w:t>
      </w:r>
      <w:r w:rsidR="00937C43" w:rsidRPr="00937C43">
        <w:t xml:space="preserve"> </w:t>
      </w:r>
      <w:proofErr w:type="gramStart"/>
      <w:r w:rsidRPr="006B2690">
        <w:t xml:space="preserve">In </w:t>
      </w:r>
      <w:r w:rsidRPr="00937C43">
        <w:rPr>
          <w:i/>
          <w:iCs/>
        </w:rPr>
        <w:t xml:space="preserve">Fertility and </w:t>
      </w:r>
      <w:r>
        <w:rPr>
          <w:i/>
          <w:iCs/>
        </w:rPr>
        <w:t>the M</w:t>
      </w:r>
      <w:r w:rsidRPr="00937C43">
        <w:rPr>
          <w:i/>
          <w:iCs/>
        </w:rPr>
        <w:t xml:space="preserve">ale </w:t>
      </w:r>
      <w:r>
        <w:rPr>
          <w:i/>
          <w:iCs/>
        </w:rPr>
        <w:t>L</w:t>
      </w:r>
      <w:r w:rsidRPr="00937C43">
        <w:rPr>
          <w:i/>
          <w:iCs/>
        </w:rPr>
        <w:t xml:space="preserve">ife-cycle in the </w:t>
      </w:r>
      <w:r>
        <w:rPr>
          <w:i/>
          <w:iCs/>
        </w:rPr>
        <w:t>E</w:t>
      </w:r>
      <w:r w:rsidRPr="00937C43">
        <w:rPr>
          <w:i/>
          <w:iCs/>
        </w:rPr>
        <w:t xml:space="preserve">ra of </w:t>
      </w:r>
      <w:r>
        <w:rPr>
          <w:i/>
          <w:iCs/>
        </w:rPr>
        <w:t>F</w:t>
      </w:r>
      <w:r w:rsidRPr="00937C43">
        <w:rPr>
          <w:i/>
          <w:iCs/>
        </w:rPr>
        <w:t xml:space="preserve">ertility </w:t>
      </w:r>
      <w:r>
        <w:rPr>
          <w:i/>
          <w:iCs/>
        </w:rPr>
        <w:t>D</w:t>
      </w:r>
      <w:r w:rsidRPr="00937C43">
        <w:rPr>
          <w:i/>
          <w:iCs/>
        </w:rPr>
        <w:t>ecline</w:t>
      </w:r>
      <w:r>
        <w:rPr>
          <w:i/>
          <w:iCs/>
        </w:rPr>
        <w:t xml:space="preserve">, </w:t>
      </w:r>
      <w:r w:rsidRPr="00E247AA">
        <w:rPr>
          <w:iCs/>
        </w:rPr>
        <w:t>edited by</w:t>
      </w:r>
      <w:r w:rsidRPr="00937C43">
        <w:t xml:space="preserve"> </w:t>
      </w:r>
      <w:r>
        <w:t>Caroline</w:t>
      </w:r>
      <w:r w:rsidRPr="006B2690">
        <w:t xml:space="preserve"> Bledsoe, </w:t>
      </w:r>
      <w:r>
        <w:t>Susana</w:t>
      </w:r>
      <w:r w:rsidRPr="006B2690">
        <w:t xml:space="preserve"> Lerne</w:t>
      </w:r>
      <w:r>
        <w:t>r, and Jane</w:t>
      </w:r>
      <w:r w:rsidRPr="00937C43">
        <w:t xml:space="preserve"> </w:t>
      </w:r>
      <w:proofErr w:type="spellStart"/>
      <w:r w:rsidRPr="00937C43">
        <w:t>Guyer</w:t>
      </w:r>
      <w:proofErr w:type="spellEnd"/>
      <w:r w:rsidRPr="00937C43">
        <w:t xml:space="preserve">, </w:t>
      </w:r>
      <w:r>
        <w:t>29–60.</w:t>
      </w:r>
      <w:proofErr w:type="gramEnd"/>
      <w:r w:rsidRPr="00937C43">
        <w:t xml:space="preserve"> New York: Oxford University Press.</w:t>
      </w:r>
    </w:p>
    <w:p w14:paraId="14C88603" w14:textId="650AFAE9" w:rsidR="00937C43" w:rsidRPr="00C02221" w:rsidRDefault="0091748F" w:rsidP="00A40EEF">
      <w:pPr>
        <w:pStyle w:val="Bibliographie"/>
        <w:rPr>
          <w:lang w:val="fr-BE"/>
        </w:rPr>
      </w:pPr>
      <w:proofErr w:type="spellStart"/>
      <w:r>
        <w:t>Dharmalingam</w:t>
      </w:r>
      <w:proofErr w:type="spellEnd"/>
      <w:r>
        <w:t xml:space="preserve">, </w:t>
      </w:r>
      <w:proofErr w:type="spellStart"/>
      <w:r w:rsidRPr="0091748F">
        <w:t>Arunachalam</w:t>
      </w:r>
      <w:proofErr w:type="spellEnd"/>
      <w:r>
        <w:t>. 2004</w:t>
      </w:r>
      <w:r w:rsidR="00937C43" w:rsidRPr="00937C43">
        <w:t xml:space="preserve">. </w:t>
      </w:r>
      <w:r>
        <w:t>“</w:t>
      </w:r>
      <w:proofErr w:type="spellStart"/>
      <w:r w:rsidR="00937C43" w:rsidRPr="00937C43">
        <w:t>Reproductivity</w:t>
      </w:r>
      <w:proofErr w:type="spellEnd"/>
      <w:r w:rsidR="00937C43" w:rsidRPr="00937C43">
        <w:t>.</w:t>
      </w:r>
      <w:r>
        <w:t>”</w:t>
      </w:r>
      <w:r w:rsidR="00937C43" w:rsidRPr="00937C43">
        <w:t xml:space="preserve"> </w:t>
      </w:r>
      <w:proofErr w:type="gramStart"/>
      <w:r w:rsidR="00937C43" w:rsidRPr="00937C43">
        <w:t xml:space="preserve">In </w:t>
      </w:r>
      <w:r w:rsidR="00937C43" w:rsidRPr="00937C43">
        <w:rPr>
          <w:i/>
          <w:iCs/>
        </w:rPr>
        <w:t xml:space="preserve">The </w:t>
      </w:r>
      <w:r w:rsidR="0053728F">
        <w:rPr>
          <w:i/>
          <w:iCs/>
        </w:rPr>
        <w:t>M</w:t>
      </w:r>
      <w:r w:rsidR="00937C43" w:rsidRPr="00937C43">
        <w:rPr>
          <w:i/>
          <w:iCs/>
        </w:rPr>
        <w:t xml:space="preserve">ethods and </w:t>
      </w:r>
      <w:r w:rsidR="0053728F">
        <w:rPr>
          <w:i/>
          <w:iCs/>
        </w:rPr>
        <w:t>M</w:t>
      </w:r>
      <w:r w:rsidR="00937C43" w:rsidRPr="00937C43">
        <w:rPr>
          <w:i/>
          <w:iCs/>
        </w:rPr>
        <w:t xml:space="preserve">aterials of </w:t>
      </w:r>
      <w:r w:rsidR="0053728F">
        <w:rPr>
          <w:i/>
          <w:iCs/>
        </w:rPr>
        <w:t>D</w:t>
      </w:r>
      <w:r w:rsidR="00937C43" w:rsidRPr="00937C43">
        <w:rPr>
          <w:i/>
          <w:iCs/>
        </w:rPr>
        <w:t>emography</w:t>
      </w:r>
      <w:r>
        <w:rPr>
          <w:i/>
          <w:iCs/>
        </w:rPr>
        <w:t xml:space="preserve">, </w:t>
      </w:r>
      <w:r>
        <w:rPr>
          <w:iCs/>
        </w:rPr>
        <w:t xml:space="preserve">edited by </w:t>
      </w:r>
      <w:r w:rsidRPr="00937C43">
        <w:t xml:space="preserve">Jacob Siegel </w:t>
      </w:r>
      <w:r>
        <w:t>and David</w:t>
      </w:r>
      <w:r w:rsidRPr="00937C43">
        <w:t xml:space="preserve"> Swanson</w:t>
      </w:r>
      <w:r>
        <w:t>,</w:t>
      </w:r>
      <w:r w:rsidR="00937C43" w:rsidRPr="00937C43">
        <w:t xml:space="preserve"> </w:t>
      </w:r>
      <w:r>
        <w:t>429–54</w:t>
      </w:r>
      <w:r w:rsidR="00937C43" w:rsidRPr="00937C43">
        <w:t>.</w:t>
      </w:r>
      <w:proofErr w:type="gramEnd"/>
      <w:r w:rsidR="00937C43" w:rsidRPr="00937C43">
        <w:t xml:space="preserve"> </w:t>
      </w:r>
      <w:r w:rsidR="00937C43" w:rsidRPr="00C02221">
        <w:rPr>
          <w:lang w:val="fr-BE"/>
        </w:rPr>
        <w:t>New York: Elsevier.</w:t>
      </w:r>
    </w:p>
    <w:p w14:paraId="6BC9DB28" w14:textId="5D00DD65" w:rsidR="00937C43" w:rsidRPr="0091748F" w:rsidRDefault="0091748F" w:rsidP="00A40EEF">
      <w:pPr>
        <w:pStyle w:val="Bibliographie"/>
        <w:rPr>
          <w:lang w:val="fr-BE"/>
        </w:rPr>
      </w:pPr>
      <w:proofErr w:type="spellStart"/>
      <w:r w:rsidRPr="0091748F">
        <w:rPr>
          <w:lang w:val="fr-BE"/>
        </w:rPr>
        <w:t>Donadjé</w:t>
      </w:r>
      <w:proofErr w:type="spellEnd"/>
      <w:r w:rsidRPr="0091748F">
        <w:rPr>
          <w:lang w:val="fr-BE"/>
        </w:rPr>
        <w:t>, Florentin.</w:t>
      </w:r>
      <w:r>
        <w:rPr>
          <w:lang w:val="fr-BE"/>
        </w:rPr>
        <w:t xml:space="preserve"> </w:t>
      </w:r>
      <w:r w:rsidR="00937C43" w:rsidRPr="0091748F">
        <w:rPr>
          <w:lang w:val="fr-BE"/>
        </w:rPr>
        <w:t>1992</w:t>
      </w:r>
      <w:r w:rsidR="00937C43" w:rsidRPr="00EA5331">
        <w:rPr>
          <w:lang w:val="fr-BE"/>
        </w:rPr>
        <w:t xml:space="preserve">. </w:t>
      </w:r>
      <w:r w:rsidRPr="0091748F">
        <w:rPr>
          <w:lang w:val="fr-BE"/>
        </w:rPr>
        <w:t>“</w:t>
      </w:r>
      <w:r w:rsidR="00937C43" w:rsidRPr="00EA5331">
        <w:rPr>
          <w:lang w:val="fr-BE"/>
        </w:rPr>
        <w:t>Nuptialité et fécondité des hommes au Sud-Bénin</w:t>
      </w:r>
      <w:r w:rsidR="001C3436" w:rsidRPr="00EA5331">
        <w:rPr>
          <w:lang w:val="fr-BE"/>
        </w:rPr>
        <w:t xml:space="preserve"> </w:t>
      </w:r>
      <w:r w:rsidR="00937C43" w:rsidRPr="00EA5331">
        <w:rPr>
          <w:lang w:val="fr-BE"/>
        </w:rPr>
        <w:t>: faits et opinions.</w:t>
      </w:r>
      <w:r w:rsidRPr="0091748F">
        <w:rPr>
          <w:lang w:val="fr-BE"/>
        </w:rPr>
        <w:t>”</w:t>
      </w:r>
      <w:r w:rsidR="00937C43" w:rsidRPr="00EA5331">
        <w:rPr>
          <w:lang w:val="fr-BE"/>
        </w:rPr>
        <w:t xml:space="preserve"> </w:t>
      </w:r>
      <w:r w:rsidR="00937C43" w:rsidRPr="0091748F">
        <w:rPr>
          <w:i/>
          <w:iCs/>
          <w:lang w:val="fr-BE"/>
        </w:rPr>
        <w:t>Cahiers Québécois de Démographie</w:t>
      </w:r>
      <w:r w:rsidR="00937C43" w:rsidRPr="0091748F">
        <w:rPr>
          <w:lang w:val="fr-BE"/>
        </w:rPr>
        <w:t xml:space="preserve"> </w:t>
      </w:r>
      <w:r w:rsidR="00937C43" w:rsidRPr="0091748F">
        <w:rPr>
          <w:iCs/>
          <w:lang w:val="fr-BE"/>
        </w:rPr>
        <w:t>21</w:t>
      </w:r>
      <w:r>
        <w:rPr>
          <w:lang w:val="fr-BE"/>
        </w:rPr>
        <w:t>(1):</w:t>
      </w:r>
      <w:r w:rsidR="00937C43" w:rsidRPr="0091748F">
        <w:rPr>
          <w:lang w:val="fr-BE"/>
        </w:rPr>
        <w:t xml:space="preserve"> 45–65.</w:t>
      </w:r>
    </w:p>
    <w:p w14:paraId="39E984F8" w14:textId="3692BC29" w:rsidR="00937C43" w:rsidRPr="00897D81" w:rsidRDefault="003645D3" w:rsidP="00A40EEF">
      <w:pPr>
        <w:pStyle w:val="Bibliographie"/>
      </w:pPr>
      <w:proofErr w:type="spellStart"/>
      <w:proofErr w:type="gramStart"/>
      <w:r w:rsidRPr="003645D3">
        <w:lastRenderedPageBreak/>
        <w:t>Dudel</w:t>
      </w:r>
      <w:proofErr w:type="spellEnd"/>
      <w:r w:rsidRPr="003645D3">
        <w:t xml:space="preserve">, Christian and Sebastian </w:t>
      </w:r>
      <w:proofErr w:type="spellStart"/>
      <w:r w:rsidR="00937C43" w:rsidRPr="003645D3">
        <w:t>Klüsener</w:t>
      </w:r>
      <w:proofErr w:type="spellEnd"/>
      <w:r w:rsidR="00937C43" w:rsidRPr="003645D3">
        <w:t>.</w:t>
      </w:r>
      <w:proofErr w:type="gramEnd"/>
      <w:r w:rsidR="00937C43" w:rsidRPr="003645D3">
        <w:t xml:space="preserve"> </w:t>
      </w:r>
      <w:r w:rsidRPr="00796A90">
        <w:t>2016</w:t>
      </w:r>
      <w:r w:rsidR="00937C43" w:rsidRPr="00796A90">
        <w:t xml:space="preserve">. </w:t>
      </w:r>
      <w:r w:rsidR="00796A90">
        <w:t>“</w:t>
      </w:r>
      <w:r w:rsidR="00937C43" w:rsidRPr="00937C43">
        <w:t>Estimating male fertility in eastern and western Germany since 1991: A new lowest low?</w:t>
      </w:r>
      <w:r w:rsidR="00796A90" w:rsidRPr="00796A90">
        <w:t>”</w:t>
      </w:r>
      <w:r w:rsidR="00937C43" w:rsidRPr="00937C43">
        <w:t xml:space="preserve"> </w:t>
      </w:r>
      <w:r w:rsidR="00937C43" w:rsidRPr="00937C43">
        <w:rPr>
          <w:i/>
          <w:iCs/>
        </w:rPr>
        <w:t>Demographic Research</w:t>
      </w:r>
      <w:r w:rsidR="00937C43" w:rsidRPr="00937C43">
        <w:t xml:space="preserve"> </w:t>
      </w:r>
      <w:r w:rsidR="00937C43" w:rsidRPr="00796A90">
        <w:rPr>
          <w:iCs/>
        </w:rPr>
        <w:t>35</w:t>
      </w:r>
      <w:r w:rsidR="00796A90">
        <w:t>(53):</w:t>
      </w:r>
      <w:r w:rsidR="00937C43" w:rsidRPr="00937C43">
        <w:t xml:space="preserve"> </w:t>
      </w:r>
      <w:r w:rsidR="00937C43" w:rsidRPr="00897D81">
        <w:t xml:space="preserve">1549–60. </w:t>
      </w:r>
    </w:p>
    <w:p w14:paraId="4E9EE640" w14:textId="331B4156" w:rsidR="00937C43" w:rsidRDefault="00796A90" w:rsidP="00A40EEF">
      <w:pPr>
        <w:pStyle w:val="Bibliographie"/>
      </w:pPr>
      <w:proofErr w:type="spellStart"/>
      <w:proofErr w:type="gramStart"/>
      <w:r w:rsidRPr="00897D81">
        <w:t>Dudel</w:t>
      </w:r>
      <w:proofErr w:type="spellEnd"/>
      <w:r w:rsidRPr="00897D81">
        <w:t xml:space="preserve">, Christian and Sebastian </w:t>
      </w:r>
      <w:proofErr w:type="spellStart"/>
      <w:r w:rsidRPr="00897D81">
        <w:t>Klüsener</w:t>
      </w:r>
      <w:proofErr w:type="spellEnd"/>
      <w:r w:rsidRPr="00897D81">
        <w:t>.</w:t>
      </w:r>
      <w:proofErr w:type="gramEnd"/>
      <w:r w:rsidRPr="00897D81">
        <w:t xml:space="preserve"> </w:t>
      </w:r>
      <w:proofErr w:type="gramStart"/>
      <w:r w:rsidR="00937C43" w:rsidRPr="00897D81">
        <w:t>2018</w:t>
      </w:r>
      <w:r w:rsidR="00142A90" w:rsidRPr="00897D81">
        <w:t>a</w:t>
      </w:r>
      <w:r w:rsidR="00937C43" w:rsidRPr="00897D81">
        <w:t xml:space="preserve">. </w:t>
      </w:r>
      <w:r w:rsidRPr="00897D81">
        <w:t>“</w:t>
      </w:r>
      <w:r w:rsidR="00937C43" w:rsidRPr="00897D81">
        <w:t>A comparative perspective on male fertility in 14 high-income countries</w:t>
      </w:r>
      <w:r w:rsidRPr="00897D81">
        <w:t>.”</w:t>
      </w:r>
      <w:proofErr w:type="gramEnd"/>
      <w:r w:rsidR="00937C43" w:rsidRPr="00897D81">
        <w:t xml:space="preserve"> </w:t>
      </w:r>
      <w:r w:rsidRPr="00897D81">
        <w:t xml:space="preserve">Poster </w:t>
      </w:r>
      <w:r w:rsidR="00897D81" w:rsidRPr="00897D81">
        <w:t>p</w:t>
      </w:r>
      <w:r w:rsidR="00937C43" w:rsidRPr="00897D81">
        <w:t>resented at the Meeting of the Population Association of America, Denver.</w:t>
      </w:r>
    </w:p>
    <w:p w14:paraId="40F3FC04" w14:textId="6B6B685B" w:rsidR="00142A90" w:rsidRPr="00142A90" w:rsidRDefault="00C41541" w:rsidP="00A40EEF">
      <w:pPr>
        <w:pStyle w:val="Bibliographie"/>
        <w:rPr>
          <w:i/>
        </w:rPr>
      </w:pPr>
      <w:proofErr w:type="spellStart"/>
      <w:proofErr w:type="gramStart"/>
      <w:r w:rsidRPr="00C41541">
        <w:t>Dudel</w:t>
      </w:r>
      <w:proofErr w:type="spellEnd"/>
      <w:r w:rsidRPr="00C41541">
        <w:t xml:space="preserve">, Christian and Sebastian </w:t>
      </w:r>
      <w:proofErr w:type="spellStart"/>
      <w:r w:rsidRPr="00C41541">
        <w:t>Klüsener</w:t>
      </w:r>
      <w:proofErr w:type="spellEnd"/>
      <w:r w:rsidRPr="00C41541">
        <w:t>.</w:t>
      </w:r>
      <w:proofErr w:type="gramEnd"/>
      <w:r w:rsidRPr="00C41541">
        <w:t xml:space="preserve"> </w:t>
      </w:r>
      <w:proofErr w:type="gramStart"/>
      <w:r w:rsidRPr="00C41541">
        <w:t>2018b</w:t>
      </w:r>
      <w:r w:rsidR="00142A90" w:rsidRPr="00C41541">
        <w:t xml:space="preserve">. </w:t>
      </w:r>
      <w:r w:rsidRPr="00C41541">
        <w:t>“</w:t>
      </w:r>
      <w:r w:rsidR="00142A90" w:rsidRPr="00C41541">
        <w:t>Estimating men</w:t>
      </w:r>
      <w:r w:rsidR="00085F3B" w:rsidRPr="00C41541">
        <w:t>’</w:t>
      </w:r>
      <w:r w:rsidR="00142A90" w:rsidRPr="00C41541">
        <w:t>s fertility from vital registration data with missing values</w:t>
      </w:r>
      <w:r w:rsidRPr="00C41541">
        <w:t>”</w:t>
      </w:r>
      <w:r w:rsidR="0053728F" w:rsidRPr="00C41541">
        <w:t>.</w:t>
      </w:r>
      <w:proofErr w:type="gramEnd"/>
      <w:r w:rsidR="0053728F" w:rsidRPr="00C41541">
        <w:t xml:space="preserve"> </w:t>
      </w:r>
      <w:r w:rsidR="00142A90" w:rsidRPr="00C41541">
        <w:rPr>
          <w:i/>
        </w:rPr>
        <w:t>Population Studies,</w:t>
      </w:r>
      <w:r w:rsidRPr="00C41541">
        <w:t xml:space="preserve"> DOI: 10.1080/00324728.2018.1481992.</w:t>
      </w:r>
      <w:r w:rsidR="00142A90">
        <w:rPr>
          <w:i/>
        </w:rPr>
        <w:t xml:space="preserve"> </w:t>
      </w:r>
    </w:p>
    <w:p w14:paraId="6B180C54" w14:textId="751164C4" w:rsidR="00937C43" w:rsidRPr="00937C43" w:rsidRDefault="00C41541" w:rsidP="00A40EEF">
      <w:pPr>
        <w:pStyle w:val="Bibliographie"/>
      </w:pPr>
      <w:r>
        <w:t>Estee, Sharon. 2004</w:t>
      </w:r>
      <w:r w:rsidR="00937C43" w:rsidRPr="00937C43">
        <w:t xml:space="preserve">. </w:t>
      </w:r>
      <w:r>
        <w:t>“</w:t>
      </w:r>
      <w:r w:rsidR="00937C43" w:rsidRPr="00937C43">
        <w:t>Natality – Measures based on vital statistics.</w:t>
      </w:r>
      <w:r>
        <w:t>”</w:t>
      </w:r>
      <w:r w:rsidR="00937C43" w:rsidRPr="00937C43">
        <w:t xml:space="preserve"> </w:t>
      </w:r>
      <w:proofErr w:type="gramStart"/>
      <w:r w:rsidR="00550FBE" w:rsidRPr="00937C43">
        <w:t xml:space="preserve">In </w:t>
      </w:r>
      <w:r w:rsidR="00550FBE" w:rsidRPr="00937C43">
        <w:rPr>
          <w:i/>
          <w:iCs/>
        </w:rPr>
        <w:t xml:space="preserve">The </w:t>
      </w:r>
      <w:r w:rsidR="00550FBE">
        <w:rPr>
          <w:i/>
          <w:iCs/>
        </w:rPr>
        <w:t>M</w:t>
      </w:r>
      <w:r w:rsidR="00550FBE" w:rsidRPr="00937C43">
        <w:rPr>
          <w:i/>
          <w:iCs/>
        </w:rPr>
        <w:t xml:space="preserve">ethods and </w:t>
      </w:r>
      <w:r w:rsidR="00550FBE">
        <w:rPr>
          <w:i/>
          <w:iCs/>
        </w:rPr>
        <w:t>M</w:t>
      </w:r>
      <w:r w:rsidR="00550FBE" w:rsidRPr="00937C43">
        <w:rPr>
          <w:i/>
          <w:iCs/>
        </w:rPr>
        <w:t xml:space="preserve">aterials of </w:t>
      </w:r>
      <w:r w:rsidR="00550FBE">
        <w:rPr>
          <w:i/>
          <w:iCs/>
        </w:rPr>
        <w:t>D</w:t>
      </w:r>
      <w:r w:rsidR="00550FBE" w:rsidRPr="00937C43">
        <w:rPr>
          <w:i/>
          <w:iCs/>
        </w:rPr>
        <w:t>emography</w:t>
      </w:r>
      <w:r w:rsidR="00550FBE">
        <w:rPr>
          <w:i/>
          <w:iCs/>
        </w:rPr>
        <w:t xml:space="preserve">, </w:t>
      </w:r>
      <w:r w:rsidR="00550FBE">
        <w:rPr>
          <w:iCs/>
        </w:rPr>
        <w:t xml:space="preserve">edited by </w:t>
      </w:r>
      <w:r w:rsidR="00550FBE" w:rsidRPr="00937C43">
        <w:t xml:space="preserve">Jacob Siegel </w:t>
      </w:r>
      <w:r w:rsidR="00550FBE">
        <w:t>and David</w:t>
      </w:r>
      <w:r w:rsidR="00550FBE" w:rsidRPr="00937C43">
        <w:t xml:space="preserve"> Swanson</w:t>
      </w:r>
      <w:r w:rsidR="00550FBE">
        <w:t>,</w:t>
      </w:r>
      <w:r w:rsidR="00550FBE" w:rsidRPr="00937C43">
        <w:t xml:space="preserve"> </w:t>
      </w:r>
      <w:r w:rsidR="00550FBE">
        <w:t>371–405</w:t>
      </w:r>
      <w:r w:rsidR="00550FBE" w:rsidRPr="00937C43">
        <w:t>.</w:t>
      </w:r>
      <w:proofErr w:type="gramEnd"/>
      <w:r w:rsidR="00550FBE" w:rsidRPr="00937C43">
        <w:t xml:space="preserve"> </w:t>
      </w:r>
      <w:r w:rsidR="00550FBE" w:rsidRPr="0091748F">
        <w:t>New York: Elsevier.</w:t>
      </w:r>
    </w:p>
    <w:p w14:paraId="149DDB6B" w14:textId="0BF70C0C" w:rsidR="00937C43" w:rsidRPr="00937C43" w:rsidRDefault="00D44C88" w:rsidP="00A40EEF">
      <w:pPr>
        <w:pStyle w:val="Bibliographie"/>
      </w:pPr>
      <w:proofErr w:type="spellStart"/>
      <w:proofErr w:type="gramStart"/>
      <w:r>
        <w:t>Ezeh</w:t>
      </w:r>
      <w:proofErr w:type="spellEnd"/>
      <w:r>
        <w:t>, Alex</w:t>
      </w:r>
      <w:r w:rsidR="00937C43" w:rsidRPr="00937C43">
        <w:t xml:space="preserve">, </w:t>
      </w:r>
      <w:proofErr w:type="spellStart"/>
      <w:r>
        <w:t>Michka</w:t>
      </w:r>
      <w:proofErr w:type="spellEnd"/>
      <w:r>
        <w:t xml:space="preserve"> </w:t>
      </w:r>
      <w:proofErr w:type="spellStart"/>
      <w:r w:rsidR="00937C43" w:rsidRPr="00937C43">
        <w:t>Seroussi</w:t>
      </w:r>
      <w:proofErr w:type="spellEnd"/>
      <w:r w:rsidR="00937C43" w:rsidRPr="00937C43">
        <w:t xml:space="preserve">, </w:t>
      </w:r>
      <w:r>
        <w:t>and Hendrik Raggers.</w:t>
      </w:r>
      <w:proofErr w:type="gramEnd"/>
      <w:r>
        <w:t xml:space="preserve"> </w:t>
      </w:r>
      <w:r w:rsidR="00937C43" w:rsidRPr="00937C43">
        <w:t>1</w:t>
      </w:r>
      <w:r>
        <w:t>996</w:t>
      </w:r>
      <w:r w:rsidR="00937C43" w:rsidRPr="00937C43">
        <w:t xml:space="preserve">. </w:t>
      </w:r>
      <w:r w:rsidR="00937C43" w:rsidRPr="00937C43">
        <w:rPr>
          <w:i/>
          <w:iCs/>
        </w:rPr>
        <w:t xml:space="preserve">Men’s </w:t>
      </w:r>
      <w:r w:rsidR="00EB7664">
        <w:rPr>
          <w:i/>
          <w:iCs/>
        </w:rPr>
        <w:t>F</w:t>
      </w:r>
      <w:r w:rsidR="00937C43" w:rsidRPr="00937C43">
        <w:rPr>
          <w:i/>
          <w:iCs/>
        </w:rPr>
        <w:t xml:space="preserve">ertility, </w:t>
      </w:r>
      <w:r w:rsidR="00EB7664">
        <w:rPr>
          <w:i/>
          <w:iCs/>
        </w:rPr>
        <w:t>C</w:t>
      </w:r>
      <w:r w:rsidR="00937C43" w:rsidRPr="00937C43">
        <w:rPr>
          <w:i/>
          <w:iCs/>
        </w:rPr>
        <w:t xml:space="preserve">ontraceptive </w:t>
      </w:r>
      <w:r w:rsidR="00EB7664">
        <w:rPr>
          <w:i/>
          <w:iCs/>
        </w:rPr>
        <w:t>U</w:t>
      </w:r>
      <w:r w:rsidR="00937C43" w:rsidRPr="00937C43">
        <w:rPr>
          <w:i/>
          <w:iCs/>
        </w:rPr>
        <w:t xml:space="preserve">se and </w:t>
      </w:r>
      <w:r w:rsidR="00EB7664">
        <w:rPr>
          <w:i/>
          <w:iCs/>
        </w:rPr>
        <w:t>R</w:t>
      </w:r>
      <w:r w:rsidR="00937C43" w:rsidRPr="00937C43">
        <w:rPr>
          <w:i/>
          <w:iCs/>
        </w:rPr>
        <w:t xml:space="preserve">eproductive </w:t>
      </w:r>
      <w:r w:rsidR="00EB7664">
        <w:rPr>
          <w:i/>
          <w:iCs/>
        </w:rPr>
        <w:t>P</w:t>
      </w:r>
      <w:r w:rsidR="00937C43" w:rsidRPr="00937C43">
        <w:rPr>
          <w:i/>
          <w:iCs/>
        </w:rPr>
        <w:t>references</w:t>
      </w:r>
      <w:r w:rsidR="00EB7664">
        <w:rPr>
          <w:iCs/>
        </w:rPr>
        <w:t>.</w:t>
      </w:r>
      <w:r w:rsidR="00937C43" w:rsidRPr="00937C43">
        <w:t xml:space="preserve"> </w:t>
      </w:r>
      <w:proofErr w:type="gramStart"/>
      <w:r w:rsidR="00937C43" w:rsidRPr="00937C43">
        <w:t xml:space="preserve">DHS Comparative </w:t>
      </w:r>
      <w:r w:rsidR="00EB7664">
        <w:t>S</w:t>
      </w:r>
      <w:r w:rsidR="00937C43" w:rsidRPr="00937C43">
        <w:t>tudies</w:t>
      </w:r>
      <w:r w:rsidR="00210C1F">
        <w:t xml:space="preserve"> 18</w:t>
      </w:r>
      <w:r w:rsidR="00937C43" w:rsidRPr="00937C43">
        <w:t>.</w:t>
      </w:r>
      <w:proofErr w:type="gramEnd"/>
      <w:r w:rsidR="00937C43" w:rsidRPr="00937C43">
        <w:t xml:space="preserve"> Calverton: Macro International.</w:t>
      </w:r>
    </w:p>
    <w:p w14:paraId="06F756BD" w14:textId="7E3DE429" w:rsidR="00937C43" w:rsidRPr="00937C43" w:rsidRDefault="00F95652" w:rsidP="00A40EEF">
      <w:pPr>
        <w:pStyle w:val="Bibliographie"/>
      </w:pPr>
      <w:proofErr w:type="gramStart"/>
      <w:r>
        <w:t>Field, Erica</w:t>
      </w:r>
      <w:r w:rsidR="00937C43" w:rsidRPr="00937C43">
        <w:t xml:space="preserve">, </w:t>
      </w:r>
      <w:r>
        <w:t xml:space="preserve">Vera </w:t>
      </w:r>
      <w:proofErr w:type="spellStart"/>
      <w:r w:rsidR="00937C43" w:rsidRPr="00937C43">
        <w:t>Molitor</w:t>
      </w:r>
      <w:proofErr w:type="spellEnd"/>
      <w:r w:rsidR="00937C43" w:rsidRPr="00937C43">
        <w:t xml:space="preserve">, </w:t>
      </w:r>
      <w:r>
        <w:t xml:space="preserve">Alice </w:t>
      </w:r>
      <w:proofErr w:type="spellStart"/>
      <w:r>
        <w:t>Schoonbroodt</w:t>
      </w:r>
      <w:proofErr w:type="spellEnd"/>
      <w:r w:rsidR="00937C43" w:rsidRPr="00937C43">
        <w:t>,</w:t>
      </w:r>
      <w:r>
        <w:t xml:space="preserve"> and </w:t>
      </w:r>
      <w:proofErr w:type="spellStart"/>
      <w:r>
        <w:t>Michèle</w:t>
      </w:r>
      <w:proofErr w:type="spellEnd"/>
      <w:r w:rsidR="00937C43" w:rsidRPr="00937C43">
        <w:t xml:space="preserve"> </w:t>
      </w:r>
      <w:proofErr w:type="spellStart"/>
      <w:r>
        <w:t>Tertilt</w:t>
      </w:r>
      <w:proofErr w:type="spellEnd"/>
      <w:r>
        <w:t>.</w:t>
      </w:r>
      <w:proofErr w:type="gramEnd"/>
      <w:r>
        <w:t xml:space="preserve"> 2016</w:t>
      </w:r>
      <w:r w:rsidR="00937C43" w:rsidRPr="00937C43">
        <w:t xml:space="preserve">. </w:t>
      </w:r>
      <w:r>
        <w:t>“</w:t>
      </w:r>
      <w:r w:rsidR="00937C43" w:rsidRPr="00937C43">
        <w:t>Gender gaps in completed fertility.</w:t>
      </w:r>
      <w:r>
        <w:t>”</w:t>
      </w:r>
      <w:r w:rsidR="00937C43" w:rsidRPr="00937C43">
        <w:t xml:space="preserve"> </w:t>
      </w:r>
      <w:r w:rsidR="00937C43" w:rsidRPr="00937C43">
        <w:rPr>
          <w:i/>
          <w:iCs/>
        </w:rPr>
        <w:t>Journal of Demographic Economics</w:t>
      </w:r>
      <w:r w:rsidR="00937C43" w:rsidRPr="00937C43">
        <w:t xml:space="preserve"> </w:t>
      </w:r>
      <w:r w:rsidR="00937C43" w:rsidRPr="00F95652">
        <w:rPr>
          <w:iCs/>
        </w:rPr>
        <w:t>82</w:t>
      </w:r>
      <w:r>
        <w:t>(2):</w:t>
      </w:r>
      <w:r w:rsidR="00210C1F">
        <w:t xml:space="preserve"> 167–206.</w:t>
      </w:r>
    </w:p>
    <w:p w14:paraId="59C75358" w14:textId="013E6B80" w:rsidR="00937C43" w:rsidRPr="00937C43" w:rsidRDefault="00261C0F" w:rsidP="00A40EEF">
      <w:pPr>
        <w:pStyle w:val="Bibliographie"/>
      </w:pPr>
      <w:proofErr w:type="spellStart"/>
      <w:proofErr w:type="gramStart"/>
      <w:r w:rsidRPr="00261C0F">
        <w:t>Goldscheider</w:t>
      </w:r>
      <w:proofErr w:type="spellEnd"/>
      <w:r w:rsidRPr="00261C0F">
        <w:t>, Frances and</w:t>
      </w:r>
      <w:r w:rsidR="00937C43" w:rsidRPr="00261C0F">
        <w:t xml:space="preserve"> </w:t>
      </w:r>
      <w:r>
        <w:t xml:space="preserve">Gayle </w:t>
      </w:r>
      <w:r w:rsidR="00937C43" w:rsidRPr="00261C0F">
        <w:t>Kaufman.</w:t>
      </w:r>
      <w:proofErr w:type="gramEnd"/>
      <w:r w:rsidR="00937C43" w:rsidRPr="00261C0F">
        <w:t xml:space="preserve"> </w:t>
      </w:r>
      <w:r>
        <w:t>1996</w:t>
      </w:r>
      <w:r w:rsidR="00937C43" w:rsidRPr="00261C0F">
        <w:t xml:space="preserve">. </w:t>
      </w:r>
      <w:r>
        <w:t>“</w:t>
      </w:r>
      <w:r w:rsidR="00937C43" w:rsidRPr="00937C43">
        <w:t xml:space="preserve">Fertility and </w:t>
      </w:r>
      <w:r w:rsidR="00EB7664">
        <w:t>c</w:t>
      </w:r>
      <w:r w:rsidR="00937C43" w:rsidRPr="00937C43">
        <w:t xml:space="preserve">ommitment: Bringing </w:t>
      </w:r>
      <w:r w:rsidR="00EB7664">
        <w:t>m</w:t>
      </w:r>
      <w:r w:rsidR="00937C43" w:rsidRPr="00937C43">
        <w:t xml:space="preserve">en </w:t>
      </w:r>
      <w:r w:rsidR="00EB7664">
        <w:t>b</w:t>
      </w:r>
      <w:r w:rsidR="00937C43" w:rsidRPr="00937C43">
        <w:t xml:space="preserve">ack </w:t>
      </w:r>
      <w:r w:rsidR="00EB7664">
        <w:t>i</w:t>
      </w:r>
      <w:r w:rsidR="00937C43" w:rsidRPr="00937C43">
        <w:t>n.</w:t>
      </w:r>
      <w:r>
        <w:t>”</w:t>
      </w:r>
      <w:r w:rsidR="00937C43" w:rsidRPr="00937C43">
        <w:t xml:space="preserve"> </w:t>
      </w:r>
      <w:r w:rsidR="00937C43" w:rsidRPr="00937C43">
        <w:rPr>
          <w:i/>
          <w:iCs/>
        </w:rPr>
        <w:t>Population and Development Review</w:t>
      </w:r>
      <w:r w:rsidR="00937C43" w:rsidRPr="00937C43">
        <w:t xml:space="preserve"> </w:t>
      </w:r>
      <w:r w:rsidR="00937C43" w:rsidRPr="00261C0F">
        <w:rPr>
          <w:iCs/>
        </w:rPr>
        <w:t>22</w:t>
      </w:r>
      <w:r>
        <w:rPr>
          <w:iCs/>
        </w:rPr>
        <w:t xml:space="preserve"> </w:t>
      </w:r>
      <w:r>
        <w:t>(Supplement: Fertility in the United States: New Patterns, New Theories): 87–99.</w:t>
      </w:r>
    </w:p>
    <w:p w14:paraId="4ED54A22" w14:textId="08A0CB0A" w:rsidR="00937C43" w:rsidRPr="00937C43" w:rsidRDefault="005D79AB" w:rsidP="00A40EEF">
      <w:pPr>
        <w:pStyle w:val="Bibliographie"/>
      </w:pPr>
      <w:proofErr w:type="gramStart"/>
      <w:r>
        <w:t>Greene, Margaret</w:t>
      </w:r>
      <w:r w:rsidR="00937C43" w:rsidRPr="00937C43">
        <w:t xml:space="preserve"> </w:t>
      </w:r>
      <w:r>
        <w:t xml:space="preserve">and Ann </w:t>
      </w:r>
      <w:proofErr w:type="spellStart"/>
      <w:r w:rsidR="00937C43" w:rsidRPr="00937C43">
        <w:t>Biddlecom</w:t>
      </w:r>
      <w:proofErr w:type="spellEnd"/>
      <w:r>
        <w:t>.</w:t>
      </w:r>
      <w:proofErr w:type="gramEnd"/>
      <w:r>
        <w:t xml:space="preserve"> 2000</w:t>
      </w:r>
      <w:r w:rsidR="00937C43" w:rsidRPr="00937C43">
        <w:t xml:space="preserve">. </w:t>
      </w:r>
      <w:r>
        <w:t>“</w:t>
      </w:r>
      <w:r w:rsidR="00937C43" w:rsidRPr="00937C43">
        <w:t xml:space="preserve">Absent and </w:t>
      </w:r>
      <w:r w:rsidR="00EB7664">
        <w:t>p</w:t>
      </w:r>
      <w:r w:rsidR="00937C43" w:rsidRPr="00937C43">
        <w:t xml:space="preserve">roblematic </w:t>
      </w:r>
      <w:r w:rsidR="00EB7664">
        <w:t>m</w:t>
      </w:r>
      <w:r w:rsidR="00937C43" w:rsidRPr="00937C43">
        <w:t xml:space="preserve">en: Demographic </w:t>
      </w:r>
      <w:r w:rsidR="00EB7664">
        <w:t>a</w:t>
      </w:r>
      <w:r w:rsidR="00937C43" w:rsidRPr="00937C43">
        <w:t xml:space="preserve">ccounts of </w:t>
      </w:r>
      <w:r w:rsidR="00EB7664">
        <w:t>m</w:t>
      </w:r>
      <w:r w:rsidR="00937C43" w:rsidRPr="00937C43">
        <w:t xml:space="preserve">ale </w:t>
      </w:r>
      <w:r w:rsidR="00EB7664">
        <w:t>r</w:t>
      </w:r>
      <w:r w:rsidR="00937C43" w:rsidRPr="00937C43">
        <w:t xml:space="preserve">eproductive </w:t>
      </w:r>
      <w:r w:rsidR="00EB7664">
        <w:t>r</w:t>
      </w:r>
      <w:r w:rsidR="00937C43" w:rsidRPr="00937C43">
        <w:t>oles.</w:t>
      </w:r>
      <w:r>
        <w:t>”</w:t>
      </w:r>
      <w:r w:rsidR="00937C43" w:rsidRPr="00937C43">
        <w:t xml:space="preserve"> </w:t>
      </w:r>
      <w:r w:rsidR="00937C43" w:rsidRPr="00937C43">
        <w:rPr>
          <w:i/>
          <w:iCs/>
        </w:rPr>
        <w:t>Population and Development Review</w:t>
      </w:r>
      <w:r>
        <w:t xml:space="preserve"> </w:t>
      </w:r>
      <w:r w:rsidR="00937C43" w:rsidRPr="005D79AB">
        <w:rPr>
          <w:iCs/>
        </w:rPr>
        <w:t>26</w:t>
      </w:r>
      <w:r>
        <w:t>(1): 81–115.</w:t>
      </w:r>
    </w:p>
    <w:p w14:paraId="6789DB28" w14:textId="4E01596F" w:rsidR="00937C43" w:rsidRPr="00937C43" w:rsidRDefault="00F33772" w:rsidP="00A40EEF">
      <w:pPr>
        <w:pStyle w:val="Bibliographie"/>
      </w:pPr>
      <w:r>
        <w:lastRenderedPageBreak/>
        <w:t>Johnson, Kiersten</w:t>
      </w:r>
      <w:r w:rsidR="00937C43" w:rsidRPr="00937C43">
        <w:t xml:space="preserve"> </w:t>
      </w:r>
      <w:r>
        <w:t xml:space="preserve">and Yuan </w:t>
      </w:r>
      <w:proofErr w:type="spellStart"/>
      <w:proofErr w:type="gramStart"/>
      <w:r w:rsidR="00937C43" w:rsidRPr="00937C43">
        <w:t>Gu</w:t>
      </w:r>
      <w:proofErr w:type="spellEnd"/>
      <w:proofErr w:type="gramEnd"/>
      <w:r>
        <w:t>. 2009</w:t>
      </w:r>
      <w:r w:rsidR="00937C43" w:rsidRPr="00937C43">
        <w:t xml:space="preserve">. </w:t>
      </w:r>
      <w:r w:rsidR="00937C43" w:rsidRPr="00F656E4">
        <w:rPr>
          <w:i/>
        </w:rPr>
        <w:t>Men’s Reproductive Health: Findings from Demographic and Health Surveys, 1995</w:t>
      </w:r>
      <w:r w:rsidR="00EB7664">
        <w:rPr>
          <w:i/>
        </w:rPr>
        <w:t>–</w:t>
      </w:r>
      <w:r w:rsidR="00937C43" w:rsidRPr="00F656E4">
        <w:rPr>
          <w:i/>
        </w:rPr>
        <w:t>2004</w:t>
      </w:r>
      <w:r w:rsidR="00937C43" w:rsidRPr="00937C43">
        <w:t xml:space="preserve">. </w:t>
      </w:r>
      <w:r>
        <w:t xml:space="preserve">Comparative Report 27, </w:t>
      </w:r>
      <w:r w:rsidR="00EB7664">
        <w:t xml:space="preserve">Calverton: </w:t>
      </w:r>
      <w:r w:rsidR="00937C43" w:rsidRPr="00937C43">
        <w:t>ICF Macro.</w:t>
      </w:r>
    </w:p>
    <w:p w14:paraId="2EA98172" w14:textId="7673566C" w:rsidR="00937C43" w:rsidRPr="00937C43" w:rsidRDefault="00962630" w:rsidP="00A40EEF">
      <w:pPr>
        <w:pStyle w:val="Bibliographie"/>
      </w:pPr>
      <w:proofErr w:type="spellStart"/>
      <w:r>
        <w:t>Karmel</w:t>
      </w:r>
      <w:proofErr w:type="spellEnd"/>
      <w:r>
        <w:t>, Peter</w:t>
      </w:r>
      <w:r w:rsidR="001B7AB1">
        <w:t>. 1947</w:t>
      </w:r>
      <w:r w:rsidR="00937C43" w:rsidRPr="00937C43">
        <w:t xml:space="preserve">. </w:t>
      </w:r>
      <w:r>
        <w:t>“</w:t>
      </w:r>
      <w:r w:rsidR="00937C43" w:rsidRPr="00937C43">
        <w:t xml:space="preserve">The Relations between </w:t>
      </w:r>
      <w:r w:rsidR="00EB7664">
        <w:t>m</w:t>
      </w:r>
      <w:r w:rsidR="00937C43" w:rsidRPr="00937C43">
        <w:t xml:space="preserve">ale and </w:t>
      </w:r>
      <w:r w:rsidR="00EB7664">
        <w:t>f</w:t>
      </w:r>
      <w:r w:rsidR="00937C43" w:rsidRPr="00937C43">
        <w:t xml:space="preserve">emale </w:t>
      </w:r>
      <w:r w:rsidR="00EB7664">
        <w:t>r</w:t>
      </w:r>
      <w:r w:rsidR="00937C43" w:rsidRPr="00937C43">
        <w:t xml:space="preserve">eproduction </w:t>
      </w:r>
      <w:r w:rsidR="00EB7664">
        <w:t>r</w:t>
      </w:r>
      <w:r w:rsidR="00937C43" w:rsidRPr="00937C43">
        <w:t>ates.</w:t>
      </w:r>
      <w:r>
        <w:t>”</w:t>
      </w:r>
      <w:r w:rsidR="00937C43" w:rsidRPr="00937C43">
        <w:t xml:space="preserve"> </w:t>
      </w:r>
      <w:r w:rsidR="00937C43" w:rsidRPr="00937C43">
        <w:rPr>
          <w:i/>
          <w:iCs/>
        </w:rPr>
        <w:t>Population Studies</w:t>
      </w:r>
      <w:r w:rsidR="00937C43" w:rsidRPr="00937C43">
        <w:t xml:space="preserve"> </w:t>
      </w:r>
      <w:r w:rsidR="00937C43" w:rsidRPr="00962630">
        <w:rPr>
          <w:iCs/>
        </w:rPr>
        <w:t>1</w:t>
      </w:r>
      <w:r>
        <w:t>(3): 249–74.</w:t>
      </w:r>
    </w:p>
    <w:p w14:paraId="37D7CC2E" w14:textId="37A65A28" w:rsidR="00937C43" w:rsidRPr="00937C43" w:rsidRDefault="008A11ED" w:rsidP="008A11ED">
      <w:pPr>
        <w:pStyle w:val="Bibliographie"/>
      </w:pPr>
      <w:proofErr w:type="spellStart"/>
      <w:proofErr w:type="gramStart"/>
      <w:r w:rsidRPr="008A11ED">
        <w:t>Keilman</w:t>
      </w:r>
      <w:proofErr w:type="spellEnd"/>
      <w:r w:rsidRPr="008A11ED">
        <w:t>, Nico</w:t>
      </w:r>
      <w:r w:rsidR="00937C43" w:rsidRPr="008A11ED">
        <w:t xml:space="preserve">, </w:t>
      </w:r>
      <w:r w:rsidRPr="008A11ED">
        <w:t>Krzysz</w:t>
      </w:r>
      <w:r>
        <w:t xml:space="preserve">tof </w:t>
      </w:r>
      <w:proofErr w:type="spellStart"/>
      <w:r w:rsidR="00937C43" w:rsidRPr="008A11ED">
        <w:t>Tymicki</w:t>
      </w:r>
      <w:proofErr w:type="spellEnd"/>
      <w:r w:rsidR="00937C43" w:rsidRPr="008A11ED">
        <w:t xml:space="preserve">, </w:t>
      </w:r>
      <w:r>
        <w:t xml:space="preserve">and Vegard </w:t>
      </w:r>
      <w:proofErr w:type="spellStart"/>
      <w:r w:rsidR="00937C43" w:rsidRPr="008A11ED">
        <w:t>Skirbe</w:t>
      </w:r>
      <w:r>
        <w:t>kk</w:t>
      </w:r>
      <w:proofErr w:type="spellEnd"/>
      <w:r>
        <w:t>.</w:t>
      </w:r>
      <w:proofErr w:type="gramEnd"/>
      <w:r>
        <w:t xml:space="preserve"> 2014</w:t>
      </w:r>
      <w:r w:rsidR="00937C43" w:rsidRPr="008A11ED">
        <w:t xml:space="preserve">. </w:t>
      </w:r>
      <w:r>
        <w:t>“</w:t>
      </w:r>
      <w:r w:rsidR="00937C43" w:rsidRPr="00937C43">
        <w:t xml:space="preserve">Measures for </w:t>
      </w:r>
      <w:r w:rsidR="00EB7664">
        <w:t>h</w:t>
      </w:r>
      <w:r w:rsidR="00937C43" w:rsidRPr="00937C43">
        <w:t xml:space="preserve">uman </w:t>
      </w:r>
      <w:r w:rsidR="00EB7664">
        <w:t>r</w:t>
      </w:r>
      <w:r w:rsidR="00937C43" w:rsidRPr="00937C43">
        <w:t xml:space="preserve">eproduction </w:t>
      </w:r>
      <w:r w:rsidR="00EB7664">
        <w:t>s</w:t>
      </w:r>
      <w:r w:rsidR="00937C43" w:rsidRPr="00937C43">
        <w:t xml:space="preserve">hould </w:t>
      </w:r>
      <w:r w:rsidR="00EB7664">
        <w:t>b</w:t>
      </w:r>
      <w:r w:rsidR="00937C43" w:rsidRPr="00937C43">
        <w:t xml:space="preserve">e </w:t>
      </w:r>
      <w:r w:rsidR="00EB7664">
        <w:t>l</w:t>
      </w:r>
      <w:r w:rsidR="00937C43" w:rsidRPr="00937C43">
        <w:t xml:space="preserve">inked to </w:t>
      </w:r>
      <w:r w:rsidR="00EB7664">
        <w:t>b</w:t>
      </w:r>
      <w:r w:rsidR="00937C43" w:rsidRPr="00937C43">
        <w:t xml:space="preserve">oth </w:t>
      </w:r>
      <w:r w:rsidR="00EB7664">
        <w:t>m</w:t>
      </w:r>
      <w:r w:rsidR="00937C43" w:rsidRPr="00937C43">
        <w:t xml:space="preserve">en and </w:t>
      </w:r>
      <w:r w:rsidR="00EB7664">
        <w:t>w</w:t>
      </w:r>
      <w:r w:rsidR="00937C43" w:rsidRPr="00937C43">
        <w:t>omen.</w:t>
      </w:r>
      <w:r>
        <w:t>”</w:t>
      </w:r>
      <w:r w:rsidR="00937C43" w:rsidRPr="00937C43">
        <w:t xml:space="preserve"> </w:t>
      </w:r>
      <w:proofErr w:type="gramStart"/>
      <w:r w:rsidR="00937C43" w:rsidRPr="008A11ED">
        <w:rPr>
          <w:i/>
        </w:rPr>
        <w:t>International Journal of Population Research</w:t>
      </w:r>
      <w:r w:rsidR="00937C43" w:rsidRPr="00937C43">
        <w:t xml:space="preserve"> </w:t>
      </w:r>
      <w:r w:rsidR="00937C43" w:rsidRPr="008A11ED">
        <w:t>2014</w:t>
      </w:r>
      <w:r w:rsidRPr="008A11ED">
        <w:t>, Article ID 908385</w:t>
      </w:r>
      <w:r>
        <w:t>.</w:t>
      </w:r>
      <w:proofErr w:type="gramEnd"/>
    </w:p>
    <w:p w14:paraId="6CC0CB69" w14:textId="77798D97" w:rsidR="00937C43" w:rsidRPr="00C02221" w:rsidRDefault="008A11ED" w:rsidP="00A40EEF">
      <w:pPr>
        <w:pStyle w:val="Bibliographie"/>
        <w:rPr>
          <w:lang w:val="fr-BE"/>
        </w:rPr>
      </w:pPr>
      <w:proofErr w:type="spellStart"/>
      <w:r>
        <w:t>Kuczynski</w:t>
      </w:r>
      <w:proofErr w:type="spellEnd"/>
      <w:r>
        <w:t>, Robert</w:t>
      </w:r>
      <w:r w:rsidR="001B7AB1">
        <w:t>. 1932</w:t>
      </w:r>
      <w:r w:rsidR="00937C43" w:rsidRPr="00937C43">
        <w:t xml:space="preserve">. </w:t>
      </w:r>
      <w:r w:rsidR="00937C43" w:rsidRPr="006B7111">
        <w:rPr>
          <w:i/>
        </w:rPr>
        <w:t>Fertility and Reproduction</w:t>
      </w:r>
      <w:r w:rsidR="00EB7664" w:rsidRPr="006B7111">
        <w:rPr>
          <w:i/>
        </w:rPr>
        <w:t xml:space="preserve">: </w:t>
      </w:r>
      <w:r w:rsidR="00937C43" w:rsidRPr="006B7111">
        <w:rPr>
          <w:i/>
        </w:rPr>
        <w:t>Methods of Measuring the Balance of Births and Deaths</w:t>
      </w:r>
      <w:r w:rsidR="00937C43" w:rsidRPr="00937C43">
        <w:t xml:space="preserve">. </w:t>
      </w:r>
      <w:r w:rsidR="00937C43" w:rsidRPr="00C02221">
        <w:rPr>
          <w:lang w:val="fr-BE"/>
        </w:rPr>
        <w:t>New York</w:t>
      </w:r>
      <w:r w:rsidR="00EB7664" w:rsidRPr="00C02221">
        <w:rPr>
          <w:lang w:val="fr-BE"/>
        </w:rPr>
        <w:t xml:space="preserve">: Falcon </w:t>
      </w:r>
      <w:proofErr w:type="spellStart"/>
      <w:r w:rsidR="00EB7664" w:rsidRPr="00C02221">
        <w:rPr>
          <w:lang w:val="fr-BE"/>
        </w:rPr>
        <w:t>Press</w:t>
      </w:r>
      <w:proofErr w:type="spellEnd"/>
      <w:r w:rsidR="00937C43" w:rsidRPr="00C02221">
        <w:rPr>
          <w:lang w:val="fr-BE"/>
        </w:rPr>
        <w:t>.</w:t>
      </w:r>
    </w:p>
    <w:p w14:paraId="0E4E2767" w14:textId="0C5FC41D" w:rsidR="00535B24" w:rsidRPr="00535B24" w:rsidRDefault="001B7AB1" w:rsidP="00535B24">
      <w:pPr>
        <w:pStyle w:val="Bibliographie"/>
        <w:rPr>
          <w:lang w:val="fr-BE"/>
        </w:rPr>
      </w:pPr>
      <w:proofErr w:type="spellStart"/>
      <w:r w:rsidRPr="00535B24">
        <w:rPr>
          <w:lang w:val="fr-BE"/>
        </w:rPr>
        <w:t>Lognard</w:t>
      </w:r>
      <w:proofErr w:type="spellEnd"/>
      <w:r w:rsidRPr="00535B24">
        <w:rPr>
          <w:lang w:val="fr-BE"/>
        </w:rPr>
        <w:t xml:space="preserve">, </w:t>
      </w:r>
      <w:proofErr w:type="spellStart"/>
      <w:r w:rsidRPr="00535B24">
        <w:rPr>
          <w:lang w:val="fr-BE"/>
        </w:rPr>
        <w:t>Mary</w:t>
      </w:r>
      <w:r w:rsidR="00937C43" w:rsidRPr="00535B24">
        <w:rPr>
          <w:lang w:val="fr-BE"/>
        </w:rPr>
        <w:t>-</w:t>
      </w:r>
      <w:r w:rsidR="00937C43" w:rsidRPr="00EA5331">
        <w:rPr>
          <w:lang w:val="fr-BE"/>
        </w:rPr>
        <w:t>O</w:t>
      </w:r>
      <w:r>
        <w:rPr>
          <w:lang w:val="fr-BE"/>
        </w:rPr>
        <w:t>dile</w:t>
      </w:r>
      <w:proofErr w:type="spellEnd"/>
      <w:r>
        <w:rPr>
          <w:lang w:val="fr-BE"/>
        </w:rPr>
        <w:t>. 2010</w:t>
      </w:r>
      <w:r w:rsidR="00937C43" w:rsidRPr="00EA5331">
        <w:rPr>
          <w:lang w:val="fr-BE"/>
        </w:rPr>
        <w:t xml:space="preserve">. </w:t>
      </w:r>
      <w:r w:rsidR="00535B24" w:rsidRPr="00535B24">
        <w:rPr>
          <w:lang w:val="fr-BE"/>
        </w:rPr>
        <w:t>“</w:t>
      </w:r>
      <w:r w:rsidR="00937C43" w:rsidRPr="00EA5331">
        <w:rPr>
          <w:lang w:val="fr-BE"/>
        </w:rPr>
        <w:t>L’évolution de la fécondité masculine en Belgique de 1939 à 1995.</w:t>
      </w:r>
      <w:r w:rsidR="00535B24" w:rsidRPr="00535B24">
        <w:rPr>
          <w:lang w:val="fr-BE"/>
        </w:rPr>
        <w:t>”</w:t>
      </w:r>
      <w:r w:rsidR="00937C43" w:rsidRPr="00EA5331">
        <w:rPr>
          <w:lang w:val="fr-BE"/>
        </w:rPr>
        <w:t xml:space="preserve"> In </w:t>
      </w:r>
      <w:r w:rsidR="00937C43" w:rsidRPr="00EA5331">
        <w:rPr>
          <w:i/>
          <w:iCs/>
          <w:lang w:val="fr-BE"/>
        </w:rPr>
        <w:t>Histoire de la population de la Belgique et de ses territoires</w:t>
      </w:r>
      <w:r w:rsidR="00535B24">
        <w:rPr>
          <w:i/>
          <w:iCs/>
          <w:lang w:val="fr-BE"/>
        </w:rPr>
        <w:t>,</w:t>
      </w:r>
      <w:r w:rsidR="00535B24">
        <w:rPr>
          <w:iCs/>
          <w:lang w:val="fr-BE"/>
        </w:rPr>
        <w:t xml:space="preserve"> </w:t>
      </w:r>
      <w:proofErr w:type="spellStart"/>
      <w:r w:rsidR="00535B24">
        <w:rPr>
          <w:iCs/>
          <w:lang w:val="fr-BE"/>
        </w:rPr>
        <w:t>edited</w:t>
      </w:r>
      <w:proofErr w:type="spellEnd"/>
      <w:r w:rsidR="00535B24">
        <w:rPr>
          <w:iCs/>
          <w:lang w:val="fr-BE"/>
        </w:rPr>
        <w:t xml:space="preserve"> by </w:t>
      </w:r>
      <w:r w:rsidR="00535B24">
        <w:rPr>
          <w:lang w:val="fr-BE"/>
        </w:rPr>
        <w:t>Thierry</w:t>
      </w:r>
      <w:r w:rsidR="00535B24" w:rsidRPr="00EA5331">
        <w:rPr>
          <w:lang w:val="fr-BE"/>
        </w:rPr>
        <w:t xml:space="preserve"> </w:t>
      </w:r>
      <w:proofErr w:type="spellStart"/>
      <w:r w:rsidR="00535B24" w:rsidRPr="00EA5331">
        <w:rPr>
          <w:lang w:val="fr-BE"/>
        </w:rPr>
        <w:t>Eggerickx</w:t>
      </w:r>
      <w:proofErr w:type="spellEnd"/>
      <w:r w:rsidR="00535B24" w:rsidRPr="00EA5331">
        <w:rPr>
          <w:lang w:val="fr-BE"/>
        </w:rPr>
        <w:t xml:space="preserve"> </w:t>
      </w:r>
      <w:r w:rsidR="00535B24">
        <w:rPr>
          <w:lang w:val="fr-BE"/>
        </w:rPr>
        <w:t>and Jean</w:t>
      </w:r>
      <w:r w:rsidR="00535B24" w:rsidRPr="00EA5331">
        <w:rPr>
          <w:lang w:val="fr-BE"/>
        </w:rPr>
        <w:t>-P</w:t>
      </w:r>
      <w:r w:rsidR="00535B24">
        <w:rPr>
          <w:lang w:val="fr-BE"/>
        </w:rPr>
        <w:t>aul</w:t>
      </w:r>
      <w:r w:rsidR="00535B24" w:rsidRPr="00EA5331">
        <w:rPr>
          <w:lang w:val="fr-BE"/>
        </w:rPr>
        <w:t xml:space="preserve"> </w:t>
      </w:r>
      <w:proofErr w:type="spellStart"/>
      <w:r w:rsidR="00535B24" w:rsidRPr="00EA5331">
        <w:rPr>
          <w:lang w:val="fr-BE"/>
        </w:rPr>
        <w:t>Sanderson</w:t>
      </w:r>
      <w:proofErr w:type="spellEnd"/>
      <w:r w:rsidR="00535B24" w:rsidRPr="00EA5331">
        <w:rPr>
          <w:lang w:val="fr-BE"/>
        </w:rPr>
        <w:t>,</w:t>
      </w:r>
      <w:r w:rsidR="00535B24">
        <w:rPr>
          <w:lang w:val="fr-BE"/>
        </w:rPr>
        <w:t xml:space="preserve"> 527–46</w:t>
      </w:r>
      <w:r w:rsidR="00937C43" w:rsidRPr="00EA5331">
        <w:rPr>
          <w:lang w:val="fr-BE"/>
        </w:rPr>
        <w:t>. Louvain-la-Neuve: Presses universitaires de Louvain.</w:t>
      </w:r>
    </w:p>
    <w:p w14:paraId="673DB0AA" w14:textId="03DD892D" w:rsidR="00937C43" w:rsidRPr="006B7111" w:rsidRDefault="00A21DBC" w:rsidP="00A40EEF">
      <w:pPr>
        <w:pStyle w:val="Bibliographie"/>
        <w:rPr>
          <w:lang w:val="fr-BE"/>
        </w:rPr>
      </w:pPr>
      <w:proofErr w:type="spellStart"/>
      <w:r>
        <w:rPr>
          <w:lang w:val="fr-BE"/>
        </w:rPr>
        <w:t>Mignot</w:t>
      </w:r>
      <w:proofErr w:type="spellEnd"/>
      <w:r>
        <w:rPr>
          <w:lang w:val="fr-BE"/>
        </w:rPr>
        <w:t>, Jean-François. 2010</w:t>
      </w:r>
      <w:r w:rsidR="00937C43" w:rsidRPr="00EA5331">
        <w:rPr>
          <w:lang w:val="fr-BE"/>
        </w:rPr>
        <w:t xml:space="preserve">. </w:t>
      </w:r>
      <w:r w:rsidRPr="00535B24">
        <w:rPr>
          <w:lang w:val="fr-BE"/>
        </w:rPr>
        <w:t>“</w:t>
      </w:r>
      <w:r w:rsidR="00937C43" w:rsidRPr="00EA5331">
        <w:rPr>
          <w:lang w:val="fr-BE"/>
        </w:rPr>
        <w:t>L’écart d’âge entre conjoints.</w:t>
      </w:r>
      <w:r w:rsidRPr="00535B24">
        <w:rPr>
          <w:lang w:val="fr-BE"/>
        </w:rPr>
        <w:t>”</w:t>
      </w:r>
      <w:r w:rsidR="00937C43" w:rsidRPr="00EA5331">
        <w:rPr>
          <w:lang w:val="fr-BE"/>
        </w:rPr>
        <w:t xml:space="preserve"> </w:t>
      </w:r>
      <w:r w:rsidR="00937C43" w:rsidRPr="00EA5331">
        <w:rPr>
          <w:i/>
          <w:iCs/>
          <w:lang w:val="fr-BE"/>
        </w:rPr>
        <w:t>Revue française de sociologie</w:t>
      </w:r>
      <w:r w:rsidR="00937C43" w:rsidRPr="00EA5331">
        <w:rPr>
          <w:lang w:val="fr-BE"/>
        </w:rPr>
        <w:t xml:space="preserve"> </w:t>
      </w:r>
      <w:r w:rsidR="00937C43" w:rsidRPr="00A21DBC">
        <w:rPr>
          <w:iCs/>
          <w:lang w:val="fr-BE"/>
        </w:rPr>
        <w:t>51</w:t>
      </w:r>
      <w:r>
        <w:rPr>
          <w:lang w:val="fr-BE"/>
        </w:rPr>
        <w:t>(2):</w:t>
      </w:r>
      <w:r w:rsidR="00937C43" w:rsidRPr="00EA5331">
        <w:rPr>
          <w:lang w:val="fr-BE"/>
        </w:rPr>
        <w:t xml:space="preserve"> 281–320. </w:t>
      </w:r>
    </w:p>
    <w:p w14:paraId="44AF5F65" w14:textId="5EB7FF86" w:rsidR="00CC6FED" w:rsidRPr="00CC6FED" w:rsidRDefault="00B74CE2" w:rsidP="00CC6FED">
      <w:pPr>
        <w:pStyle w:val="Bibliographie"/>
      </w:pPr>
      <w:proofErr w:type="gramStart"/>
      <w:r w:rsidRPr="00A21DBC">
        <w:t>Mini</w:t>
      </w:r>
      <w:r w:rsidRPr="00CC6FED">
        <w:t>stry of Deve</w:t>
      </w:r>
      <w:r w:rsidR="002C471D">
        <w:t>lopment Planning and Statistics.</w:t>
      </w:r>
      <w:proofErr w:type="gramEnd"/>
      <w:r w:rsidR="002C471D">
        <w:t xml:space="preserve"> </w:t>
      </w:r>
      <w:r w:rsidRPr="00CC6FED">
        <w:t>2016</w:t>
      </w:r>
      <w:r w:rsidR="00EB7664">
        <w:t xml:space="preserve">. </w:t>
      </w:r>
      <w:r w:rsidR="009B3CB5">
        <w:t>“</w:t>
      </w:r>
      <w:r w:rsidR="00CC6FED" w:rsidRPr="00CC6FED">
        <w:t>Table 8</w:t>
      </w:r>
      <w:r w:rsidR="00EB7664">
        <w:t xml:space="preserve">: </w:t>
      </w:r>
      <w:r w:rsidR="00CC6FED" w:rsidRPr="00CC6FED">
        <w:t xml:space="preserve"> Population by place of</w:t>
      </w:r>
      <w:r w:rsidR="00CC6FED">
        <w:t xml:space="preserve"> residence at the census night and gender</w:t>
      </w:r>
      <w:r w:rsidR="009B3CB5">
        <w:t>”,</w:t>
      </w:r>
      <w:r w:rsidR="004935CD">
        <w:t xml:space="preserve"> Doha, Qatar. </w:t>
      </w:r>
      <w:r w:rsidR="00897D81">
        <w:t>http://</w:t>
      </w:r>
      <w:r w:rsidR="00CC6FED" w:rsidRPr="006B7111">
        <w:t>www.mdps.gov.qa/en/statistics/Statistical% 20Releases/Population/Population/2016/Population_social_1_2016_AE.xls</w:t>
      </w:r>
    </w:p>
    <w:p w14:paraId="16EB8647" w14:textId="30A3486D" w:rsidR="00937C43" w:rsidRPr="00937C43" w:rsidRDefault="00E60205" w:rsidP="00A40EEF">
      <w:pPr>
        <w:pStyle w:val="Bibliographie"/>
      </w:pPr>
      <w:proofErr w:type="spellStart"/>
      <w:proofErr w:type="gramStart"/>
      <w:r w:rsidRPr="00E60205">
        <w:t>Nordfalk</w:t>
      </w:r>
      <w:proofErr w:type="spellEnd"/>
      <w:r w:rsidRPr="00E60205">
        <w:t>, Francisca</w:t>
      </w:r>
      <w:r w:rsidR="00937C43" w:rsidRPr="00E60205">
        <w:t xml:space="preserve">, </w:t>
      </w:r>
      <w:r w:rsidRPr="00E60205">
        <w:t xml:space="preserve">Ulla </w:t>
      </w:r>
      <w:proofErr w:type="spellStart"/>
      <w:r w:rsidR="00937C43" w:rsidRPr="00E60205">
        <w:t>Hvidtf</w:t>
      </w:r>
      <w:r w:rsidRPr="00E60205">
        <w:t>eldt</w:t>
      </w:r>
      <w:proofErr w:type="spellEnd"/>
      <w:r w:rsidRPr="00E60205">
        <w:t>, and</w:t>
      </w:r>
      <w:r w:rsidR="00937C43" w:rsidRPr="00E60205">
        <w:t xml:space="preserve"> </w:t>
      </w:r>
      <w:r>
        <w:t xml:space="preserve">Niels </w:t>
      </w:r>
      <w:proofErr w:type="spellStart"/>
      <w:r w:rsidR="00937C43" w:rsidRPr="00E60205">
        <w:t>Keiding</w:t>
      </w:r>
      <w:proofErr w:type="spellEnd"/>
      <w:r>
        <w:t>.</w:t>
      </w:r>
      <w:proofErr w:type="gramEnd"/>
      <w:r>
        <w:t xml:space="preserve"> 2015</w:t>
      </w:r>
      <w:r w:rsidR="00937C43" w:rsidRPr="00E60205">
        <w:t xml:space="preserve">. </w:t>
      </w:r>
      <w:r>
        <w:t>“</w:t>
      </w:r>
      <w:r w:rsidR="00937C43" w:rsidRPr="00937C43">
        <w:t>TFR for males in Denmark: Calculation and tempo-correction.</w:t>
      </w:r>
      <w:r>
        <w:t>”</w:t>
      </w:r>
      <w:r w:rsidR="00937C43" w:rsidRPr="00937C43">
        <w:t xml:space="preserve"> </w:t>
      </w:r>
      <w:r w:rsidR="00937C43" w:rsidRPr="00937C43">
        <w:rPr>
          <w:i/>
          <w:iCs/>
        </w:rPr>
        <w:t>Demographic Research</w:t>
      </w:r>
      <w:r>
        <w:t xml:space="preserve"> </w:t>
      </w:r>
      <w:r w:rsidR="00937C43" w:rsidRPr="00E60205">
        <w:rPr>
          <w:iCs/>
        </w:rPr>
        <w:t>32</w:t>
      </w:r>
      <w:r>
        <w:t>(52): 1421–34.</w:t>
      </w:r>
    </w:p>
    <w:p w14:paraId="648B0A70" w14:textId="53FC80C2" w:rsidR="00937C43" w:rsidRPr="00937C43" w:rsidRDefault="003229FE" w:rsidP="00A40EEF">
      <w:pPr>
        <w:pStyle w:val="Bibliographie"/>
      </w:pPr>
      <w:proofErr w:type="spellStart"/>
      <w:proofErr w:type="gramStart"/>
      <w:r w:rsidRPr="003229FE">
        <w:t>Nybo</w:t>
      </w:r>
      <w:proofErr w:type="spellEnd"/>
      <w:r w:rsidRPr="003229FE">
        <w:t xml:space="preserve"> Andersen, An</w:t>
      </w:r>
      <w:r>
        <w:t>ne-Marie</w:t>
      </w:r>
      <w:r w:rsidR="00937C43" w:rsidRPr="003229FE">
        <w:t xml:space="preserve"> </w:t>
      </w:r>
      <w:r>
        <w:t xml:space="preserve">and </w:t>
      </w:r>
      <w:r w:rsidR="00897D81">
        <w:t xml:space="preserve">Stine </w:t>
      </w:r>
      <w:proofErr w:type="spellStart"/>
      <w:r w:rsidR="00897D81">
        <w:t>Kjaer</w:t>
      </w:r>
      <w:proofErr w:type="spellEnd"/>
      <w:r w:rsidRPr="003229FE">
        <w:t xml:space="preserve"> </w:t>
      </w:r>
      <w:proofErr w:type="spellStart"/>
      <w:r w:rsidR="00937C43" w:rsidRPr="003229FE">
        <w:t>Urhoj</w:t>
      </w:r>
      <w:proofErr w:type="spellEnd"/>
      <w:r>
        <w:t>.</w:t>
      </w:r>
      <w:proofErr w:type="gramEnd"/>
      <w:r>
        <w:t xml:space="preserve"> 2017</w:t>
      </w:r>
      <w:r w:rsidR="00937C43" w:rsidRPr="003229FE">
        <w:t xml:space="preserve">. </w:t>
      </w:r>
      <w:r>
        <w:t>“</w:t>
      </w:r>
      <w:r w:rsidR="00937C43" w:rsidRPr="00937C43">
        <w:t>Is advanced paternal age a health risk for the offspring?</w:t>
      </w:r>
      <w:r>
        <w:t>”</w:t>
      </w:r>
      <w:r w:rsidR="00937C43" w:rsidRPr="00937C43">
        <w:t xml:space="preserve"> </w:t>
      </w:r>
      <w:r w:rsidR="00937C43" w:rsidRPr="00937C43">
        <w:rPr>
          <w:i/>
          <w:iCs/>
        </w:rPr>
        <w:t>Fertility and Sterility</w:t>
      </w:r>
      <w:r w:rsidR="00937C43" w:rsidRPr="00937C43">
        <w:t xml:space="preserve"> </w:t>
      </w:r>
      <w:r w:rsidR="00937C43" w:rsidRPr="003229FE">
        <w:rPr>
          <w:iCs/>
        </w:rPr>
        <w:t>107</w:t>
      </w:r>
      <w:r>
        <w:t>(2): 312–18.</w:t>
      </w:r>
    </w:p>
    <w:p w14:paraId="451C50D1" w14:textId="33C80FC9" w:rsidR="00937C43" w:rsidRPr="00C02221" w:rsidRDefault="005D7B0D" w:rsidP="00A40EEF">
      <w:pPr>
        <w:pStyle w:val="Bibliographie"/>
        <w:rPr>
          <w:lang w:val="fr-BE"/>
        </w:rPr>
      </w:pPr>
      <w:proofErr w:type="gramStart"/>
      <w:r w:rsidRPr="005D7B0D">
        <w:lastRenderedPageBreak/>
        <w:t>Paget, Wi</w:t>
      </w:r>
      <w:r>
        <w:t>lliam</w:t>
      </w:r>
      <w:r w:rsidR="00937C43" w:rsidRPr="005D7B0D">
        <w:t xml:space="preserve"> </w:t>
      </w:r>
      <w:r>
        <w:t xml:space="preserve">and Ian </w:t>
      </w:r>
      <w:proofErr w:type="spellStart"/>
      <w:r w:rsidR="00937C43" w:rsidRPr="005D7B0D">
        <w:t>Timæus</w:t>
      </w:r>
      <w:proofErr w:type="spellEnd"/>
      <w:r>
        <w:t>.</w:t>
      </w:r>
      <w:proofErr w:type="gramEnd"/>
      <w:r>
        <w:t xml:space="preserve"> 1994</w:t>
      </w:r>
      <w:r w:rsidR="00937C43" w:rsidRPr="005D7B0D">
        <w:t xml:space="preserve">. </w:t>
      </w:r>
      <w:r>
        <w:t>“</w:t>
      </w:r>
      <w:r w:rsidR="00937C43" w:rsidRPr="00937C43">
        <w:t xml:space="preserve">A </w:t>
      </w:r>
      <w:r w:rsidR="004935CD">
        <w:t>r</w:t>
      </w:r>
      <w:r w:rsidR="00937C43" w:rsidRPr="00937C43">
        <w:t xml:space="preserve">elational </w:t>
      </w:r>
      <w:proofErr w:type="spellStart"/>
      <w:r w:rsidR="00937C43" w:rsidRPr="00937C43">
        <w:t>Gompertz</w:t>
      </w:r>
      <w:proofErr w:type="spellEnd"/>
      <w:r w:rsidR="00937C43" w:rsidRPr="00937C43">
        <w:t xml:space="preserve"> </w:t>
      </w:r>
      <w:r w:rsidR="004935CD">
        <w:t>m</w:t>
      </w:r>
      <w:r w:rsidR="00937C43" w:rsidRPr="00937C43">
        <w:t xml:space="preserve">odel of </w:t>
      </w:r>
      <w:r w:rsidR="004935CD">
        <w:t>m</w:t>
      </w:r>
      <w:r w:rsidR="00937C43" w:rsidRPr="00937C43">
        <w:t xml:space="preserve">ale </w:t>
      </w:r>
      <w:r w:rsidR="004935CD">
        <w:t>f</w:t>
      </w:r>
      <w:r w:rsidR="00937C43" w:rsidRPr="00937C43">
        <w:t xml:space="preserve">ertility: Development and </w:t>
      </w:r>
      <w:r w:rsidR="004935CD">
        <w:t>a</w:t>
      </w:r>
      <w:r w:rsidR="00937C43" w:rsidRPr="00937C43">
        <w:t>ssessment.</w:t>
      </w:r>
      <w:r>
        <w:t>”</w:t>
      </w:r>
      <w:r w:rsidR="00937C43" w:rsidRPr="00937C43">
        <w:t xml:space="preserve"> </w:t>
      </w:r>
      <w:r w:rsidR="00937C43" w:rsidRPr="00C02221">
        <w:rPr>
          <w:i/>
          <w:iCs/>
          <w:lang w:val="fr-BE"/>
        </w:rPr>
        <w:t xml:space="preserve">Population </w:t>
      </w:r>
      <w:proofErr w:type="spellStart"/>
      <w:r w:rsidR="00937C43" w:rsidRPr="00C02221">
        <w:rPr>
          <w:i/>
          <w:iCs/>
          <w:lang w:val="fr-BE"/>
        </w:rPr>
        <w:t>Studies</w:t>
      </w:r>
      <w:proofErr w:type="spellEnd"/>
      <w:r w:rsidR="00937C43" w:rsidRPr="00C02221">
        <w:rPr>
          <w:lang w:val="fr-BE"/>
        </w:rPr>
        <w:t xml:space="preserve"> </w:t>
      </w:r>
      <w:r w:rsidR="00937C43" w:rsidRPr="00C02221">
        <w:rPr>
          <w:iCs/>
          <w:lang w:val="fr-BE"/>
        </w:rPr>
        <w:t>48</w:t>
      </w:r>
      <w:r w:rsidRPr="00C02221">
        <w:rPr>
          <w:lang w:val="fr-BE"/>
        </w:rPr>
        <w:t>(2):</w:t>
      </w:r>
      <w:r w:rsidR="00937C43" w:rsidRPr="00C02221">
        <w:rPr>
          <w:lang w:val="fr-BE"/>
        </w:rPr>
        <w:t xml:space="preserve"> 333–40. </w:t>
      </w:r>
    </w:p>
    <w:p w14:paraId="6A552B81" w14:textId="7DDD0AD9" w:rsidR="00937C43" w:rsidRPr="00EA5331" w:rsidRDefault="005D7B0D" w:rsidP="00A40EEF">
      <w:pPr>
        <w:pStyle w:val="Bibliographie"/>
        <w:rPr>
          <w:lang w:val="fr-BE"/>
        </w:rPr>
      </w:pPr>
      <w:r w:rsidRPr="005D7B0D">
        <w:rPr>
          <w:lang w:val="fr-BE"/>
        </w:rPr>
        <w:t>Pison, Gilles. 1986</w:t>
      </w:r>
      <w:r w:rsidR="00937C43" w:rsidRPr="005D7B0D">
        <w:rPr>
          <w:lang w:val="fr-BE"/>
        </w:rPr>
        <w:t xml:space="preserve">. </w:t>
      </w:r>
      <w:r w:rsidRPr="005D7B0D">
        <w:rPr>
          <w:lang w:val="fr-BE"/>
        </w:rPr>
        <w:t>“</w:t>
      </w:r>
      <w:r w:rsidR="00937C43" w:rsidRPr="005D7B0D">
        <w:rPr>
          <w:lang w:val="fr-BE"/>
        </w:rPr>
        <w:t>La démographie de la polygamie.</w:t>
      </w:r>
      <w:r w:rsidRPr="005D7B0D">
        <w:rPr>
          <w:lang w:val="fr-BE"/>
        </w:rPr>
        <w:t>”</w:t>
      </w:r>
      <w:r w:rsidR="00937C43" w:rsidRPr="005D7B0D">
        <w:rPr>
          <w:lang w:val="fr-BE"/>
        </w:rPr>
        <w:t xml:space="preserve"> </w:t>
      </w:r>
      <w:r w:rsidR="00937C43" w:rsidRPr="00EA5331">
        <w:rPr>
          <w:i/>
          <w:iCs/>
          <w:lang w:val="fr-BE"/>
        </w:rPr>
        <w:t>Population</w:t>
      </w:r>
      <w:r w:rsidR="00937C43" w:rsidRPr="00EA5331">
        <w:rPr>
          <w:lang w:val="fr-BE"/>
        </w:rPr>
        <w:t xml:space="preserve"> </w:t>
      </w:r>
      <w:r w:rsidR="00937C43" w:rsidRPr="005D7B0D">
        <w:rPr>
          <w:iCs/>
          <w:lang w:val="fr-BE"/>
        </w:rPr>
        <w:t>41</w:t>
      </w:r>
      <w:r>
        <w:rPr>
          <w:lang w:val="fr-BE"/>
        </w:rPr>
        <w:t>(1):</w:t>
      </w:r>
      <w:r w:rsidR="00937C43" w:rsidRPr="00EA5331">
        <w:rPr>
          <w:lang w:val="fr-BE"/>
        </w:rPr>
        <w:t xml:space="preserve"> 93–122. </w:t>
      </w:r>
    </w:p>
    <w:p w14:paraId="6072DBF0" w14:textId="1732F521" w:rsidR="00937C43" w:rsidRPr="00937C43" w:rsidRDefault="005D7B0D" w:rsidP="00A40EEF">
      <w:pPr>
        <w:pStyle w:val="Bibliographie"/>
      </w:pPr>
      <w:proofErr w:type="gramStart"/>
      <w:r w:rsidRPr="00C02221">
        <w:t>Preston, Samuel</w:t>
      </w:r>
      <w:r w:rsidR="00937C43" w:rsidRPr="00C02221">
        <w:t xml:space="preserve">, </w:t>
      </w:r>
      <w:r w:rsidRPr="00C02221">
        <w:t xml:space="preserve">Patrick </w:t>
      </w:r>
      <w:proofErr w:type="spellStart"/>
      <w:r w:rsidRPr="00C02221">
        <w:t>Heuveline</w:t>
      </w:r>
      <w:proofErr w:type="spellEnd"/>
      <w:r w:rsidRPr="00C02221">
        <w:t>, and</w:t>
      </w:r>
      <w:r w:rsidR="00937C43" w:rsidRPr="00C02221">
        <w:t xml:space="preserve"> </w:t>
      </w:r>
      <w:r w:rsidRPr="00C02221">
        <w:t xml:space="preserve">Michel </w:t>
      </w:r>
      <w:proofErr w:type="spellStart"/>
      <w:r w:rsidR="00937C43" w:rsidRPr="00C02221">
        <w:t>Guillot</w:t>
      </w:r>
      <w:proofErr w:type="spellEnd"/>
      <w:r w:rsidRPr="00C02221">
        <w:t>.</w:t>
      </w:r>
      <w:proofErr w:type="gramEnd"/>
      <w:r w:rsidRPr="00C02221">
        <w:t xml:space="preserve"> 2001</w:t>
      </w:r>
      <w:r w:rsidR="00937C43" w:rsidRPr="00C02221">
        <w:t xml:space="preserve">. </w:t>
      </w:r>
      <w:r w:rsidR="00937C43" w:rsidRPr="00937C43">
        <w:rPr>
          <w:i/>
          <w:iCs/>
        </w:rPr>
        <w:t>Demography: Measuring and Modeling Population Processes</w:t>
      </w:r>
      <w:r w:rsidR="004935CD">
        <w:rPr>
          <w:i/>
          <w:iCs/>
        </w:rPr>
        <w:t>.</w:t>
      </w:r>
      <w:r w:rsidR="00937C43" w:rsidRPr="00937C43">
        <w:t xml:space="preserve"> Oxford</w:t>
      </w:r>
      <w:r w:rsidR="004935CD">
        <w:t>: Blackwell</w:t>
      </w:r>
      <w:r w:rsidR="00937C43" w:rsidRPr="00937C43">
        <w:t>.</w:t>
      </w:r>
    </w:p>
    <w:p w14:paraId="316C6B7E" w14:textId="0E8F2706" w:rsidR="00937C43" w:rsidRPr="00937C43" w:rsidRDefault="00680780" w:rsidP="00A40EEF">
      <w:pPr>
        <w:pStyle w:val="Bibliographie"/>
      </w:pPr>
      <w:proofErr w:type="spellStart"/>
      <w:proofErr w:type="gramStart"/>
      <w:r>
        <w:t>Ratcliffe</w:t>
      </w:r>
      <w:proofErr w:type="spellEnd"/>
      <w:r>
        <w:t>, Amy</w:t>
      </w:r>
      <w:r w:rsidR="00937C43" w:rsidRPr="00937C43">
        <w:t xml:space="preserve">, </w:t>
      </w:r>
      <w:r>
        <w:t xml:space="preserve">Allan </w:t>
      </w:r>
      <w:r w:rsidR="00937C43" w:rsidRPr="00937C43">
        <w:t xml:space="preserve">Hill, </w:t>
      </w:r>
      <w:r>
        <w:t xml:space="preserve">and Gijs </w:t>
      </w:r>
      <w:proofErr w:type="spellStart"/>
      <w:r>
        <w:t>Walraven</w:t>
      </w:r>
      <w:proofErr w:type="spellEnd"/>
      <w:r>
        <w:t>.</w:t>
      </w:r>
      <w:proofErr w:type="gramEnd"/>
      <w:r>
        <w:t xml:space="preserve"> 2000</w:t>
      </w:r>
      <w:r w:rsidR="00937C43" w:rsidRPr="00937C43">
        <w:t xml:space="preserve">. </w:t>
      </w:r>
      <w:r>
        <w:t>“</w:t>
      </w:r>
      <w:r w:rsidR="00937C43" w:rsidRPr="00937C43">
        <w:t xml:space="preserve">Separate lives, different interests: </w:t>
      </w:r>
      <w:r w:rsidR="004935CD">
        <w:t>M</w:t>
      </w:r>
      <w:r w:rsidR="00937C43" w:rsidRPr="00937C43">
        <w:t>ale and female reproduction in the Gambia.</w:t>
      </w:r>
      <w:r>
        <w:t>”</w:t>
      </w:r>
      <w:r w:rsidR="00937C43" w:rsidRPr="00937C43">
        <w:t xml:space="preserve"> </w:t>
      </w:r>
      <w:r w:rsidR="00937C43" w:rsidRPr="00937C43">
        <w:rPr>
          <w:i/>
          <w:iCs/>
        </w:rPr>
        <w:t>Bulletin of the World Health Organization</w:t>
      </w:r>
      <w:r w:rsidR="00937C43" w:rsidRPr="00937C43">
        <w:t xml:space="preserve"> </w:t>
      </w:r>
      <w:r w:rsidR="00937C43" w:rsidRPr="00680780">
        <w:rPr>
          <w:iCs/>
        </w:rPr>
        <w:t>78</w:t>
      </w:r>
      <w:r>
        <w:t>(5):</w:t>
      </w:r>
      <w:r w:rsidR="00937C43" w:rsidRPr="00937C43">
        <w:t xml:space="preserve"> 570–79.</w:t>
      </w:r>
    </w:p>
    <w:p w14:paraId="27648A6E" w14:textId="09A290A5" w:rsidR="00937C43" w:rsidRDefault="00EC1F18" w:rsidP="00A40EEF">
      <w:pPr>
        <w:pStyle w:val="Bibliographie"/>
      </w:pPr>
      <w:r>
        <w:t>Schoumaker, Bruno. 2017</w:t>
      </w:r>
      <w:r w:rsidR="00937C43" w:rsidRPr="00937C43">
        <w:t xml:space="preserve">. </w:t>
      </w:r>
      <w:r>
        <w:t>“</w:t>
      </w:r>
      <w:r w:rsidR="00937C43" w:rsidRPr="00937C43">
        <w:t>Measuring male fertility rates in developing countries with Demographic and Health Surveys: An assessment of three methods.</w:t>
      </w:r>
      <w:r>
        <w:t>”</w:t>
      </w:r>
      <w:r w:rsidR="00937C43" w:rsidRPr="00937C43">
        <w:t xml:space="preserve"> </w:t>
      </w:r>
      <w:r w:rsidR="00937C43" w:rsidRPr="00937C43">
        <w:rPr>
          <w:i/>
          <w:iCs/>
        </w:rPr>
        <w:t>Demographic Research</w:t>
      </w:r>
      <w:r w:rsidR="00937C43" w:rsidRPr="00937C43">
        <w:t xml:space="preserve"> </w:t>
      </w:r>
      <w:r w:rsidR="00937C43" w:rsidRPr="00EC1F18">
        <w:rPr>
          <w:iCs/>
        </w:rPr>
        <w:t>36</w:t>
      </w:r>
      <w:r>
        <w:t>(28):</w:t>
      </w:r>
      <w:r w:rsidR="00937C43" w:rsidRPr="00937C43">
        <w:t xml:space="preserve"> 803–50.</w:t>
      </w:r>
    </w:p>
    <w:p w14:paraId="5F64F373" w14:textId="7E992FD5" w:rsidR="00C37DE5" w:rsidRDefault="002E7189" w:rsidP="00C37DE5">
      <w:pPr>
        <w:pStyle w:val="Bibliographie"/>
      </w:pPr>
      <w:r>
        <w:t>Sear, Rebecca</w:t>
      </w:r>
      <w:r w:rsidR="00C37DE5">
        <w:t xml:space="preserve">, </w:t>
      </w:r>
      <w:r>
        <w:t xml:space="preserve">David </w:t>
      </w:r>
      <w:r w:rsidR="00C37DE5">
        <w:t xml:space="preserve">Lawson, </w:t>
      </w:r>
      <w:proofErr w:type="spellStart"/>
      <w:r>
        <w:t>Hillard</w:t>
      </w:r>
      <w:proofErr w:type="spellEnd"/>
      <w:r>
        <w:t xml:space="preserve"> </w:t>
      </w:r>
      <w:r w:rsidR="00C37DE5">
        <w:t>Kaplan</w:t>
      </w:r>
      <w:r>
        <w:t>, and</w:t>
      </w:r>
      <w:r w:rsidR="00C37DE5">
        <w:t xml:space="preserve"> </w:t>
      </w:r>
      <w:r>
        <w:t xml:space="preserve">Mary </w:t>
      </w:r>
      <w:proofErr w:type="spellStart"/>
      <w:r>
        <w:t>Shenk</w:t>
      </w:r>
      <w:proofErr w:type="spellEnd"/>
      <w:r>
        <w:t>. 2016</w:t>
      </w:r>
      <w:r w:rsidR="00C37DE5">
        <w:t xml:space="preserve">. </w:t>
      </w:r>
      <w:r>
        <w:t>“</w:t>
      </w:r>
      <w:r w:rsidR="00C37DE5" w:rsidRPr="00C37DE5">
        <w:t>Understanding variation in human fertility: what can we learn from evolutionary demography?</w:t>
      </w:r>
      <w:r>
        <w:t>”</w:t>
      </w:r>
      <w:r w:rsidR="00C37DE5">
        <w:t xml:space="preserve"> </w:t>
      </w:r>
      <w:r w:rsidR="00C37DE5" w:rsidRPr="002E7189">
        <w:rPr>
          <w:rFonts w:cs="Times New Roman"/>
          <w:i/>
        </w:rPr>
        <w:t>Philosophical Transactions of the Royal Society B: Biological Sciences</w:t>
      </w:r>
      <w:r w:rsidR="00C37DE5" w:rsidRPr="002E7189">
        <w:rPr>
          <w:rFonts w:cs="Times New Roman"/>
        </w:rPr>
        <w:t xml:space="preserve"> 371(1692),</w:t>
      </w:r>
      <w:r>
        <w:rPr>
          <w:rFonts w:cs="Times New Roman"/>
        </w:rPr>
        <w:t xml:space="preserve"> 20150144.</w:t>
      </w:r>
      <w:r w:rsidR="00C37DE5">
        <w:rPr>
          <w:rFonts w:ascii="Arial" w:hAnsi="Arial" w:cs="Arial"/>
          <w:color w:val="000000"/>
          <w:sz w:val="20"/>
          <w:szCs w:val="20"/>
          <w:shd w:val="clear" w:color="auto" w:fill="FFFFFF"/>
        </w:rPr>
        <w:t xml:space="preserve"> </w:t>
      </w:r>
    </w:p>
    <w:p w14:paraId="571F66A4" w14:textId="418ED598" w:rsidR="00937C43" w:rsidRPr="00937C43" w:rsidRDefault="00997387" w:rsidP="00A40EEF">
      <w:pPr>
        <w:pStyle w:val="Bibliographie"/>
      </w:pPr>
      <w:proofErr w:type="spellStart"/>
      <w:proofErr w:type="gramStart"/>
      <w:r>
        <w:t>Tragaki</w:t>
      </w:r>
      <w:proofErr w:type="spellEnd"/>
      <w:r>
        <w:t>, Alexandra</w:t>
      </w:r>
      <w:r w:rsidR="00937C43" w:rsidRPr="00937C43">
        <w:t xml:space="preserve"> </w:t>
      </w:r>
      <w:r>
        <w:t>and Christos</w:t>
      </w:r>
      <w:r w:rsidR="00937C43" w:rsidRPr="00937C43">
        <w:t xml:space="preserve"> </w:t>
      </w:r>
      <w:proofErr w:type="spellStart"/>
      <w:r w:rsidR="00937C43" w:rsidRPr="00937C43">
        <w:t>Bagavos</w:t>
      </w:r>
      <w:proofErr w:type="spellEnd"/>
      <w:r>
        <w:t>.</w:t>
      </w:r>
      <w:proofErr w:type="gramEnd"/>
      <w:r>
        <w:t xml:space="preserve"> 2014</w:t>
      </w:r>
      <w:r w:rsidR="00937C43" w:rsidRPr="00937C43">
        <w:t xml:space="preserve">. </w:t>
      </w:r>
      <w:r>
        <w:t>“</w:t>
      </w:r>
      <w:r w:rsidR="00937C43" w:rsidRPr="00937C43">
        <w:t>Male fertility in Greece: Trends and differentials by education level and employment status.</w:t>
      </w:r>
      <w:r>
        <w:t>”</w:t>
      </w:r>
      <w:r w:rsidR="00937C43" w:rsidRPr="00937C43">
        <w:t xml:space="preserve"> </w:t>
      </w:r>
      <w:r w:rsidR="00937C43" w:rsidRPr="00937C43">
        <w:rPr>
          <w:i/>
          <w:iCs/>
        </w:rPr>
        <w:t>Demographic Research</w:t>
      </w:r>
      <w:r w:rsidR="00937C43" w:rsidRPr="00937C43">
        <w:t xml:space="preserve"> </w:t>
      </w:r>
      <w:r w:rsidR="00937C43" w:rsidRPr="00997387">
        <w:rPr>
          <w:iCs/>
        </w:rPr>
        <w:t>31</w:t>
      </w:r>
      <w:r>
        <w:t xml:space="preserve">(6): </w:t>
      </w:r>
      <w:r w:rsidR="00937C43" w:rsidRPr="00937C43">
        <w:t>137–60.</w:t>
      </w:r>
    </w:p>
    <w:p w14:paraId="6AB182C2" w14:textId="68D1D99E" w:rsidR="00937C43" w:rsidRPr="00937C43" w:rsidRDefault="0053057D" w:rsidP="00A40EEF">
      <w:pPr>
        <w:pStyle w:val="Bibliographie"/>
      </w:pPr>
      <w:proofErr w:type="gramStart"/>
      <w:r>
        <w:t>United Nations.</w:t>
      </w:r>
      <w:proofErr w:type="gramEnd"/>
      <w:r>
        <w:t xml:space="preserve"> 2017</w:t>
      </w:r>
      <w:r w:rsidR="00937C43" w:rsidRPr="00937C43">
        <w:t xml:space="preserve">. </w:t>
      </w:r>
      <w:r w:rsidR="00937C43" w:rsidRPr="00937C43">
        <w:rPr>
          <w:i/>
          <w:iCs/>
        </w:rPr>
        <w:t>United Nations Demographic Yearbook 2016.</w:t>
      </w:r>
      <w:r w:rsidR="00937C43" w:rsidRPr="00937C43">
        <w:t xml:space="preserve"> New York: United Nations. https://unstats.un.org/unsd/demographic-social/products/dyb/</w:t>
      </w:r>
    </w:p>
    <w:p w14:paraId="36F23CDF" w14:textId="48BF8EF4" w:rsidR="00937C43" w:rsidRPr="00942051" w:rsidRDefault="00937C43" w:rsidP="00A40EEF">
      <w:pPr>
        <w:pStyle w:val="Bibliographie"/>
      </w:pPr>
      <w:proofErr w:type="gramStart"/>
      <w:r w:rsidRPr="00937C43">
        <w:t>Unite</w:t>
      </w:r>
      <w:r w:rsidR="00902726">
        <w:t>d Nations Population Division.</w:t>
      </w:r>
      <w:proofErr w:type="gramEnd"/>
      <w:r w:rsidR="00902726">
        <w:t xml:space="preserve"> </w:t>
      </w:r>
      <w:r w:rsidRPr="00937C43">
        <w:t>201</w:t>
      </w:r>
      <w:r w:rsidR="00902726">
        <w:t>7</w:t>
      </w:r>
      <w:r w:rsidRPr="00937C43">
        <w:t xml:space="preserve">. </w:t>
      </w:r>
      <w:r w:rsidRPr="006B7111">
        <w:rPr>
          <w:i/>
        </w:rPr>
        <w:t>World Population Prospects: The 2017 Revision</w:t>
      </w:r>
      <w:r w:rsidRPr="00937C43">
        <w:t>.</w:t>
      </w:r>
      <w:r w:rsidR="0053057D">
        <w:t xml:space="preserve"> New York: United Nations.</w:t>
      </w:r>
      <w:r w:rsidRPr="00937C43">
        <w:t xml:space="preserve"> </w:t>
      </w:r>
      <w:r w:rsidRPr="00942051">
        <w:t>http://esa.un.org/unpd/wpp/</w:t>
      </w:r>
    </w:p>
    <w:p w14:paraId="0615FC2D" w14:textId="18E475E9" w:rsidR="00937C43" w:rsidRPr="006B7111" w:rsidRDefault="00902726" w:rsidP="00A40EEF">
      <w:pPr>
        <w:pStyle w:val="Bibliographie"/>
        <w:rPr>
          <w:lang w:val="fr-BE"/>
        </w:rPr>
      </w:pPr>
      <w:r w:rsidRPr="00902726">
        <w:rPr>
          <w:lang w:val="fr-BE"/>
        </w:rPr>
        <w:t>Vallin, Jacques</w:t>
      </w:r>
      <w:r w:rsidR="00937C43" w:rsidRPr="00902726">
        <w:rPr>
          <w:lang w:val="fr-BE"/>
        </w:rPr>
        <w:t xml:space="preserve"> </w:t>
      </w:r>
      <w:r w:rsidRPr="00902726">
        <w:rPr>
          <w:lang w:val="fr-BE"/>
        </w:rPr>
        <w:t xml:space="preserve">and Graziella </w:t>
      </w:r>
      <w:proofErr w:type="spellStart"/>
      <w:r w:rsidR="00937C43" w:rsidRPr="00902726">
        <w:rPr>
          <w:lang w:val="fr-BE"/>
        </w:rPr>
        <w:t>Caselli</w:t>
      </w:r>
      <w:proofErr w:type="spellEnd"/>
      <w:r w:rsidRPr="00902726">
        <w:rPr>
          <w:lang w:val="fr-BE"/>
        </w:rPr>
        <w:t>.</w:t>
      </w:r>
      <w:r>
        <w:rPr>
          <w:lang w:val="fr-BE"/>
        </w:rPr>
        <w:t xml:space="preserve"> 2001</w:t>
      </w:r>
      <w:r w:rsidR="00937C43" w:rsidRPr="00902726">
        <w:rPr>
          <w:lang w:val="fr-BE"/>
        </w:rPr>
        <w:t xml:space="preserve">. </w:t>
      </w:r>
      <w:r w:rsidRPr="00902726">
        <w:rPr>
          <w:lang w:val="fr-BE"/>
        </w:rPr>
        <w:t>“</w:t>
      </w:r>
      <w:r w:rsidR="00937C43" w:rsidRPr="00902726">
        <w:rPr>
          <w:lang w:val="fr-BE"/>
        </w:rPr>
        <w:t>Le remplacement de la population.</w:t>
      </w:r>
      <w:r w:rsidRPr="00902726">
        <w:rPr>
          <w:lang w:val="fr-BE"/>
        </w:rPr>
        <w:t>”</w:t>
      </w:r>
      <w:r w:rsidR="00937C43" w:rsidRPr="00902726">
        <w:rPr>
          <w:lang w:val="fr-BE"/>
        </w:rPr>
        <w:t xml:space="preserve"> In </w:t>
      </w:r>
      <w:r w:rsidR="00937C43" w:rsidRPr="00EA5331">
        <w:rPr>
          <w:i/>
          <w:iCs/>
          <w:lang w:val="fr-BE"/>
        </w:rPr>
        <w:t>Démographie</w:t>
      </w:r>
      <w:r w:rsidR="004935CD">
        <w:rPr>
          <w:i/>
          <w:iCs/>
          <w:lang w:val="fr-BE"/>
        </w:rPr>
        <w:t xml:space="preserve"> </w:t>
      </w:r>
      <w:r w:rsidR="00937C43" w:rsidRPr="00EA5331">
        <w:rPr>
          <w:i/>
          <w:iCs/>
          <w:lang w:val="fr-BE"/>
        </w:rPr>
        <w:t>: analyse et synthèse.</w:t>
      </w:r>
      <w:r w:rsidR="001C3436" w:rsidRPr="00EA5331">
        <w:rPr>
          <w:i/>
          <w:iCs/>
          <w:lang w:val="fr-BE"/>
        </w:rPr>
        <w:t xml:space="preserve"> </w:t>
      </w:r>
      <w:r w:rsidR="00937C43" w:rsidRPr="00EA5331">
        <w:rPr>
          <w:i/>
          <w:iCs/>
          <w:lang w:val="fr-BE"/>
        </w:rPr>
        <w:t>I. La dynamique des populations</w:t>
      </w:r>
      <w:r>
        <w:rPr>
          <w:i/>
          <w:iCs/>
          <w:lang w:val="fr-BE"/>
        </w:rPr>
        <w:t xml:space="preserve">, </w:t>
      </w:r>
      <w:proofErr w:type="spellStart"/>
      <w:r>
        <w:rPr>
          <w:iCs/>
          <w:lang w:val="fr-BE"/>
        </w:rPr>
        <w:t>edited</w:t>
      </w:r>
      <w:proofErr w:type="spellEnd"/>
      <w:r>
        <w:rPr>
          <w:iCs/>
          <w:lang w:val="fr-BE"/>
        </w:rPr>
        <w:t xml:space="preserve"> by </w:t>
      </w:r>
      <w:r>
        <w:rPr>
          <w:lang w:val="fr-BE"/>
        </w:rPr>
        <w:t xml:space="preserve">Graziella </w:t>
      </w:r>
      <w:proofErr w:type="spellStart"/>
      <w:r>
        <w:rPr>
          <w:lang w:val="fr-BE"/>
        </w:rPr>
        <w:t>Caselli</w:t>
      </w:r>
      <w:proofErr w:type="spellEnd"/>
      <w:r>
        <w:rPr>
          <w:lang w:val="fr-BE"/>
        </w:rPr>
        <w:t>, Jacques</w:t>
      </w:r>
      <w:r w:rsidRPr="00902726">
        <w:rPr>
          <w:lang w:val="fr-BE"/>
        </w:rPr>
        <w:t xml:space="preserve"> Vallin, </w:t>
      </w:r>
      <w:r>
        <w:rPr>
          <w:lang w:val="fr-BE"/>
        </w:rPr>
        <w:t>and Guillaume</w:t>
      </w:r>
      <w:r w:rsidRPr="00902726">
        <w:rPr>
          <w:lang w:val="fr-BE"/>
        </w:rPr>
        <w:t xml:space="preserve"> </w:t>
      </w:r>
      <w:proofErr w:type="spellStart"/>
      <w:r w:rsidRPr="00902726">
        <w:rPr>
          <w:lang w:val="fr-BE"/>
        </w:rPr>
        <w:t>Wun</w:t>
      </w:r>
      <w:r>
        <w:rPr>
          <w:lang w:val="fr-BE"/>
        </w:rPr>
        <w:t>sch</w:t>
      </w:r>
      <w:proofErr w:type="spellEnd"/>
      <w:r>
        <w:rPr>
          <w:lang w:val="fr-BE"/>
        </w:rPr>
        <w:t>, 403–19</w:t>
      </w:r>
      <w:r w:rsidR="00937C43" w:rsidRPr="00EA5331">
        <w:rPr>
          <w:lang w:val="fr-BE"/>
        </w:rPr>
        <w:t xml:space="preserve">. </w:t>
      </w:r>
      <w:r w:rsidR="00937C43" w:rsidRPr="006B7111">
        <w:rPr>
          <w:lang w:val="fr-BE"/>
        </w:rPr>
        <w:t xml:space="preserve">Paris: </w:t>
      </w:r>
      <w:r w:rsidR="004935CD" w:rsidRPr="006B7111">
        <w:rPr>
          <w:lang w:val="fr-BE"/>
        </w:rPr>
        <w:t xml:space="preserve">INED/PUF. </w:t>
      </w:r>
    </w:p>
    <w:p w14:paraId="1477F090" w14:textId="1266883D" w:rsidR="00937C43" w:rsidRPr="00937C43" w:rsidRDefault="00902726" w:rsidP="00A40EEF">
      <w:pPr>
        <w:pStyle w:val="Bibliographie"/>
      </w:pPr>
      <w:r>
        <w:rPr>
          <w:lang w:val="fr-BE"/>
        </w:rPr>
        <w:lastRenderedPageBreak/>
        <w:t>Vincent, Paul. 1946</w:t>
      </w:r>
      <w:r w:rsidR="00937C43" w:rsidRPr="006B7111">
        <w:rPr>
          <w:lang w:val="fr-BE"/>
        </w:rPr>
        <w:t xml:space="preserve">. </w:t>
      </w:r>
      <w:r w:rsidRPr="00902726">
        <w:rPr>
          <w:lang w:val="fr-BE"/>
        </w:rPr>
        <w:t>“</w:t>
      </w:r>
      <w:r w:rsidR="00937C43" w:rsidRPr="00EA5331">
        <w:rPr>
          <w:lang w:val="fr-BE"/>
        </w:rPr>
        <w:t>De la mesure du taux intrinsèque d’accroissement naturel dans les populations monogames.</w:t>
      </w:r>
      <w:r w:rsidRPr="00902726">
        <w:rPr>
          <w:lang w:val="fr-BE"/>
        </w:rPr>
        <w:t xml:space="preserve"> ”</w:t>
      </w:r>
      <w:r w:rsidR="00937C43" w:rsidRPr="00EA5331">
        <w:rPr>
          <w:lang w:val="fr-BE"/>
        </w:rPr>
        <w:t xml:space="preserve"> </w:t>
      </w:r>
      <w:r w:rsidR="00937C43" w:rsidRPr="00937C43">
        <w:rPr>
          <w:i/>
          <w:iCs/>
        </w:rPr>
        <w:t>Population</w:t>
      </w:r>
      <w:r w:rsidR="00937C43" w:rsidRPr="00937C43">
        <w:t xml:space="preserve"> </w:t>
      </w:r>
      <w:r w:rsidR="00937C43" w:rsidRPr="00902726">
        <w:rPr>
          <w:iCs/>
        </w:rPr>
        <w:t>1</w:t>
      </w:r>
      <w:r>
        <w:t>(4):</w:t>
      </w:r>
      <w:r w:rsidR="00937C43" w:rsidRPr="00937C43">
        <w:t xml:space="preserve"> 699–712. </w:t>
      </w:r>
    </w:p>
    <w:p w14:paraId="58549037" w14:textId="521A67B1" w:rsidR="00937C43" w:rsidRPr="00275392" w:rsidRDefault="00902726" w:rsidP="00A40EEF">
      <w:pPr>
        <w:pStyle w:val="Bibliographie"/>
      </w:pPr>
      <w:r>
        <w:t>Zhang, Li. 2011</w:t>
      </w:r>
      <w:r w:rsidR="00937C43" w:rsidRPr="00937C43">
        <w:t xml:space="preserve">. </w:t>
      </w:r>
      <w:r w:rsidR="00937C43" w:rsidRPr="00937C43">
        <w:rPr>
          <w:i/>
          <w:iCs/>
        </w:rPr>
        <w:t>Male Fertility Patterns and Determinants</w:t>
      </w:r>
      <w:r w:rsidR="00937C43" w:rsidRPr="00937C43">
        <w:t xml:space="preserve">. </w:t>
      </w:r>
      <w:r w:rsidR="00937C43" w:rsidRPr="00275392">
        <w:t>Dordrecht: Springer Netherlands.</w:t>
      </w:r>
    </w:p>
    <w:p w14:paraId="3F2D67E5" w14:textId="77777777" w:rsidR="006E1A7E" w:rsidRDefault="006E1A7E" w:rsidP="00A40EEF"/>
    <w:p w14:paraId="741584A5" w14:textId="00F8B8A7" w:rsidR="00BB0A11" w:rsidRDefault="006E1A7E" w:rsidP="00A40EEF">
      <w:r>
        <w:br w:type="page"/>
      </w:r>
      <w:proofErr w:type="gramStart"/>
      <w:r w:rsidRPr="00495AFA">
        <w:rPr>
          <w:b/>
        </w:rPr>
        <w:lastRenderedPageBreak/>
        <w:t>Appendix 1.</w:t>
      </w:r>
      <w:proofErr w:type="gramEnd"/>
      <w:r>
        <w:t xml:space="preserve"> </w:t>
      </w:r>
      <w:proofErr w:type="gramStart"/>
      <w:r>
        <w:t xml:space="preserve">Obtaining the male total fertility rate from projected births, number of </w:t>
      </w:r>
      <w:r w:rsidR="00370657">
        <w:t>men</w:t>
      </w:r>
      <w:r>
        <w:t>, and proportionate age-specific fertility rates.</w:t>
      </w:r>
      <w:proofErr w:type="gramEnd"/>
    </w:p>
    <w:p w14:paraId="788EA2E7" w14:textId="62CEFD6C" w:rsidR="006E1A7E" w:rsidRDefault="006E1A7E" w:rsidP="00A40EEF">
      <w:pPr>
        <w:rPr>
          <w:i/>
        </w:rPr>
      </w:pPr>
      <w:r>
        <w:t xml:space="preserve">The sum of the product of male age-specific fertility rates during year </w:t>
      </w:r>
      <w:r>
        <w:rPr>
          <w:i/>
        </w:rPr>
        <w:t>t</w:t>
      </w:r>
      <w:r>
        <w:t xml:space="preserve"> and of the number of </w:t>
      </w:r>
      <w:r w:rsidR="00370657">
        <w:t>men</w:t>
      </w:r>
      <w:r>
        <w:t xml:space="preserve"> by age at mid-year gives the number of birth</w:t>
      </w:r>
      <w:r w:rsidR="00383871">
        <w:t>s</w:t>
      </w:r>
      <w:r>
        <w:t xml:space="preserve"> during year t</w:t>
      </w:r>
      <w:r>
        <w:rPr>
          <w:i/>
        </w:rPr>
        <w:t>.</w:t>
      </w:r>
    </w:p>
    <w:p w14:paraId="130C6697" w14:textId="3E8E8F94" w:rsidR="006E1A7E" w:rsidRPr="006D7B40" w:rsidRDefault="006E1A7E" w:rsidP="00A40EEF">
      <w:pPr>
        <w:rPr>
          <w:rFonts w:eastAsiaTheme="minorEastAsia"/>
        </w:rPr>
      </w:pPr>
      <m:oMath>
        <m:r>
          <w:rPr>
            <w:rFonts w:ascii="Cambria Math" w:hAnsi="Cambria Math"/>
          </w:rPr>
          <m:t>B</m:t>
        </m:r>
        <m:d>
          <m:dPr>
            <m:ctrlPr>
              <w:rPr>
                <w:rFonts w:ascii="Cambria Math" w:hAnsi="Cambria Math"/>
              </w:rPr>
            </m:ctrlPr>
          </m:dPr>
          <m:e>
            <m:r>
              <w:rPr>
                <w:rFonts w:ascii="Cambria Math" w:hAnsi="Cambria Math"/>
              </w:rPr>
              <m:t>t</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x</m:t>
            </m:r>
            <m:r>
              <m:rPr>
                <m:sty m:val="p"/>
              </m:rPr>
              <w:rPr>
                <w:rFonts w:ascii="Cambria Math" w:hAnsi="Cambria Math"/>
              </w:rPr>
              <m:t>=15</m:t>
            </m:r>
          </m:sub>
          <m:sup>
            <m:r>
              <m:rPr>
                <m:sty m:val="p"/>
              </m:rPr>
              <w:rPr>
                <w:rFonts w:ascii="Cambria Math" w:hAnsi="Cambria Math"/>
              </w:rPr>
              <m:t>79</m:t>
            </m:r>
          </m:sup>
          <m:e>
            <m:sSubSup>
              <m:sSubSupPr>
                <m:ctrlPr>
                  <w:rPr>
                    <w:rFonts w:ascii="Cambria Math" w:hAnsi="Cambria Math"/>
                  </w:rPr>
                </m:ctrlPr>
              </m:sSubSupPr>
              <m:e>
                <m:r>
                  <w:rPr>
                    <w:rFonts w:ascii="Cambria Math" w:hAnsi="Cambria Math"/>
                  </w:rPr>
                  <m:t>f</m:t>
                </m:r>
              </m:e>
              <m:sub>
                <m:r>
                  <w:rPr>
                    <w:rFonts w:ascii="Cambria Math" w:hAnsi="Cambria Math"/>
                  </w:rPr>
                  <m:t>x</m:t>
                </m:r>
              </m:sub>
              <m:sup>
                <m:r>
                  <w:rPr>
                    <w:rFonts w:ascii="Cambria Math" w:hAnsi="Cambria Math"/>
                  </w:rPr>
                  <m:t>m</m:t>
                </m:r>
              </m:sup>
            </m:sSubSup>
            <m:d>
              <m:dPr>
                <m:ctrlPr>
                  <w:rPr>
                    <w:rFonts w:ascii="Cambria Math" w:hAnsi="Cambria Math"/>
                  </w:rPr>
                </m:ctrlPr>
              </m:dPr>
              <m:e>
                <m:r>
                  <w:rPr>
                    <w:rFonts w:ascii="Cambria Math" w:hAnsi="Cambria Math"/>
                  </w:rPr>
                  <m:t>t</m:t>
                </m:r>
              </m:e>
            </m:d>
            <m:r>
              <m:rPr>
                <m:sty m:val="p"/>
              </m:rPr>
              <w:rPr>
                <w:rFonts w:ascii="Cambria Math" w:hAnsi="Cambria Math"/>
              </w:rPr>
              <m:t>.</m:t>
            </m:r>
            <m:sSubSup>
              <m:sSubSupPr>
                <m:ctrlPr>
                  <w:rPr>
                    <w:rFonts w:ascii="Cambria Math" w:hAnsi="Cambria Math"/>
                  </w:rPr>
                </m:ctrlPr>
              </m:sSubSupPr>
              <m:e>
                <m:r>
                  <w:rPr>
                    <w:rFonts w:ascii="Cambria Math" w:hAnsi="Cambria Math"/>
                  </w:rPr>
                  <m:t>M</m:t>
                </m:r>
              </m:e>
              <m:sub>
                <m:r>
                  <w:rPr>
                    <w:rFonts w:ascii="Cambria Math" w:hAnsi="Cambria Math"/>
                  </w:rPr>
                  <m:t>x</m:t>
                </m:r>
              </m:sub>
              <m:sup/>
            </m:sSubSup>
            <m:d>
              <m:dPr>
                <m:ctrlPr>
                  <w:rPr>
                    <w:rFonts w:ascii="Cambria Math" w:hAnsi="Cambria Math"/>
                  </w:rPr>
                </m:ctrlPr>
              </m:dPr>
              <m:e>
                <m:r>
                  <w:rPr>
                    <w:rFonts w:ascii="Cambria Math" w:hAnsi="Cambria Math"/>
                  </w:rPr>
                  <m:t>t</m:t>
                </m:r>
              </m:e>
            </m:d>
          </m:e>
        </m:nary>
      </m:oMath>
      <w:r w:rsidR="00E0072A" w:rsidRPr="006D7B40">
        <w:rPr>
          <w:rFonts w:eastAsiaTheme="minorEastAsia"/>
        </w:rPr>
        <w:tab/>
      </w:r>
      <w:r w:rsidR="00CA2112">
        <w:rPr>
          <w:rFonts w:eastAsiaTheme="minorEastAsia"/>
        </w:rPr>
        <w:tab/>
      </w:r>
      <w:r w:rsidR="00CA2112">
        <w:rPr>
          <w:rFonts w:eastAsiaTheme="minorEastAsia"/>
        </w:rPr>
        <w:tab/>
      </w:r>
      <w:r w:rsidR="00E0072A" w:rsidRPr="006D7B40">
        <w:rPr>
          <w:rFonts w:eastAsiaTheme="minorEastAsia"/>
        </w:rPr>
        <w:t>[Eq.</w:t>
      </w:r>
      <w:r w:rsidR="000125CF">
        <w:rPr>
          <w:rFonts w:eastAsiaTheme="minorEastAsia"/>
        </w:rPr>
        <w:t xml:space="preserve"> </w:t>
      </w:r>
      <w:r w:rsidR="006D7B40" w:rsidRPr="006D7B40">
        <w:rPr>
          <w:rFonts w:eastAsiaTheme="minorEastAsia"/>
        </w:rPr>
        <w:t>A</w:t>
      </w:r>
      <w:r w:rsidR="00E0072A" w:rsidRPr="006D7B40">
        <w:rPr>
          <w:rFonts w:eastAsiaTheme="minorEastAsia"/>
        </w:rPr>
        <w:t>1]</w:t>
      </w:r>
    </w:p>
    <w:p w14:paraId="5DC86D45" w14:textId="5BEF6968" w:rsidR="006E1A7E" w:rsidRPr="00CB0F9B" w:rsidRDefault="006E1A7E" w:rsidP="00A40EEF">
      <w:r>
        <w:t xml:space="preserve">Where </w:t>
      </w:r>
      <m:oMath>
        <m:r>
          <w:rPr>
            <w:rFonts w:ascii="Cambria Math" w:hAnsi="Cambria Math"/>
          </w:rPr>
          <m:t>B</m:t>
        </m:r>
        <m:d>
          <m:dPr>
            <m:ctrlPr>
              <w:rPr>
                <w:rFonts w:ascii="Cambria Math" w:hAnsi="Cambria Math"/>
                <w:i/>
              </w:rPr>
            </m:ctrlPr>
          </m:dPr>
          <m:e>
            <m:r>
              <w:rPr>
                <w:rFonts w:ascii="Cambria Math" w:hAnsi="Cambria Math"/>
              </w:rPr>
              <m:t>t</m:t>
            </m:r>
          </m:e>
        </m:d>
      </m:oMath>
      <w:r>
        <w:t xml:space="preserve"> is the number of births during year t, </w:t>
      </w:r>
      <m:oMath>
        <m:sSubSup>
          <m:sSubSupPr>
            <m:ctrlPr>
              <w:rPr>
                <w:rFonts w:ascii="Cambria Math" w:hAnsi="Cambria Math"/>
                <w:i/>
              </w:rPr>
            </m:ctrlPr>
          </m:sSubSupPr>
          <m:e>
            <m:r>
              <w:rPr>
                <w:rFonts w:ascii="Cambria Math" w:hAnsi="Cambria Math"/>
              </w:rPr>
              <m:t>f</m:t>
            </m:r>
          </m:e>
          <m:sub>
            <m:r>
              <w:rPr>
                <w:rFonts w:ascii="Cambria Math" w:hAnsi="Cambria Math"/>
              </w:rPr>
              <m:t>x</m:t>
            </m:r>
          </m:sub>
          <m:sup>
            <m:r>
              <w:rPr>
                <w:rFonts w:ascii="Cambria Math" w:hAnsi="Cambria Math"/>
              </w:rPr>
              <m:t>m</m:t>
            </m:r>
          </m:sup>
        </m:sSubSup>
        <m:d>
          <m:dPr>
            <m:ctrlPr>
              <w:rPr>
                <w:rFonts w:ascii="Cambria Math" w:hAnsi="Cambria Math"/>
                <w:i/>
              </w:rPr>
            </m:ctrlPr>
          </m:dPr>
          <m:e>
            <m:r>
              <w:rPr>
                <w:rFonts w:ascii="Cambria Math" w:hAnsi="Cambria Math"/>
              </w:rPr>
              <m:t>t</m:t>
            </m:r>
          </m:e>
        </m:d>
        <m:r>
          <w:rPr>
            <w:rFonts w:ascii="Cambria Math" w:hAnsi="Cambria Math"/>
          </w:rPr>
          <m:t xml:space="preserve"> </m:t>
        </m:r>
      </m:oMath>
      <w:r>
        <w:t xml:space="preserve">are the age-specific </w:t>
      </w:r>
      <w:r w:rsidR="00E0072A">
        <w:t xml:space="preserve">male </w:t>
      </w:r>
      <w:r>
        <w:t xml:space="preserve">fertility rates at age x during year t, and </w:t>
      </w:r>
      <m:oMath>
        <m:sSubSup>
          <m:sSubSupPr>
            <m:ctrlPr>
              <w:rPr>
                <w:rFonts w:ascii="Cambria Math" w:hAnsi="Cambria Math"/>
                <w:i/>
              </w:rPr>
            </m:ctrlPr>
          </m:sSubSupPr>
          <m:e>
            <m:r>
              <w:rPr>
                <w:rFonts w:ascii="Cambria Math" w:hAnsi="Cambria Math"/>
              </w:rPr>
              <m:t>M</m:t>
            </m:r>
          </m:e>
          <m:sub>
            <m:r>
              <w:rPr>
                <w:rFonts w:ascii="Cambria Math" w:hAnsi="Cambria Math"/>
              </w:rPr>
              <m:t>x</m:t>
            </m:r>
          </m:sub>
          <m:sup/>
        </m:sSubSup>
        <m:d>
          <m:dPr>
            <m:ctrlPr>
              <w:rPr>
                <w:rFonts w:ascii="Cambria Math" w:hAnsi="Cambria Math"/>
                <w:i/>
              </w:rPr>
            </m:ctrlPr>
          </m:dPr>
          <m:e>
            <m:r>
              <w:rPr>
                <w:rFonts w:ascii="Cambria Math" w:hAnsi="Cambria Math"/>
              </w:rPr>
              <m:t>t</m:t>
            </m:r>
          </m:e>
        </m:d>
      </m:oMath>
      <w:r>
        <w:t xml:space="preserve"> is the number of </w:t>
      </w:r>
      <w:r w:rsidR="00370657">
        <w:t>men</w:t>
      </w:r>
      <w:r>
        <w:t xml:space="preserve"> aged x at mid-year </w:t>
      </w:r>
      <w:r w:rsidRPr="00CB0F9B">
        <w:rPr>
          <w:i/>
        </w:rPr>
        <w:t>t</w:t>
      </w:r>
      <w:r>
        <w:t xml:space="preserve">. The number of births </w:t>
      </w:r>
      <m:oMath>
        <m:r>
          <w:rPr>
            <w:rFonts w:ascii="Cambria Math" w:hAnsi="Cambria Math"/>
          </w:rPr>
          <m:t>B</m:t>
        </m:r>
        <m:d>
          <m:dPr>
            <m:ctrlPr>
              <w:rPr>
                <w:rFonts w:ascii="Cambria Math" w:hAnsi="Cambria Math"/>
                <w:i/>
              </w:rPr>
            </m:ctrlPr>
          </m:dPr>
          <m:e>
            <m:r>
              <w:rPr>
                <w:rFonts w:ascii="Cambria Math" w:hAnsi="Cambria Math"/>
              </w:rPr>
              <m:t>t</m:t>
            </m:r>
          </m:e>
        </m:d>
        <m:r>
          <w:rPr>
            <w:rFonts w:ascii="Cambria Math" w:hAnsi="Cambria Math"/>
          </w:rPr>
          <m:t xml:space="preserve"> </m:t>
        </m:r>
      </m:oMath>
      <w:r>
        <w:t xml:space="preserve">and the number of </w:t>
      </w:r>
      <w:r w:rsidR="00370657">
        <w:t>men</w:t>
      </w:r>
      <w:r>
        <w:t xml:space="preserve"> </w:t>
      </w:r>
      <m:oMath>
        <m:sSubSup>
          <m:sSubSupPr>
            <m:ctrlPr>
              <w:rPr>
                <w:rFonts w:ascii="Cambria Math" w:hAnsi="Cambria Math"/>
                <w:i/>
              </w:rPr>
            </m:ctrlPr>
          </m:sSubSupPr>
          <m:e>
            <m:r>
              <w:rPr>
                <w:rFonts w:ascii="Cambria Math" w:hAnsi="Cambria Math"/>
              </w:rPr>
              <m:t>M</m:t>
            </m:r>
          </m:e>
          <m:sub>
            <m:r>
              <w:rPr>
                <w:rFonts w:ascii="Cambria Math" w:hAnsi="Cambria Math"/>
              </w:rPr>
              <m:t>x</m:t>
            </m:r>
          </m:sub>
          <m:sup/>
        </m:sSubSup>
        <m:d>
          <m:dPr>
            <m:ctrlPr>
              <w:rPr>
                <w:rFonts w:ascii="Cambria Math" w:hAnsi="Cambria Math"/>
                <w:i/>
              </w:rPr>
            </m:ctrlPr>
          </m:dPr>
          <m:e>
            <m:r>
              <w:rPr>
                <w:rFonts w:ascii="Cambria Math" w:hAnsi="Cambria Math"/>
              </w:rPr>
              <m:t>t</m:t>
            </m:r>
          </m:e>
        </m:d>
      </m:oMath>
      <w:r>
        <w:t xml:space="preserve"> are known from the population projection. </w:t>
      </w:r>
    </w:p>
    <w:p w14:paraId="6D14D5AB" w14:textId="74E158E0" w:rsidR="00E0072A" w:rsidRDefault="006E1A7E" w:rsidP="00A40EEF">
      <w:r>
        <w:t xml:space="preserve">If we define the age pattern of male fertility with proportionate age-specific fertility rates that </w:t>
      </w:r>
      <w:r w:rsidR="005E3C3C">
        <w:t xml:space="preserve">add up </w:t>
      </w:r>
      <w:r>
        <w:t>to 1, we have</w:t>
      </w:r>
    </w:p>
    <w:p w14:paraId="5355E6A6" w14:textId="02F6E86A" w:rsidR="006E1A7E" w:rsidRPr="00E0072A" w:rsidRDefault="00CE3C48" w:rsidP="00A40EEF">
      <m:oMath>
        <m:nary>
          <m:naryPr>
            <m:chr m:val="∑"/>
            <m:limLoc m:val="undOvr"/>
            <m:ctrlPr>
              <w:rPr>
                <w:rFonts w:ascii="Cambria Math" w:hAnsi="Cambria Math"/>
              </w:rPr>
            </m:ctrlPr>
          </m:naryPr>
          <m:sub>
            <m:r>
              <w:rPr>
                <w:rFonts w:ascii="Cambria Math" w:hAnsi="Cambria Math"/>
              </w:rPr>
              <m:t>x</m:t>
            </m:r>
            <m:r>
              <m:rPr>
                <m:sty m:val="p"/>
              </m:rPr>
              <w:rPr>
                <w:rFonts w:ascii="Cambria Math" w:hAnsi="Cambria Math"/>
              </w:rPr>
              <m:t>=15</m:t>
            </m:r>
          </m:sub>
          <m:sup>
            <m:r>
              <m:rPr>
                <m:sty m:val="p"/>
              </m:rPr>
              <w:rPr>
                <w:rFonts w:ascii="Cambria Math" w:hAnsi="Cambria Math"/>
              </w:rPr>
              <m:t>79</m:t>
            </m:r>
          </m:sup>
          <m:e>
            <m:sSubSup>
              <m:sSubSupPr>
                <m:ctrlPr>
                  <w:rPr>
                    <w:rFonts w:ascii="Cambria Math" w:hAnsi="Cambria Math"/>
                  </w:rPr>
                </m:ctrlPr>
              </m:sSubSupPr>
              <m:e>
                <m:r>
                  <w:rPr>
                    <w:rFonts w:ascii="Cambria Math" w:hAnsi="Cambria Math"/>
                  </w:rPr>
                  <m:t>f</m:t>
                </m:r>
              </m:e>
              <m:sub>
                <m:r>
                  <w:rPr>
                    <w:rFonts w:ascii="Cambria Math" w:hAnsi="Cambria Math"/>
                  </w:rPr>
                  <m:t>x</m:t>
                </m:r>
              </m:sub>
              <m:sup>
                <m:r>
                  <m:rPr>
                    <m:sty m:val="p"/>
                  </m:rPr>
                  <w:rPr>
                    <w:rFonts w:ascii="Cambria Math" w:hAnsi="Cambria Math"/>
                  </w:rPr>
                  <m:t>0</m:t>
                </m:r>
                <m:r>
                  <w:rPr>
                    <w:rFonts w:ascii="Cambria Math" w:hAnsi="Cambria Math"/>
                  </w:rPr>
                  <m:t>m</m:t>
                </m:r>
              </m:sup>
            </m:sSubSup>
            <m:d>
              <m:dPr>
                <m:ctrlPr>
                  <w:rPr>
                    <w:rFonts w:ascii="Cambria Math" w:hAnsi="Cambria Math"/>
                  </w:rPr>
                </m:ctrlPr>
              </m:dPr>
              <m:e>
                <m:r>
                  <w:rPr>
                    <w:rFonts w:ascii="Cambria Math" w:hAnsi="Cambria Math"/>
                  </w:rPr>
                  <m:t>t</m:t>
                </m:r>
              </m:e>
            </m:d>
            <m:r>
              <m:rPr>
                <m:sty m:val="p"/>
              </m:rPr>
              <w:rPr>
                <w:rFonts w:ascii="Cambria Math" w:hAnsi="Cambria Math"/>
              </w:rPr>
              <m:t>=1</m:t>
            </m:r>
          </m:e>
        </m:nary>
      </m:oMath>
      <w:r w:rsidR="00E0072A" w:rsidRPr="00E0072A">
        <w:tab/>
      </w:r>
      <w:r w:rsidR="00CA2112">
        <w:tab/>
      </w:r>
      <w:r w:rsidR="00CA2112">
        <w:tab/>
      </w:r>
      <w:r w:rsidR="00CA2112">
        <w:tab/>
      </w:r>
      <w:r w:rsidR="00E0072A" w:rsidRPr="00E0072A">
        <w:t>[Eq.</w:t>
      </w:r>
      <w:r w:rsidR="000125CF">
        <w:t xml:space="preserve"> </w:t>
      </w:r>
      <w:r w:rsidR="006D7B40">
        <w:t>A</w:t>
      </w:r>
      <w:r w:rsidR="00E0072A" w:rsidRPr="00E0072A">
        <w:t>2]</w:t>
      </w:r>
    </w:p>
    <w:p w14:paraId="217E4CF1" w14:textId="77777777" w:rsidR="006E1A7E" w:rsidRDefault="00E0072A" w:rsidP="00A40EEF">
      <w:r>
        <w:t>A</w:t>
      </w:r>
      <w:r w:rsidR="006E1A7E">
        <w:t xml:space="preserve">ge-specific </w:t>
      </w:r>
      <w:r>
        <w:t xml:space="preserve">male </w:t>
      </w:r>
      <w:r w:rsidR="006E1A7E">
        <w:t>fertility rates are</w:t>
      </w:r>
      <w:r>
        <w:t xml:space="preserve"> equal to the product of proportionate age-specific rates and the male total fertility rate.</w:t>
      </w:r>
    </w:p>
    <w:p w14:paraId="055A7CD7" w14:textId="01E86C33" w:rsidR="006E1A7E" w:rsidRPr="006D7B40" w:rsidRDefault="00CE3C48" w:rsidP="00A40EEF">
      <m:oMath>
        <m:sSubSup>
          <m:sSubSupPr>
            <m:ctrlPr>
              <w:rPr>
                <w:rFonts w:ascii="Cambria Math" w:hAnsi="Cambria Math"/>
              </w:rPr>
            </m:ctrlPr>
          </m:sSubSupPr>
          <m:e>
            <m:r>
              <w:rPr>
                <w:rFonts w:ascii="Cambria Math" w:hAnsi="Cambria Math"/>
              </w:rPr>
              <m:t>f</m:t>
            </m:r>
          </m:e>
          <m:sub>
            <m:r>
              <w:rPr>
                <w:rFonts w:ascii="Cambria Math" w:hAnsi="Cambria Math"/>
              </w:rPr>
              <m:t>x</m:t>
            </m:r>
          </m:sub>
          <m:sup>
            <m:r>
              <w:rPr>
                <w:rFonts w:ascii="Cambria Math" w:hAnsi="Cambria Math"/>
              </w:rPr>
              <m:t>m</m:t>
            </m:r>
          </m:sup>
        </m:sSubSup>
        <m:d>
          <m:dPr>
            <m:ctrlPr>
              <w:rPr>
                <w:rFonts w:ascii="Cambria Math" w:hAnsi="Cambria Math"/>
              </w:rPr>
            </m:ctrlPr>
          </m:dPr>
          <m:e>
            <m:r>
              <w:rPr>
                <w:rFonts w:ascii="Cambria Math" w:hAnsi="Cambria Math"/>
              </w:rPr>
              <m:t>t</m:t>
            </m:r>
          </m:e>
        </m:d>
        <m:r>
          <m:rPr>
            <m:sty m:val="p"/>
          </m:rPr>
          <w:rPr>
            <w:rFonts w:ascii="Cambria Math" w:hAnsi="Cambria Math"/>
          </w:rPr>
          <m:t xml:space="preserve">= </m:t>
        </m:r>
        <m:sSup>
          <m:sSupPr>
            <m:ctrlPr>
              <w:rPr>
                <w:rFonts w:ascii="Cambria Math" w:hAnsi="Cambria Math"/>
              </w:rPr>
            </m:ctrlPr>
          </m:sSupPr>
          <m:e>
            <m:r>
              <w:rPr>
                <w:rFonts w:ascii="Cambria Math" w:hAnsi="Cambria Math"/>
              </w:rPr>
              <m:t>TFR</m:t>
            </m:r>
          </m:e>
          <m:sup>
            <m:r>
              <w:rPr>
                <w:rFonts w:ascii="Cambria Math" w:hAnsi="Cambria Math"/>
              </w:rPr>
              <m:t>m</m:t>
            </m:r>
          </m:sup>
        </m:sSup>
        <m:d>
          <m:dPr>
            <m:ctrlPr>
              <w:rPr>
                <w:rFonts w:ascii="Cambria Math" w:hAnsi="Cambria Math"/>
              </w:rPr>
            </m:ctrlPr>
          </m:dPr>
          <m:e>
            <m:r>
              <w:rPr>
                <w:rFonts w:ascii="Cambria Math" w:hAnsi="Cambria Math"/>
              </w:rPr>
              <m:t>t</m:t>
            </m:r>
          </m:e>
        </m:d>
        <m:r>
          <m:rPr>
            <m:sty m:val="p"/>
          </m:rPr>
          <w:rPr>
            <w:rFonts w:ascii="Cambria Math" w:hAnsi="Cambria Math"/>
          </w:rPr>
          <m:t>.</m:t>
        </m:r>
        <m:sSubSup>
          <m:sSubSupPr>
            <m:ctrlPr>
              <w:rPr>
                <w:rFonts w:ascii="Cambria Math" w:hAnsi="Cambria Math"/>
              </w:rPr>
            </m:ctrlPr>
          </m:sSubSupPr>
          <m:e>
            <m:r>
              <w:rPr>
                <w:rFonts w:ascii="Cambria Math" w:hAnsi="Cambria Math"/>
              </w:rPr>
              <m:t>f</m:t>
            </m:r>
          </m:e>
          <m:sub>
            <m:r>
              <w:rPr>
                <w:rFonts w:ascii="Cambria Math" w:hAnsi="Cambria Math"/>
              </w:rPr>
              <m:t>x</m:t>
            </m:r>
          </m:sub>
          <m:sup>
            <m:r>
              <m:rPr>
                <m:sty m:val="p"/>
              </m:rPr>
              <w:rPr>
                <w:rFonts w:ascii="Cambria Math" w:hAnsi="Cambria Math"/>
              </w:rPr>
              <m:t>0</m:t>
            </m:r>
            <m:r>
              <w:rPr>
                <w:rFonts w:ascii="Cambria Math" w:hAnsi="Cambria Math"/>
              </w:rPr>
              <m:t>m</m:t>
            </m:r>
          </m:sup>
        </m:sSubSup>
        <m:d>
          <m:dPr>
            <m:ctrlPr>
              <w:rPr>
                <w:rFonts w:ascii="Cambria Math" w:hAnsi="Cambria Math"/>
              </w:rPr>
            </m:ctrlPr>
          </m:dPr>
          <m:e>
            <m:r>
              <w:rPr>
                <w:rFonts w:ascii="Cambria Math" w:hAnsi="Cambria Math"/>
              </w:rPr>
              <m:t>t</m:t>
            </m:r>
          </m:e>
        </m:d>
      </m:oMath>
      <w:r w:rsidR="00E0072A" w:rsidRPr="006D7B40">
        <w:rPr>
          <w:rFonts w:eastAsiaTheme="minorEastAsia"/>
        </w:rPr>
        <w:tab/>
      </w:r>
      <w:r w:rsidR="00CA2112">
        <w:rPr>
          <w:rFonts w:eastAsiaTheme="minorEastAsia"/>
        </w:rPr>
        <w:tab/>
      </w:r>
      <w:r w:rsidR="00CA2112">
        <w:rPr>
          <w:rFonts w:eastAsiaTheme="minorEastAsia"/>
        </w:rPr>
        <w:tab/>
      </w:r>
      <w:r w:rsidR="00E0072A" w:rsidRPr="006D7B40">
        <w:t>[Eq.</w:t>
      </w:r>
      <w:r w:rsidR="000125CF">
        <w:t xml:space="preserve"> </w:t>
      </w:r>
      <w:r w:rsidR="006D7B40" w:rsidRPr="006D7B40">
        <w:t>A</w:t>
      </w:r>
      <w:r w:rsidR="00E0072A" w:rsidRPr="006D7B40">
        <w:t>3]</w:t>
      </w:r>
    </w:p>
    <w:p w14:paraId="7B73FBEC" w14:textId="743F20B9" w:rsidR="00E0072A" w:rsidRDefault="00E0072A" w:rsidP="00A40EEF">
      <w:r>
        <w:t>Replacing the age-specific male fertility rates in Eq.</w:t>
      </w:r>
      <w:r w:rsidR="000125CF">
        <w:t xml:space="preserve"> </w:t>
      </w:r>
      <w:r w:rsidR="006D7B40">
        <w:t>A</w:t>
      </w:r>
      <w:r>
        <w:t>1 by Eq.</w:t>
      </w:r>
      <w:r w:rsidR="000125CF">
        <w:t xml:space="preserve"> </w:t>
      </w:r>
      <w:r>
        <w:t>3</w:t>
      </w:r>
      <w:r w:rsidR="00CC1C55">
        <w:t>, we obtain</w:t>
      </w:r>
    </w:p>
    <w:p w14:paraId="2B94994D" w14:textId="237FE79B" w:rsidR="006E1A7E" w:rsidRPr="006D7B40" w:rsidRDefault="006E1A7E" w:rsidP="00A40EEF">
      <m:oMath>
        <m:r>
          <w:rPr>
            <w:rFonts w:ascii="Cambria Math" w:hAnsi="Cambria Math"/>
          </w:rPr>
          <m:t>B</m:t>
        </m:r>
        <m:d>
          <m:dPr>
            <m:ctrlPr>
              <w:rPr>
                <w:rFonts w:ascii="Cambria Math" w:hAnsi="Cambria Math"/>
              </w:rPr>
            </m:ctrlPr>
          </m:dPr>
          <m:e>
            <m:r>
              <w:rPr>
                <w:rFonts w:ascii="Cambria Math" w:hAnsi="Cambria Math"/>
              </w:rPr>
              <m:t>t</m:t>
            </m:r>
          </m:e>
        </m:d>
        <m:r>
          <m:rPr>
            <m:sty m:val="p"/>
          </m:rPr>
          <w:rPr>
            <w:rFonts w:ascii="Cambria Math" w:hAnsi="Cambria Math"/>
          </w:rPr>
          <m:t>=</m:t>
        </m:r>
        <m:sSup>
          <m:sSupPr>
            <m:ctrlPr>
              <w:rPr>
                <w:rFonts w:ascii="Cambria Math" w:hAnsi="Cambria Math"/>
              </w:rPr>
            </m:ctrlPr>
          </m:sSupPr>
          <m:e>
            <m:r>
              <w:rPr>
                <w:rFonts w:ascii="Cambria Math" w:hAnsi="Cambria Math"/>
              </w:rPr>
              <m:t>TFR</m:t>
            </m:r>
          </m:e>
          <m:sup>
            <m:r>
              <w:rPr>
                <w:rFonts w:ascii="Cambria Math" w:hAnsi="Cambria Math"/>
              </w:rPr>
              <m:t>m</m:t>
            </m:r>
          </m:sup>
        </m:sSup>
        <m:d>
          <m:dPr>
            <m:ctrlPr>
              <w:rPr>
                <w:rFonts w:ascii="Cambria Math" w:hAnsi="Cambria Math"/>
              </w:rPr>
            </m:ctrlPr>
          </m:dPr>
          <m:e>
            <m:r>
              <w:rPr>
                <w:rFonts w:ascii="Cambria Math" w:hAnsi="Cambria Math"/>
              </w:rPr>
              <m:t>t</m:t>
            </m:r>
          </m:e>
        </m:d>
        <m:nary>
          <m:naryPr>
            <m:chr m:val="∑"/>
            <m:limLoc m:val="undOvr"/>
            <m:ctrlPr>
              <w:rPr>
                <w:rFonts w:ascii="Cambria Math" w:hAnsi="Cambria Math"/>
              </w:rPr>
            </m:ctrlPr>
          </m:naryPr>
          <m:sub>
            <m:r>
              <w:rPr>
                <w:rFonts w:ascii="Cambria Math" w:hAnsi="Cambria Math"/>
              </w:rPr>
              <m:t>x</m:t>
            </m:r>
            <m:r>
              <m:rPr>
                <m:sty m:val="p"/>
              </m:rPr>
              <w:rPr>
                <w:rFonts w:ascii="Cambria Math" w:hAnsi="Cambria Math"/>
              </w:rPr>
              <m:t>=15</m:t>
            </m:r>
          </m:sub>
          <m:sup>
            <m:r>
              <m:rPr>
                <m:sty m:val="p"/>
              </m:rPr>
              <w:rPr>
                <w:rFonts w:ascii="Cambria Math" w:hAnsi="Cambria Math"/>
              </w:rPr>
              <m:t>79</m:t>
            </m:r>
          </m:sup>
          <m:e>
            <m:sSubSup>
              <m:sSubSupPr>
                <m:ctrlPr>
                  <w:rPr>
                    <w:rFonts w:ascii="Cambria Math" w:hAnsi="Cambria Math"/>
                  </w:rPr>
                </m:ctrlPr>
              </m:sSubSupPr>
              <m:e>
                <m:r>
                  <w:rPr>
                    <w:rFonts w:ascii="Cambria Math" w:hAnsi="Cambria Math"/>
                  </w:rPr>
                  <m:t>f</m:t>
                </m:r>
              </m:e>
              <m:sub>
                <m:r>
                  <w:rPr>
                    <w:rFonts w:ascii="Cambria Math" w:hAnsi="Cambria Math"/>
                  </w:rPr>
                  <m:t>x</m:t>
                </m:r>
              </m:sub>
              <m:sup>
                <m:r>
                  <m:rPr>
                    <m:sty m:val="p"/>
                  </m:rPr>
                  <w:rPr>
                    <w:rFonts w:ascii="Cambria Math" w:hAnsi="Cambria Math"/>
                  </w:rPr>
                  <m:t>0</m:t>
                </m:r>
                <m:r>
                  <w:rPr>
                    <w:rFonts w:ascii="Cambria Math" w:hAnsi="Cambria Math"/>
                  </w:rPr>
                  <m:t>m</m:t>
                </m:r>
              </m:sup>
            </m:sSubSup>
            <m:d>
              <m:dPr>
                <m:ctrlPr>
                  <w:rPr>
                    <w:rFonts w:ascii="Cambria Math" w:hAnsi="Cambria Math"/>
                  </w:rPr>
                </m:ctrlPr>
              </m:dPr>
              <m:e>
                <m:r>
                  <w:rPr>
                    <w:rFonts w:ascii="Cambria Math" w:hAnsi="Cambria Math"/>
                  </w:rPr>
                  <m:t>t</m:t>
                </m:r>
              </m:e>
            </m:d>
            <m:r>
              <m:rPr>
                <m:sty m:val="p"/>
              </m:rPr>
              <w:rPr>
                <w:rFonts w:ascii="Cambria Math" w:hAnsi="Cambria Math"/>
              </w:rPr>
              <m:t>.</m:t>
            </m:r>
            <m:sSubSup>
              <m:sSubSupPr>
                <m:ctrlPr>
                  <w:rPr>
                    <w:rFonts w:ascii="Cambria Math" w:hAnsi="Cambria Math"/>
                  </w:rPr>
                </m:ctrlPr>
              </m:sSubSupPr>
              <m:e>
                <m:r>
                  <w:rPr>
                    <w:rFonts w:ascii="Cambria Math" w:hAnsi="Cambria Math"/>
                  </w:rPr>
                  <m:t>M</m:t>
                </m:r>
              </m:e>
              <m:sub>
                <m:r>
                  <w:rPr>
                    <w:rFonts w:ascii="Cambria Math" w:hAnsi="Cambria Math"/>
                  </w:rPr>
                  <m:t>x</m:t>
                </m:r>
              </m:sub>
              <m:sup/>
            </m:sSubSup>
            <m:d>
              <m:dPr>
                <m:ctrlPr>
                  <w:rPr>
                    <w:rFonts w:ascii="Cambria Math" w:hAnsi="Cambria Math"/>
                  </w:rPr>
                </m:ctrlPr>
              </m:dPr>
              <m:e>
                <m:r>
                  <w:rPr>
                    <w:rFonts w:ascii="Cambria Math" w:hAnsi="Cambria Math"/>
                  </w:rPr>
                  <m:t>t</m:t>
                </m:r>
              </m:e>
            </m:d>
          </m:e>
        </m:nary>
      </m:oMath>
      <w:r w:rsidR="00CC1C55" w:rsidRPr="006D7B40">
        <w:rPr>
          <w:rFonts w:eastAsiaTheme="minorEastAsia"/>
        </w:rPr>
        <w:tab/>
      </w:r>
      <w:r w:rsidR="00CC1C55" w:rsidRPr="006D7B40">
        <w:t>[Eq.</w:t>
      </w:r>
      <w:r w:rsidR="000125CF">
        <w:t xml:space="preserve"> </w:t>
      </w:r>
      <w:r w:rsidR="006D7B40" w:rsidRPr="006D7B40">
        <w:t>A</w:t>
      </w:r>
      <w:r w:rsidR="00CC1C55" w:rsidRPr="006D7B40">
        <w:t>4]</w:t>
      </w:r>
    </w:p>
    <w:p w14:paraId="7EC9EF84" w14:textId="77777777" w:rsidR="00CC1C55" w:rsidRDefault="00CC1C55" w:rsidP="00A40EEF">
      <w:r w:rsidRPr="00CC1C55">
        <w:t xml:space="preserve">And the male total fertility rate is equal to </w:t>
      </w:r>
    </w:p>
    <w:p w14:paraId="23F6A546" w14:textId="7CE4F062" w:rsidR="006E1A7E" w:rsidRDefault="00CE3C48" w:rsidP="00A40EEF">
      <m:oMath>
        <m:sSup>
          <m:sSupPr>
            <m:ctrlPr>
              <w:rPr>
                <w:rFonts w:ascii="Cambria Math" w:eastAsiaTheme="minorEastAsia" w:hAnsi="Cambria Math"/>
              </w:rPr>
            </m:ctrlPr>
          </m:sSupPr>
          <m:e>
            <m:r>
              <w:rPr>
                <w:rFonts w:ascii="Cambria Math" w:eastAsiaTheme="minorEastAsia" w:hAnsi="Cambria Math"/>
              </w:rPr>
              <m:t>TFR</m:t>
            </m:r>
          </m:e>
          <m:sup>
            <m:r>
              <w:rPr>
                <w:rFonts w:ascii="Cambria Math" w:eastAsiaTheme="minorEastAsia" w:hAnsi="Cambria Math"/>
              </w:rPr>
              <m:t>m</m:t>
            </m:r>
          </m:sup>
        </m:sSup>
        <m:d>
          <m:dPr>
            <m:ctrlPr>
              <w:rPr>
                <w:rFonts w:ascii="Cambria Math" w:eastAsiaTheme="minorEastAsia" w:hAnsi="Cambria Math"/>
              </w:rPr>
            </m:ctrlPr>
          </m:dPr>
          <m:e>
            <m:r>
              <w:rPr>
                <w:rFonts w:ascii="Cambria Math" w:eastAsiaTheme="minorEastAsia" w:hAnsi="Cambria Math"/>
              </w:rPr>
              <m:t>t</m:t>
            </m:r>
          </m:e>
        </m:d>
        <m:r>
          <m:rPr>
            <m:sty m:val="p"/>
          </m:rPr>
          <w:rPr>
            <w:rFonts w:ascii="Cambria Math" w:hAnsi="Cambria Math"/>
          </w:rPr>
          <m:t>=</m:t>
        </m:r>
        <m:f>
          <m:fPr>
            <m:ctrlPr>
              <w:rPr>
                <w:rFonts w:ascii="Cambria Math" w:hAnsi="Cambria Math"/>
              </w:rPr>
            </m:ctrlPr>
          </m:fPr>
          <m:num>
            <m:r>
              <w:rPr>
                <w:rFonts w:ascii="Cambria Math" w:hAnsi="Cambria Math"/>
              </w:rPr>
              <m:t>B</m:t>
            </m:r>
            <m:d>
              <m:dPr>
                <m:ctrlPr>
                  <w:rPr>
                    <w:rFonts w:ascii="Cambria Math" w:hAnsi="Cambria Math"/>
                  </w:rPr>
                </m:ctrlPr>
              </m:dPr>
              <m:e>
                <m:r>
                  <w:rPr>
                    <w:rFonts w:ascii="Cambria Math" w:hAnsi="Cambria Math"/>
                  </w:rPr>
                  <m:t>t</m:t>
                </m:r>
              </m:e>
            </m:d>
          </m:num>
          <m:den>
            <m:nary>
              <m:naryPr>
                <m:chr m:val="∑"/>
                <m:limLoc m:val="undOvr"/>
                <m:ctrlPr>
                  <w:rPr>
                    <w:rFonts w:ascii="Cambria Math" w:hAnsi="Cambria Math"/>
                  </w:rPr>
                </m:ctrlPr>
              </m:naryPr>
              <m:sub>
                <m:r>
                  <w:rPr>
                    <w:rFonts w:ascii="Cambria Math" w:hAnsi="Cambria Math"/>
                  </w:rPr>
                  <m:t>x</m:t>
                </m:r>
                <m:r>
                  <m:rPr>
                    <m:sty m:val="p"/>
                  </m:rPr>
                  <w:rPr>
                    <w:rFonts w:ascii="Cambria Math" w:hAnsi="Cambria Math"/>
                  </w:rPr>
                  <m:t>=15</m:t>
                </m:r>
              </m:sub>
              <m:sup>
                <m:r>
                  <m:rPr>
                    <m:sty m:val="p"/>
                  </m:rPr>
                  <w:rPr>
                    <w:rFonts w:ascii="Cambria Math" w:hAnsi="Cambria Math"/>
                  </w:rPr>
                  <m:t>79</m:t>
                </m:r>
              </m:sup>
              <m:e>
                <m:sSubSup>
                  <m:sSubSupPr>
                    <m:ctrlPr>
                      <w:rPr>
                        <w:rFonts w:ascii="Cambria Math" w:hAnsi="Cambria Math"/>
                      </w:rPr>
                    </m:ctrlPr>
                  </m:sSubSupPr>
                  <m:e>
                    <m:r>
                      <w:rPr>
                        <w:rFonts w:ascii="Cambria Math" w:hAnsi="Cambria Math"/>
                      </w:rPr>
                      <m:t>f</m:t>
                    </m:r>
                  </m:e>
                  <m:sub>
                    <m:r>
                      <w:rPr>
                        <w:rFonts w:ascii="Cambria Math" w:hAnsi="Cambria Math"/>
                      </w:rPr>
                      <m:t>x</m:t>
                    </m:r>
                  </m:sub>
                  <m:sup>
                    <m:r>
                      <m:rPr>
                        <m:sty m:val="p"/>
                      </m:rPr>
                      <w:rPr>
                        <w:rFonts w:ascii="Cambria Math" w:hAnsi="Cambria Math"/>
                      </w:rPr>
                      <m:t>0</m:t>
                    </m:r>
                    <m:r>
                      <w:rPr>
                        <w:rFonts w:ascii="Cambria Math" w:hAnsi="Cambria Math"/>
                      </w:rPr>
                      <m:t>m</m:t>
                    </m:r>
                  </m:sup>
                </m:sSubSup>
                <m:d>
                  <m:dPr>
                    <m:ctrlPr>
                      <w:rPr>
                        <w:rFonts w:ascii="Cambria Math" w:hAnsi="Cambria Math"/>
                      </w:rPr>
                    </m:ctrlPr>
                  </m:dPr>
                  <m:e>
                    <m:r>
                      <w:rPr>
                        <w:rFonts w:ascii="Cambria Math" w:hAnsi="Cambria Math"/>
                      </w:rPr>
                      <m:t>t</m:t>
                    </m:r>
                  </m:e>
                </m:d>
                <m:r>
                  <m:rPr>
                    <m:sty m:val="p"/>
                  </m:rPr>
                  <w:rPr>
                    <w:rFonts w:ascii="Cambria Math" w:hAnsi="Cambria Math"/>
                  </w:rPr>
                  <m:t>.</m:t>
                </m:r>
                <m:sSubSup>
                  <m:sSubSupPr>
                    <m:ctrlPr>
                      <w:rPr>
                        <w:rFonts w:ascii="Cambria Math" w:hAnsi="Cambria Math"/>
                      </w:rPr>
                    </m:ctrlPr>
                  </m:sSubSupPr>
                  <m:e>
                    <m:r>
                      <w:rPr>
                        <w:rFonts w:ascii="Cambria Math" w:hAnsi="Cambria Math"/>
                      </w:rPr>
                      <m:t>M</m:t>
                    </m:r>
                  </m:e>
                  <m:sub>
                    <m:r>
                      <w:rPr>
                        <w:rFonts w:ascii="Cambria Math" w:hAnsi="Cambria Math"/>
                      </w:rPr>
                      <m:t>x</m:t>
                    </m:r>
                  </m:sub>
                  <m:sup/>
                </m:sSubSup>
                <m:d>
                  <m:dPr>
                    <m:ctrlPr>
                      <w:rPr>
                        <w:rFonts w:ascii="Cambria Math" w:hAnsi="Cambria Math"/>
                      </w:rPr>
                    </m:ctrlPr>
                  </m:dPr>
                  <m:e>
                    <m:r>
                      <w:rPr>
                        <w:rFonts w:ascii="Cambria Math" w:hAnsi="Cambria Math"/>
                      </w:rPr>
                      <m:t>t</m:t>
                    </m:r>
                  </m:e>
                </m:d>
              </m:e>
            </m:nary>
          </m:den>
        </m:f>
      </m:oMath>
      <w:r w:rsidR="00CC1C55" w:rsidRPr="006D7B40">
        <w:rPr>
          <w:rFonts w:eastAsiaTheme="minorEastAsia"/>
        </w:rPr>
        <w:t xml:space="preserve"> </w:t>
      </w:r>
      <w:r w:rsidR="00CC1C55" w:rsidRPr="006D7B40">
        <w:rPr>
          <w:rFonts w:eastAsiaTheme="minorEastAsia"/>
        </w:rPr>
        <w:tab/>
      </w:r>
      <w:r w:rsidR="00CA2112">
        <w:rPr>
          <w:rFonts w:eastAsiaTheme="minorEastAsia"/>
        </w:rPr>
        <w:tab/>
      </w:r>
      <w:r w:rsidR="00CC1C55" w:rsidRPr="006D7B40">
        <w:t>[Eq.</w:t>
      </w:r>
      <w:r w:rsidR="000125CF">
        <w:t xml:space="preserve"> </w:t>
      </w:r>
      <w:r w:rsidR="006D7B40" w:rsidRPr="006D7B40">
        <w:t>A</w:t>
      </w:r>
      <w:r w:rsidR="00CC1C55" w:rsidRPr="006D7B40">
        <w:t>5]</w:t>
      </w:r>
    </w:p>
    <w:p w14:paraId="3BAC84B4" w14:textId="59F49150" w:rsidR="00ED4F0E" w:rsidRDefault="00FC1B3B">
      <w:pPr>
        <w:spacing w:after="200" w:line="276" w:lineRule="auto"/>
        <w:jc w:val="left"/>
      </w:pPr>
      <w:r>
        <w:br w:type="page"/>
      </w:r>
      <w:r w:rsidR="00ED4F0E">
        <w:lastRenderedPageBreak/>
        <w:br w:type="page"/>
      </w:r>
    </w:p>
    <w:p w14:paraId="05B23C90" w14:textId="77777777" w:rsidR="00ED4F0E" w:rsidRPr="00CB6DAA" w:rsidRDefault="00ED4F0E" w:rsidP="00ED4F0E">
      <w:pPr>
        <w:jc w:val="center"/>
      </w:pPr>
      <w:r w:rsidRPr="00CB6DAA">
        <w:lastRenderedPageBreak/>
        <w:t>Table 1: Effects of sex ratio at birth, survival, population growth</w:t>
      </w:r>
      <w:r>
        <w:t>,</w:t>
      </w:r>
      <w:r w:rsidRPr="00CB6DAA">
        <w:t xml:space="preserve"> and differences in age at fatherhood and age at childbearing on ratios of male to female fertility in stable populations</w:t>
      </w:r>
    </w:p>
    <w:tbl>
      <w:tblPr>
        <w:tblStyle w:val="Grilledutableau"/>
        <w:tblW w:w="9322" w:type="dxa"/>
        <w:tblLayout w:type="fixed"/>
        <w:tblLook w:val="04A0" w:firstRow="1" w:lastRow="0" w:firstColumn="1" w:lastColumn="0" w:noHBand="0" w:noVBand="1"/>
      </w:tblPr>
      <w:tblGrid>
        <w:gridCol w:w="3570"/>
        <w:gridCol w:w="1168"/>
        <w:gridCol w:w="1168"/>
        <w:gridCol w:w="1148"/>
        <w:gridCol w:w="1134"/>
        <w:gridCol w:w="1134"/>
      </w:tblGrid>
      <w:tr w:rsidR="00ED4F0E" w:rsidRPr="00CB6DAA" w14:paraId="28BE5CFF" w14:textId="77777777" w:rsidTr="006245BA">
        <w:tc>
          <w:tcPr>
            <w:tcW w:w="3570" w:type="dxa"/>
          </w:tcPr>
          <w:p w14:paraId="21CA16B6" w14:textId="77777777" w:rsidR="00ED4F0E" w:rsidRPr="00CB6DAA" w:rsidRDefault="00ED4F0E" w:rsidP="006245BA">
            <w:pPr>
              <w:spacing w:before="20" w:after="0" w:line="240" w:lineRule="auto"/>
              <w:rPr>
                <w:sz w:val="18"/>
                <w:szCs w:val="18"/>
              </w:rPr>
            </w:pPr>
          </w:p>
        </w:tc>
        <w:tc>
          <w:tcPr>
            <w:tcW w:w="1168" w:type="dxa"/>
          </w:tcPr>
          <w:p w14:paraId="60D61902" w14:textId="77777777" w:rsidR="00ED4F0E" w:rsidRPr="00CB6DAA" w:rsidRDefault="00ED4F0E" w:rsidP="006245BA">
            <w:pPr>
              <w:spacing w:before="20" w:after="0" w:line="240" w:lineRule="auto"/>
              <w:jc w:val="center"/>
              <w:rPr>
                <w:sz w:val="18"/>
                <w:szCs w:val="18"/>
              </w:rPr>
            </w:pPr>
            <w:r w:rsidRPr="00CB6DAA">
              <w:rPr>
                <w:sz w:val="18"/>
                <w:szCs w:val="18"/>
              </w:rPr>
              <w:t>Senegal</w:t>
            </w:r>
          </w:p>
        </w:tc>
        <w:tc>
          <w:tcPr>
            <w:tcW w:w="1168" w:type="dxa"/>
          </w:tcPr>
          <w:p w14:paraId="108A5A37" w14:textId="77777777" w:rsidR="00ED4F0E" w:rsidRPr="00CB6DAA" w:rsidRDefault="00ED4F0E" w:rsidP="006245BA">
            <w:pPr>
              <w:spacing w:before="20" w:after="0" w:line="240" w:lineRule="auto"/>
              <w:jc w:val="center"/>
              <w:rPr>
                <w:sz w:val="18"/>
                <w:szCs w:val="18"/>
              </w:rPr>
            </w:pPr>
            <w:r w:rsidRPr="00CB6DAA">
              <w:rPr>
                <w:sz w:val="18"/>
                <w:szCs w:val="18"/>
              </w:rPr>
              <w:t>Senegal</w:t>
            </w:r>
          </w:p>
        </w:tc>
        <w:tc>
          <w:tcPr>
            <w:tcW w:w="1148" w:type="dxa"/>
          </w:tcPr>
          <w:p w14:paraId="26B3A675" w14:textId="77777777" w:rsidR="00ED4F0E" w:rsidRPr="00CB6DAA" w:rsidRDefault="00ED4F0E" w:rsidP="006245BA">
            <w:pPr>
              <w:spacing w:before="20" w:after="0" w:line="240" w:lineRule="auto"/>
              <w:jc w:val="center"/>
              <w:rPr>
                <w:sz w:val="18"/>
                <w:szCs w:val="18"/>
              </w:rPr>
            </w:pPr>
            <w:r w:rsidRPr="00CB6DAA">
              <w:rPr>
                <w:sz w:val="18"/>
                <w:szCs w:val="18"/>
              </w:rPr>
              <w:t>Haiti</w:t>
            </w:r>
          </w:p>
        </w:tc>
        <w:tc>
          <w:tcPr>
            <w:tcW w:w="1134" w:type="dxa"/>
          </w:tcPr>
          <w:p w14:paraId="55058C00" w14:textId="77777777" w:rsidR="00ED4F0E" w:rsidRPr="00CB6DAA" w:rsidRDefault="00ED4F0E" w:rsidP="006245BA">
            <w:pPr>
              <w:spacing w:before="20" w:after="0" w:line="240" w:lineRule="auto"/>
              <w:jc w:val="center"/>
              <w:rPr>
                <w:sz w:val="18"/>
                <w:szCs w:val="18"/>
              </w:rPr>
            </w:pPr>
            <w:r w:rsidRPr="00CB6DAA">
              <w:rPr>
                <w:sz w:val="18"/>
                <w:szCs w:val="18"/>
              </w:rPr>
              <w:t>USA</w:t>
            </w:r>
          </w:p>
        </w:tc>
        <w:tc>
          <w:tcPr>
            <w:tcW w:w="1134" w:type="dxa"/>
          </w:tcPr>
          <w:p w14:paraId="50D8D05D" w14:textId="77777777" w:rsidR="00ED4F0E" w:rsidRPr="00CB6DAA" w:rsidRDefault="00ED4F0E" w:rsidP="006245BA">
            <w:pPr>
              <w:spacing w:before="20" w:after="0" w:line="240" w:lineRule="auto"/>
              <w:jc w:val="center"/>
              <w:rPr>
                <w:sz w:val="18"/>
                <w:szCs w:val="18"/>
              </w:rPr>
            </w:pPr>
            <w:r w:rsidRPr="00CB6DAA">
              <w:rPr>
                <w:sz w:val="18"/>
                <w:szCs w:val="18"/>
              </w:rPr>
              <w:t>China</w:t>
            </w:r>
          </w:p>
        </w:tc>
      </w:tr>
      <w:tr w:rsidR="00ED4F0E" w:rsidRPr="00CB6DAA" w14:paraId="7A5486F3" w14:textId="77777777" w:rsidTr="006245BA">
        <w:tc>
          <w:tcPr>
            <w:tcW w:w="3570" w:type="dxa"/>
          </w:tcPr>
          <w:p w14:paraId="2A027AFB" w14:textId="77777777" w:rsidR="00ED4F0E" w:rsidRPr="00CB6DAA" w:rsidRDefault="00ED4F0E" w:rsidP="006245BA">
            <w:pPr>
              <w:spacing w:before="20" w:after="0" w:line="240" w:lineRule="auto"/>
              <w:rPr>
                <w:sz w:val="18"/>
                <w:szCs w:val="18"/>
              </w:rPr>
            </w:pPr>
          </w:p>
        </w:tc>
        <w:tc>
          <w:tcPr>
            <w:tcW w:w="1168" w:type="dxa"/>
          </w:tcPr>
          <w:p w14:paraId="3C34A894" w14:textId="77777777" w:rsidR="00ED4F0E" w:rsidRPr="00CB6DAA" w:rsidRDefault="00ED4F0E" w:rsidP="006245BA">
            <w:pPr>
              <w:spacing w:before="20" w:after="0" w:line="240" w:lineRule="auto"/>
              <w:jc w:val="center"/>
              <w:rPr>
                <w:sz w:val="18"/>
                <w:szCs w:val="18"/>
              </w:rPr>
            </w:pPr>
            <w:r w:rsidRPr="00CB6DAA">
              <w:rPr>
                <w:sz w:val="18"/>
                <w:szCs w:val="18"/>
              </w:rPr>
              <w:t>1950</w:t>
            </w:r>
            <w:r>
              <w:rPr>
                <w:sz w:val="18"/>
                <w:szCs w:val="18"/>
              </w:rPr>
              <w:t>–19</w:t>
            </w:r>
            <w:r w:rsidRPr="00CB6DAA">
              <w:rPr>
                <w:sz w:val="18"/>
                <w:szCs w:val="18"/>
              </w:rPr>
              <w:t>55 Stable equivalent population</w:t>
            </w:r>
          </w:p>
        </w:tc>
        <w:tc>
          <w:tcPr>
            <w:tcW w:w="1168" w:type="dxa"/>
          </w:tcPr>
          <w:p w14:paraId="4B3414D9" w14:textId="77777777" w:rsidR="00ED4F0E" w:rsidRPr="00CB6DAA" w:rsidRDefault="00ED4F0E" w:rsidP="006245BA">
            <w:pPr>
              <w:spacing w:before="20" w:after="0" w:line="240" w:lineRule="auto"/>
              <w:jc w:val="center"/>
              <w:rPr>
                <w:sz w:val="18"/>
                <w:szCs w:val="18"/>
              </w:rPr>
            </w:pPr>
            <w:r w:rsidRPr="00CB6DAA">
              <w:rPr>
                <w:sz w:val="18"/>
                <w:szCs w:val="18"/>
              </w:rPr>
              <w:t>2010</w:t>
            </w:r>
            <w:r>
              <w:rPr>
                <w:sz w:val="18"/>
                <w:szCs w:val="18"/>
              </w:rPr>
              <w:t>–</w:t>
            </w:r>
            <w:r w:rsidRPr="00CB6DAA">
              <w:rPr>
                <w:sz w:val="18"/>
                <w:szCs w:val="18"/>
              </w:rPr>
              <w:t>2015 Stable equivalent population</w:t>
            </w:r>
          </w:p>
        </w:tc>
        <w:tc>
          <w:tcPr>
            <w:tcW w:w="1148" w:type="dxa"/>
          </w:tcPr>
          <w:p w14:paraId="2810B5EE" w14:textId="77777777" w:rsidR="00ED4F0E" w:rsidRPr="00CB6DAA" w:rsidRDefault="00ED4F0E" w:rsidP="006245BA">
            <w:pPr>
              <w:spacing w:before="20" w:after="0" w:line="240" w:lineRule="auto"/>
              <w:jc w:val="center"/>
              <w:rPr>
                <w:sz w:val="18"/>
                <w:szCs w:val="18"/>
              </w:rPr>
            </w:pPr>
            <w:r w:rsidRPr="00CB6DAA">
              <w:rPr>
                <w:sz w:val="18"/>
                <w:szCs w:val="18"/>
              </w:rPr>
              <w:t>2010</w:t>
            </w:r>
            <w:r>
              <w:rPr>
                <w:sz w:val="18"/>
                <w:szCs w:val="18"/>
              </w:rPr>
              <w:t>–</w:t>
            </w:r>
            <w:r w:rsidRPr="00CB6DAA">
              <w:rPr>
                <w:sz w:val="18"/>
                <w:szCs w:val="18"/>
              </w:rPr>
              <w:t>2015 Stable equivalent population</w:t>
            </w:r>
          </w:p>
        </w:tc>
        <w:tc>
          <w:tcPr>
            <w:tcW w:w="1134" w:type="dxa"/>
          </w:tcPr>
          <w:p w14:paraId="242030EC" w14:textId="77777777" w:rsidR="00ED4F0E" w:rsidRPr="00CB6DAA" w:rsidRDefault="00ED4F0E" w:rsidP="006245BA">
            <w:pPr>
              <w:spacing w:before="20" w:after="0" w:line="240" w:lineRule="auto"/>
              <w:jc w:val="center"/>
              <w:rPr>
                <w:sz w:val="18"/>
                <w:szCs w:val="18"/>
              </w:rPr>
            </w:pPr>
            <w:r w:rsidRPr="00CB6DAA">
              <w:rPr>
                <w:sz w:val="18"/>
                <w:szCs w:val="18"/>
              </w:rPr>
              <w:t>2010</w:t>
            </w:r>
            <w:r>
              <w:rPr>
                <w:sz w:val="18"/>
                <w:szCs w:val="18"/>
              </w:rPr>
              <w:t>–</w:t>
            </w:r>
            <w:r w:rsidRPr="00CB6DAA">
              <w:rPr>
                <w:sz w:val="18"/>
                <w:szCs w:val="18"/>
              </w:rPr>
              <w:t>2015 Stable equivalent population</w:t>
            </w:r>
          </w:p>
        </w:tc>
        <w:tc>
          <w:tcPr>
            <w:tcW w:w="1134" w:type="dxa"/>
          </w:tcPr>
          <w:p w14:paraId="02018FD3" w14:textId="77777777" w:rsidR="00ED4F0E" w:rsidRPr="00CB6DAA" w:rsidRDefault="00ED4F0E" w:rsidP="006245BA">
            <w:pPr>
              <w:spacing w:before="20" w:after="0" w:line="240" w:lineRule="auto"/>
              <w:jc w:val="center"/>
              <w:rPr>
                <w:sz w:val="18"/>
                <w:szCs w:val="18"/>
              </w:rPr>
            </w:pPr>
            <w:r w:rsidRPr="00CB6DAA">
              <w:rPr>
                <w:sz w:val="18"/>
                <w:szCs w:val="18"/>
              </w:rPr>
              <w:t>2010</w:t>
            </w:r>
            <w:r>
              <w:rPr>
                <w:sz w:val="18"/>
                <w:szCs w:val="18"/>
              </w:rPr>
              <w:t>–</w:t>
            </w:r>
            <w:r w:rsidRPr="00CB6DAA">
              <w:rPr>
                <w:sz w:val="18"/>
                <w:szCs w:val="18"/>
              </w:rPr>
              <w:t>2015</w:t>
            </w:r>
          </w:p>
          <w:p w14:paraId="10F74D13" w14:textId="77777777" w:rsidR="00ED4F0E" w:rsidRPr="00CB6DAA" w:rsidRDefault="00ED4F0E" w:rsidP="006245BA">
            <w:pPr>
              <w:spacing w:before="20" w:after="0" w:line="240" w:lineRule="auto"/>
              <w:jc w:val="center"/>
              <w:rPr>
                <w:sz w:val="18"/>
                <w:szCs w:val="18"/>
              </w:rPr>
            </w:pPr>
            <w:r w:rsidRPr="00CB6DAA">
              <w:rPr>
                <w:sz w:val="18"/>
                <w:szCs w:val="18"/>
              </w:rPr>
              <w:t>Stable equivalent population</w:t>
            </w:r>
          </w:p>
        </w:tc>
      </w:tr>
      <w:tr w:rsidR="00ED4F0E" w:rsidRPr="00CB6DAA" w14:paraId="73B3AC2A" w14:textId="77777777" w:rsidTr="006245BA">
        <w:tc>
          <w:tcPr>
            <w:tcW w:w="3570" w:type="dxa"/>
          </w:tcPr>
          <w:p w14:paraId="17CA2033" w14:textId="77777777" w:rsidR="00ED4F0E" w:rsidRPr="00CB6DAA" w:rsidRDefault="00ED4F0E" w:rsidP="006245BA">
            <w:pPr>
              <w:spacing w:before="20" w:after="0" w:line="240" w:lineRule="auto"/>
              <w:rPr>
                <w:sz w:val="18"/>
                <w:szCs w:val="18"/>
              </w:rPr>
            </w:pPr>
            <w:r w:rsidRPr="00CB6DAA">
              <w:rPr>
                <w:sz w:val="18"/>
                <w:szCs w:val="18"/>
              </w:rPr>
              <w:t>Mean age at childbearing (MAC)</w:t>
            </w:r>
          </w:p>
        </w:tc>
        <w:tc>
          <w:tcPr>
            <w:tcW w:w="1168" w:type="dxa"/>
          </w:tcPr>
          <w:p w14:paraId="40420B09" w14:textId="77777777" w:rsidR="00ED4F0E" w:rsidRPr="00CB6DAA" w:rsidRDefault="00ED4F0E" w:rsidP="006245BA">
            <w:pPr>
              <w:spacing w:before="20" w:after="0" w:line="240" w:lineRule="auto"/>
              <w:jc w:val="center"/>
              <w:rPr>
                <w:sz w:val="18"/>
                <w:szCs w:val="18"/>
              </w:rPr>
            </w:pPr>
            <w:r w:rsidRPr="00CB6DAA">
              <w:rPr>
                <w:sz w:val="18"/>
                <w:szCs w:val="18"/>
              </w:rPr>
              <w:t>28.6</w:t>
            </w:r>
          </w:p>
        </w:tc>
        <w:tc>
          <w:tcPr>
            <w:tcW w:w="1168" w:type="dxa"/>
          </w:tcPr>
          <w:p w14:paraId="40AE2F30" w14:textId="77777777" w:rsidR="00ED4F0E" w:rsidRPr="00CB6DAA" w:rsidRDefault="00ED4F0E" w:rsidP="006245BA">
            <w:pPr>
              <w:spacing w:before="20" w:after="0" w:line="240" w:lineRule="auto"/>
              <w:jc w:val="center"/>
              <w:rPr>
                <w:sz w:val="18"/>
                <w:szCs w:val="18"/>
              </w:rPr>
            </w:pPr>
            <w:r w:rsidRPr="00CB6DAA">
              <w:rPr>
                <w:sz w:val="18"/>
                <w:szCs w:val="18"/>
              </w:rPr>
              <w:t>30.2</w:t>
            </w:r>
          </w:p>
        </w:tc>
        <w:tc>
          <w:tcPr>
            <w:tcW w:w="1148" w:type="dxa"/>
          </w:tcPr>
          <w:p w14:paraId="755512E2" w14:textId="77777777" w:rsidR="00ED4F0E" w:rsidRPr="00CB6DAA" w:rsidRDefault="00ED4F0E" w:rsidP="006245BA">
            <w:pPr>
              <w:spacing w:before="20" w:after="0" w:line="240" w:lineRule="auto"/>
              <w:jc w:val="center"/>
              <w:rPr>
                <w:sz w:val="18"/>
                <w:szCs w:val="18"/>
              </w:rPr>
            </w:pPr>
            <w:r w:rsidRPr="00CB6DAA">
              <w:rPr>
                <w:sz w:val="18"/>
                <w:szCs w:val="18"/>
              </w:rPr>
              <w:t>30.2</w:t>
            </w:r>
          </w:p>
        </w:tc>
        <w:tc>
          <w:tcPr>
            <w:tcW w:w="1134" w:type="dxa"/>
          </w:tcPr>
          <w:p w14:paraId="5BC26F1F" w14:textId="77777777" w:rsidR="00ED4F0E" w:rsidRPr="00CB6DAA" w:rsidRDefault="00ED4F0E" w:rsidP="006245BA">
            <w:pPr>
              <w:spacing w:before="20" w:after="0" w:line="240" w:lineRule="auto"/>
              <w:jc w:val="center"/>
              <w:rPr>
                <w:sz w:val="18"/>
                <w:szCs w:val="18"/>
              </w:rPr>
            </w:pPr>
            <w:r w:rsidRPr="00CB6DAA">
              <w:rPr>
                <w:sz w:val="18"/>
                <w:szCs w:val="18"/>
              </w:rPr>
              <w:t>28.7</w:t>
            </w:r>
          </w:p>
        </w:tc>
        <w:tc>
          <w:tcPr>
            <w:tcW w:w="1134" w:type="dxa"/>
          </w:tcPr>
          <w:p w14:paraId="4D2DDE3D" w14:textId="77777777" w:rsidR="00ED4F0E" w:rsidRPr="00CB6DAA" w:rsidRDefault="00ED4F0E" w:rsidP="006245BA">
            <w:pPr>
              <w:spacing w:before="20" w:after="0" w:line="240" w:lineRule="auto"/>
              <w:jc w:val="center"/>
              <w:rPr>
                <w:sz w:val="18"/>
                <w:szCs w:val="18"/>
              </w:rPr>
            </w:pPr>
            <w:r w:rsidRPr="00CB6DAA">
              <w:rPr>
                <w:sz w:val="18"/>
                <w:szCs w:val="18"/>
              </w:rPr>
              <w:t>26.9</w:t>
            </w:r>
          </w:p>
        </w:tc>
      </w:tr>
      <w:tr w:rsidR="00ED4F0E" w:rsidRPr="00CB6DAA" w14:paraId="055B84EF" w14:textId="77777777" w:rsidTr="006245BA">
        <w:tc>
          <w:tcPr>
            <w:tcW w:w="3570" w:type="dxa"/>
          </w:tcPr>
          <w:p w14:paraId="4EE0B793" w14:textId="77777777" w:rsidR="00ED4F0E" w:rsidRPr="00CB6DAA" w:rsidRDefault="00ED4F0E" w:rsidP="006245BA">
            <w:pPr>
              <w:spacing w:before="20" w:after="0" w:line="240" w:lineRule="auto"/>
              <w:rPr>
                <w:sz w:val="18"/>
                <w:szCs w:val="18"/>
              </w:rPr>
            </w:pPr>
            <w:r w:rsidRPr="00CB6DAA">
              <w:rPr>
                <w:sz w:val="18"/>
                <w:szCs w:val="18"/>
              </w:rPr>
              <w:t>Mean age at fatherhood (MAF)</w:t>
            </w:r>
          </w:p>
        </w:tc>
        <w:tc>
          <w:tcPr>
            <w:tcW w:w="1168" w:type="dxa"/>
          </w:tcPr>
          <w:p w14:paraId="1DEF6709" w14:textId="77777777" w:rsidR="00ED4F0E" w:rsidRPr="00CB6DAA" w:rsidRDefault="00ED4F0E" w:rsidP="006245BA">
            <w:pPr>
              <w:spacing w:before="20" w:after="0" w:line="240" w:lineRule="auto"/>
              <w:jc w:val="center"/>
              <w:rPr>
                <w:sz w:val="18"/>
                <w:szCs w:val="18"/>
              </w:rPr>
            </w:pPr>
            <w:r w:rsidRPr="00CB6DAA">
              <w:rPr>
                <w:sz w:val="18"/>
                <w:szCs w:val="18"/>
              </w:rPr>
              <w:t>45.2</w:t>
            </w:r>
          </w:p>
        </w:tc>
        <w:tc>
          <w:tcPr>
            <w:tcW w:w="1168" w:type="dxa"/>
          </w:tcPr>
          <w:p w14:paraId="04507594" w14:textId="77777777" w:rsidR="00ED4F0E" w:rsidRPr="00CB6DAA" w:rsidRDefault="00ED4F0E" w:rsidP="006245BA">
            <w:pPr>
              <w:spacing w:before="20" w:after="0" w:line="240" w:lineRule="auto"/>
              <w:jc w:val="center"/>
              <w:rPr>
                <w:sz w:val="18"/>
                <w:szCs w:val="18"/>
              </w:rPr>
            </w:pPr>
            <w:r w:rsidRPr="00CB6DAA">
              <w:rPr>
                <w:sz w:val="18"/>
                <w:szCs w:val="18"/>
              </w:rPr>
              <w:t>44.1</w:t>
            </w:r>
          </w:p>
        </w:tc>
        <w:tc>
          <w:tcPr>
            <w:tcW w:w="1148" w:type="dxa"/>
          </w:tcPr>
          <w:p w14:paraId="1DBB4FD0" w14:textId="77777777" w:rsidR="00ED4F0E" w:rsidRPr="00CB6DAA" w:rsidRDefault="00ED4F0E" w:rsidP="006245BA">
            <w:pPr>
              <w:spacing w:before="20" w:after="0" w:line="240" w:lineRule="auto"/>
              <w:jc w:val="center"/>
              <w:rPr>
                <w:sz w:val="18"/>
                <w:szCs w:val="18"/>
              </w:rPr>
            </w:pPr>
            <w:r w:rsidRPr="00CB6DAA">
              <w:rPr>
                <w:sz w:val="18"/>
                <w:szCs w:val="18"/>
              </w:rPr>
              <w:t>37.0</w:t>
            </w:r>
          </w:p>
        </w:tc>
        <w:tc>
          <w:tcPr>
            <w:tcW w:w="1134" w:type="dxa"/>
          </w:tcPr>
          <w:p w14:paraId="35F19603" w14:textId="77777777" w:rsidR="00ED4F0E" w:rsidRPr="00CB6DAA" w:rsidRDefault="00ED4F0E" w:rsidP="006245BA">
            <w:pPr>
              <w:spacing w:before="20" w:after="0" w:line="240" w:lineRule="auto"/>
              <w:jc w:val="center"/>
              <w:rPr>
                <w:sz w:val="18"/>
                <w:szCs w:val="18"/>
              </w:rPr>
            </w:pPr>
            <w:r w:rsidRPr="00CB6DAA">
              <w:rPr>
                <w:sz w:val="18"/>
                <w:szCs w:val="18"/>
              </w:rPr>
              <w:t>31.7</w:t>
            </w:r>
          </w:p>
        </w:tc>
        <w:tc>
          <w:tcPr>
            <w:tcW w:w="1134" w:type="dxa"/>
          </w:tcPr>
          <w:p w14:paraId="1014B474" w14:textId="77777777" w:rsidR="00ED4F0E" w:rsidRPr="00CB6DAA" w:rsidRDefault="00ED4F0E" w:rsidP="006245BA">
            <w:pPr>
              <w:spacing w:before="20" w:after="0" w:line="240" w:lineRule="auto"/>
              <w:jc w:val="center"/>
              <w:rPr>
                <w:sz w:val="18"/>
                <w:szCs w:val="18"/>
              </w:rPr>
            </w:pPr>
            <w:r w:rsidRPr="00CB6DAA">
              <w:rPr>
                <w:sz w:val="18"/>
                <w:szCs w:val="18"/>
              </w:rPr>
              <w:t>28.5</w:t>
            </w:r>
          </w:p>
        </w:tc>
      </w:tr>
      <w:tr w:rsidR="00ED4F0E" w:rsidRPr="00CB6DAA" w14:paraId="59CAA2D9" w14:textId="77777777" w:rsidTr="006245BA">
        <w:tc>
          <w:tcPr>
            <w:tcW w:w="3570" w:type="dxa"/>
          </w:tcPr>
          <w:p w14:paraId="2307808B" w14:textId="77777777" w:rsidR="00ED4F0E" w:rsidRPr="00CB6DAA" w:rsidRDefault="00ED4F0E" w:rsidP="006245BA">
            <w:pPr>
              <w:spacing w:before="20" w:after="0" w:line="240" w:lineRule="auto"/>
              <w:rPr>
                <w:sz w:val="18"/>
                <w:szCs w:val="18"/>
              </w:rPr>
            </w:pPr>
            <w:r w:rsidRPr="00CB6DAA">
              <w:rPr>
                <w:sz w:val="18"/>
                <w:szCs w:val="18"/>
              </w:rPr>
              <w:t>MAF – MAC</w:t>
            </w:r>
          </w:p>
        </w:tc>
        <w:tc>
          <w:tcPr>
            <w:tcW w:w="1168" w:type="dxa"/>
          </w:tcPr>
          <w:p w14:paraId="71DB256A" w14:textId="77777777" w:rsidR="00ED4F0E" w:rsidRPr="00CB6DAA" w:rsidRDefault="00ED4F0E" w:rsidP="006245BA">
            <w:pPr>
              <w:spacing w:before="20" w:after="0" w:line="240" w:lineRule="auto"/>
              <w:jc w:val="center"/>
              <w:rPr>
                <w:sz w:val="18"/>
                <w:szCs w:val="18"/>
              </w:rPr>
            </w:pPr>
            <w:r w:rsidRPr="00CB6DAA">
              <w:rPr>
                <w:sz w:val="18"/>
                <w:szCs w:val="18"/>
              </w:rPr>
              <w:t>16.6</w:t>
            </w:r>
          </w:p>
        </w:tc>
        <w:tc>
          <w:tcPr>
            <w:tcW w:w="1168" w:type="dxa"/>
          </w:tcPr>
          <w:p w14:paraId="7F375A4D" w14:textId="77777777" w:rsidR="00ED4F0E" w:rsidRPr="00CB6DAA" w:rsidRDefault="00ED4F0E" w:rsidP="006245BA">
            <w:pPr>
              <w:spacing w:before="20" w:after="0" w:line="240" w:lineRule="auto"/>
              <w:jc w:val="center"/>
              <w:rPr>
                <w:sz w:val="18"/>
                <w:szCs w:val="18"/>
              </w:rPr>
            </w:pPr>
            <w:r w:rsidRPr="00CB6DAA">
              <w:rPr>
                <w:sz w:val="18"/>
                <w:szCs w:val="18"/>
              </w:rPr>
              <w:t>13.9</w:t>
            </w:r>
          </w:p>
        </w:tc>
        <w:tc>
          <w:tcPr>
            <w:tcW w:w="1148" w:type="dxa"/>
          </w:tcPr>
          <w:p w14:paraId="0990337D" w14:textId="77777777" w:rsidR="00ED4F0E" w:rsidRPr="00CB6DAA" w:rsidRDefault="00ED4F0E" w:rsidP="006245BA">
            <w:pPr>
              <w:spacing w:before="20" w:after="0" w:line="240" w:lineRule="auto"/>
              <w:jc w:val="center"/>
              <w:rPr>
                <w:sz w:val="18"/>
                <w:szCs w:val="18"/>
              </w:rPr>
            </w:pPr>
            <w:r w:rsidRPr="00CB6DAA">
              <w:rPr>
                <w:sz w:val="18"/>
                <w:szCs w:val="18"/>
              </w:rPr>
              <w:t>6.8</w:t>
            </w:r>
          </w:p>
        </w:tc>
        <w:tc>
          <w:tcPr>
            <w:tcW w:w="1134" w:type="dxa"/>
          </w:tcPr>
          <w:p w14:paraId="7C13EB18" w14:textId="77777777" w:rsidR="00ED4F0E" w:rsidRPr="00CB6DAA" w:rsidRDefault="00ED4F0E" w:rsidP="006245BA">
            <w:pPr>
              <w:spacing w:before="20" w:after="0" w:line="240" w:lineRule="auto"/>
              <w:jc w:val="center"/>
              <w:rPr>
                <w:sz w:val="18"/>
                <w:szCs w:val="18"/>
              </w:rPr>
            </w:pPr>
            <w:r w:rsidRPr="00CB6DAA">
              <w:rPr>
                <w:sz w:val="18"/>
                <w:szCs w:val="18"/>
              </w:rPr>
              <w:t>3.0</w:t>
            </w:r>
          </w:p>
        </w:tc>
        <w:tc>
          <w:tcPr>
            <w:tcW w:w="1134" w:type="dxa"/>
          </w:tcPr>
          <w:p w14:paraId="232EE9C3" w14:textId="77777777" w:rsidR="00ED4F0E" w:rsidRPr="00CB6DAA" w:rsidRDefault="00ED4F0E" w:rsidP="006245BA">
            <w:pPr>
              <w:spacing w:before="20" w:after="0" w:line="240" w:lineRule="auto"/>
              <w:jc w:val="center"/>
              <w:rPr>
                <w:sz w:val="18"/>
                <w:szCs w:val="18"/>
              </w:rPr>
            </w:pPr>
            <w:r w:rsidRPr="00CB6DAA">
              <w:rPr>
                <w:sz w:val="18"/>
                <w:szCs w:val="18"/>
              </w:rPr>
              <w:t>1.6</w:t>
            </w:r>
          </w:p>
        </w:tc>
      </w:tr>
      <w:tr w:rsidR="00ED4F0E" w:rsidRPr="00CB6DAA" w14:paraId="668091F2" w14:textId="77777777" w:rsidTr="006245BA">
        <w:tc>
          <w:tcPr>
            <w:tcW w:w="3570" w:type="dxa"/>
          </w:tcPr>
          <w:p w14:paraId="4DD643D6" w14:textId="77777777" w:rsidR="00ED4F0E" w:rsidRPr="00CB6DAA" w:rsidRDefault="00ED4F0E" w:rsidP="006245BA">
            <w:pPr>
              <w:spacing w:before="20" w:after="0" w:line="240" w:lineRule="auto"/>
              <w:rPr>
                <w:sz w:val="18"/>
                <w:szCs w:val="18"/>
              </w:rPr>
            </w:pPr>
            <w:r w:rsidRPr="00CB6DAA">
              <w:rPr>
                <w:sz w:val="18"/>
                <w:szCs w:val="18"/>
              </w:rPr>
              <w:t>Sex ratio at birth</w:t>
            </w:r>
          </w:p>
        </w:tc>
        <w:tc>
          <w:tcPr>
            <w:tcW w:w="1168" w:type="dxa"/>
          </w:tcPr>
          <w:p w14:paraId="2FF53CE3" w14:textId="77777777" w:rsidR="00ED4F0E" w:rsidRPr="00CB6DAA" w:rsidRDefault="00ED4F0E" w:rsidP="006245BA">
            <w:pPr>
              <w:spacing w:before="20" w:after="0" w:line="240" w:lineRule="auto"/>
              <w:jc w:val="center"/>
              <w:rPr>
                <w:sz w:val="18"/>
                <w:szCs w:val="18"/>
              </w:rPr>
            </w:pPr>
            <w:r w:rsidRPr="00CB6DAA">
              <w:rPr>
                <w:sz w:val="18"/>
                <w:szCs w:val="18"/>
              </w:rPr>
              <w:t>1.05</w:t>
            </w:r>
          </w:p>
        </w:tc>
        <w:tc>
          <w:tcPr>
            <w:tcW w:w="1168" w:type="dxa"/>
          </w:tcPr>
          <w:p w14:paraId="6E2DA9A1" w14:textId="77777777" w:rsidR="00ED4F0E" w:rsidRPr="00CB6DAA" w:rsidRDefault="00ED4F0E" w:rsidP="006245BA">
            <w:pPr>
              <w:spacing w:before="20" w:after="0" w:line="240" w:lineRule="auto"/>
              <w:jc w:val="center"/>
              <w:rPr>
                <w:sz w:val="18"/>
                <w:szCs w:val="18"/>
              </w:rPr>
            </w:pPr>
            <w:r w:rsidRPr="00CB6DAA">
              <w:rPr>
                <w:sz w:val="18"/>
                <w:szCs w:val="18"/>
              </w:rPr>
              <w:t>1.05</w:t>
            </w:r>
          </w:p>
        </w:tc>
        <w:tc>
          <w:tcPr>
            <w:tcW w:w="1148" w:type="dxa"/>
          </w:tcPr>
          <w:p w14:paraId="68D1652B" w14:textId="77777777" w:rsidR="00ED4F0E" w:rsidRPr="00CB6DAA" w:rsidRDefault="00ED4F0E" w:rsidP="006245BA">
            <w:pPr>
              <w:spacing w:before="20" w:after="0" w:line="240" w:lineRule="auto"/>
              <w:jc w:val="center"/>
              <w:rPr>
                <w:sz w:val="18"/>
                <w:szCs w:val="18"/>
              </w:rPr>
            </w:pPr>
            <w:r w:rsidRPr="00CB6DAA">
              <w:rPr>
                <w:sz w:val="18"/>
                <w:szCs w:val="18"/>
              </w:rPr>
              <w:t>1.05</w:t>
            </w:r>
          </w:p>
        </w:tc>
        <w:tc>
          <w:tcPr>
            <w:tcW w:w="1134" w:type="dxa"/>
          </w:tcPr>
          <w:p w14:paraId="4423212D" w14:textId="77777777" w:rsidR="00ED4F0E" w:rsidRPr="00CB6DAA" w:rsidRDefault="00ED4F0E" w:rsidP="006245BA">
            <w:pPr>
              <w:spacing w:before="20" w:after="0" w:line="240" w:lineRule="auto"/>
              <w:jc w:val="center"/>
              <w:rPr>
                <w:sz w:val="18"/>
                <w:szCs w:val="18"/>
              </w:rPr>
            </w:pPr>
            <w:r w:rsidRPr="00CB6DAA">
              <w:rPr>
                <w:sz w:val="18"/>
                <w:szCs w:val="18"/>
              </w:rPr>
              <w:t>1.05</w:t>
            </w:r>
          </w:p>
        </w:tc>
        <w:tc>
          <w:tcPr>
            <w:tcW w:w="1134" w:type="dxa"/>
          </w:tcPr>
          <w:p w14:paraId="12BC8D2C" w14:textId="77777777" w:rsidR="00ED4F0E" w:rsidRPr="00CB6DAA" w:rsidRDefault="00ED4F0E" w:rsidP="006245BA">
            <w:pPr>
              <w:spacing w:before="20" w:after="0" w:line="240" w:lineRule="auto"/>
              <w:jc w:val="center"/>
              <w:rPr>
                <w:sz w:val="18"/>
                <w:szCs w:val="18"/>
              </w:rPr>
            </w:pPr>
            <w:r w:rsidRPr="00CB6DAA">
              <w:rPr>
                <w:sz w:val="18"/>
                <w:szCs w:val="18"/>
              </w:rPr>
              <w:t>1.10</w:t>
            </w:r>
          </w:p>
        </w:tc>
      </w:tr>
      <w:tr w:rsidR="00ED4F0E" w:rsidRPr="00CB6DAA" w14:paraId="5A01E29D" w14:textId="77777777" w:rsidTr="006245BA">
        <w:tc>
          <w:tcPr>
            <w:tcW w:w="3570" w:type="dxa"/>
          </w:tcPr>
          <w:p w14:paraId="6D6BDD42" w14:textId="77777777" w:rsidR="00ED4F0E" w:rsidRPr="00CB6DAA" w:rsidRDefault="00ED4F0E" w:rsidP="006245BA">
            <w:pPr>
              <w:spacing w:before="20" w:after="0" w:line="240" w:lineRule="auto"/>
              <w:rPr>
                <w:sz w:val="18"/>
                <w:szCs w:val="18"/>
              </w:rPr>
            </w:pPr>
            <w:r w:rsidRPr="00CB6DAA">
              <w:rPr>
                <w:sz w:val="18"/>
                <w:szCs w:val="18"/>
              </w:rPr>
              <w:t>Mean length of generation</w:t>
            </w:r>
            <w:r>
              <w:rPr>
                <w:sz w:val="18"/>
                <w:szCs w:val="18"/>
              </w:rPr>
              <w:t>—women</w:t>
            </w:r>
            <w:r w:rsidRPr="00CB6DAA">
              <w:rPr>
                <w:sz w:val="18"/>
                <w:szCs w:val="18"/>
              </w:rPr>
              <w:t xml:space="preserve"> (T</w:t>
            </w:r>
            <w:r>
              <w:rPr>
                <w:sz w:val="18"/>
                <w:szCs w:val="18"/>
                <w:vertAlign w:val="superscript"/>
              </w:rPr>
              <w:t>F</w:t>
            </w:r>
            <w:r w:rsidRPr="00CB6DAA">
              <w:rPr>
                <w:sz w:val="18"/>
                <w:szCs w:val="18"/>
              </w:rPr>
              <w:t>)</w:t>
            </w:r>
          </w:p>
        </w:tc>
        <w:tc>
          <w:tcPr>
            <w:tcW w:w="1168" w:type="dxa"/>
          </w:tcPr>
          <w:p w14:paraId="5E141FD7" w14:textId="77777777" w:rsidR="00ED4F0E" w:rsidRPr="00CB6DAA" w:rsidRDefault="00ED4F0E" w:rsidP="006245BA">
            <w:pPr>
              <w:spacing w:before="20" w:after="0" w:line="240" w:lineRule="auto"/>
              <w:jc w:val="center"/>
              <w:rPr>
                <w:sz w:val="18"/>
                <w:szCs w:val="18"/>
              </w:rPr>
            </w:pPr>
            <w:r w:rsidRPr="00CB6DAA">
              <w:rPr>
                <w:sz w:val="18"/>
                <w:szCs w:val="18"/>
              </w:rPr>
              <w:t>27.3</w:t>
            </w:r>
          </w:p>
        </w:tc>
        <w:tc>
          <w:tcPr>
            <w:tcW w:w="1168" w:type="dxa"/>
          </w:tcPr>
          <w:p w14:paraId="4516667A" w14:textId="77777777" w:rsidR="00ED4F0E" w:rsidRPr="00CB6DAA" w:rsidRDefault="00ED4F0E" w:rsidP="006245BA">
            <w:pPr>
              <w:spacing w:before="20" w:after="0" w:line="240" w:lineRule="auto"/>
              <w:jc w:val="center"/>
              <w:rPr>
                <w:sz w:val="18"/>
                <w:szCs w:val="18"/>
              </w:rPr>
            </w:pPr>
            <w:r w:rsidRPr="00CB6DAA">
              <w:rPr>
                <w:sz w:val="18"/>
                <w:szCs w:val="18"/>
              </w:rPr>
              <w:t>29.2</w:t>
            </w:r>
          </w:p>
        </w:tc>
        <w:tc>
          <w:tcPr>
            <w:tcW w:w="1148" w:type="dxa"/>
          </w:tcPr>
          <w:p w14:paraId="07663B54" w14:textId="77777777" w:rsidR="00ED4F0E" w:rsidRPr="00CB6DAA" w:rsidRDefault="00ED4F0E" w:rsidP="006245BA">
            <w:pPr>
              <w:spacing w:before="20" w:after="0" w:line="240" w:lineRule="auto"/>
              <w:jc w:val="center"/>
              <w:rPr>
                <w:sz w:val="18"/>
                <w:szCs w:val="18"/>
              </w:rPr>
            </w:pPr>
            <w:r w:rsidRPr="00CB6DAA">
              <w:rPr>
                <w:sz w:val="18"/>
                <w:szCs w:val="18"/>
              </w:rPr>
              <w:t>29.7</w:t>
            </w:r>
          </w:p>
        </w:tc>
        <w:tc>
          <w:tcPr>
            <w:tcW w:w="1134" w:type="dxa"/>
          </w:tcPr>
          <w:p w14:paraId="77FEB34B" w14:textId="77777777" w:rsidR="00ED4F0E" w:rsidRPr="00CB6DAA" w:rsidRDefault="00ED4F0E" w:rsidP="006245BA">
            <w:pPr>
              <w:spacing w:before="20" w:after="0" w:line="240" w:lineRule="auto"/>
              <w:jc w:val="center"/>
              <w:rPr>
                <w:sz w:val="18"/>
                <w:szCs w:val="18"/>
              </w:rPr>
            </w:pPr>
            <w:r w:rsidRPr="00CB6DAA">
              <w:rPr>
                <w:sz w:val="18"/>
                <w:szCs w:val="18"/>
              </w:rPr>
              <w:t>28.8</w:t>
            </w:r>
          </w:p>
        </w:tc>
        <w:tc>
          <w:tcPr>
            <w:tcW w:w="1134" w:type="dxa"/>
          </w:tcPr>
          <w:p w14:paraId="013143C7" w14:textId="77777777" w:rsidR="00ED4F0E" w:rsidRPr="00CB6DAA" w:rsidRDefault="00ED4F0E" w:rsidP="006245BA">
            <w:pPr>
              <w:spacing w:before="20" w:after="0" w:line="240" w:lineRule="auto"/>
              <w:jc w:val="center"/>
              <w:rPr>
                <w:sz w:val="18"/>
                <w:szCs w:val="18"/>
              </w:rPr>
            </w:pPr>
            <w:r w:rsidRPr="00CB6DAA">
              <w:rPr>
                <w:sz w:val="18"/>
                <w:szCs w:val="18"/>
              </w:rPr>
              <w:t>27.0</w:t>
            </w:r>
          </w:p>
        </w:tc>
      </w:tr>
      <w:tr w:rsidR="00ED4F0E" w:rsidRPr="00CB6DAA" w14:paraId="629CC140" w14:textId="77777777" w:rsidTr="006245BA">
        <w:tc>
          <w:tcPr>
            <w:tcW w:w="3570" w:type="dxa"/>
          </w:tcPr>
          <w:p w14:paraId="155F7928" w14:textId="77777777" w:rsidR="00ED4F0E" w:rsidRPr="00CB6DAA" w:rsidRDefault="00ED4F0E" w:rsidP="006245BA">
            <w:pPr>
              <w:spacing w:before="20" w:after="0" w:line="240" w:lineRule="auto"/>
              <w:rPr>
                <w:sz w:val="18"/>
                <w:szCs w:val="18"/>
              </w:rPr>
            </w:pPr>
            <w:r w:rsidRPr="00CB6DAA">
              <w:rPr>
                <w:sz w:val="18"/>
                <w:szCs w:val="18"/>
              </w:rPr>
              <w:t>Mean length of generation</w:t>
            </w:r>
            <w:r>
              <w:rPr>
                <w:sz w:val="18"/>
                <w:szCs w:val="18"/>
              </w:rPr>
              <w:t>—men</w:t>
            </w:r>
            <w:r w:rsidRPr="00CB6DAA">
              <w:rPr>
                <w:sz w:val="18"/>
                <w:szCs w:val="18"/>
              </w:rPr>
              <w:t xml:space="preserve"> (T</w:t>
            </w:r>
            <w:r>
              <w:rPr>
                <w:sz w:val="18"/>
                <w:szCs w:val="18"/>
                <w:vertAlign w:val="superscript"/>
              </w:rPr>
              <w:t>M</w:t>
            </w:r>
            <w:r w:rsidRPr="00CB6DAA">
              <w:rPr>
                <w:sz w:val="18"/>
                <w:szCs w:val="18"/>
              </w:rPr>
              <w:t>)</w:t>
            </w:r>
          </w:p>
        </w:tc>
        <w:tc>
          <w:tcPr>
            <w:tcW w:w="1168" w:type="dxa"/>
          </w:tcPr>
          <w:p w14:paraId="0AB7A37D" w14:textId="77777777" w:rsidR="00ED4F0E" w:rsidRPr="00CB6DAA" w:rsidRDefault="00ED4F0E" w:rsidP="006245BA">
            <w:pPr>
              <w:spacing w:before="20" w:after="0" w:line="240" w:lineRule="auto"/>
              <w:jc w:val="center"/>
              <w:rPr>
                <w:sz w:val="18"/>
                <w:szCs w:val="18"/>
              </w:rPr>
            </w:pPr>
            <w:r w:rsidRPr="00CB6DAA">
              <w:rPr>
                <w:sz w:val="18"/>
                <w:szCs w:val="18"/>
              </w:rPr>
              <w:t>42.4</w:t>
            </w:r>
          </w:p>
        </w:tc>
        <w:tc>
          <w:tcPr>
            <w:tcW w:w="1168" w:type="dxa"/>
          </w:tcPr>
          <w:p w14:paraId="4207AF7A" w14:textId="77777777" w:rsidR="00ED4F0E" w:rsidRPr="00CB6DAA" w:rsidRDefault="00ED4F0E" w:rsidP="006245BA">
            <w:pPr>
              <w:spacing w:before="20" w:after="0" w:line="240" w:lineRule="auto"/>
              <w:jc w:val="center"/>
              <w:rPr>
                <w:sz w:val="18"/>
                <w:szCs w:val="18"/>
              </w:rPr>
            </w:pPr>
            <w:r w:rsidRPr="00CB6DAA">
              <w:rPr>
                <w:sz w:val="18"/>
                <w:szCs w:val="18"/>
              </w:rPr>
              <w:t>41.3</w:t>
            </w:r>
          </w:p>
        </w:tc>
        <w:tc>
          <w:tcPr>
            <w:tcW w:w="1148" w:type="dxa"/>
          </w:tcPr>
          <w:p w14:paraId="3BE3B695" w14:textId="77777777" w:rsidR="00ED4F0E" w:rsidRPr="00CB6DAA" w:rsidRDefault="00ED4F0E" w:rsidP="006245BA">
            <w:pPr>
              <w:spacing w:before="20" w:after="0" w:line="240" w:lineRule="auto"/>
              <w:jc w:val="center"/>
              <w:rPr>
                <w:sz w:val="18"/>
                <w:szCs w:val="18"/>
              </w:rPr>
            </w:pPr>
            <w:r w:rsidRPr="00CB6DAA">
              <w:rPr>
                <w:sz w:val="18"/>
                <w:szCs w:val="18"/>
              </w:rPr>
              <w:t>35.9</w:t>
            </w:r>
          </w:p>
        </w:tc>
        <w:tc>
          <w:tcPr>
            <w:tcW w:w="1134" w:type="dxa"/>
          </w:tcPr>
          <w:p w14:paraId="29E0551C" w14:textId="77777777" w:rsidR="00ED4F0E" w:rsidRPr="00CB6DAA" w:rsidRDefault="00ED4F0E" w:rsidP="006245BA">
            <w:pPr>
              <w:spacing w:before="20" w:after="0" w:line="240" w:lineRule="auto"/>
              <w:jc w:val="center"/>
              <w:rPr>
                <w:sz w:val="18"/>
                <w:szCs w:val="18"/>
              </w:rPr>
            </w:pPr>
            <w:r w:rsidRPr="00CB6DAA">
              <w:rPr>
                <w:sz w:val="18"/>
                <w:szCs w:val="18"/>
              </w:rPr>
              <w:t>31.7</w:t>
            </w:r>
          </w:p>
        </w:tc>
        <w:tc>
          <w:tcPr>
            <w:tcW w:w="1134" w:type="dxa"/>
          </w:tcPr>
          <w:p w14:paraId="1E2DEAFD" w14:textId="77777777" w:rsidR="00ED4F0E" w:rsidRPr="00CB6DAA" w:rsidRDefault="00ED4F0E" w:rsidP="006245BA">
            <w:pPr>
              <w:spacing w:before="20" w:after="0" w:line="240" w:lineRule="auto"/>
              <w:jc w:val="center"/>
              <w:rPr>
                <w:sz w:val="18"/>
                <w:szCs w:val="18"/>
              </w:rPr>
            </w:pPr>
            <w:r w:rsidRPr="00CB6DAA">
              <w:rPr>
                <w:sz w:val="18"/>
                <w:szCs w:val="18"/>
              </w:rPr>
              <w:t>28.6</w:t>
            </w:r>
          </w:p>
        </w:tc>
      </w:tr>
      <w:tr w:rsidR="00ED4F0E" w:rsidRPr="00CB6DAA" w14:paraId="486C88A9" w14:textId="77777777" w:rsidTr="006245BA">
        <w:tc>
          <w:tcPr>
            <w:tcW w:w="3570" w:type="dxa"/>
          </w:tcPr>
          <w:p w14:paraId="32AEB02F" w14:textId="77777777" w:rsidR="00ED4F0E" w:rsidRPr="00CB6DAA" w:rsidRDefault="00ED4F0E" w:rsidP="006245BA">
            <w:pPr>
              <w:spacing w:before="20" w:after="0" w:line="240" w:lineRule="auto"/>
              <w:rPr>
                <w:sz w:val="18"/>
                <w:szCs w:val="18"/>
              </w:rPr>
            </w:pPr>
            <w:r w:rsidRPr="00CB6DAA">
              <w:rPr>
                <w:sz w:val="18"/>
                <w:szCs w:val="18"/>
              </w:rPr>
              <w:t>T</w:t>
            </w:r>
            <w:r>
              <w:rPr>
                <w:sz w:val="18"/>
                <w:szCs w:val="18"/>
                <w:vertAlign w:val="superscript"/>
              </w:rPr>
              <w:t>M</w:t>
            </w:r>
            <w:r w:rsidRPr="00CB6DAA">
              <w:rPr>
                <w:sz w:val="18"/>
                <w:szCs w:val="18"/>
              </w:rPr>
              <w:t xml:space="preserve"> – T</w:t>
            </w:r>
            <w:r>
              <w:rPr>
                <w:sz w:val="18"/>
                <w:szCs w:val="18"/>
                <w:vertAlign w:val="superscript"/>
              </w:rPr>
              <w:t>F</w:t>
            </w:r>
          </w:p>
        </w:tc>
        <w:tc>
          <w:tcPr>
            <w:tcW w:w="1168" w:type="dxa"/>
          </w:tcPr>
          <w:p w14:paraId="72A9BF2E" w14:textId="77777777" w:rsidR="00ED4F0E" w:rsidRPr="00CB6DAA" w:rsidRDefault="00ED4F0E" w:rsidP="006245BA">
            <w:pPr>
              <w:spacing w:before="20" w:after="0" w:line="240" w:lineRule="auto"/>
              <w:jc w:val="center"/>
              <w:rPr>
                <w:sz w:val="18"/>
                <w:szCs w:val="18"/>
              </w:rPr>
            </w:pPr>
            <w:r w:rsidRPr="00CB6DAA">
              <w:rPr>
                <w:sz w:val="18"/>
                <w:szCs w:val="18"/>
              </w:rPr>
              <w:t>15.1</w:t>
            </w:r>
          </w:p>
        </w:tc>
        <w:tc>
          <w:tcPr>
            <w:tcW w:w="1168" w:type="dxa"/>
          </w:tcPr>
          <w:p w14:paraId="75184C2E" w14:textId="77777777" w:rsidR="00ED4F0E" w:rsidRPr="00CB6DAA" w:rsidRDefault="00ED4F0E" w:rsidP="006245BA">
            <w:pPr>
              <w:spacing w:before="20" w:after="0" w:line="240" w:lineRule="auto"/>
              <w:jc w:val="center"/>
              <w:rPr>
                <w:sz w:val="18"/>
                <w:szCs w:val="18"/>
              </w:rPr>
            </w:pPr>
            <w:r w:rsidRPr="00CB6DAA">
              <w:rPr>
                <w:sz w:val="18"/>
                <w:szCs w:val="18"/>
              </w:rPr>
              <w:t>12.1</w:t>
            </w:r>
          </w:p>
        </w:tc>
        <w:tc>
          <w:tcPr>
            <w:tcW w:w="1148" w:type="dxa"/>
          </w:tcPr>
          <w:p w14:paraId="402F864F" w14:textId="77777777" w:rsidR="00ED4F0E" w:rsidRPr="00CB6DAA" w:rsidRDefault="00ED4F0E" w:rsidP="006245BA">
            <w:pPr>
              <w:spacing w:before="20" w:after="0" w:line="240" w:lineRule="auto"/>
              <w:jc w:val="center"/>
              <w:rPr>
                <w:sz w:val="18"/>
                <w:szCs w:val="18"/>
              </w:rPr>
            </w:pPr>
            <w:r w:rsidRPr="00CB6DAA">
              <w:rPr>
                <w:sz w:val="18"/>
                <w:szCs w:val="18"/>
              </w:rPr>
              <w:t>6.2</w:t>
            </w:r>
          </w:p>
        </w:tc>
        <w:tc>
          <w:tcPr>
            <w:tcW w:w="1134" w:type="dxa"/>
          </w:tcPr>
          <w:p w14:paraId="7A405971" w14:textId="77777777" w:rsidR="00ED4F0E" w:rsidRPr="00CB6DAA" w:rsidRDefault="00ED4F0E" w:rsidP="006245BA">
            <w:pPr>
              <w:spacing w:before="20" w:after="0" w:line="240" w:lineRule="auto"/>
              <w:jc w:val="center"/>
              <w:rPr>
                <w:sz w:val="18"/>
                <w:szCs w:val="18"/>
              </w:rPr>
            </w:pPr>
            <w:r w:rsidRPr="00CB6DAA">
              <w:rPr>
                <w:sz w:val="18"/>
                <w:szCs w:val="18"/>
              </w:rPr>
              <w:t>2.9</w:t>
            </w:r>
          </w:p>
        </w:tc>
        <w:tc>
          <w:tcPr>
            <w:tcW w:w="1134" w:type="dxa"/>
          </w:tcPr>
          <w:p w14:paraId="11B42E9A" w14:textId="77777777" w:rsidR="00ED4F0E" w:rsidRPr="00CB6DAA" w:rsidRDefault="00ED4F0E" w:rsidP="006245BA">
            <w:pPr>
              <w:spacing w:before="20" w:after="0" w:line="240" w:lineRule="auto"/>
              <w:jc w:val="center"/>
              <w:rPr>
                <w:sz w:val="18"/>
                <w:szCs w:val="18"/>
              </w:rPr>
            </w:pPr>
            <w:r w:rsidRPr="00CB6DAA">
              <w:rPr>
                <w:sz w:val="18"/>
                <w:szCs w:val="18"/>
              </w:rPr>
              <w:t>1.6</w:t>
            </w:r>
          </w:p>
        </w:tc>
      </w:tr>
      <w:tr w:rsidR="00ED4F0E" w:rsidRPr="00CB6DAA" w14:paraId="42BA1DBB" w14:textId="77777777" w:rsidTr="006245BA">
        <w:tc>
          <w:tcPr>
            <w:tcW w:w="3570" w:type="dxa"/>
          </w:tcPr>
          <w:p w14:paraId="06C39683" w14:textId="77777777" w:rsidR="00ED4F0E" w:rsidRPr="00CB6DAA" w:rsidRDefault="00ED4F0E" w:rsidP="006245BA">
            <w:pPr>
              <w:spacing w:before="20" w:after="0" w:line="240" w:lineRule="auto"/>
              <w:rPr>
                <w:sz w:val="18"/>
                <w:szCs w:val="18"/>
              </w:rPr>
            </w:pPr>
            <w:r w:rsidRPr="00CB6DAA">
              <w:rPr>
                <w:sz w:val="18"/>
                <w:szCs w:val="18"/>
              </w:rPr>
              <w:t>Growth rate of the stable population</w:t>
            </w:r>
          </w:p>
        </w:tc>
        <w:tc>
          <w:tcPr>
            <w:tcW w:w="1168" w:type="dxa"/>
          </w:tcPr>
          <w:p w14:paraId="1871CE46" w14:textId="77777777" w:rsidR="00ED4F0E" w:rsidRPr="00CB6DAA" w:rsidRDefault="00ED4F0E" w:rsidP="006245BA">
            <w:pPr>
              <w:spacing w:before="20" w:after="0" w:line="240" w:lineRule="auto"/>
              <w:jc w:val="center"/>
              <w:rPr>
                <w:sz w:val="18"/>
                <w:szCs w:val="18"/>
              </w:rPr>
            </w:pPr>
            <w:r w:rsidRPr="00CB6DAA">
              <w:rPr>
                <w:sz w:val="18"/>
                <w:szCs w:val="18"/>
              </w:rPr>
              <w:t>2.17%</w:t>
            </w:r>
          </w:p>
        </w:tc>
        <w:tc>
          <w:tcPr>
            <w:tcW w:w="1168" w:type="dxa"/>
          </w:tcPr>
          <w:p w14:paraId="61030D1F" w14:textId="77777777" w:rsidR="00ED4F0E" w:rsidRPr="00CB6DAA" w:rsidRDefault="00ED4F0E" w:rsidP="006245BA">
            <w:pPr>
              <w:spacing w:before="20" w:after="0" w:line="240" w:lineRule="auto"/>
              <w:jc w:val="center"/>
              <w:rPr>
                <w:sz w:val="18"/>
                <w:szCs w:val="18"/>
              </w:rPr>
            </w:pPr>
            <w:r w:rsidRPr="00CB6DAA">
              <w:rPr>
                <w:sz w:val="18"/>
                <w:szCs w:val="18"/>
              </w:rPr>
              <w:t>2.73%</w:t>
            </w:r>
          </w:p>
        </w:tc>
        <w:tc>
          <w:tcPr>
            <w:tcW w:w="1148" w:type="dxa"/>
          </w:tcPr>
          <w:p w14:paraId="4D1B5938" w14:textId="77777777" w:rsidR="00ED4F0E" w:rsidRPr="00CB6DAA" w:rsidRDefault="00ED4F0E" w:rsidP="006245BA">
            <w:pPr>
              <w:spacing w:before="20" w:after="0" w:line="240" w:lineRule="auto"/>
              <w:jc w:val="center"/>
              <w:rPr>
                <w:sz w:val="18"/>
                <w:szCs w:val="18"/>
              </w:rPr>
            </w:pPr>
            <w:r w:rsidRPr="00CB6DAA">
              <w:rPr>
                <w:sz w:val="18"/>
                <w:szCs w:val="18"/>
              </w:rPr>
              <w:t>0.93%</w:t>
            </w:r>
          </w:p>
        </w:tc>
        <w:tc>
          <w:tcPr>
            <w:tcW w:w="1134" w:type="dxa"/>
          </w:tcPr>
          <w:p w14:paraId="2D3A95F5" w14:textId="77777777" w:rsidR="00ED4F0E" w:rsidRPr="00CB6DAA" w:rsidRDefault="00ED4F0E" w:rsidP="006245BA">
            <w:pPr>
              <w:spacing w:before="20" w:after="0" w:line="240" w:lineRule="auto"/>
              <w:jc w:val="center"/>
              <w:rPr>
                <w:sz w:val="18"/>
                <w:szCs w:val="18"/>
              </w:rPr>
            </w:pPr>
            <w:r>
              <w:rPr>
                <w:sz w:val="18"/>
                <w:szCs w:val="18"/>
              </w:rPr>
              <w:t>–</w:t>
            </w:r>
            <w:r w:rsidRPr="00CB6DAA">
              <w:rPr>
                <w:sz w:val="18"/>
                <w:szCs w:val="18"/>
              </w:rPr>
              <w:t>0.35%</w:t>
            </w:r>
          </w:p>
        </w:tc>
        <w:tc>
          <w:tcPr>
            <w:tcW w:w="1134" w:type="dxa"/>
          </w:tcPr>
          <w:p w14:paraId="3B979EF6" w14:textId="77777777" w:rsidR="00ED4F0E" w:rsidRPr="00CB6DAA" w:rsidRDefault="00ED4F0E" w:rsidP="006245BA">
            <w:pPr>
              <w:spacing w:before="20" w:after="0" w:line="240" w:lineRule="auto"/>
              <w:jc w:val="center"/>
              <w:rPr>
                <w:sz w:val="18"/>
                <w:szCs w:val="18"/>
              </w:rPr>
            </w:pPr>
            <w:r>
              <w:rPr>
                <w:sz w:val="18"/>
                <w:szCs w:val="18"/>
              </w:rPr>
              <w:t>–</w:t>
            </w:r>
            <w:r w:rsidRPr="00CB6DAA">
              <w:rPr>
                <w:sz w:val="18"/>
                <w:szCs w:val="18"/>
              </w:rPr>
              <w:t>1.08%</w:t>
            </w:r>
          </w:p>
        </w:tc>
      </w:tr>
      <w:tr w:rsidR="00ED4F0E" w:rsidRPr="00CB6DAA" w14:paraId="6A71F86A" w14:textId="77777777" w:rsidTr="006245BA">
        <w:tc>
          <w:tcPr>
            <w:tcW w:w="3570" w:type="dxa"/>
          </w:tcPr>
          <w:p w14:paraId="79136B04" w14:textId="77777777" w:rsidR="00ED4F0E" w:rsidRPr="00CB6DAA" w:rsidRDefault="00ED4F0E" w:rsidP="006245BA">
            <w:pPr>
              <w:spacing w:before="20" w:after="0" w:line="240" w:lineRule="auto"/>
              <w:rPr>
                <w:sz w:val="18"/>
                <w:szCs w:val="18"/>
              </w:rPr>
            </w:pPr>
            <w:r w:rsidRPr="00CB6DAA">
              <w:rPr>
                <w:sz w:val="18"/>
                <w:szCs w:val="18"/>
              </w:rPr>
              <w:t>Survival probability to MAC: p(MAC)</w:t>
            </w:r>
          </w:p>
        </w:tc>
        <w:tc>
          <w:tcPr>
            <w:tcW w:w="1168" w:type="dxa"/>
          </w:tcPr>
          <w:p w14:paraId="78FD81B8" w14:textId="77777777" w:rsidR="00ED4F0E" w:rsidRPr="00CB6DAA" w:rsidRDefault="00ED4F0E" w:rsidP="006245BA">
            <w:pPr>
              <w:spacing w:before="20" w:after="0" w:line="240" w:lineRule="auto"/>
              <w:jc w:val="center"/>
              <w:rPr>
                <w:sz w:val="18"/>
                <w:szCs w:val="18"/>
              </w:rPr>
            </w:pPr>
            <w:r w:rsidRPr="00CB6DAA">
              <w:rPr>
                <w:sz w:val="18"/>
                <w:szCs w:val="18"/>
              </w:rPr>
              <w:t>0.545</w:t>
            </w:r>
          </w:p>
        </w:tc>
        <w:tc>
          <w:tcPr>
            <w:tcW w:w="1168" w:type="dxa"/>
          </w:tcPr>
          <w:p w14:paraId="3066670E" w14:textId="77777777" w:rsidR="00ED4F0E" w:rsidRPr="00CB6DAA" w:rsidRDefault="00ED4F0E" w:rsidP="006245BA">
            <w:pPr>
              <w:spacing w:before="20" w:after="0" w:line="240" w:lineRule="auto"/>
              <w:jc w:val="center"/>
              <w:rPr>
                <w:sz w:val="18"/>
                <w:szCs w:val="18"/>
              </w:rPr>
            </w:pPr>
            <w:r w:rsidRPr="00CB6DAA">
              <w:rPr>
                <w:sz w:val="18"/>
                <w:szCs w:val="18"/>
              </w:rPr>
              <w:t>0.910</w:t>
            </w:r>
          </w:p>
        </w:tc>
        <w:tc>
          <w:tcPr>
            <w:tcW w:w="1148" w:type="dxa"/>
          </w:tcPr>
          <w:p w14:paraId="638C5DA0" w14:textId="77777777" w:rsidR="00ED4F0E" w:rsidRPr="00CB6DAA" w:rsidRDefault="00ED4F0E" w:rsidP="006245BA">
            <w:pPr>
              <w:spacing w:before="20" w:after="0" w:line="240" w:lineRule="auto"/>
              <w:jc w:val="center"/>
              <w:rPr>
                <w:sz w:val="18"/>
                <w:szCs w:val="18"/>
              </w:rPr>
            </w:pPr>
            <w:r w:rsidRPr="00CB6DAA">
              <w:rPr>
                <w:sz w:val="18"/>
                <w:szCs w:val="18"/>
              </w:rPr>
              <w:t>0.866</w:t>
            </w:r>
          </w:p>
        </w:tc>
        <w:tc>
          <w:tcPr>
            <w:tcW w:w="1134" w:type="dxa"/>
          </w:tcPr>
          <w:p w14:paraId="1AF09F4A" w14:textId="77777777" w:rsidR="00ED4F0E" w:rsidRPr="00CB6DAA" w:rsidRDefault="00ED4F0E" w:rsidP="006245BA">
            <w:pPr>
              <w:spacing w:before="20" w:after="0" w:line="240" w:lineRule="auto"/>
              <w:jc w:val="center"/>
              <w:rPr>
                <w:sz w:val="18"/>
                <w:szCs w:val="18"/>
              </w:rPr>
            </w:pPr>
            <w:r w:rsidRPr="00CB6DAA">
              <w:rPr>
                <w:sz w:val="18"/>
                <w:szCs w:val="18"/>
              </w:rPr>
              <w:t>0.987</w:t>
            </w:r>
          </w:p>
        </w:tc>
        <w:tc>
          <w:tcPr>
            <w:tcW w:w="1134" w:type="dxa"/>
          </w:tcPr>
          <w:p w14:paraId="1C1B9D65" w14:textId="77777777" w:rsidR="00ED4F0E" w:rsidRPr="00CB6DAA" w:rsidRDefault="00ED4F0E" w:rsidP="006245BA">
            <w:pPr>
              <w:spacing w:before="20" w:after="0" w:line="240" w:lineRule="auto"/>
              <w:jc w:val="center"/>
              <w:rPr>
                <w:sz w:val="18"/>
                <w:szCs w:val="18"/>
              </w:rPr>
            </w:pPr>
            <w:r w:rsidRPr="00CB6DAA">
              <w:rPr>
                <w:sz w:val="18"/>
                <w:szCs w:val="18"/>
              </w:rPr>
              <w:t>0.982</w:t>
            </w:r>
          </w:p>
        </w:tc>
      </w:tr>
      <w:tr w:rsidR="00ED4F0E" w:rsidRPr="00CB6DAA" w14:paraId="0494B44D" w14:textId="77777777" w:rsidTr="006245BA">
        <w:tc>
          <w:tcPr>
            <w:tcW w:w="3570" w:type="dxa"/>
          </w:tcPr>
          <w:p w14:paraId="3153FAB6" w14:textId="77777777" w:rsidR="00ED4F0E" w:rsidRPr="00CB6DAA" w:rsidRDefault="00ED4F0E" w:rsidP="006245BA">
            <w:pPr>
              <w:spacing w:before="20" w:after="0" w:line="240" w:lineRule="auto"/>
              <w:rPr>
                <w:sz w:val="18"/>
                <w:szCs w:val="18"/>
              </w:rPr>
            </w:pPr>
            <w:r w:rsidRPr="00CB6DAA">
              <w:rPr>
                <w:sz w:val="18"/>
                <w:szCs w:val="18"/>
              </w:rPr>
              <w:t>Survival probability to MAF: p(MAF)</w:t>
            </w:r>
          </w:p>
        </w:tc>
        <w:tc>
          <w:tcPr>
            <w:tcW w:w="1168" w:type="dxa"/>
          </w:tcPr>
          <w:p w14:paraId="7DC5E9C9" w14:textId="77777777" w:rsidR="00ED4F0E" w:rsidRPr="00CB6DAA" w:rsidRDefault="00ED4F0E" w:rsidP="006245BA">
            <w:pPr>
              <w:spacing w:before="20" w:after="0" w:line="240" w:lineRule="auto"/>
              <w:jc w:val="center"/>
              <w:rPr>
                <w:sz w:val="18"/>
                <w:szCs w:val="18"/>
              </w:rPr>
            </w:pPr>
            <w:r w:rsidRPr="00CB6DAA">
              <w:rPr>
                <w:sz w:val="18"/>
                <w:szCs w:val="18"/>
              </w:rPr>
              <w:t>0.426</w:t>
            </w:r>
          </w:p>
        </w:tc>
        <w:tc>
          <w:tcPr>
            <w:tcW w:w="1168" w:type="dxa"/>
          </w:tcPr>
          <w:p w14:paraId="2CA6C3C6" w14:textId="77777777" w:rsidR="00ED4F0E" w:rsidRPr="00CB6DAA" w:rsidRDefault="00ED4F0E" w:rsidP="006245BA">
            <w:pPr>
              <w:spacing w:before="20" w:after="0" w:line="240" w:lineRule="auto"/>
              <w:jc w:val="center"/>
              <w:rPr>
                <w:sz w:val="18"/>
                <w:szCs w:val="18"/>
              </w:rPr>
            </w:pPr>
            <w:r w:rsidRPr="00CB6DAA">
              <w:rPr>
                <w:sz w:val="18"/>
                <w:szCs w:val="18"/>
              </w:rPr>
              <w:t>0.844</w:t>
            </w:r>
          </w:p>
        </w:tc>
        <w:tc>
          <w:tcPr>
            <w:tcW w:w="1148" w:type="dxa"/>
          </w:tcPr>
          <w:p w14:paraId="14B1513C" w14:textId="77777777" w:rsidR="00ED4F0E" w:rsidRPr="00CB6DAA" w:rsidRDefault="00ED4F0E" w:rsidP="006245BA">
            <w:pPr>
              <w:spacing w:before="20" w:after="0" w:line="240" w:lineRule="auto"/>
              <w:jc w:val="center"/>
              <w:rPr>
                <w:sz w:val="18"/>
                <w:szCs w:val="18"/>
              </w:rPr>
            </w:pPr>
            <w:r w:rsidRPr="00CB6DAA">
              <w:rPr>
                <w:sz w:val="18"/>
                <w:szCs w:val="18"/>
              </w:rPr>
              <w:t>0.806</w:t>
            </w:r>
          </w:p>
        </w:tc>
        <w:tc>
          <w:tcPr>
            <w:tcW w:w="1134" w:type="dxa"/>
          </w:tcPr>
          <w:p w14:paraId="71861727" w14:textId="77777777" w:rsidR="00ED4F0E" w:rsidRPr="00CB6DAA" w:rsidRDefault="00ED4F0E" w:rsidP="006245BA">
            <w:pPr>
              <w:spacing w:before="20" w:after="0" w:line="240" w:lineRule="auto"/>
              <w:jc w:val="center"/>
              <w:rPr>
                <w:sz w:val="18"/>
                <w:szCs w:val="18"/>
              </w:rPr>
            </w:pPr>
            <w:r w:rsidRPr="00CB6DAA">
              <w:rPr>
                <w:sz w:val="18"/>
                <w:szCs w:val="18"/>
              </w:rPr>
              <w:t>0.972</w:t>
            </w:r>
          </w:p>
        </w:tc>
        <w:tc>
          <w:tcPr>
            <w:tcW w:w="1134" w:type="dxa"/>
          </w:tcPr>
          <w:p w14:paraId="40332163" w14:textId="77777777" w:rsidR="00ED4F0E" w:rsidRPr="00CB6DAA" w:rsidRDefault="00ED4F0E" w:rsidP="006245BA">
            <w:pPr>
              <w:spacing w:before="20" w:after="0" w:line="240" w:lineRule="auto"/>
              <w:jc w:val="center"/>
              <w:rPr>
                <w:sz w:val="18"/>
                <w:szCs w:val="18"/>
              </w:rPr>
            </w:pPr>
            <w:r w:rsidRPr="00CB6DAA">
              <w:rPr>
                <w:sz w:val="18"/>
                <w:szCs w:val="18"/>
              </w:rPr>
              <w:t>0.975</w:t>
            </w:r>
          </w:p>
        </w:tc>
      </w:tr>
      <w:tr w:rsidR="00ED4F0E" w:rsidRPr="00CB6DAA" w14:paraId="40DBE281" w14:textId="77777777" w:rsidTr="006245BA">
        <w:tc>
          <w:tcPr>
            <w:tcW w:w="3570" w:type="dxa"/>
          </w:tcPr>
          <w:p w14:paraId="57D59F93" w14:textId="77777777" w:rsidR="00ED4F0E" w:rsidRPr="00CB6DAA" w:rsidRDefault="00ED4F0E" w:rsidP="006245BA">
            <w:pPr>
              <w:spacing w:before="20" w:after="0" w:line="240" w:lineRule="auto"/>
              <w:rPr>
                <w:sz w:val="18"/>
                <w:szCs w:val="18"/>
              </w:rPr>
            </w:pPr>
          </w:p>
        </w:tc>
        <w:tc>
          <w:tcPr>
            <w:tcW w:w="1168" w:type="dxa"/>
          </w:tcPr>
          <w:p w14:paraId="3957ADAF" w14:textId="77777777" w:rsidR="00ED4F0E" w:rsidRPr="00CB6DAA" w:rsidRDefault="00ED4F0E" w:rsidP="006245BA">
            <w:pPr>
              <w:spacing w:before="20" w:after="0" w:line="240" w:lineRule="auto"/>
              <w:jc w:val="center"/>
              <w:rPr>
                <w:sz w:val="18"/>
                <w:szCs w:val="18"/>
              </w:rPr>
            </w:pPr>
          </w:p>
        </w:tc>
        <w:tc>
          <w:tcPr>
            <w:tcW w:w="1168" w:type="dxa"/>
          </w:tcPr>
          <w:p w14:paraId="73AEDFE6" w14:textId="77777777" w:rsidR="00ED4F0E" w:rsidRPr="00CB6DAA" w:rsidRDefault="00ED4F0E" w:rsidP="006245BA">
            <w:pPr>
              <w:spacing w:before="20" w:after="0" w:line="240" w:lineRule="auto"/>
              <w:jc w:val="center"/>
              <w:rPr>
                <w:sz w:val="18"/>
                <w:szCs w:val="18"/>
              </w:rPr>
            </w:pPr>
          </w:p>
        </w:tc>
        <w:tc>
          <w:tcPr>
            <w:tcW w:w="1148" w:type="dxa"/>
          </w:tcPr>
          <w:p w14:paraId="16D065C8" w14:textId="77777777" w:rsidR="00ED4F0E" w:rsidRPr="00CB6DAA" w:rsidRDefault="00ED4F0E" w:rsidP="006245BA">
            <w:pPr>
              <w:spacing w:before="20" w:after="0" w:line="240" w:lineRule="auto"/>
              <w:jc w:val="center"/>
              <w:rPr>
                <w:sz w:val="18"/>
                <w:szCs w:val="18"/>
              </w:rPr>
            </w:pPr>
          </w:p>
        </w:tc>
        <w:tc>
          <w:tcPr>
            <w:tcW w:w="1134" w:type="dxa"/>
          </w:tcPr>
          <w:p w14:paraId="53DD5A6F" w14:textId="77777777" w:rsidR="00ED4F0E" w:rsidRPr="00CB6DAA" w:rsidRDefault="00ED4F0E" w:rsidP="006245BA">
            <w:pPr>
              <w:spacing w:before="20" w:after="0" w:line="240" w:lineRule="auto"/>
              <w:jc w:val="center"/>
              <w:rPr>
                <w:sz w:val="18"/>
                <w:szCs w:val="18"/>
              </w:rPr>
            </w:pPr>
          </w:p>
        </w:tc>
        <w:tc>
          <w:tcPr>
            <w:tcW w:w="1134" w:type="dxa"/>
          </w:tcPr>
          <w:p w14:paraId="6DE337AD" w14:textId="77777777" w:rsidR="00ED4F0E" w:rsidRPr="00CB6DAA" w:rsidRDefault="00ED4F0E" w:rsidP="006245BA">
            <w:pPr>
              <w:spacing w:before="20" w:after="0" w:line="240" w:lineRule="auto"/>
              <w:jc w:val="center"/>
              <w:rPr>
                <w:sz w:val="18"/>
                <w:szCs w:val="18"/>
              </w:rPr>
            </w:pPr>
          </w:p>
        </w:tc>
      </w:tr>
      <w:tr w:rsidR="00ED4F0E" w:rsidRPr="00CB6DAA" w14:paraId="6CA2FD51" w14:textId="77777777" w:rsidTr="006245BA">
        <w:tc>
          <w:tcPr>
            <w:tcW w:w="3570" w:type="dxa"/>
          </w:tcPr>
          <w:p w14:paraId="4E8D560A" w14:textId="77777777" w:rsidR="00ED4F0E" w:rsidRPr="00CB6DAA" w:rsidRDefault="00ED4F0E" w:rsidP="006245BA">
            <w:pPr>
              <w:spacing w:before="20" w:after="0" w:line="240" w:lineRule="auto"/>
              <w:rPr>
                <w:sz w:val="18"/>
                <w:szCs w:val="18"/>
              </w:rPr>
            </w:pPr>
            <w:r w:rsidRPr="00CB6DAA">
              <w:rPr>
                <w:sz w:val="18"/>
                <w:szCs w:val="18"/>
              </w:rPr>
              <w:t>1/SRB</w:t>
            </w:r>
          </w:p>
        </w:tc>
        <w:tc>
          <w:tcPr>
            <w:tcW w:w="1168" w:type="dxa"/>
          </w:tcPr>
          <w:p w14:paraId="1F2A9C0B" w14:textId="77777777" w:rsidR="00ED4F0E" w:rsidRPr="00CB6DAA" w:rsidRDefault="00ED4F0E" w:rsidP="006245BA">
            <w:pPr>
              <w:spacing w:before="20" w:after="0" w:line="240" w:lineRule="auto"/>
              <w:jc w:val="center"/>
              <w:rPr>
                <w:sz w:val="18"/>
                <w:szCs w:val="18"/>
              </w:rPr>
            </w:pPr>
            <w:r w:rsidRPr="00CB6DAA">
              <w:rPr>
                <w:sz w:val="18"/>
                <w:szCs w:val="18"/>
              </w:rPr>
              <w:t>0.952</w:t>
            </w:r>
          </w:p>
        </w:tc>
        <w:tc>
          <w:tcPr>
            <w:tcW w:w="1168" w:type="dxa"/>
          </w:tcPr>
          <w:p w14:paraId="40B126BE" w14:textId="77777777" w:rsidR="00ED4F0E" w:rsidRPr="00CB6DAA" w:rsidRDefault="00ED4F0E" w:rsidP="006245BA">
            <w:pPr>
              <w:spacing w:before="20" w:after="0" w:line="240" w:lineRule="auto"/>
              <w:jc w:val="center"/>
              <w:rPr>
                <w:sz w:val="18"/>
                <w:szCs w:val="18"/>
              </w:rPr>
            </w:pPr>
            <w:r w:rsidRPr="00CB6DAA">
              <w:rPr>
                <w:sz w:val="18"/>
                <w:szCs w:val="18"/>
              </w:rPr>
              <w:t>0.952</w:t>
            </w:r>
          </w:p>
        </w:tc>
        <w:tc>
          <w:tcPr>
            <w:tcW w:w="1148" w:type="dxa"/>
          </w:tcPr>
          <w:p w14:paraId="67280B35" w14:textId="77777777" w:rsidR="00ED4F0E" w:rsidRPr="00CB6DAA" w:rsidRDefault="00ED4F0E" w:rsidP="006245BA">
            <w:pPr>
              <w:spacing w:before="20" w:after="0" w:line="240" w:lineRule="auto"/>
              <w:jc w:val="center"/>
              <w:rPr>
                <w:sz w:val="18"/>
                <w:szCs w:val="18"/>
              </w:rPr>
            </w:pPr>
            <w:r w:rsidRPr="00CB6DAA">
              <w:rPr>
                <w:sz w:val="18"/>
                <w:szCs w:val="18"/>
              </w:rPr>
              <w:t>0.952</w:t>
            </w:r>
          </w:p>
        </w:tc>
        <w:tc>
          <w:tcPr>
            <w:tcW w:w="1134" w:type="dxa"/>
          </w:tcPr>
          <w:p w14:paraId="0642D556" w14:textId="77777777" w:rsidR="00ED4F0E" w:rsidRPr="00CB6DAA" w:rsidRDefault="00ED4F0E" w:rsidP="006245BA">
            <w:pPr>
              <w:spacing w:before="20" w:after="0" w:line="240" w:lineRule="auto"/>
              <w:jc w:val="center"/>
              <w:rPr>
                <w:sz w:val="18"/>
                <w:szCs w:val="18"/>
              </w:rPr>
            </w:pPr>
            <w:r w:rsidRPr="00CB6DAA">
              <w:rPr>
                <w:sz w:val="18"/>
                <w:szCs w:val="18"/>
              </w:rPr>
              <w:t>0.952</w:t>
            </w:r>
          </w:p>
        </w:tc>
        <w:tc>
          <w:tcPr>
            <w:tcW w:w="1134" w:type="dxa"/>
          </w:tcPr>
          <w:p w14:paraId="4CFEF8FE" w14:textId="77777777" w:rsidR="00ED4F0E" w:rsidRPr="00CB6DAA" w:rsidRDefault="00ED4F0E" w:rsidP="006245BA">
            <w:pPr>
              <w:spacing w:before="20" w:after="0" w:line="240" w:lineRule="auto"/>
              <w:jc w:val="center"/>
              <w:rPr>
                <w:sz w:val="18"/>
                <w:szCs w:val="18"/>
              </w:rPr>
            </w:pPr>
            <w:r w:rsidRPr="00CB6DAA">
              <w:rPr>
                <w:sz w:val="18"/>
                <w:szCs w:val="18"/>
              </w:rPr>
              <w:t>0.909</w:t>
            </w:r>
          </w:p>
        </w:tc>
      </w:tr>
      <w:tr w:rsidR="00ED4F0E" w:rsidRPr="00CB6DAA" w14:paraId="008B11B6" w14:textId="77777777" w:rsidTr="006245BA">
        <w:tc>
          <w:tcPr>
            <w:tcW w:w="3570" w:type="dxa"/>
          </w:tcPr>
          <w:p w14:paraId="43DCEC7C" w14:textId="77777777" w:rsidR="00ED4F0E" w:rsidRPr="00CB6DAA" w:rsidRDefault="00ED4F0E" w:rsidP="006245BA">
            <w:pPr>
              <w:spacing w:before="20" w:after="0" w:line="240" w:lineRule="auto"/>
              <w:rPr>
                <w:sz w:val="18"/>
                <w:szCs w:val="18"/>
              </w:rPr>
            </w:pPr>
            <w:r w:rsidRPr="00CB6DAA">
              <w:rPr>
                <w:sz w:val="18"/>
                <w:szCs w:val="18"/>
              </w:rPr>
              <w:t>P(MAC)/p(MAF)</w:t>
            </w:r>
          </w:p>
        </w:tc>
        <w:tc>
          <w:tcPr>
            <w:tcW w:w="1168" w:type="dxa"/>
          </w:tcPr>
          <w:p w14:paraId="0D6925A5" w14:textId="77777777" w:rsidR="00ED4F0E" w:rsidRPr="00CB6DAA" w:rsidRDefault="00ED4F0E" w:rsidP="006245BA">
            <w:pPr>
              <w:spacing w:before="20" w:after="0" w:line="240" w:lineRule="auto"/>
              <w:jc w:val="center"/>
              <w:rPr>
                <w:sz w:val="18"/>
                <w:szCs w:val="18"/>
              </w:rPr>
            </w:pPr>
            <w:r w:rsidRPr="00CB6DAA">
              <w:rPr>
                <w:sz w:val="18"/>
                <w:szCs w:val="18"/>
              </w:rPr>
              <w:t>1.279</w:t>
            </w:r>
          </w:p>
        </w:tc>
        <w:tc>
          <w:tcPr>
            <w:tcW w:w="1168" w:type="dxa"/>
          </w:tcPr>
          <w:p w14:paraId="15D5E131" w14:textId="77777777" w:rsidR="00ED4F0E" w:rsidRPr="00CB6DAA" w:rsidRDefault="00ED4F0E" w:rsidP="006245BA">
            <w:pPr>
              <w:spacing w:before="20" w:after="0" w:line="240" w:lineRule="auto"/>
              <w:jc w:val="center"/>
              <w:rPr>
                <w:sz w:val="18"/>
                <w:szCs w:val="18"/>
              </w:rPr>
            </w:pPr>
            <w:r w:rsidRPr="00CB6DAA">
              <w:rPr>
                <w:sz w:val="18"/>
                <w:szCs w:val="18"/>
              </w:rPr>
              <w:t>1.078</w:t>
            </w:r>
          </w:p>
        </w:tc>
        <w:tc>
          <w:tcPr>
            <w:tcW w:w="1148" w:type="dxa"/>
          </w:tcPr>
          <w:p w14:paraId="492CDBC2" w14:textId="77777777" w:rsidR="00ED4F0E" w:rsidRPr="00CB6DAA" w:rsidRDefault="00ED4F0E" w:rsidP="006245BA">
            <w:pPr>
              <w:spacing w:before="20" w:after="0" w:line="240" w:lineRule="auto"/>
              <w:jc w:val="center"/>
              <w:rPr>
                <w:sz w:val="18"/>
                <w:szCs w:val="18"/>
              </w:rPr>
            </w:pPr>
            <w:r w:rsidRPr="00CB6DAA">
              <w:rPr>
                <w:sz w:val="18"/>
                <w:szCs w:val="18"/>
              </w:rPr>
              <w:t>1.075</w:t>
            </w:r>
          </w:p>
        </w:tc>
        <w:tc>
          <w:tcPr>
            <w:tcW w:w="1134" w:type="dxa"/>
          </w:tcPr>
          <w:p w14:paraId="58F77BD7" w14:textId="77777777" w:rsidR="00ED4F0E" w:rsidRPr="00CB6DAA" w:rsidRDefault="00ED4F0E" w:rsidP="006245BA">
            <w:pPr>
              <w:spacing w:before="20" w:after="0" w:line="240" w:lineRule="auto"/>
              <w:jc w:val="center"/>
              <w:rPr>
                <w:sz w:val="18"/>
                <w:szCs w:val="18"/>
              </w:rPr>
            </w:pPr>
            <w:r w:rsidRPr="00CB6DAA">
              <w:rPr>
                <w:sz w:val="18"/>
                <w:szCs w:val="18"/>
              </w:rPr>
              <w:t>1.015</w:t>
            </w:r>
          </w:p>
        </w:tc>
        <w:tc>
          <w:tcPr>
            <w:tcW w:w="1134" w:type="dxa"/>
          </w:tcPr>
          <w:p w14:paraId="2956C332" w14:textId="77777777" w:rsidR="00ED4F0E" w:rsidRPr="00CB6DAA" w:rsidRDefault="00ED4F0E" w:rsidP="006245BA">
            <w:pPr>
              <w:spacing w:before="20" w:after="0" w:line="240" w:lineRule="auto"/>
              <w:jc w:val="center"/>
              <w:rPr>
                <w:sz w:val="18"/>
                <w:szCs w:val="18"/>
              </w:rPr>
            </w:pPr>
            <w:r w:rsidRPr="00CB6DAA">
              <w:rPr>
                <w:sz w:val="18"/>
                <w:szCs w:val="18"/>
              </w:rPr>
              <w:t>1.005</w:t>
            </w:r>
          </w:p>
        </w:tc>
      </w:tr>
      <w:tr w:rsidR="00ED4F0E" w:rsidRPr="00CB6DAA" w14:paraId="5A2FA940" w14:textId="77777777" w:rsidTr="006245BA">
        <w:tc>
          <w:tcPr>
            <w:tcW w:w="3570" w:type="dxa"/>
          </w:tcPr>
          <w:p w14:paraId="72331D99" w14:textId="4996D6AB" w:rsidR="00ED4F0E" w:rsidRPr="00CB6DAA" w:rsidRDefault="00A14D60" w:rsidP="006245BA">
            <w:pPr>
              <w:spacing w:before="20" w:after="0" w:line="240" w:lineRule="auto"/>
              <w:rPr>
                <w:sz w:val="18"/>
                <w:szCs w:val="18"/>
              </w:rPr>
            </w:pPr>
            <w:proofErr w:type="spellStart"/>
            <w:r>
              <w:rPr>
                <w:sz w:val="18"/>
                <w:szCs w:val="18"/>
              </w:rPr>
              <w:t>e</w:t>
            </w:r>
            <w:r w:rsidR="00ED4F0E" w:rsidRPr="00CB6DAA">
              <w:rPr>
                <w:sz w:val="18"/>
                <w:szCs w:val="18"/>
              </w:rPr>
              <w:t>xp</w:t>
            </w:r>
            <w:proofErr w:type="spellEnd"/>
            <w:r w:rsidR="00ED4F0E" w:rsidRPr="00CB6DAA">
              <w:rPr>
                <w:sz w:val="18"/>
                <w:szCs w:val="18"/>
              </w:rPr>
              <w:t>(r.(T</w:t>
            </w:r>
            <w:r w:rsidR="00ED4F0E" w:rsidRPr="00CB6DAA">
              <w:rPr>
                <w:sz w:val="18"/>
                <w:szCs w:val="18"/>
                <w:vertAlign w:val="subscript"/>
              </w:rPr>
              <w:t>m</w:t>
            </w:r>
            <w:r w:rsidR="00ED4F0E" w:rsidRPr="00CB6DAA">
              <w:rPr>
                <w:sz w:val="18"/>
                <w:szCs w:val="18"/>
              </w:rPr>
              <w:t xml:space="preserve"> – </w:t>
            </w:r>
            <w:proofErr w:type="spellStart"/>
            <w:r w:rsidR="00ED4F0E" w:rsidRPr="00CB6DAA">
              <w:rPr>
                <w:sz w:val="18"/>
                <w:szCs w:val="18"/>
              </w:rPr>
              <w:t>T</w:t>
            </w:r>
            <w:r w:rsidR="00ED4F0E" w:rsidRPr="00CB6DAA">
              <w:rPr>
                <w:sz w:val="18"/>
                <w:szCs w:val="18"/>
                <w:vertAlign w:val="subscript"/>
              </w:rPr>
              <w:t>f</w:t>
            </w:r>
            <w:proofErr w:type="spellEnd"/>
            <w:r w:rsidR="00ED4F0E" w:rsidRPr="00CB6DAA">
              <w:rPr>
                <w:sz w:val="18"/>
                <w:szCs w:val="18"/>
              </w:rPr>
              <w:t>))</w:t>
            </w:r>
          </w:p>
        </w:tc>
        <w:tc>
          <w:tcPr>
            <w:tcW w:w="1168" w:type="dxa"/>
          </w:tcPr>
          <w:p w14:paraId="2E03766A" w14:textId="77777777" w:rsidR="00ED4F0E" w:rsidRPr="00CB6DAA" w:rsidRDefault="00ED4F0E" w:rsidP="006245BA">
            <w:pPr>
              <w:spacing w:before="20" w:after="0" w:line="240" w:lineRule="auto"/>
              <w:jc w:val="center"/>
              <w:rPr>
                <w:sz w:val="18"/>
                <w:szCs w:val="18"/>
              </w:rPr>
            </w:pPr>
            <w:r w:rsidRPr="00CB6DAA">
              <w:rPr>
                <w:sz w:val="18"/>
                <w:szCs w:val="18"/>
              </w:rPr>
              <w:t>1.389</w:t>
            </w:r>
          </w:p>
        </w:tc>
        <w:tc>
          <w:tcPr>
            <w:tcW w:w="1168" w:type="dxa"/>
          </w:tcPr>
          <w:p w14:paraId="55E27AE0" w14:textId="77777777" w:rsidR="00ED4F0E" w:rsidRPr="00CB6DAA" w:rsidRDefault="00ED4F0E" w:rsidP="006245BA">
            <w:pPr>
              <w:spacing w:before="20" w:after="0" w:line="240" w:lineRule="auto"/>
              <w:jc w:val="center"/>
              <w:rPr>
                <w:sz w:val="18"/>
                <w:szCs w:val="18"/>
              </w:rPr>
            </w:pPr>
            <w:r w:rsidRPr="00CB6DAA">
              <w:rPr>
                <w:sz w:val="18"/>
                <w:szCs w:val="18"/>
              </w:rPr>
              <w:t>1.429</w:t>
            </w:r>
          </w:p>
        </w:tc>
        <w:tc>
          <w:tcPr>
            <w:tcW w:w="1148" w:type="dxa"/>
          </w:tcPr>
          <w:p w14:paraId="6C90D051" w14:textId="77777777" w:rsidR="00ED4F0E" w:rsidRPr="00CB6DAA" w:rsidRDefault="00ED4F0E" w:rsidP="006245BA">
            <w:pPr>
              <w:spacing w:before="20" w:after="0" w:line="240" w:lineRule="auto"/>
              <w:jc w:val="center"/>
              <w:rPr>
                <w:sz w:val="18"/>
                <w:szCs w:val="18"/>
              </w:rPr>
            </w:pPr>
            <w:r w:rsidRPr="00CB6DAA">
              <w:rPr>
                <w:sz w:val="18"/>
                <w:szCs w:val="18"/>
              </w:rPr>
              <w:t>1.065</w:t>
            </w:r>
          </w:p>
        </w:tc>
        <w:tc>
          <w:tcPr>
            <w:tcW w:w="1134" w:type="dxa"/>
          </w:tcPr>
          <w:p w14:paraId="0A94B7AE" w14:textId="77777777" w:rsidR="00ED4F0E" w:rsidRPr="00CB6DAA" w:rsidRDefault="00ED4F0E" w:rsidP="006245BA">
            <w:pPr>
              <w:spacing w:before="20" w:after="0" w:line="240" w:lineRule="auto"/>
              <w:jc w:val="center"/>
              <w:rPr>
                <w:sz w:val="18"/>
                <w:szCs w:val="18"/>
              </w:rPr>
            </w:pPr>
            <w:r w:rsidRPr="00CB6DAA">
              <w:rPr>
                <w:sz w:val="18"/>
                <w:szCs w:val="18"/>
              </w:rPr>
              <w:t>0.990</w:t>
            </w:r>
          </w:p>
        </w:tc>
        <w:tc>
          <w:tcPr>
            <w:tcW w:w="1134" w:type="dxa"/>
          </w:tcPr>
          <w:p w14:paraId="06573241" w14:textId="77777777" w:rsidR="00ED4F0E" w:rsidRPr="00CB6DAA" w:rsidRDefault="00ED4F0E" w:rsidP="006245BA">
            <w:pPr>
              <w:spacing w:before="20" w:after="0" w:line="240" w:lineRule="auto"/>
              <w:jc w:val="center"/>
              <w:rPr>
                <w:sz w:val="18"/>
                <w:szCs w:val="18"/>
              </w:rPr>
            </w:pPr>
            <w:r w:rsidRPr="00CB6DAA">
              <w:rPr>
                <w:sz w:val="18"/>
                <w:szCs w:val="18"/>
              </w:rPr>
              <w:t>0.984</w:t>
            </w:r>
          </w:p>
        </w:tc>
      </w:tr>
      <w:tr w:rsidR="00ED4F0E" w:rsidRPr="00CB6DAA" w14:paraId="15C6A9C3" w14:textId="77777777" w:rsidTr="006245BA">
        <w:tc>
          <w:tcPr>
            <w:tcW w:w="3570" w:type="dxa"/>
          </w:tcPr>
          <w:p w14:paraId="717CDA95" w14:textId="77777777" w:rsidR="00ED4F0E" w:rsidRPr="00CB6DAA" w:rsidRDefault="00ED4F0E" w:rsidP="006245BA">
            <w:pPr>
              <w:spacing w:before="20" w:after="0" w:line="240" w:lineRule="auto"/>
              <w:rPr>
                <w:sz w:val="18"/>
                <w:szCs w:val="18"/>
              </w:rPr>
            </w:pPr>
          </w:p>
        </w:tc>
        <w:tc>
          <w:tcPr>
            <w:tcW w:w="1168" w:type="dxa"/>
          </w:tcPr>
          <w:p w14:paraId="5DDA7A44" w14:textId="77777777" w:rsidR="00ED4F0E" w:rsidRPr="00CB6DAA" w:rsidRDefault="00ED4F0E" w:rsidP="006245BA">
            <w:pPr>
              <w:spacing w:before="20" w:after="0" w:line="240" w:lineRule="auto"/>
              <w:jc w:val="center"/>
              <w:rPr>
                <w:sz w:val="18"/>
                <w:szCs w:val="18"/>
              </w:rPr>
            </w:pPr>
          </w:p>
        </w:tc>
        <w:tc>
          <w:tcPr>
            <w:tcW w:w="1168" w:type="dxa"/>
          </w:tcPr>
          <w:p w14:paraId="21917160" w14:textId="77777777" w:rsidR="00ED4F0E" w:rsidRPr="00CB6DAA" w:rsidRDefault="00ED4F0E" w:rsidP="006245BA">
            <w:pPr>
              <w:spacing w:before="20" w:after="0" w:line="240" w:lineRule="auto"/>
              <w:jc w:val="center"/>
              <w:rPr>
                <w:sz w:val="18"/>
                <w:szCs w:val="18"/>
              </w:rPr>
            </w:pPr>
          </w:p>
        </w:tc>
        <w:tc>
          <w:tcPr>
            <w:tcW w:w="1148" w:type="dxa"/>
          </w:tcPr>
          <w:p w14:paraId="63B72E37" w14:textId="77777777" w:rsidR="00ED4F0E" w:rsidRPr="00CB6DAA" w:rsidRDefault="00ED4F0E" w:rsidP="006245BA">
            <w:pPr>
              <w:spacing w:before="20" w:after="0" w:line="240" w:lineRule="auto"/>
              <w:jc w:val="center"/>
              <w:rPr>
                <w:sz w:val="18"/>
                <w:szCs w:val="18"/>
              </w:rPr>
            </w:pPr>
          </w:p>
        </w:tc>
        <w:tc>
          <w:tcPr>
            <w:tcW w:w="1134" w:type="dxa"/>
          </w:tcPr>
          <w:p w14:paraId="0574D29E" w14:textId="77777777" w:rsidR="00ED4F0E" w:rsidRPr="00CB6DAA" w:rsidRDefault="00ED4F0E" w:rsidP="006245BA">
            <w:pPr>
              <w:spacing w:before="20" w:after="0" w:line="240" w:lineRule="auto"/>
              <w:jc w:val="center"/>
              <w:rPr>
                <w:sz w:val="18"/>
                <w:szCs w:val="18"/>
              </w:rPr>
            </w:pPr>
          </w:p>
        </w:tc>
        <w:tc>
          <w:tcPr>
            <w:tcW w:w="1134" w:type="dxa"/>
          </w:tcPr>
          <w:p w14:paraId="6DC0BAAE" w14:textId="77777777" w:rsidR="00ED4F0E" w:rsidRPr="00CB6DAA" w:rsidRDefault="00ED4F0E" w:rsidP="006245BA">
            <w:pPr>
              <w:spacing w:before="20" w:after="0" w:line="240" w:lineRule="auto"/>
              <w:jc w:val="center"/>
              <w:rPr>
                <w:sz w:val="18"/>
                <w:szCs w:val="18"/>
              </w:rPr>
            </w:pPr>
          </w:p>
        </w:tc>
      </w:tr>
      <w:tr w:rsidR="00ED4F0E" w:rsidRPr="00CB6DAA" w14:paraId="0D4EAEDE" w14:textId="77777777" w:rsidTr="006245BA">
        <w:tc>
          <w:tcPr>
            <w:tcW w:w="3570" w:type="dxa"/>
          </w:tcPr>
          <w:p w14:paraId="016B5DC2" w14:textId="77777777" w:rsidR="00ED4F0E" w:rsidRPr="00CB6DAA" w:rsidRDefault="00ED4F0E" w:rsidP="006245BA">
            <w:pPr>
              <w:spacing w:before="20" w:after="0" w:line="240" w:lineRule="auto"/>
              <w:rPr>
                <w:sz w:val="18"/>
                <w:szCs w:val="18"/>
              </w:rPr>
            </w:pPr>
            <w:r w:rsidRPr="00CB6DAA">
              <w:rPr>
                <w:sz w:val="18"/>
                <w:szCs w:val="18"/>
              </w:rPr>
              <w:t>Female TFR</w:t>
            </w:r>
          </w:p>
        </w:tc>
        <w:tc>
          <w:tcPr>
            <w:tcW w:w="1168" w:type="dxa"/>
          </w:tcPr>
          <w:p w14:paraId="0EF88CA2" w14:textId="77777777" w:rsidR="00ED4F0E" w:rsidRPr="00CB6DAA" w:rsidRDefault="00ED4F0E" w:rsidP="006245BA">
            <w:pPr>
              <w:spacing w:before="20" w:after="0" w:line="240" w:lineRule="auto"/>
              <w:jc w:val="center"/>
              <w:rPr>
                <w:sz w:val="18"/>
                <w:szCs w:val="18"/>
              </w:rPr>
            </w:pPr>
            <w:r w:rsidRPr="00CB6DAA">
              <w:rPr>
                <w:sz w:val="18"/>
                <w:szCs w:val="18"/>
              </w:rPr>
              <w:t>6.80</w:t>
            </w:r>
          </w:p>
        </w:tc>
        <w:tc>
          <w:tcPr>
            <w:tcW w:w="1168" w:type="dxa"/>
          </w:tcPr>
          <w:p w14:paraId="7037DC52" w14:textId="77777777" w:rsidR="00ED4F0E" w:rsidRPr="00CB6DAA" w:rsidRDefault="00ED4F0E" w:rsidP="006245BA">
            <w:pPr>
              <w:spacing w:before="20" w:after="0" w:line="240" w:lineRule="auto"/>
              <w:jc w:val="center"/>
              <w:rPr>
                <w:sz w:val="18"/>
                <w:szCs w:val="18"/>
              </w:rPr>
            </w:pPr>
            <w:r w:rsidRPr="00CB6DAA">
              <w:rPr>
                <w:sz w:val="18"/>
                <w:szCs w:val="18"/>
              </w:rPr>
              <w:t>5.00</w:t>
            </w:r>
          </w:p>
        </w:tc>
        <w:tc>
          <w:tcPr>
            <w:tcW w:w="1148" w:type="dxa"/>
          </w:tcPr>
          <w:p w14:paraId="2A0C2758" w14:textId="77777777" w:rsidR="00ED4F0E" w:rsidRPr="00CB6DAA" w:rsidRDefault="00ED4F0E" w:rsidP="006245BA">
            <w:pPr>
              <w:spacing w:before="20" w:after="0" w:line="240" w:lineRule="auto"/>
              <w:jc w:val="center"/>
              <w:rPr>
                <w:sz w:val="18"/>
                <w:szCs w:val="18"/>
              </w:rPr>
            </w:pPr>
            <w:r w:rsidRPr="00CB6DAA">
              <w:rPr>
                <w:sz w:val="18"/>
                <w:szCs w:val="18"/>
              </w:rPr>
              <w:t>3.13</w:t>
            </w:r>
          </w:p>
        </w:tc>
        <w:tc>
          <w:tcPr>
            <w:tcW w:w="1134" w:type="dxa"/>
          </w:tcPr>
          <w:p w14:paraId="2F4E2C44" w14:textId="77777777" w:rsidR="00ED4F0E" w:rsidRPr="00CB6DAA" w:rsidRDefault="00ED4F0E" w:rsidP="006245BA">
            <w:pPr>
              <w:spacing w:before="20" w:after="0" w:line="240" w:lineRule="auto"/>
              <w:jc w:val="center"/>
              <w:rPr>
                <w:sz w:val="18"/>
                <w:szCs w:val="18"/>
              </w:rPr>
            </w:pPr>
            <w:r w:rsidRPr="00CB6DAA">
              <w:rPr>
                <w:sz w:val="18"/>
                <w:szCs w:val="18"/>
              </w:rPr>
              <w:t>1.88</w:t>
            </w:r>
          </w:p>
        </w:tc>
        <w:tc>
          <w:tcPr>
            <w:tcW w:w="1134" w:type="dxa"/>
          </w:tcPr>
          <w:p w14:paraId="6505099D" w14:textId="77777777" w:rsidR="00ED4F0E" w:rsidRPr="00CB6DAA" w:rsidRDefault="00ED4F0E" w:rsidP="006245BA">
            <w:pPr>
              <w:spacing w:before="20" w:after="0" w:line="240" w:lineRule="auto"/>
              <w:jc w:val="center"/>
              <w:rPr>
                <w:sz w:val="18"/>
                <w:szCs w:val="18"/>
              </w:rPr>
            </w:pPr>
            <w:r w:rsidRPr="00CB6DAA">
              <w:rPr>
                <w:sz w:val="18"/>
                <w:szCs w:val="18"/>
              </w:rPr>
              <w:t>1.60</w:t>
            </w:r>
          </w:p>
        </w:tc>
      </w:tr>
      <w:tr w:rsidR="00ED4F0E" w:rsidRPr="00CB6DAA" w14:paraId="35ECF7A1" w14:textId="77777777" w:rsidTr="006245BA">
        <w:tc>
          <w:tcPr>
            <w:tcW w:w="3570" w:type="dxa"/>
          </w:tcPr>
          <w:p w14:paraId="1E974488" w14:textId="77777777" w:rsidR="00ED4F0E" w:rsidRPr="00CB6DAA" w:rsidRDefault="00ED4F0E" w:rsidP="006245BA">
            <w:pPr>
              <w:spacing w:before="20" w:after="0" w:line="240" w:lineRule="auto"/>
              <w:rPr>
                <w:sz w:val="18"/>
                <w:szCs w:val="18"/>
              </w:rPr>
            </w:pPr>
            <w:r w:rsidRPr="00CB6DAA">
              <w:rPr>
                <w:sz w:val="18"/>
                <w:szCs w:val="18"/>
              </w:rPr>
              <w:t>Male TFR</w:t>
            </w:r>
          </w:p>
        </w:tc>
        <w:tc>
          <w:tcPr>
            <w:tcW w:w="1168" w:type="dxa"/>
          </w:tcPr>
          <w:p w14:paraId="2C2CCCA1" w14:textId="77777777" w:rsidR="00ED4F0E" w:rsidRPr="00CB6DAA" w:rsidRDefault="00ED4F0E" w:rsidP="006245BA">
            <w:pPr>
              <w:spacing w:before="20" w:after="0" w:line="240" w:lineRule="auto"/>
              <w:jc w:val="center"/>
              <w:rPr>
                <w:sz w:val="18"/>
                <w:szCs w:val="18"/>
              </w:rPr>
            </w:pPr>
            <w:r w:rsidRPr="00CB6DAA">
              <w:rPr>
                <w:sz w:val="18"/>
                <w:szCs w:val="18"/>
              </w:rPr>
              <w:t>11.51</w:t>
            </w:r>
          </w:p>
        </w:tc>
        <w:tc>
          <w:tcPr>
            <w:tcW w:w="1168" w:type="dxa"/>
          </w:tcPr>
          <w:p w14:paraId="4DB3114E" w14:textId="77777777" w:rsidR="00ED4F0E" w:rsidRPr="00CB6DAA" w:rsidRDefault="00ED4F0E" w:rsidP="006245BA">
            <w:pPr>
              <w:spacing w:before="20" w:after="0" w:line="240" w:lineRule="auto"/>
              <w:jc w:val="center"/>
              <w:rPr>
                <w:sz w:val="18"/>
                <w:szCs w:val="18"/>
              </w:rPr>
            </w:pPr>
            <w:r w:rsidRPr="00CB6DAA">
              <w:rPr>
                <w:sz w:val="18"/>
                <w:szCs w:val="18"/>
              </w:rPr>
              <w:t>7.34</w:t>
            </w:r>
          </w:p>
        </w:tc>
        <w:tc>
          <w:tcPr>
            <w:tcW w:w="1148" w:type="dxa"/>
          </w:tcPr>
          <w:p w14:paraId="69ABCEDA" w14:textId="77777777" w:rsidR="00ED4F0E" w:rsidRPr="00CB6DAA" w:rsidRDefault="00ED4F0E" w:rsidP="006245BA">
            <w:pPr>
              <w:spacing w:before="20" w:after="0" w:line="240" w:lineRule="auto"/>
              <w:jc w:val="center"/>
              <w:rPr>
                <w:sz w:val="18"/>
                <w:szCs w:val="18"/>
              </w:rPr>
            </w:pPr>
            <w:r w:rsidRPr="00CB6DAA">
              <w:rPr>
                <w:sz w:val="18"/>
                <w:szCs w:val="18"/>
              </w:rPr>
              <w:t>3.41</w:t>
            </w:r>
          </w:p>
        </w:tc>
        <w:tc>
          <w:tcPr>
            <w:tcW w:w="1134" w:type="dxa"/>
          </w:tcPr>
          <w:p w14:paraId="7F2B6226" w14:textId="77777777" w:rsidR="00ED4F0E" w:rsidRPr="00CB6DAA" w:rsidRDefault="00ED4F0E" w:rsidP="006245BA">
            <w:pPr>
              <w:spacing w:before="20" w:after="0" w:line="240" w:lineRule="auto"/>
              <w:jc w:val="center"/>
              <w:rPr>
                <w:sz w:val="18"/>
                <w:szCs w:val="18"/>
              </w:rPr>
            </w:pPr>
            <w:r w:rsidRPr="00CB6DAA">
              <w:rPr>
                <w:sz w:val="18"/>
                <w:szCs w:val="18"/>
              </w:rPr>
              <w:t>1.80</w:t>
            </w:r>
          </w:p>
        </w:tc>
        <w:tc>
          <w:tcPr>
            <w:tcW w:w="1134" w:type="dxa"/>
          </w:tcPr>
          <w:p w14:paraId="3E614DA8" w14:textId="77777777" w:rsidR="00ED4F0E" w:rsidRPr="00CB6DAA" w:rsidRDefault="00ED4F0E" w:rsidP="006245BA">
            <w:pPr>
              <w:spacing w:before="20" w:after="0" w:line="240" w:lineRule="auto"/>
              <w:jc w:val="center"/>
              <w:rPr>
                <w:sz w:val="18"/>
                <w:szCs w:val="18"/>
              </w:rPr>
            </w:pPr>
            <w:r w:rsidRPr="00CB6DAA">
              <w:rPr>
                <w:sz w:val="18"/>
                <w:szCs w:val="18"/>
              </w:rPr>
              <w:t>1.44</w:t>
            </w:r>
          </w:p>
        </w:tc>
      </w:tr>
      <w:tr w:rsidR="00ED4F0E" w:rsidRPr="00CB6DAA" w14:paraId="3D63F7EB" w14:textId="77777777" w:rsidTr="006245BA">
        <w:tc>
          <w:tcPr>
            <w:tcW w:w="3570" w:type="dxa"/>
          </w:tcPr>
          <w:p w14:paraId="5EE4ADE8" w14:textId="77777777" w:rsidR="00ED4F0E" w:rsidRPr="00CB6DAA" w:rsidRDefault="00ED4F0E" w:rsidP="006245BA">
            <w:pPr>
              <w:spacing w:before="20" w:after="0" w:line="240" w:lineRule="auto"/>
              <w:rPr>
                <w:sz w:val="18"/>
                <w:szCs w:val="18"/>
              </w:rPr>
            </w:pPr>
          </w:p>
        </w:tc>
        <w:tc>
          <w:tcPr>
            <w:tcW w:w="1168" w:type="dxa"/>
          </w:tcPr>
          <w:p w14:paraId="05F095FF" w14:textId="77777777" w:rsidR="00ED4F0E" w:rsidRPr="00CB6DAA" w:rsidRDefault="00ED4F0E" w:rsidP="006245BA">
            <w:pPr>
              <w:spacing w:before="20" w:after="0" w:line="240" w:lineRule="auto"/>
              <w:jc w:val="center"/>
              <w:rPr>
                <w:sz w:val="18"/>
                <w:szCs w:val="18"/>
              </w:rPr>
            </w:pPr>
          </w:p>
        </w:tc>
        <w:tc>
          <w:tcPr>
            <w:tcW w:w="1168" w:type="dxa"/>
          </w:tcPr>
          <w:p w14:paraId="79B6FCA6" w14:textId="77777777" w:rsidR="00ED4F0E" w:rsidRPr="00CB6DAA" w:rsidRDefault="00ED4F0E" w:rsidP="006245BA">
            <w:pPr>
              <w:spacing w:before="20" w:after="0" w:line="240" w:lineRule="auto"/>
              <w:jc w:val="center"/>
              <w:rPr>
                <w:sz w:val="18"/>
                <w:szCs w:val="18"/>
              </w:rPr>
            </w:pPr>
          </w:p>
        </w:tc>
        <w:tc>
          <w:tcPr>
            <w:tcW w:w="1148" w:type="dxa"/>
          </w:tcPr>
          <w:p w14:paraId="7C07622A" w14:textId="77777777" w:rsidR="00ED4F0E" w:rsidRPr="00CB6DAA" w:rsidRDefault="00ED4F0E" w:rsidP="006245BA">
            <w:pPr>
              <w:spacing w:before="20" w:after="0" w:line="240" w:lineRule="auto"/>
              <w:jc w:val="center"/>
              <w:rPr>
                <w:sz w:val="18"/>
                <w:szCs w:val="18"/>
              </w:rPr>
            </w:pPr>
          </w:p>
        </w:tc>
        <w:tc>
          <w:tcPr>
            <w:tcW w:w="1134" w:type="dxa"/>
          </w:tcPr>
          <w:p w14:paraId="424DDAD2" w14:textId="77777777" w:rsidR="00ED4F0E" w:rsidRPr="00CB6DAA" w:rsidRDefault="00ED4F0E" w:rsidP="006245BA">
            <w:pPr>
              <w:spacing w:before="20" w:after="0" w:line="240" w:lineRule="auto"/>
              <w:jc w:val="center"/>
              <w:rPr>
                <w:sz w:val="18"/>
                <w:szCs w:val="18"/>
              </w:rPr>
            </w:pPr>
          </w:p>
        </w:tc>
        <w:tc>
          <w:tcPr>
            <w:tcW w:w="1134" w:type="dxa"/>
          </w:tcPr>
          <w:p w14:paraId="3FD083FB" w14:textId="77777777" w:rsidR="00ED4F0E" w:rsidRPr="00CB6DAA" w:rsidRDefault="00ED4F0E" w:rsidP="006245BA">
            <w:pPr>
              <w:spacing w:before="20" w:after="0" w:line="240" w:lineRule="auto"/>
              <w:jc w:val="center"/>
              <w:rPr>
                <w:sz w:val="18"/>
                <w:szCs w:val="18"/>
              </w:rPr>
            </w:pPr>
          </w:p>
        </w:tc>
      </w:tr>
      <w:tr w:rsidR="00ED4F0E" w:rsidRPr="00CB6DAA" w14:paraId="3D68E995" w14:textId="77777777" w:rsidTr="006245BA">
        <w:tc>
          <w:tcPr>
            <w:tcW w:w="3570" w:type="dxa"/>
          </w:tcPr>
          <w:p w14:paraId="3F2AD401" w14:textId="77777777" w:rsidR="00ED4F0E" w:rsidRPr="00CB6DAA" w:rsidRDefault="00ED4F0E" w:rsidP="006245BA">
            <w:pPr>
              <w:spacing w:before="20" w:after="0" w:line="240" w:lineRule="auto"/>
              <w:rPr>
                <w:sz w:val="18"/>
                <w:szCs w:val="18"/>
              </w:rPr>
            </w:pPr>
            <w:r w:rsidRPr="00CB6DAA">
              <w:rPr>
                <w:sz w:val="18"/>
                <w:szCs w:val="18"/>
              </w:rPr>
              <w:t>Male TFR/ Female TFR (observed)</w:t>
            </w:r>
          </w:p>
        </w:tc>
        <w:tc>
          <w:tcPr>
            <w:tcW w:w="1168" w:type="dxa"/>
          </w:tcPr>
          <w:p w14:paraId="6913F7D6" w14:textId="77777777" w:rsidR="00ED4F0E" w:rsidRPr="00CB6DAA" w:rsidRDefault="00ED4F0E" w:rsidP="006245BA">
            <w:pPr>
              <w:spacing w:before="20" w:after="0" w:line="240" w:lineRule="auto"/>
              <w:jc w:val="center"/>
              <w:rPr>
                <w:sz w:val="18"/>
                <w:szCs w:val="18"/>
              </w:rPr>
            </w:pPr>
            <w:r w:rsidRPr="00CB6DAA">
              <w:rPr>
                <w:sz w:val="18"/>
                <w:szCs w:val="18"/>
              </w:rPr>
              <w:t>1.692</w:t>
            </w:r>
          </w:p>
        </w:tc>
        <w:tc>
          <w:tcPr>
            <w:tcW w:w="1168" w:type="dxa"/>
          </w:tcPr>
          <w:p w14:paraId="3E17C5E7" w14:textId="77777777" w:rsidR="00ED4F0E" w:rsidRPr="00CB6DAA" w:rsidRDefault="00ED4F0E" w:rsidP="006245BA">
            <w:pPr>
              <w:spacing w:before="20" w:after="0" w:line="240" w:lineRule="auto"/>
              <w:jc w:val="center"/>
              <w:rPr>
                <w:sz w:val="18"/>
                <w:szCs w:val="18"/>
              </w:rPr>
            </w:pPr>
            <w:r w:rsidRPr="00CB6DAA">
              <w:rPr>
                <w:sz w:val="18"/>
                <w:szCs w:val="18"/>
              </w:rPr>
              <w:t>1.468</w:t>
            </w:r>
          </w:p>
        </w:tc>
        <w:tc>
          <w:tcPr>
            <w:tcW w:w="1148" w:type="dxa"/>
          </w:tcPr>
          <w:p w14:paraId="310FFDBE" w14:textId="77777777" w:rsidR="00ED4F0E" w:rsidRPr="00CB6DAA" w:rsidRDefault="00ED4F0E" w:rsidP="006245BA">
            <w:pPr>
              <w:spacing w:before="20" w:after="0" w:line="240" w:lineRule="auto"/>
              <w:jc w:val="center"/>
              <w:rPr>
                <w:sz w:val="18"/>
                <w:szCs w:val="18"/>
              </w:rPr>
            </w:pPr>
            <w:r w:rsidRPr="00CB6DAA">
              <w:rPr>
                <w:sz w:val="18"/>
                <w:szCs w:val="18"/>
              </w:rPr>
              <w:t>1.091</w:t>
            </w:r>
          </w:p>
        </w:tc>
        <w:tc>
          <w:tcPr>
            <w:tcW w:w="1134" w:type="dxa"/>
          </w:tcPr>
          <w:p w14:paraId="4D863F29" w14:textId="77777777" w:rsidR="00ED4F0E" w:rsidRPr="00CB6DAA" w:rsidRDefault="00ED4F0E" w:rsidP="006245BA">
            <w:pPr>
              <w:spacing w:before="20" w:after="0" w:line="240" w:lineRule="auto"/>
              <w:jc w:val="center"/>
              <w:rPr>
                <w:sz w:val="18"/>
                <w:szCs w:val="18"/>
              </w:rPr>
            </w:pPr>
            <w:r w:rsidRPr="00CB6DAA">
              <w:rPr>
                <w:sz w:val="18"/>
                <w:szCs w:val="18"/>
              </w:rPr>
              <w:t>0.957</w:t>
            </w:r>
          </w:p>
        </w:tc>
        <w:tc>
          <w:tcPr>
            <w:tcW w:w="1134" w:type="dxa"/>
          </w:tcPr>
          <w:p w14:paraId="3231D945" w14:textId="77777777" w:rsidR="00ED4F0E" w:rsidRPr="00CB6DAA" w:rsidRDefault="00ED4F0E" w:rsidP="006245BA">
            <w:pPr>
              <w:spacing w:before="20" w:after="0" w:line="240" w:lineRule="auto"/>
              <w:jc w:val="center"/>
              <w:rPr>
                <w:sz w:val="18"/>
                <w:szCs w:val="18"/>
              </w:rPr>
            </w:pPr>
            <w:r w:rsidRPr="00CB6DAA">
              <w:rPr>
                <w:sz w:val="18"/>
                <w:szCs w:val="18"/>
              </w:rPr>
              <w:t>0.900</w:t>
            </w:r>
          </w:p>
        </w:tc>
      </w:tr>
      <w:tr w:rsidR="00ED4F0E" w:rsidRPr="00CB6DAA" w14:paraId="19DBC3E0" w14:textId="77777777" w:rsidTr="006245BA">
        <w:tc>
          <w:tcPr>
            <w:tcW w:w="3570" w:type="dxa"/>
          </w:tcPr>
          <w:p w14:paraId="7CD5D7D6" w14:textId="77777777" w:rsidR="00ED4F0E" w:rsidRPr="00CB6DAA" w:rsidRDefault="00ED4F0E" w:rsidP="006245BA">
            <w:pPr>
              <w:spacing w:before="20" w:after="0" w:line="240" w:lineRule="auto"/>
              <w:rPr>
                <w:sz w:val="18"/>
                <w:szCs w:val="18"/>
              </w:rPr>
            </w:pPr>
            <w:r w:rsidRPr="00CB6DAA">
              <w:rPr>
                <w:sz w:val="18"/>
                <w:szCs w:val="18"/>
              </w:rPr>
              <w:t xml:space="preserve">Male TFR/ Female TFR (from Eq. </w:t>
            </w:r>
            <w:r>
              <w:rPr>
                <w:sz w:val="18"/>
                <w:szCs w:val="18"/>
              </w:rPr>
              <w:t>1</w:t>
            </w:r>
            <w:r w:rsidRPr="00CB6DAA">
              <w:rPr>
                <w:sz w:val="18"/>
                <w:szCs w:val="18"/>
              </w:rPr>
              <w:t>)</w:t>
            </w:r>
          </w:p>
        </w:tc>
        <w:tc>
          <w:tcPr>
            <w:tcW w:w="1168" w:type="dxa"/>
          </w:tcPr>
          <w:p w14:paraId="32C61D5C" w14:textId="77777777" w:rsidR="00ED4F0E" w:rsidRPr="00CB6DAA" w:rsidRDefault="00ED4F0E" w:rsidP="006245BA">
            <w:pPr>
              <w:spacing w:before="20" w:after="0" w:line="240" w:lineRule="auto"/>
              <w:jc w:val="center"/>
              <w:rPr>
                <w:sz w:val="18"/>
                <w:szCs w:val="18"/>
              </w:rPr>
            </w:pPr>
            <w:r w:rsidRPr="00CB6DAA">
              <w:rPr>
                <w:sz w:val="18"/>
                <w:szCs w:val="18"/>
              </w:rPr>
              <w:t>1.640</w:t>
            </w:r>
          </w:p>
        </w:tc>
        <w:tc>
          <w:tcPr>
            <w:tcW w:w="1168" w:type="dxa"/>
          </w:tcPr>
          <w:p w14:paraId="75612C8F" w14:textId="77777777" w:rsidR="00ED4F0E" w:rsidRPr="00CB6DAA" w:rsidRDefault="00ED4F0E" w:rsidP="006245BA">
            <w:pPr>
              <w:spacing w:before="20" w:after="0" w:line="240" w:lineRule="auto"/>
              <w:jc w:val="center"/>
              <w:rPr>
                <w:sz w:val="18"/>
                <w:szCs w:val="18"/>
              </w:rPr>
            </w:pPr>
            <w:r w:rsidRPr="00CB6DAA">
              <w:rPr>
                <w:sz w:val="18"/>
                <w:szCs w:val="18"/>
              </w:rPr>
              <w:t>1.428</w:t>
            </w:r>
          </w:p>
        </w:tc>
        <w:tc>
          <w:tcPr>
            <w:tcW w:w="1148" w:type="dxa"/>
          </w:tcPr>
          <w:p w14:paraId="2BF7577F" w14:textId="77777777" w:rsidR="00ED4F0E" w:rsidRPr="00CB6DAA" w:rsidRDefault="00ED4F0E" w:rsidP="006245BA">
            <w:pPr>
              <w:spacing w:before="20" w:after="0" w:line="240" w:lineRule="auto"/>
              <w:jc w:val="center"/>
              <w:rPr>
                <w:sz w:val="18"/>
                <w:szCs w:val="18"/>
              </w:rPr>
            </w:pPr>
            <w:r w:rsidRPr="00CB6DAA">
              <w:rPr>
                <w:sz w:val="18"/>
                <w:szCs w:val="18"/>
              </w:rPr>
              <w:t>1.084</w:t>
            </w:r>
          </w:p>
        </w:tc>
        <w:tc>
          <w:tcPr>
            <w:tcW w:w="1134" w:type="dxa"/>
          </w:tcPr>
          <w:p w14:paraId="4AE46C0B" w14:textId="77777777" w:rsidR="00ED4F0E" w:rsidRPr="00CB6DAA" w:rsidRDefault="00ED4F0E" w:rsidP="006245BA">
            <w:pPr>
              <w:spacing w:before="20" w:after="0" w:line="240" w:lineRule="auto"/>
              <w:jc w:val="center"/>
              <w:rPr>
                <w:sz w:val="18"/>
                <w:szCs w:val="18"/>
              </w:rPr>
            </w:pPr>
            <w:r w:rsidRPr="00CB6DAA">
              <w:rPr>
                <w:sz w:val="18"/>
                <w:szCs w:val="18"/>
              </w:rPr>
              <w:t>0.957</w:t>
            </w:r>
          </w:p>
        </w:tc>
        <w:tc>
          <w:tcPr>
            <w:tcW w:w="1134" w:type="dxa"/>
          </w:tcPr>
          <w:p w14:paraId="3811B1B8" w14:textId="77777777" w:rsidR="00ED4F0E" w:rsidRPr="00CB6DAA" w:rsidRDefault="00ED4F0E" w:rsidP="006245BA">
            <w:pPr>
              <w:spacing w:before="20" w:after="0" w:line="240" w:lineRule="auto"/>
              <w:jc w:val="center"/>
              <w:rPr>
                <w:sz w:val="18"/>
                <w:szCs w:val="18"/>
              </w:rPr>
            </w:pPr>
            <w:r w:rsidRPr="00CB6DAA">
              <w:rPr>
                <w:sz w:val="18"/>
                <w:szCs w:val="18"/>
              </w:rPr>
              <w:t>0.898</w:t>
            </w:r>
          </w:p>
        </w:tc>
      </w:tr>
      <w:tr w:rsidR="00ED4F0E" w:rsidRPr="00CB6DAA" w14:paraId="7AE6B2FE" w14:textId="77777777" w:rsidTr="006245BA">
        <w:tc>
          <w:tcPr>
            <w:tcW w:w="3570" w:type="dxa"/>
          </w:tcPr>
          <w:p w14:paraId="1EF62EA9" w14:textId="77777777" w:rsidR="00ED4F0E" w:rsidRPr="00CB6DAA" w:rsidRDefault="00ED4F0E" w:rsidP="006245BA">
            <w:pPr>
              <w:spacing w:before="20" w:after="0" w:line="240" w:lineRule="auto"/>
              <w:rPr>
                <w:sz w:val="18"/>
                <w:szCs w:val="18"/>
              </w:rPr>
            </w:pPr>
            <w:r w:rsidRPr="00CB6DAA">
              <w:rPr>
                <w:sz w:val="18"/>
                <w:szCs w:val="18"/>
              </w:rPr>
              <w:t xml:space="preserve">Male TFR/ Female TFR (from Eq. </w:t>
            </w:r>
            <w:r>
              <w:rPr>
                <w:sz w:val="18"/>
                <w:szCs w:val="18"/>
              </w:rPr>
              <w:t>1</w:t>
            </w:r>
            <w:r w:rsidRPr="00CB6DAA">
              <w:rPr>
                <w:sz w:val="18"/>
                <w:szCs w:val="18"/>
              </w:rPr>
              <w:t>)</w:t>
            </w:r>
          </w:p>
          <w:p w14:paraId="6568CB68" w14:textId="77777777" w:rsidR="00ED4F0E" w:rsidRPr="00CB6DAA" w:rsidRDefault="00ED4F0E" w:rsidP="006245BA">
            <w:pPr>
              <w:spacing w:before="20" w:after="0" w:line="240" w:lineRule="auto"/>
              <w:rPr>
                <w:sz w:val="18"/>
                <w:szCs w:val="18"/>
              </w:rPr>
            </w:pPr>
            <w:r w:rsidRPr="00CB6DAA">
              <w:rPr>
                <w:sz w:val="18"/>
                <w:szCs w:val="18"/>
              </w:rPr>
              <w:t>using MAF – MAC instead of T</w:t>
            </w:r>
            <w:r w:rsidRPr="00CB6DAA">
              <w:rPr>
                <w:sz w:val="18"/>
                <w:szCs w:val="18"/>
                <w:vertAlign w:val="subscript"/>
              </w:rPr>
              <w:t>m</w:t>
            </w:r>
            <w:r w:rsidRPr="00CB6DAA">
              <w:rPr>
                <w:sz w:val="18"/>
                <w:szCs w:val="18"/>
              </w:rPr>
              <w:t xml:space="preserve"> – </w:t>
            </w:r>
            <w:proofErr w:type="spellStart"/>
            <w:r w:rsidRPr="00CB6DAA">
              <w:rPr>
                <w:sz w:val="18"/>
                <w:szCs w:val="18"/>
              </w:rPr>
              <w:t>T</w:t>
            </w:r>
            <w:r w:rsidRPr="00CB6DAA">
              <w:rPr>
                <w:sz w:val="18"/>
                <w:szCs w:val="18"/>
                <w:vertAlign w:val="subscript"/>
              </w:rPr>
              <w:t>f</w:t>
            </w:r>
            <w:proofErr w:type="spellEnd"/>
          </w:p>
        </w:tc>
        <w:tc>
          <w:tcPr>
            <w:tcW w:w="1168" w:type="dxa"/>
          </w:tcPr>
          <w:p w14:paraId="00502F99" w14:textId="77777777" w:rsidR="00ED4F0E" w:rsidRPr="00CB6DAA" w:rsidRDefault="00ED4F0E" w:rsidP="006245BA">
            <w:pPr>
              <w:spacing w:before="20" w:after="0" w:line="240" w:lineRule="auto"/>
              <w:jc w:val="center"/>
              <w:rPr>
                <w:sz w:val="18"/>
                <w:szCs w:val="18"/>
              </w:rPr>
            </w:pPr>
            <w:r w:rsidRPr="00CB6DAA">
              <w:rPr>
                <w:sz w:val="18"/>
                <w:szCs w:val="18"/>
              </w:rPr>
              <w:t>1.746</w:t>
            </w:r>
          </w:p>
        </w:tc>
        <w:tc>
          <w:tcPr>
            <w:tcW w:w="1168" w:type="dxa"/>
          </w:tcPr>
          <w:p w14:paraId="1F3EB9C1" w14:textId="77777777" w:rsidR="00ED4F0E" w:rsidRPr="00CB6DAA" w:rsidRDefault="00ED4F0E" w:rsidP="006245BA">
            <w:pPr>
              <w:spacing w:before="20" w:after="0" w:line="240" w:lineRule="auto"/>
              <w:jc w:val="center"/>
              <w:rPr>
                <w:sz w:val="18"/>
                <w:szCs w:val="18"/>
              </w:rPr>
            </w:pPr>
            <w:r w:rsidRPr="00CB6DAA">
              <w:rPr>
                <w:sz w:val="18"/>
                <w:szCs w:val="18"/>
              </w:rPr>
              <w:t>1.500</w:t>
            </w:r>
          </w:p>
        </w:tc>
        <w:tc>
          <w:tcPr>
            <w:tcW w:w="1148" w:type="dxa"/>
          </w:tcPr>
          <w:p w14:paraId="4468EB4B" w14:textId="77777777" w:rsidR="00ED4F0E" w:rsidRPr="00CB6DAA" w:rsidRDefault="00ED4F0E" w:rsidP="006245BA">
            <w:pPr>
              <w:spacing w:before="20" w:after="0" w:line="240" w:lineRule="auto"/>
              <w:jc w:val="center"/>
              <w:rPr>
                <w:sz w:val="18"/>
                <w:szCs w:val="18"/>
              </w:rPr>
            </w:pPr>
            <w:r w:rsidRPr="00CB6DAA">
              <w:rPr>
                <w:sz w:val="18"/>
                <w:szCs w:val="18"/>
              </w:rPr>
              <w:t>1.091</w:t>
            </w:r>
          </w:p>
        </w:tc>
        <w:tc>
          <w:tcPr>
            <w:tcW w:w="1134" w:type="dxa"/>
          </w:tcPr>
          <w:p w14:paraId="08177DBB" w14:textId="77777777" w:rsidR="00ED4F0E" w:rsidRPr="00CB6DAA" w:rsidRDefault="00ED4F0E" w:rsidP="006245BA">
            <w:pPr>
              <w:spacing w:before="20" w:after="0" w:line="240" w:lineRule="auto"/>
              <w:jc w:val="center"/>
              <w:rPr>
                <w:sz w:val="18"/>
                <w:szCs w:val="18"/>
              </w:rPr>
            </w:pPr>
            <w:r w:rsidRPr="00CB6DAA">
              <w:rPr>
                <w:sz w:val="18"/>
                <w:szCs w:val="18"/>
              </w:rPr>
              <w:t>0.957</w:t>
            </w:r>
          </w:p>
        </w:tc>
        <w:tc>
          <w:tcPr>
            <w:tcW w:w="1134" w:type="dxa"/>
          </w:tcPr>
          <w:p w14:paraId="083F2E7A" w14:textId="77777777" w:rsidR="00ED4F0E" w:rsidRPr="00CB6DAA" w:rsidRDefault="00ED4F0E" w:rsidP="006245BA">
            <w:pPr>
              <w:spacing w:before="20" w:after="0" w:line="240" w:lineRule="auto"/>
              <w:jc w:val="center"/>
              <w:rPr>
                <w:sz w:val="18"/>
                <w:szCs w:val="18"/>
              </w:rPr>
            </w:pPr>
            <w:r w:rsidRPr="00CB6DAA">
              <w:rPr>
                <w:sz w:val="18"/>
                <w:szCs w:val="18"/>
              </w:rPr>
              <w:t>0.898</w:t>
            </w:r>
          </w:p>
        </w:tc>
      </w:tr>
      <w:tr w:rsidR="00ED4F0E" w:rsidRPr="00CB6DAA" w14:paraId="2DD4604C" w14:textId="77777777" w:rsidTr="006245BA">
        <w:tc>
          <w:tcPr>
            <w:tcW w:w="9322" w:type="dxa"/>
            <w:gridSpan w:val="6"/>
          </w:tcPr>
          <w:p w14:paraId="7F6DAEB5" w14:textId="75B33B96" w:rsidR="00ED4F0E" w:rsidRPr="00CB6DAA" w:rsidRDefault="00ED4F0E" w:rsidP="00A14D60">
            <w:pPr>
              <w:spacing w:before="20" w:after="0" w:line="240" w:lineRule="auto"/>
              <w:rPr>
                <w:sz w:val="18"/>
                <w:szCs w:val="18"/>
              </w:rPr>
            </w:pPr>
            <w:r w:rsidRPr="00CB6DAA">
              <w:rPr>
                <w:sz w:val="18"/>
                <w:szCs w:val="18"/>
              </w:rPr>
              <w:t>Note: The mean length of generation is computed by dividing the logarithm of the net reproduction rate by the growth rate (Preston</w:t>
            </w:r>
            <w:r w:rsidR="00A14D60">
              <w:rPr>
                <w:sz w:val="18"/>
                <w:szCs w:val="18"/>
              </w:rPr>
              <w:t xml:space="preserve">, </w:t>
            </w:r>
            <w:proofErr w:type="spellStart"/>
            <w:r w:rsidR="00A14D60">
              <w:rPr>
                <w:sz w:val="18"/>
                <w:szCs w:val="18"/>
              </w:rPr>
              <w:t>Heuveline</w:t>
            </w:r>
            <w:proofErr w:type="spellEnd"/>
            <w:r w:rsidRPr="00CB6DAA">
              <w:rPr>
                <w:sz w:val="18"/>
                <w:szCs w:val="18"/>
              </w:rPr>
              <w:t>,</w:t>
            </w:r>
            <w:r w:rsidR="00A14D60">
              <w:rPr>
                <w:sz w:val="18"/>
                <w:szCs w:val="18"/>
              </w:rPr>
              <w:t xml:space="preserve"> and </w:t>
            </w:r>
            <w:proofErr w:type="spellStart"/>
            <w:r w:rsidR="00A14D60">
              <w:rPr>
                <w:sz w:val="18"/>
                <w:szCs w:val="18"/>
              </w:rPr>
              <w:t>Guillot</w:t>
            </w:r>
            <w:proofErr w:type="spellEnd"/>
            <w:r w:rsidRPr="00CB6DAA">
              <w:rPr>
                <w:sz w:val="18"/>
                <w:szCs w:val="18"/>
              </w:rPr>
              <w:t xml:space="preserve"> 2001). The net reproduction rate is computed separately among </w:t>
            </w:r>
            <w:r>
              <w:rPr>
                <w:sz w:val="18"/>
                <w:szCs w:val="18"/>
              </w:rPr>
              <w:t>men</w:t>
            </w:r>
            <w:r w:rsidRPr="00CB6DAA">
              <w:rPr>
                <w:sz w:val="18"/>
                <w:szCs w:val="18"/>
              </w:rPr>
              <w:t xml:space="preserve"> and </w:t>
            </w:r>
            <w:r>
              <w:rPr>
                <w:sz w:val="18"/>
                <w:szCs w:val="18"/>
              </w:rPr>
              <w:t>women</w:t>
            </w:r>
            <w:r w:rsidRPr="00CB6DAA">
              <w:rPr>
                <w:sz w:val="18"/>
                <w:szCs w:val="18"/>
              </w:rPr>
              <w:t>.</w:t>
            </w:r>
          </w:p>
        </w:tc>
      </w:tr>
    </w:tbl>
    <w:p w14:paraId="477F17E7" w14:textId="77777777" w:rsidR="00ED4F0E" w:rsidRDefault="00ED4F0E" w:rsidP="00ED4F0E"/>
    <w:p w14:paraId="16779C42" w14:textId="77777777" w:rsidR="00FC1B3B" w:rsidRDefault="00FC1B3B">
      <w:pPr>
        <w:spacing w:after="200" w:line="276" w:lineRule="auto"/>
        <w:jc w:val="left"/>
      </w:pPr>
    </w:p>
    <w:p w14:paraId="78337417" w14:textId="77777777" w:rsidR="00A14D60" w:rsidRDefault="00A14D60">
      <w:pPr>
        <w:spacing w:after="200" w:line="276" w:lineRule="auto"/>
        <w:jc w:val="left"/>
      </w:pPr>
      <w:r>
        <w:br w:type="page"/>
      </w:r>
    </w:p>
    <w:p w14:paraId="33D07D8C" w14:textId="71C4E004" w:rsidR="00FC1B3B" w:rsidRDefault="00FC1B3B" w:rsidP="00FC1B3B">
      <w:r w:rsidRPr="00C87F4B">
        <w:lastRenderedPageBreak/>
        <w:t xml:space="preserve">Figure </w:t>
      </w:r>
      <w:r>
        <w:rPr>
          <w:noProof/>
        </w:rPr>
        <w:t>1</w:t>
      </w:r>
      <w:r w:rsidRPr="00C87F4B">
        <w:t xml:space="preserve">: </w:t>
      </w:r>
      <w:r w:rsidRPr="00FA68E8">
        <w:t xml:space="preserve">Male total fertility rates </w:t>
      </w:r>
      <w:r>
        <w:t>and mean ages at fatherhood in 163 countries circa 2011</w:t>
      </w:r>
    </w:p>
    <w:p w14:paraId="606D25F2" w14:textId="77777777" w:rsidR="00FC1B3B" w:rsidRDefault="00FC1B3B" w:rsidP="00FC1B3B">
      <w:r>
        <w:rPr>
          <w:noProof/>
          <w:lang w:val="fr-BE" w:eastAsia="fr-BE"/>
        </w:rPr>
        <w:drawing>
          <wp:inline distT="0" distB="0" distL="0" distR="0" wp14:anchorId="398CF7D2" wp14:editId="700C02DC">
            <wp:extent cx="5760720" cy="2226310"/>
            <wp:effectExtent l="0" t="0" r="0" b="2540"/>
            <wp:docPr id="7178" name="Image 7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TFR_Nov1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2226310"/>
                    </a:xfrm>
                    <a:prstGeom prst="rect">
                      <a:avLst/>
                    </a:prstGeom>
                  </pic:spPr>
                </pic:pic>
              </a:graphicData>
            </a:graphic>
          </wp:inline>
        </w:drawing>
      </w:r>
    </w:p>
    <w:p w14:paraId="565596B2" w14:textId="77777777" w:rsidR="00FC1B3B" w:rsidRDefault="00FC1B3B" w:rsidP="00FC1B3B">
      <w:r>
        <w:rPr>
          <w:noProof/>
          <w:lang w:val="fr-BE" w:eastAsia="fr-BE"/>
        </w:rPr>
        <w:drawing>
          <wp:inline distT="0" distB="0" distL="0" distR="0" wp14:anchorId="17D6AE61" wp14:editId="21EC8DD7">
            <wp:extent cx="5760720" cy="2226310"/>
            <wp:effectExtent l="0" t="0" r="0" b="2540"/>
            <wp:docPr id="7179" name="Image 7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F_Nov1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2226310"/>
                    </a:xfrm>
                    <a:prstGeom prst="rect">
                      <a:avLst/>
                    </a:prstGeom>
                  </pic:spPr>
                </pic:pic>
              </a:graphicData>
            </a:graphic>
          </wp:inline>
        </w:drawing>
      </w:r>
    </w:p>
    <w:p w14:paraId="2C830614" w14:textId="47ABF1DB" w:rsidR="00FC1B3B" w:rsidRPr="00F44622" w:rsidRDefault="00FC1B3B" w:rsidP="00FC1B3B">
      <w:pPr>
        <w:rPr>
          <w:sz w:val="16"/>
          <w:szCs w:val="16"/>
        </w:rPr>
      </w:pPr>
      <w:r w:rsidRPr="00F44622">
        <w:rPr>
          <w:b/>
          <w:sz w:val="16"/>
          <w:szCs w:val="16"/>
        </w:rPr>
        <w:t>Data</w:t>
      </w:r>
      <w:r w:rsidRPr="00F44622">
        <w:rPr>
          <w:sz w:val="16"/>
          <w:szCs w:val="16"/>
        </w:rPr>
        <w:t xml:space="preserve">: </w:t>
      </w:r>
      <w:r w:rsidRPr="00147AA3">
        <w:rPr>
          <w:i/>
          <w:sz w:val="16"/>
          <w:szCs w:val="16"/>
        </w:rPr>
        <w:t>United Nations Demographic Yearbook</w:t>
      </w:r>
      <w:r>
        <w:rPr>
          <w:i/>
          <w:sz w:val="16"/>
          <w:szCs w:val="16"/>
        </w:rPr>
        <w:t xml:space="preserve"> 2016</w:t>
      </w:r>
      <w:r w:rsidR="00A14D60">
        <w:rPr>
          <w:sz w:val="16"/>
          <w:szCs w:val="16"/>
        </w:rPr>
        <w:t xml:space="preserve"> (United Nations</w:t>
      </w:r>
      <w:r w:rsidRPr="00F44622">
        <w:rPr>
          <w:sz w:val="16"/>
          <w:szCs w:val="16"/>
        </w:rPr>
        <w:t xml:space="preserve"> 201</w:t>
      </w:r>
      <w:r>
        <w:rPr>
          <w:sz w:val="16"/>
          <w:szCs w:val="16"/>
        </w:rPr>
        <w:t>7</w:t>
      </w:r>
      <w:r w:rsidRPr="00F44622">
        <w:rPr>
          <w:sz w:val="16"/>
          <w:szCs w:val="16"/>
        </w:rPr>
        <w:t xml:space="preserve">) and author’s computation </w:t>
      </w:r>
      <w:r>
        <w:rPr>
          <w:sz w:val="16"/>
          <w:szCs w:val="16"/>
        </w:rPr>
        <w:t xml:space="preserve">from data from </w:t>
      </w:r>
      <w:r w:rsidRPr="00F44622">
        <w:rPr>
          <w:sz w:val="16"/>
          <w:szCs w:val="16"/>
        </w:rPr>
        <w:t xml:space="preserve">DHS, MICS, </w:t>
      </w:r>
      <w:r>
        <w:rPr>
          <w:sz w:val="16"/>
          <w:szCs w:val="16"/>
        </w:rPr>
        <w:t xml:space="preserve">and </w:t>
      </w:r>
      <w:r w:rsidRPr="00F44622">
        <w:rPr>
          <w:sz w:val="16"/>
          <w:szCs w:val="16"/>
        </w:rPr>
        <w:t xml:space="preserve">PAPFAM surveys and </w:t>
      </w:r>
      <w:r>
        <w:rPr>
          <w:sz w:val="16"/>
          <w:szCs w:val="16"/>
        </w:rPr>
        <w:t>c</w:t>
      </w:r>
      <w:r w:rsidRPr="00F44622">
        <w:rPr>
          <w:sz w:val="16"/>
          <w:szCs w:val="16"/>
        </w:rPr>
        <w:t xml:space="preserve">ensuses. For China, the TFR </w:t>
      </w:r>
      <w:r>
        <w:rPr>
          <w:sz w:val="16"/>
          <w:szCs w:val="16"/>
        </w:rPr>
        <w:t xml:space="preserve">is obtained </w:t>
      </w:r>
      <w:r w:rsidRPr="00F44622">
        <w:rPr>
          <w:sz w:val="16"/>
          <w:szCs w:val="16"/>
        </w:rPr>
        <w:t xml:space="preserve">from </w:t>
      </w:r>
      <w:proofErr w:type="spellStart"/>
      <w:r w:rsidRPr="00F44622">
        <w:rPr>
          <w:sz w:val="16"/>
          <w:szCs w:val="16"/>
        </w:rPr>
        <w:t>Keilman</w:t>
      </w:r>
      <w:proofErr w:type="spellEnd"/>
      <w:r w:rsidRPr="00F44622">
        <w:rPr>
          <w:sz w:val="16"/>
          <w:szCs w:val="16"/>
        </w:rPr>
        <w:t xml:space="preserve"> </w:t>
      </w:r>
      <w:r w:rsidRPr="00A14D60">
        <w:rPr>
          <w:i/>
          <w:sz w:val="16"/>
          <w:szCs w:val="16"/>
        </w:rPr>
        <w:t>et al.</w:t>
      </w:r>
      <w:r w:rsidRPr="00F44622">
        <w:rPr>
          <w:sz w:val="16"/>
          <w:szCs w:val="16"/>
        </w:rPr>
        <w:t xml:space="preserve"> (2014), and the mean age at fatherhood was computed using the 2000 census.</w:t>
      </w:r>
    </w:p>
    <w:p w14:paraId="16902B0E" w14:textId="0B0A3957" w:rsidR="00FC1B3B" w:rsidRDefault="00FC1B3B">
      <w:pPr>
        <w:spacing w:after="200" w:line="276" w:lineRule="auto"/>
        <w:jc w:val="left"/>
      </w:pPr>
      <w:r>
        <w:br w:type="page"/>
      </w:r>
    </w:p>
    <w:p w14:paraId="549B13E2" w14:textId="77777777" w:rsidR="00FC1B3B" w:rsidRDefault="00FC1B3B" w:rsidP="00FC1B3B">
      <w:pPr>
        <w:jc w:val="center"/>
      </w:pPr>
    </w:p>
    <w:p w14:paraId="5C56A888" w14:textId="77777777" w:rsidR="00FC1B3B" w:rsidRPr="00B64EE1" w:rsidRDefault="00FC1B3B" w:rsidP="00FC1B3B">
      <w:pPr>
        <w:keepNext/>
      </w:pPr>
      <w:r w:rsidRPr="00085412">
        <w:t xml:space="preserve">Figure </w:t>
      </w:r>
      <w:r w:rsidRPr="00085412">
        <w:rPr>
          <w:noProof/>
        </w:rPr>
        <w:t>2</w:t>
      </w:r>
      <w:r w:rsidRPr="00085412">
        <w:t>: Comparison of male and female total fertility rates circa 201</w:t>
      </w:r>
      <w:r>
        <w:t>1</w:t>
      </w:r>
      <w:r w:rsidRPr="00085412">
        <w:t xml:space="preserve"> (163 countries)</w:t>
      </w:r>
    </w:p>
    <w:p w14:paraId="038C44AC" w14:textId="77777777" w:rsidR="00FC1B3B" w:rsidRPr="00ED46FA" w:rsidRDefault="00FC1B3B" w:rsidP="00FC1B3B">
      <w:pPr>
        <w:keepNext/>
        <w:jc w:val="center"/>
      </w:pPr>
      <w:r>
        <w:rPr>
          <w:noProof/>
          <w:lang w:val="fr-BE" w:eastAsia="fr-BE"/>
        </w:rPr>
        <w:drawing>
          <wp:inline distT="0" distB="0" distL="0" distR="0" wp14:anchorId="42D5B843" wp14:editId="1C0AB7B0">
            <wp:extent cx="4527611" cy="4008278"/>
            <wp:effectExtent l="0" t="0" r="6350" b="0"/>
            <wp:docPr id="7193" name="Image 7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39796" cy="4019066"/>
                    </a:xfrm>
                    <a:prstGeom prst="rect">
                      <a:avLst/>
                    </a:prstGeom>
                    <a:noFill/>
                  </pic:spPr>
                </pic:pic>
              </a:graphicData>
            </a:graphic>
          </wp:inline>
        </w:drawing>
      </w:r>
    </w:p>
    <w:p w14:paraId="3733371A" w14:textId="1B8E22C9" w:rsidR="00FC1B3B" w:rsidRPr="00A40EEF" w:rsidRDefault="00FC1B3B" w:rsidP="00FC1B3B">
      <w:pPr>
        <w:keepNext/>
        <w:rPr>
          <w:sz w:val="16"/>
          <w:szCs w:val="16"/>
        </w:rPr>
      </w:pPr>
      <w:r w:rsidRPr="00A40EEF">
        <w:rPr>
          <w:b/>
          <w:sz w:val="16"/>
          <w:szCs w:val="16"/>
        </w:rPr>
        <w:t>Data</w:t>
      </w:r>
      <w:r w:rsidRPr="00A40EEF">
        <w:rPr>
          <w:sz w:val="16"/>
          <w:szCs w:val="16"/>
        </w:rPr>
        <w:t xml:space="preserve">: </w:t>
      </w:r>
      <w:r w:rsidRPr="00A758F3">
        <w:rPr>
          <w:i/>
          <w:sz w:val="16"/>
          <w:szCs w:val="16"/>
        </w:rPr>
        <w:t>United Nations Demographic Yearbook</w:t>
      </w:r>
      <w:r>
        <w:rPr>
          <w:i/>
          <w:sz w:val="16"/>
          <w:szCs w:val="16"/>
        </w:rPr>
        <w:t xml:space="preserve"> 2016</w:t>
      </w:r>
      <w:r w:rsidRPr="00A40EEF">
        <w:rPr>
          <w:sz w:val="16"/>
          <w:szCs w:val="16"/>
        </w:rPr>
        <w:t xml:space="preserve"> </w:t>
      </w:r>
      <w:r w:rsidR="00A14D60">
        <w:rPr>
          <w:rFonts w:cs="Times New Roman"/>
          <w:sz w:val="16"/>
          <w:szCs w:val="16"/>
        </w:rPr>
        <w:t>(United Nations</w:t>
      </w:r>
      <w:r w:rsidRPr="00A40EEF">
        <w:rPr>
          <w:rFonts w:cs="Times New Roman"/>
          <w:sz w:val="16"/>
          <w:szCs w:val="16"/>
        </w:rPr>
        <w:t xml:space="preserve"> 2017)</w:t>
      </w:r>
      <w:r w:rsidRPr="00A40EEF">
        <w:rPr>
          <w:sz w:val="16"/>
          <w:szCs w:val="16"/>
        </w:rPr>
        <w:t xml:space="preserve"> and author’s computation </w:t>
      </w:r>
      <w:r>
        <w:rPr>
          <w:sz w:val="16"/>
          <w:szCs w:val="16"/>
        </w:rPr>
        <w:t xml:space="preserve">from data from </w:t>
      </w:r>
      <w:r w:rsidRPr="00A40EEF">
        <w:rPr>
          <w:sz w:val="16"/>
          <w:szCs w:val="16"/>
        </w:rPr>
        <w:t xml:space="preserve">DHS, MICS, </w:t>
      </w:r>
      <w:r>
        <w:rPr>
          <w:sz w:val="16"/>
          <w:szCs w:val="16"/>
        </w:rPr>
        <w:t xml:space="preserve">and </w:t>
      </w:r>
      <w:r w:rsidRPr="00A40EEF">
        <w:rPr>
          <w:sz w:val="16"/>
          <w:szCs w:val="16"/>
        </w:rPr>
        <w:t xml:space="preserve">PAPFAM surveys and </w:t>
      </w:r>
      <w:r>
        <w:rPr>
          <w:sz w:val="16"/>
          <w:szCs w:val="16"/>
        </w:rPr>
        <w:t>c</w:t>
      </w:r>
      <w:r w:rsidRPr="00A40EEF">
        <w:rPr>
          <w:sz w:val="16"/>
          <w:szCs w:val="16"/>
        </w:rPr>
        <w:t xml:space="preserve">ensuses. For China, estimates are </w:t>
      </w:r>
      <w:r>
        <w:rPr>
          <w:sz w:val="16"/>
          <w:szCs w:val="16"/>
        </w:rPr>
        <w:t>obtained</w:t>
      </w:r>
      <w:r w:rsidRPr="00A40EEF">
        <w:rPr>
          <w:sz w:val="16"/>
          <w:szCs w:val="16"/>
        </w:rPr>
        <w:t xml:space="preserve"> from </w:t>
      </w:r>
      <w:proofErr w:type="spellStart"/>
      <w:r w:rsidRPr="00A40EEF">
        <w:rPr>
          <w:sz w:val="16"/>
          <w:szCs w:val="16"/>
        </w:rPr>
        <w:t>Keilman</w:t>
      </w:r>
      <w:proofErr w:type="spellEnd"/>
      <w:r w:rsidRPr="00A40EEF">
        <w:rPr>
          <w:sz w:val="16"/>
          <w:szCs w:val="16"/>
        </w:rPr>
        <w:t xml:space="preserve"> </w:t>
      </w:r>
      <w:r w:rsidRPr="00A14D60">
        <w:rPr>
          <w:i/>
          <w:sz w:val="16"/>
          <w:szCs w:val="16"/>
        </w:rPr>
        <w:t>et al.</w:t>
      </w:r>
      <w:r w:rsidRPr="00A40EEF">
        <w:rPr>
          <w:rFonts w:ascii="Calibri" w:hAnsi="Calibri"/>
          <w:sz w:val="16"/>
          <w:szCs w:val="16"/>
        </w:rPr>
        <w:t xml:space="preserve"> (2014)</w:t>
      </w:r>
      <w:r w:rsidRPr="00A40EEF">
        <w:rPr>
          <w:sz w:val="16"/>
          <w:szCs w:val="16"/>
        </w:rPr>
        <w:t xml:space="preserve">. Two separate estimates for Qatar are presented, one from the 2012 MICS (O), the other from the </w:t>
      </w:r>
      <w:r w:rsidRPr="00A758F3">
        <w:rPr>
          <w:i/>
          <w:sz w:val="16"/>
          <w:szCs w:val="16"/>
        </w:rPr>
        <w:t>United Nations Demographic Yearbook</w:t>
      </w:r>
      <w:r>
        <w:rPr>
          <w:i/>
          <w:sz w:val="16"/>
          <w:szCs w:val="16"/>
        </w:rPr>
        <w:t xml:space="preserve"> 2016</w:t>
      </w:r>
      <w:r w:rsidRPr="00A40EEF">
        <w:rPr>
          <w:sz w:val="16"/>
          <w:szCs w:val="16"/>
        </w:rPr>
        <w:t xml:space="preserve"> (+).</w:t>
      </w:r>
      <w:r>
        <w:rPr>
          <w:sz w:val="16"/>
          <w:szCs w:val="16"/>
        </w:rPr>
        <w:t xml:space="preserve"> The estimate from Bahrain is also presented with </w:t>
      </w:r>
      <w:r w:rsidRPr="00A40EEF">
        <w:rPr>
          <w:sz w:val="16"/>
          <w:szCs w:val="16"/>
        </w:rPr>
        <w:t>(+)</w:t>
      </w:r>
      <w:r>
        <w:rPr>
          <w:sz w:val="16"/>
          <w:szCs w:val="16"/>
        </w:rPr>
        <w:t>, to highlight the fact that it is likely to be underestimated because of high male immigration.</w:t>
      </w:r>
    </w:p>
    <w:p w14:paraId="25BAA670" w14:textId="669FC3A9" w:rsidR="00FC1B3B" w:rsidRPr="00A40EEF" w:rsidRDefault="00FC1B3B" w:rsidP="00FC1B3B">
      <w:pPr>
        <w:spacing w:after="200" w:line="276" w:lineRule="auto"/>
        <w:jc w:val="left"/>
      </w:pPr>
      <w:r>
        <w:br w:type="page"/>
      </w:r>
      <w:r w:rsidRPr="00A40EEF">
        <w:lastRenderedPageBreak/>
        <w:t>Figure 3: Comparison of mean age at childbearing (</w:t>
      </w:r>
      <w:r>
        <w:t>women</w:t>
      </w:r>
      <w:r w:rsidRPr="00A40EEF">
        <w:t>) and mean age at fatherhood (</w:t>
      </w:r>
      <w:r>
        <w:t>men</w:t>
      </w:r>
      <w:r w:rsidRPr="00A40EEF">
        <w:t>) circa 201</w:t>
      </w:r>
      <w:r>
        <w:t>1</w:t>
      </w:r>
      <w:r w:rsidRPr="00A40EEF">
        <w:t xml:space="preserve"> (16</w:t>
      </w:r>
      <w:r>
        <w:t>3</w:t>
      </w:r>
      <w:r w:rsidRPr="00A40EEF">
        <w:t xml:space="preserve"> countries)</w:t>
      </w:r>
    </w:p>
    <w:p w14:paraId="048FCAD7" w14:textId="77777777" w:rsidR="00FC1B3B" w:rsidRDefault="00FC1B3B" w:rsidP="00FC1B3B">
      <w:pPr>
        <w:keepNext/>
        <w:jc w:val="center"/>
      </w:pPr>
      <w:r>
        <w:rPr>
          <w:noProof/>
          <w:lang w:val="fr-BE" w:eastAsia="fr-BE"/>
        </w:rPr>
        <w:drawing>
          <wp:inline distT="0" distB="0" distL="0" distR="0" wp14:anchorId="1ACB02DE" wp14:editId="7939D03E">
            <wp:extent cx="4223657" cy="3739257"/>
            <wp:effectExtent l="0" t="0" r="571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29031" cy="3744015"/>
                    </a:xfrm>
                    <a:prstGeom prst="rect">
                      <a:avLst/>
                    </a:prstGeom>
                    <a:noFill/>
                  </pic:spPr>
                </pic:pic>
              </a:graphicData>
            </a:graphic>
          </wp:inline>
        </w:drawing>
      </w:r>
    </w:p>
    <w:p w14:paraId="1B655DC5" w14:textId="5CDBFFA4" w:rsidR="00FC1B3B" w:rsidRPr="00A40EEF" w:rsidRDefault="00FC1B3B" w:rsidP="00FC1B3B">
      <w:pPr>
        <w:keepNext/>
        <w:rPr>
          <w:sz w:val="16"/>
          <w:szCs w:val="16"/>
        </w:rPr>
      </w:pPr>
      <w:r w:rsidRPr="00A40EEF">
        <w:rPr>
          <w:b/>
          <w:sz w:val="16"/>
          <w:szCs w:val="16"/>
        </w:rPr>
        <w:t>Data</w:t>
      </w:r>
      <w:r w:rsidRPr="00A40EEF">
        <w:rPr>
          <w:sz w:val="16"/>
          <w:szCs w:val="16"/>
        </w:rPr>
        <w:t xml:space="preserve">: </w:t>
      </w:r>
      <w:r w:rsidRPr="00A758F3">
        <w:rPr>
          <w:i/>
          <w:sz w:val="16"/>
          <w:szCs w:val="16"/>
        </w:rPr>
        <w:t>United Nations Demographic Yearbook</w:t>
      </w:r>
      <w:r>
        <w:rPr>
          <w:i/>
          <w:sz w:val="16"/>
          <w:szCs w:val="16"/>
        </w:rPr>
        <w:t xml:space="preserve"> 2016</w:t>
      </w:r>
      <w:r w:rsidRPr="00A40EEF">
        <w:rPr>
          <w:sz w:val="16"/>
          <w:szCs w:val="16"/>
        </w:rPr>
        <w:t xml:space="preserve"> </w:t>
      </w:r>
      <w:r w:rsidR="00A14D60">
        <w:rPr>
          <w:rFonts w:cs="Times New Roman"/>
          <w:sz w:val="16"/>
          <w:szCs w:val="16"/>
        </w:rPr>
        <w:t>(United Nations</w:t>
      </w:r>
      <w:r w:rsidRPr="00A40EEF">
        <w:rPr>
          <w:rFonts w:cs="Times New Roman"/>
          <w:sz w:val="16"/>
          <w:szCs w:val="16"/>
        </w:rPr>
        <w:t xml:space="preserve"> 2017)</w:t>
      </w:r>
      <w:r w:rsidRPr="00A40EEF">
        <w:rPr>
          <w:sz w:val="16"/>
          <w:szCs w:val="16"/>
        </w:rPr>
        <w:t xml:space="preserve"> and author’s computation </w:t>
      </w:r>
      <w:r>
        <w:rPr>
          <w:sz w:val="16"/>
          <w:szCs w:val="16"/>
        </w:rPr>
        <w:t xml:space="preserve">from data from </w:t>
      </w:r>
      <w:r w:rsidRPr="00A40EEF">
        <w:rPr>
          <w:sz w:val="16"/>
          <w:szCs w:val="16"/>
        </w:rPr>
        <w:t xml:space="preserve">DHS, MICS, </w:t>
      </w:r>
      <w:r>
        <w:rPr>
          <w:sz w:val="16"/>
          <w:szCs w:val="16"/>
        </w:rPr>
        <w:t xml:space="preserve">and </w:t>
      </w:r>
      <w:r w:rsidRPr="00A40EEF">
        <w:rPr>
          <w:sz w:val="16"/>
          <w:szCs w:val="16"/>
        </w:rPr>
        <w:t xml:space="preserve">PAPFAM surveys and </w:t>
      </w:r>
      <w:r>
        <w:rPr>
          <w:sz w:val="16"/>
          <w:szCs w:val="16"/>
        </w:rPr>
        <w:t>c</w:t>
      </w:r>
      <w:r w:rsidRPr="00A40EEF">
        <w:rPr>
          <w:sz w:val="16"/>
          <w:szCs w:val="16"/>
        </w:rPr>
        <w:t xml:space="preserve">ensuses. Estimates from China come from the 2000 census. Two separate estimates for Qatar are presented, one from the 2012 MICS (O), the other from the </w:t>
      </w:r>
      <w:r w:rsidRPr="00A758F3">
        <w:rPr>
          <w:i/>
          <w:sz w:val="16"/>
          <w:szCs w:val="16"/>
        </w:rPr>
        <w:t>United Nations Demographic Yearbook</w:t>
      </w:r>
      <w:r>
        <w:rPr>
          <w:i/>
          <w:sz w:val="16"/>
          <w:szCs w:val="16"/>
        </w:rPr>
        <w:t xml:space="preserve"> 2016</w:t>
      </w:r>
      <w:r w:rsidRPr="00A40EEF">
        <w:rPr>
          <w:sz w:val="16"/>
          <w:szCs w:val="16"/>
        </w:rPr>
        <w:t xml:space="preserve"> (+).</w:t>
      </w:r>
      <w:r>
        <w:rPr>
          <w:sz w:val="16"/>
          <w:szCs w:val="16"/>
        </w:rPr>
        <w:t xml:space="preserve"> The estimate from Bahrain is also presented with </w:t>
      </w:r>
      <w:r w:rsidRPr="00A40EEF">
        <w:rPr>
          <w:sz w:val="16"/>
          <w:szCs w:val="16"/>
        </w:rPr>
        <w:t>(+)</w:t>
      </w:r>
      <w:r>
        <w:rPr>
          <w:sz w:val="16"/>
          <w:szCs w:val="16"/>
        </w:rPr>
        <w:t>.</w:t>
      </w:r>
    </w:p>
    <w:p w14:paraId="449E8856" w14:textId="1A22110D" w:rsidR="00FC1B3B" w:rsidRDefault="00FC1B3B">
      <w:pPr>
        <w:spacing w:after="200" w:line="276" w:lineRule="auto"/>
        <w:jc w:val="left"/>
      </w:pPr>
      <w:r>
        <w:br w:type="page"/>
      </w:r>
    </w:p>
    <w:p w14:paraId="7576E749" w14:textId="77777777" w:rsidR="00FC1B3B" w:rsidRDefault="00FC1B3B" w:rsidP="00FC1B3B">
      <w:pPr>
        <w:spacing w:after="0" w:line="240" w:lineRule="auto"/>
        <w:jc w:val="center"/>
      </w:pPr>
      <w:r w:rsidRPr="00C87F4B">
        <w:lastRenderedPageBreak/>
        <w:t xml:space="preserve">Figure </w:t>
      </w:r>
      <w:r>
        <w:rPr>
          <w:noProof/>
        </w:rPr>
        <w:t>4</w:t>
      </w:r>
      <w:r w:rsidRPr="00C87F4B">
        <w:t xml:space="preserve">: </w:t>
      </w:r>
      <w:r w:rsidRPr="00B64EE1">
        <w:t xml:space="preserve">Comparison of male and female age-specific fertility rates in </w:t>
      </w:r>
      <w:r>
        <w:t>Senegal, Haiti and France</w:t>
      </w:r>
      <w:r w:rsidRPr="00B64EE1">
        <w:t>.</w:t>
      </w:r>
    </w:p>
    <w:tbl>
      <w:tblPr>
        <w:tblStyle w:val="Grilledutableau"/>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6"/>
        <w:gridCol w:w="4272"/>
      </w:tblGrid>
      <w:tr w:rsidR="00FC1B3B" w14:paraId="4BF0D7BC" w14:textId="77777777" w:rsidTr="006245BA">
        <w:tc>
          <w:tcPr>
            <w:tcW w:w="5016" w:type="dxa"/>
          </w:tcPr>
          <w:p w14:paraId="6D93C371" w14:textId="77777777" w:rsidR="00FC1B3B" w:rsidRDefault="00FC1B3B" w:rsidP="006245BA">
            <w:pPr>
              <w:spacing w:after="0" w:line="240" w:lineRule="auto"/>
              <w:jc w:val="center"/>
            </w:pPr>
            <w:r>
              <w:rPr>
                <w:noProof/>
                <w:lang w:val="fr-BE" w:eastAsia="fr-BE"/>
              </w:rPr>
              <w:drawing>
                <wp:inline distT="0" distB="0" distL="0" distR="0" wp14:anchorId="5435E07E" wp14:editId="31F21818">
                  <wp:extent cx="3047999" cy="2600325"/>
                  <wp:effectExtent l="0" t="0" r="635" b="0"/>
                  <wp:docPr id="5"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c>
          <w:tcPr>
            <w:tcW w:w="4272" w:type="dxa"/>
          </w:tcPr>
          <w:p w14:paraId="58BDC3DB" w14:textId="77777777" w:rsidR="00FC1B3B" w:rsidRDefault="00FC1B3B" w:rsidP="006245BA">
            <w:pPr>
              <w:spacing w:after="0" w:line="240" w:lineRule="auto"/>
              <w:jc w:val="left"/>
              <w:rPr>
                <w:sz w:val="20"/>
              </w:rPr>
            </w:pPr>
          </w:p>
          <w:p w14:paraId="030F8181" w14:textId="77777777" w:rsidR="00FC1B3B" w:rsidRPr="00B4620A" w:rsidRDefault="00FC1B3B" w:rsidP="006245BA">
            <w:pPr>
              <w:spacing w:after="0" w:line="240" w:lineRule="auto"/>
              <w:jc w:val="left"/>
              <w:rPr>
                <w:sz w:val="20"/>
              </w:rPr>
            </w:pPr>
            <w:r w:rsidRPr="00B4620A">
              <w:rPr>
                <w:sz w:val="20"/>
              </w:rPr>
              <w:t>Male TFR : 11.0</w:t>
            </w:r>
          </w:p>
          <w:p w14:paraId="04E7D648" w14:textId="77777777" w:rsidR="00FC1B3B" w:rsidRDefault="00FC1B3B" w:rsidP="006245BA">
            <w:pPr>
              <w:spacing w:after="0" w:line="240" w:lineRule="auto"/>
              <w:jc w:val="left"/>
              <w:rPr>
                <w:sz w:val="20"/>
              </w:rPr>
            </w:pPr>
            <w:r w:rsidRPr="00B4620A">
              <w:rPr>
                <w:sz w:val="20"/>
              </w:rPr>
              <w:t>Female TFR</w:t>
            </w:r>
            <w:r>
              <w:rPr>
                <w:sz w:val="20"/>
              </w:rPr>
              <w:t xml:space="preserve"> : 5.3</w:t>
            </w:r>
          </w:p>
          <w:p w14:paraId="4D144646" w14:textId="77777777" w:rsidR="00FC1B3B" w:rsidRDefault="00FC1B3B" w:rsidP="006245BA">
            <w:pPr>
              <w:spacing w:after="0" w:line="240" w:lineRule="auto"/>
              <w:jc w:val="left"/>
              <w:rPr>
                <w:sz w:val="20"/>
              </w:rPr>
            </w:pPr>
          </w:p>
          <w:p w14:paraId="1DD8CC29" w14:textId="77777777" w:rsidR="00FC1B3B" w:rsidRDefault="00FC1B3B" w:rsidP="006245BA">
            <w:pPr>
              <w:spacing w:after="0" w:line="240" w:lineRule="auto"/>
              <w:jc w:val="left"/>
              <w:rPr>
                <w:sz w:val="20"/>
              </w:rPr>
            </w:pPr>
            <w:r>
              <w:rPr>
                <w:sz w:val="20"/>
              </w:rPr>
              <w:t>Mean age at fatherhood: 44.0</w:t>
            </w:r>
          </w:p>
          <w:p w14:paraId="211CFFD6" w14:textId="77777777" w:rsidR="00FC1B3B" w:rsidRDefault="00FC1B3B" w:rsidP="006245BA">
            <w:pPr>
              <w:spacing w:after="0" w:line="240" w:lineRule="auto"/>
              <w:jc w:val="left"/>
              <w:rPr>
                <w:sz w:val="20"/>
              </w:rPr>
            </w:pPr>
            <w:r>
              <w:rPr>
                <w:sz w:val="20"/>
              </w:rPr>
              <w:t>Mean age at childbearing: 29.8</w:t>
            </w:r>
          </w:p>
          <w:p w14:paraId="708F7E65" w14:textId="77777777" w:rsidR="00FC1B3B" w:rsidRDefault="00FC1B3B" w:rsidP="006245BA">
            <w:pPr>
              <w:spacing w:after="0" w:line="240" w:lineRule="auto"/>
              <w:jc w:val="center"/>
            </w:pPr>
          </w:p>
        </w:tc>
      </w:tr>
      <w:tr w:rsidR="00FC1B3B" w14:paraId="64011B9F" w14:textId="77777777" w:rsidTr="006245BA">
        <w:tc>
          <w:tcPr>
            <w:tcW w:w="5016" w:type="dxa"/>
          </w:tcPr>
          <w:p w14:paraId="7191287A" w14:textId="77777777" w:rsidR="00FC1B3B" w:rsidRDefault="00FC1B3B" w:rsidP="006245BA">
            <w:pPr>
              <w:spacing w:after="0" w:line="240" w:lineRule="auto"/>
              <w:jc w:val="center"/>
            </w:pPr>
            <w:r>
              <w:rPr>
                <w:noProof/>
                <w:lang w:val="fr-BE" w:eastAsia="fr-BE"/>
              </w:rPr>
              <w:drawing>
                <wp:inline distT="0" distB="0" distL="0" distR="0" wp14:anchorId="2F930DC9" wp14:editId="3784B348">
                  <wp:extent cx="3047999" cy="2600325"/>
                  <wp:effectExtent l="0" t="0" r="635" b="0"/>
                  <wp:docPr id="7"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4272" w:type="dxa"/>
          </w:tcPr>
          <w:p w14:paraId="68CAC0B6" w14:textId="77777777" w:rsidR="00FC1B3B" w:rsidRDefault="00FC1B3B" w:rsidP="006245BA">
            <w:pPr>
              <w:spacing w:after="0" w:line="240" w:lineRule="auto"/>
              <w:jc w:val="center"/>
            </w:pPr>
          </w:p>
          <w:p w14:paraId="454FF1A4" w14:textId="77777777" w:rsidR="00FC1B3B" w:rsidRPr="00B4620A" w:rsidRDefault="00FC1B3B" w:rsidP="006245BA">
            <w:pPr>
              <w:spacing w:after="0" w:line="240" w:lineRule="auto"/>
              <w:jc w:val="left"/>
              <w:rPr>
                <w:sz w:val="20"/>
              </w:rPr>
            </w:pPr>
            <w:r w:rsidRPr="00B4620A">
              <w:rPr>
                <w:sz w:val="20"/>
              </w:rPr>
              <w:t xml:space="preserve">Male TFR : </w:t>
            </w:r>
            <w:r>
              <w:rPr>
                <w:sz w:val="20"/>
              </w:rPr>
              <w:t>5.1</w:t>
            </w:r>
          </w:p>
          <w:p w14:paraId="26F5ED28" w14:textId="77777777" w:rsidR="00FC1B3B" w:rsidRDefault="00FC1B3B" w:rsidP="006245BA">
            <w:pPr>
              <w:spacing w:after="0" w:line="240" w:lineRule="auto"/>
              <w:jc w:val="left"/>
              <w:rPr>
                <w:sz w:val="20"/>
              </w:rPr>
            </w:pPr>
            <w:r w:rsidRPr="00B4620A">
              <w:rPr>
                <w:sz w:val="20"/>
              </w:rPr>
              <w:t>Female TFR</w:t>
            </w:r>
            <w:r>
              <w:rPr>
                <w:sz w:val="20"/>
              </w:rPr>
              <w:t xml:space="preserve"> : 3.7</w:t>
            </w:r>
          </w:p>
          <w:p w14:paraId="4397E36F" w14:textId="77777777" w:rsidR="00FC1B3B" w:rsidRDefault="00FC1B3B" w:rsidP="006245BA">
            <w:pPr>
              <w:spacing w:after="0" w:line="240" w:lineRule="auto"/>
              <w:jc w:val="left"/>
              <w:rPr>
                <w:sz w:val="20"/>
              </w:rPr>
            </w:pPr>
          </w:p>
          <w:p w14:paraId="34FCF33D" w14:textId="77777777" w:rsidR="00FC1B3B" w:rsidRDefault="00FC1B3B" w:rsidP="006245BA">
            <w:pPr>
              <w:spacing w:after="0" w:line="240" w:lineRule="auto"/>
              <w:jc w:val="left"/>
              <w:rPr>
                <w:sz w:val="20"/>
              </w:rPr>
            </w:pPr>
            <w:r>
              <w:rPr>
                <w:sz w:val="20"/>
              </w:rPr>
              <w:t>Mean age at fatherhood: 37.0</w:t>
            </w:r>
          </w:p>
          <w:p w14:paraId="670C43CC" w14:textId="77777777" w:rsidR="00FC1B3B" w:rsidRDefault="00FC1B3B" w:rsidP="006245BA">
            <w:pPr>
              <w:spacing w:after="0" w:line="240" w:lineRule="auto"/>
              <w:jc w:val="left"/>
              <w:rPr>
                <w:sz w:val="20"/>
              </w:rPr>
            </w:pPr>
            <w:r>
              <w:rPr>
                <w:sz w:val="20"/>
              </w:rPr>
              <w:t>Mean age at childbearing: 30.0</w:t>
            </w:r>
          </w:p>
          <w:p w14:paraId="5C91E4BD" w14:textId="77777777" w:rsidR="00FC1B3B" w:rsidRDefault="00FC1B3B" w:rsidP="006245BA">
            <w:pPr>
              <w:spacing w:after="0" w:line="240" w:lineRule="auto"/>
              <w:jc w:val="center"/>
            </w:pPr>
          </w:p>
        </w:tc>
      </w:tr>
      <w:tr w:rsidR="00FC1B3B" w14:paraId="3536B746" w14:textId="77777777" w:rsidTr="006245BA">
        <w:tc>
          <w:tcPr>
            <w:tcW w:w="5016" w:type="dxa"/>
          </w:tcPr>
          <w:p w14:paraId="198D915C" w14:textId="77777777" w:rsidR="00FC1B3B" w:rsidRDefault="00FC1B3B" w:rsidP="006245BA">
            <w:pPr>
              <w:spacing w:after="0" w:line="240" w:lineRule="auto"/>
              <w:jc w:val="center"/>
            </w:pPr>
            <w:r>
              <w:rPr>
                <w:noProof/>
                <w:lang w:val="fr-BE" w:eastAsia="fr-BE"/>
              </w:rPr>
              <w:drawing>
                <wp:inline distT="0" distB="0" distL="0" distR="0" wp14:anchorId="78DEB422" wp14:editId="12B17A89">
                  <wp:extent cx="3047999" cy="2600325"/>
                  <wp:effectExtent l="0" t="0" r="635" b="0"/>
                  <wp:docPr id="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4272" w:type="dxa"/>
          </w:tcPr>
          <w:p w14:paraId="670E2DCB" w14:textId="77777777" w:rsidR="00FC1B3B" w:rsidRDefault="00FC1B3B" w:rsidP="006245BA">
            <w:pPr>
              <w:spacing w:after="0" w:line="240" w:lineRule="auto"/>
              <w:jc w:val="center"/>
            </w:pPr>
          </w:p>
          <w:p w14:paraId="25FFA781" w14:textId="77777777" w:rsidR="00FC1B3B" w:rsidRPr="00B4620A" w:rsidRDefault="00FC1B3B" w:rsidP="006245BA">
            <w:pPr>
              <w:spacing w:after="0" w:line="240" w:lineRule="auto"/>
              <w:jc w:val="left"/>
              <w:rPr>
                <w:sz w:val="20"/>
              </w:rPr>
            </w:pPr>
            <w:r w:rsidRPr="00B4620A">
              <w:rPr>
                <w:sz w:val="20"/>
              </w:rPr>
              <w:t xml:space="preserve">Male TFR : </w:t>
            </w:r>
            <w:r>
              <w:rPr>
                <w:sz w:val="20"/>
              </w:rPr>
              <w:t>2.0</w:t>
            </w:r>
          </w:p>
          <w:p w14:paraId="5BC9C2C6" w14:textId="77777777" w:rsidR="00FC1B3B" w:rsidRDefault="00FC1B3B" w:rsidP="006245BA">
            <w:pPr>
              <w:spacing w:after="0" w:line="240" w:lineRule="auto"/>
              <w:jc w:val="left"/>
              <w:rPr>
                <w:sz w:val="20"/>
              </w:rPr>
            </w:pPr>
            <w:r w:rsidRPr="00B4620A">
              <w:rPr>
                <w:sz w:val="20"/>
              </w:rPr>
              <w:t>Female TFR</w:t>
            </w:r>
            <w:r>
              <w:rPr>
                <w:sz w:val="20"/>
              </w:rPr>
              <w:t xml:space="preserve"> : 2.0</w:t>
            </w:r>
          </w:p>
          <w:p w14:paraId="664207A2" w14:textId="77777777" w:rsidR="00FC1B3B" w:rsidRDefault="00FC1B3B" w:rsidP="006245BA">
            <w:pPr>
              <w:spacing w:after="0" w:line="240" w:lineRule="auto"/>
              <w:jc w:val="left"/>
              <w:rPr>
                <w:sz w:val="20"/>
              </w:rPr>
            </w:pPr>
          </w:p>
          <w:p w14:paraId="0E2BCCAA" w14:textId="77777777" w:rsidR="00FC1B3B" w:rsidRDefault="00FC1B3B" w:rsidP="006245BA">
            <w:pPr>
              <w:spacing w:after="0" w:line="240" w:lineRule="auto"/>
              <w:jc w:val="left"/>
              <w:rPr>
                <w:sz w:val="20"/>
              </w:rPr>
            </w:pPr>
            <w:r>
              <w:rPr>
                <w:sz w:val="20"/>
              </w:rPr>
              <w:t>Mean age at fatherhood: 33.5</w:t>
            </w:r>
          </w:p>
          <w:p w14:paraId="41573E12" w14:textId="77777777" w:rsidR="00FC1B3B" w:rsidRDefault="00FC1B3B" w:rsidP="006245BA">
            <w:pPr>
              <w:spacing w:after="0" w:line="240" w:lineRule="auto"/>
              <w:jc w:val="left"/>
              <w:rPr>
                <w:sz w:val="20"/>
              </w:rPr>
            </w:pPr>
            <w:r>
              <w:rPr>
                <w:sz w:val="20"/>
              </w:rPr>
              <w:t>Mean age at childbearing: 30.1</w:t>
            </w:r>
          </w:p>
          <w:p w14:paraId="4AF507BD" w14:textId="77777777" w:rsidR="00FC1B3B" w:rsidRDefault="00FC1B3B" w:rsidP="006245BA">
            <w:pPr>
              <w:spacing w:after="0" w:line="240" w:lineRule="auto"/>
              <w:jc w:val="center"/>
            </w:pPr>
          </w:p>
        </w:tc>
      </w:tr>
    </w:tbl>
    <w:p w14:paraId="0F21DB90" w14:textId="77777777" w:rsidR="00FC1B3B" w:rsidRDefault="00FC1B3B" w:rsidP="00FC1B3B">
      <w:pPr>
        <w:spacing w:after="0" w:line="240" w:lineRule="auto"/>
        <w:jc w:val="center"/>
      </w:pPr>
    </w:p>
    <w:p w14:paraId="20F0E2B4" w14:textId="2FD5BCF1" w:rsidR="00FC1B3B" w:rsidRPr="00866549" w:rsidRDefault="00FC1B3B" w:rsidP="00FC1B3B">
      <w:pPr>
        <w:rPr>
          <w:sz w:val="16"/>
          <w:szCs w:val="16"/>
        </w:rPr>
      </w:pPr>
      <w:r w:rsidRPr="00866549">
        <w:rPr>
          <w:b/>
          <w:sz w:val="16"/>
          <w:szCs w:val="16"/>
        </w:rPr>
        <w:t>Data</w:t>
      </w:r>
      <w:r w:rsidRPr="00866549">
        <w:rPr>
          <w:sz w:val="16"/>
          <w:szCs w:val="16"/>
        </w:rPr>
        <w:t xml:space="preserve">: </w:t>
      </w:r>
      <w:r w:rsidRPr="00A758F3">
        <w:rPr>
          <w:i/>
          <w:sz w:val="16"/>
          <w:szCs w:val="16"/>
        </w:rPr>
        <w:t>United Nations Demographic Yearbook</w:t>
      </w:r>
      <w:r w:rsidRPr="00866549">
        <w:rPr>
          <w:sz w:val="16"/>
          <w:szCs w:val="16"/>
        </w:rPr>
        <w:t xml:space="preserve"> for France </w:t>
      </w:r>
      <w:r w:rsidR="00A14D60">
        <w:rPr>
          <w:rFonts w:cs="Times New Roman"/>
          <w:sz w:val="16"/>
          <w:szCs w:val="16"/>
        </w:rPr>
        <w:t>(United Nations</w:t>
      </w:r>
      <w:r w:rsidRPr="00866549">
        <w:rPr>
          <w:rFonts w:cs="Times New Roman"/>
          <w:sz w:val="16"/>
          <w:szCs w:val="16"/>
        </w:rPr>
        <w:t xml:space="preserve"> 2017)</w:t>
      </w:r>
      <w:r w:rsidRPr="00866549">
        <w:rPr>
          <w:sz w:val="16"/>
          <w:szCs w:val="16"/>
        </w:rPr>
        <w:t xml:space="preserve"> and author’s computation </w:t>
      </w:r>
      <w:r>
        <w:rPr>
          <w:sz w:val="16"/>
          <w:szCs w:val="16"/>
        </w:rPr>
        <w:t xml:space="preserve">from </w:t>
      </w:r>
      <w:r w:rsidRPr="00866549">
        <w:rPr>
          <w:sz w:val="16"/>
          <w:szCs w:val="16"/>
        </w:rPr>
        <w:t xml:space="preserve">DHS </w:t>
      </w:r>
      <w:r>
        <w:rPr>
          <w:sz w:val="16"/>
          <w:szCs w:val="16"/>
        </w:rPr>
        <w:t xml:space="preserve">data </w:t>
      </w:r>
      <w:r w:rsidRPr="00866549">
        <w:rPr>
          <w:sz w:val="16"/>
          <w:szCs w:val="16"/>
        </w:rPr>
        <w:t>for Senegal and Haiti.</w:t>
      </w:r>
    </w:p>
    <w:p w14:paraId="594B7949" w14:textId="77777777" w:rsidR="00FC1B3B" w:rsidRPr="00095448" w:rsidRDefault="00FC1B3B" w:rsidP="00FC1B3B">
      <w:r w:rsidRPr="00C87F4B">
        <w:lastRenderedPageBreak/>
        <w:t xml:space="preserve">Figure </w:t>
      </w:r>
      <w:r>
        <w:rPr>
          <w:noProof/>
        </w:rPr>
        <w:t>5</w:t>
      </w:r>
      <w:r w:rsidRPr="00C87F4B">
        <w:t xml:space="preserve"> : </w:t>
      </w:r>
      <w:r w:rsidRPr="00660FB5">
        <w:t>Relationship between the ratio of male TFR to female TFR and the difference between mean age at fatherhood and mean age at childbearing</w:t>
      </w:r>
      <w:r>
        <w:t xml:space="preserve">, </w:t>
      </w:r>
      <w:r w:rsidRPr="00877488">
        <w:t>circa 201</w:t>
      </w:r>
      <w:r>
        <w:t>1</w:t>
      </w:r>
      <w:r w:rsidRPr="00877488">
        <w:t xml:space="preserve"> (1</w:t>
      </w:r>
      <w:r>
        <w:t>63</w:t>
      </w:r>
      <w:r w:rsidRPr="00877488">
        <w:t xml:space="preserve"> countries)</w:t>
      </w:r>
    </w:p>
    <w:p w14:paraId="3F78DB62" w14:textId="77777777" w:rsidR="00FC1B3B" w:rsidRDefault="00FC1B3B" w:rsidP="00FC1B3B">
      <w:pPr>
        <w:jc w:val="center"/>
      </w:pPr>
      <w:r>
        <w:rPr>
          <w:noProof/>
          <w:lang w:val="fr-BE" w:eastAsia="fr-BE"/>
        </w:rPr>
        <w:drawing>
          <wp:inline distT="0" distB="0" distL="0" distR="0" wp14:anchorId="7D6C6B36" wp14:editId="435A043B">
            <wp:extent cx="4511616" cy="3994115"/>
            <wp:effectExtent l="0" t="0" r="3810" b="6985"/>
            <wp:docPr id="7195" name="Image 7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13561" cy="3995837"/>
                    </a:xfrm>
                    <a:prstGeom prst="rect">
                      <a:avLst/>
                    </a:prstGeom>
                    <a:noFill/>
                  </pic:spPr>
                </pic:pic>
              </a:graphicData>
            </a:graphic>
          </wp:inline>
        </w:drawing>
      </w:r>
    </w:p>
    <w:p w14:paraId="1A850DBA" w14:textId="5FC4357A" w:rsidR="00FC1B3B" w:rsidRPr="00CB6DAA" w:rsidRDefault="00FC1B3B" w:rsidP="00FC1B3B">
      <w:pPr>
        <w:rPr>
          <w:sz w:val="16"/>
          <w:szCs w:val="16"/>
        </w:rPr>
      </w:pPr>
      <w:r w:rsidRPr="00CB6DAA">
        <w:rPr>
          <w:b/>
          <w:sz w:val="16"/>
          <w:szCs w:val="16"/>
        </w:rPr>
        <w:t>Data</w:t>
      </w:r>
      <w:r w:rsidRPr="00CB6DAA">
        <w:rPr>
          <w:sz w:val="16"/>
          <w:szCs w:val="16"/>
        </w:rPr>
        <w:t xml:space="preserve">: </w:t>
      </w:r>
      <w:r w:rsidRPr="00A758F3">
        <w:rPr>
          <w:i/>
          <w:sz w:val="16"/>
          <w:szCs w:val="16"/>
        </w:rPr>
        <w:t>United Nations Demographic Yearbook</w:t>
      </w:r>
      <w:r>
        <w:rPr>
          <w:i/>
          <w:sz w:val="16"/>
          <w:szCs w:val="16"/>
        </w:rPr>
        <w:t xml:space="preserve"> 2016</w:t>
      </w:r>
      <w:r w:rsidRPr="00CB6DAA">
        <w:rPr>
          <w:sz w:val="16"/>
          <w:szCs w:val="16"/>
        </w:rPr>
        <w:t xml:space="preserve"> </w:t>
      </w:r>
      <w:r w:rsidR="00A14D60">
        <w:rPr>
          <w:rFonts w:cs="Times New Roman"/>
          <w:sz w:val="16"/>
          <w:szCs w:val="16"/>
        </w:rPr>
        <w:t>(United Nations</w:t>
      </w:r>
      <w:r w:rsidRPr="00CB6DAA">
        <w:rPr>
          <w:rFonts w:cs="Times New Roman"/>
          <w:sz w:val="16"/>
          <w:szCs w:val="16"/>
        </w:rPr>
        <w:t xml:space="preserve"> 2017)</w:t>
      </w:r>
      <w:r w:rsidRPr="00CB6DAA">
        <w:rPr>
          <w:sz w:val="16"/>
          <w:szCs w:val="16"/>
        </w:rPr>
        <w:t xml:space="preserve"> and author’s computation </w:t>
      </w:r>
      <w:r>
        <w:rPr>
          <w:sz w:val="16"/>
          <w:szCs w:val="16"/>
        </w:rPr>
        <w:t xml:space="preserve">from data from </w:t>
      </w:r>
      <w:r w:rsidRPr="00CB6DAA">
        <w:rPr>
          <w:sz w:val="16"/>
          <w:szCs w:val="16"/>
        </w:rPr>
        <w:t>DHS, MICS</w:t>
      </w:r>
      <w:r>
        <w:rPr>
          <w:sz w:val="16"/>
          <w:szCs w:val="16"/>
        </w:rPr>
        <w:t>,</w:t>
      </w:r>
      <w:r w:rsidRPr="00CB6DAA">
        <w:rPr>
          <w:sz w:val="16"/>
          <w:szCs w:val="16"/>
        </w:rPr>
        <w:t xml:space="preserve"> and </w:t>
      </w:r>
      <w:r>
        <w:rPr>
          <w:sz w:val="16"/>
          <w:szCs w:val="16"/>
        </w:rPr>
        <w:t>c</w:t>
      </w:r>
      <w:r w:rsidRPr="00CB6DAA">
        <w:rPr>
          <w:sz w:val="16"/>
          <w:szCs w:val="16"/>
        </w:rPr>
        <w:t xml:space="preserve">ensuses. Two separate estimates for Qatar are presented, one from the 2012 MICS (O), the other from the </w:t>
      </w:r>
      <w:r w:rsidRPr="00A758F3">
        <w:rPr>
          <w:i/>
          <w:sz w:val="16"/>
          <w:szCs w:val="16"/>
        </w:rPr>
        <w:t>United Nations Demographic Yearbook</w:t>
      </w:r>
      <w:r>
        <w:rPr>
          <w:i/>
          <w:sz w:val="16"/>
          <w:szCs w:val="16"/>
        </w:rPr>
        <w:t xml:space="preserve"> 2016</w:t>
      </w:r>
      <w:r w:rsidRPr="00CB6DAA">
        <w:rPr>
          <w:sz w:val="16"/>
          <w:szCs w:val="16"/>
        </w:rPr>
        <w:t xml:space="preserve"> (+).Two separate estimates for Nepal are </w:t>
      </w:r>
      <w:r>
        <w:rPr>
          <w:sz w:val="16"/>
          <w:szCs w:val="16"/>
        </w:rPr>
        <w:t xml:space="preserve">also </w:t>
      </w:r>
      <w:r w:rsidRPr="00CB6DAA">
        <w:rPr>
          <w:sz w:val="16"/>
          <w:szCs w:val="16"/>
        </w:rPr>
        <w:t>presented, one from the 2011 MICS, correcting for international migration (O), the other from the 2008 DHS (+).</w:t>
      </w:r>
      <w:r>
        <w:rPr>
          <w:sz w:val="16"/>
          <w:szCs w:val="16"/>
        </w:rPr>
        <w:t xml:space="preserve"> The estimate from Bahrain is also presented with </w:t>
      </w:r>
      <w:r w:rsidRPr="00A40EEF">
        <w:rPr>
          <w:sz w:val="16"/>
          <w:szCs w:val="16"/>
        </w:rPr>
        <w:t>(+)</w:t>
      </w:r>
      <w:r>
        <w:rPr>
          <w:sz w:val="16"/>
          <w:szCs w:val="16"/>
        </w:rPr>
        <w:t>.</w:t>
      </w:r>
    </w:p>
    <w:p w14:paraId="27F4CD5B" w14:textId="77777777" w:rsidR="00FC1B3B" w:rsidRDefault="00FC1B3B">
      <w:pPr>
        <w:spacing w:after="200" w:line="276" w:lineRule="auto"/>
        <w:jc w:val="left"/>
      </w:pPr>
    </w:p>
    <w:p w14:paraId="3B01718D" w14:textId="73CB297F" w:rsidR="00FC1B3B" w:rsidRDefault="00FC1B3B">
      <w:pPr>
        <w:spacing w:after="200" w:line="276" w:lineRule="auto"/>
        <w:jc w:val="left"/>
      </w:pPr>
      <w:r>
        <w:br w:type="page"/>
      </w:r>
    </w:p>
    <w:p w14:paraId="36F405EC" w14:textId="77777777" w:rsidR="00FC1B3B" w:rsidRDefault="00FC1B3B" w:rsidP="00FC1B3B">
      <w:pPr>
        <w:jc w:val="center"/>
      </w:pPr>
    </w:p>
    <w:p w14:paraId="4A940B0C" w14:textId="77777777" w:rsidR="00FC1B3B" w:rsidRDefault="00FC1B3B" w:rsidP="00FC1B3B">
      <w:pPr>
        <w:keepNext/>
        <w:keepLines/>
      </w:pPr>
      <w:r w:rsidRPr="00C87F4B">
        <w:t xml:space="preserve">Figure </w:t>
      </w:r>
      <w:r>
        <w:rPr>
          <w:noProof/>
        </w:rPr>
        <w:t>6</w:t>
      </w:r>
      <w:r w:rsidRPr="00C87F4B">
        <w:t>:</w:t>
      </w:r>
      <w:r>
        <w:t xml:space="preserve"> Relationship between male–female fertility ratio and polygyny in 43 countries</w:t>
      </w:r>
    </w:p>
    <w:p w14:paraId="2C789CCF" w14:textId="77777777" w:rsidR="00FC1B3B" w:rsidRPr="0010117C" w:rsidRDefault="00FC1B3B" w:rsidP="00FC1B3B">
      <w:pPr>
        <w:keepNext/>
        <w:keepLines/>
        <w:jc w:val="center"/>
      </w:pPr>
      <w:r>
        <w:rPr>
          <w:noProof/>
          <w:lang w:val="fr-BE" w:eastAsia="fr-BE"/>
        </w:rPr>
        <w:drawing>
          <wp:inline distT="0" distB="0" distL="0" distR="0" wp14:anchorId="53C39529" wp14:editId="113E36E4">
            <wp:extent cx="3873261" cy="3282077"/>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75605" cy="3284063"/>
                    </a:xfrm>
                    <a:prstGeom prst="rect">
                      <a:avLst/>
                    </a:prstGeom>
                    <a:noFill/>
                  </pic:spPr>
                </pic:pic>
              </a:graphicData>
            </a:graphic>
          </wp:inline>
        </w:drawing>
      </w:r>
    </w:p>
    <w:p w14:paraId="2A2475AF" w14:textId="77777777" w:rsidR="00FC1B3B" w:rsidRPr="007B19C8" w:rsidRDefault="00FC1B3B" w:rsidP="00FC1B3B">
      <w:pPr>
        <w:keepNext/>
        <w:keepLines/>
        <w:rPr>
          <w:sz w:val="16"/>
          <w:szCs w:val="16"/>
        </w:rPr>
      </w:pPr>
      <w:r w:rsidRPr="007B19C8">
        <w:rPr>
          <w:b/>
          <w:sz w:val="16"/>
          <w:szCs w:val="16"/>
        </w:rPr>
        <w:t>Data</w:t>
      </w:r>
      <w:r w:rsidRPr="007B19C8">
        <w:rPr>
          <w:sz w:val="16"/>
          <w:szCs w:val="16"/>
        </w:rPr>
        <w:t xml:space="preserve">: Author’s computation </w:t>
      </w:r>
      <w:r>
        <w:rPr>
          <w:sz w:val="16"/>
          <w:szCs w:val="16"/>
        </w:rPr>
        <w:t xml:space="preserve">from </w:t>
      </w:r>
      <w:r w:rsidRPr="007B19C8">
        <w:rPr>
          <w:sz w:val="16"/>
          <w:szCs w:val="16"/>
        </w:rPr>
        <w:t>DHS data.</w:t>
      </w:r>
    </w:p>
    <w:p w14:paraId="5403F5A8" w14:textId="2D6C53B5" w:rsidR="00FC1B3B" w:rsidRDefault="00FC1B3B">
      <w:pPr>
        <w:spacing w:after="200" w:line="276" w:lineRule="auto"/>
        <w:jc w:val="left"/>
      </w:pPr>
      <w:r>
        <w:br w:type="page"/>
      </w:r>
    </w:p>
    <w:p w14:paraId="777A7E52" w14:textId="77777777" w:rsidR="00FC1B3B" w:rsidRDefault="00FC1B3B" w:rsidP="00FC1B3B">
      <w:r w:rsidRPr="00C87F4B">
        <w:lastRenderedPageBreak/>
        <w:t xml:space="preserve">Figure </w:t>
      </w:r>
      <w:r>
        <w:rPr>
          <w:noProof/>
        </w:rPr>
        <w:t>7</w:t>
      </w:r>
      <w:r w:rsidRPr="00C87F4B">
        <w:t>:</w:t>
      </w:r>
      <w:r>
        <w:t xml:space="preserve"> Trends in the ratio of male to female TFR since the 1970s in nine countries.</w:t>
      </w:r>
    </w:p>
    <w:p w14:paraId="314CFCD0" w14:textId="77777777" w:rsidR="00FC1B3B" w:rsidRDefault="00FC1B3B" w:rsidP="00FC1B3B">
      <w:pPr>
        <w:jc w:val="center"/>
      </w:pPr>
      <w:r>
        <w:rPr>
          <w:noProof/>
          <w:lang w:val="fr-BE" w:eastAsia="fr-BE"/>
        </w:rPr>
        <w:drawing>
          <wp:inline distT="0" distB="0" distL="0" distR="0" wp14:anchorId="12E280CF" wp14:editId="23EE6CC1">
            <wp:extent cx="3476334" cy="2494626"/>
            <wp:effectExtent l="0" t="0" r="0" b="127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81593" cy="2498400"/>
                    </a:xfrm>
                    <a:prstGeom prst="rect">
                      <a:avLst/>
                    </a:prstGeom>
                    <a:noFill/>
                  </pic:spPr>
                </pic:pic>
              </a:graphicData>
            </a:graphic>
          </wp:inline>
        </w:drawing>
      </w:r>
    </w:p>
    <w:p w14:paraId="718B7620" w14:textId="77777777" w:rsidR="00FC1B3B" w:rsidRDefault="00FC1B3B" w:rsidP="00FC1B3B">
      <w:pPr>
        <w:jc w:val="center"/>
      </w:pPr>
      <w:r>
        <w:rPr>
          <w:noProof/>
          <w:lang w:val="fr-BE" w:eastAsia="fr-BE"/>
        </w:rPr>
        <w:drawing>
          <wp:inline distT="0" distB="0" distL="0" distR="0" wp14:anchorId="03F4136B" wp14:editId="018318BC">
            <wp:extent cx="3624788" cy="2601157"/>
            <wp:effectExtent l="0" t="0" r="0" b="889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30153" cy="2605007"/>
                    </a:xfrm>
                    <a:prstGeom prst="rect">
                      <a:avLst/>
                    </a:prstGeom>
                    <a:noFill/>
                  </pic:spPr>
                </pic:pic>
              </a:graphicData>
            </a:graphic>
          </wp:inline>
        </w:drawing>
      </w:r>
    </w:p>
    <w:p w14:paraId="0E3F9D2B" w14:textId="77777777" w:rsidR="00FC1B3B" w:rsidRDefault="00FC1B3B" w:rsidP="00FC1B3B">
      <w:pPr>
        <w:jc w:val="center"/>
      </w:pPr>
      <w:r>
        <w:rPr>
          <w:noProof/>
          <w:lang w:val="fr-BE" w:eastAsia="fr-BE"/>
        </w:rPr>
        <w:drawing>
          <wp:inline distT="0" distB="0" distL="0" distR="0" wp14:anchorId="347803D9" wp14:editId="430ADAD6">
            <wp:extent cx="3699017" cy="2654424"/>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98070" cy="2653745"/>
                    </a:xfrm>
                    <a:prstGeom prst="rect">
                      <a:avLst/>
                    </a:prstGeom>
                    <a:noFill/>
                  </pic:spPr>
                </pic:pic>
              </a:graphicData>
            </a:graphic>
          </wp:inline>
        </w:drawing>
      </w:r>
    </w:p>
    <w:p w14:paraId="397D318B" w14:textId="77777777" w:rsidR="00FC1B3B" w:rsidRPr="008B2325" w:rsidRDefault="00FC1B3B" w:rsidP="00FC1B3B">
      <w:pPr>
        <w:rPr>
          <w:sz w:val="16"/>
          <w:szCs w:val="16"/>
        </w:rPr>
      </w:pPr>
      <w:r w:rsidRPr="008B2325">
        <w:rPr>
          <w:b/>
          <w:sz w:val="16"/>
          <w:szCs w:val="16"/>
        </w:rPr>
        <w:t>Data</w:t>
      </w:r>
      <w:r w:rsidRPr="008B2325">
        <w:rPr>
          <w:sz w:val="16"/>
          <w:szCs w:val="16"/>
        </w:rPr>
        <w:t xml:space="preserve">: Author’s computation </w:t>
      </w:r>
      <w:r>
        <w:rPr>
          <w:sz w:val="16"/>
          <w:szCs w:val="16"/>
        </w:rPr>
        <w:t>from</w:t>
      </w:r>
      <w:r w:rsidRPr="008B2325">
        <w:rPr>
          <w:sz w:val="16"/>
          <w:szCs w:val="16"/>
        </w:rPr>
        <w:t xml:space="preserve"> DHS data (own</w:t>
      </w:r>
      <w:r>
        <w:rPr>
          <w:sz w:val="16"/>
          <w:szCs w:val="16"/>
        </w:rPr>
        <w:t>-</w:t>
      </w:r>
      <w:r w:rsidRPr="008B2325">
        <w:rPr>
          <w:sz w:val="16"/>
          <w:szCs w:val="16"/>
        </w:rPr>
        <w:t>children method).</w:t>
      </w:r>
    </w:p>
    <w:p w14:paraId="3C0E0AC5" w14:textId="77777777" w:rsidR="00FC1B3B" w:rsidRDefault="00FC1B3B" w:rsidP="00FC1B3B">
      <w:r w:rsidRPr="00C87F4B">
        <w:lastRenderedPageBreak/>
        <w:t xml:space="preserve">Figure </w:t>
      </w:r>
      <w:r>
        <w:rPr>
          <w:noProof/>
        </w:rPr>
        <w:t>8</w:t>
      </w:r>
      <w:r w:rsidRPr="00C87F4B">
        <w:t>:</w:t>
      </w:r>
      <w:r>
        <w:t xml:space="preserve"> Projected ratio of male TFR to female TFR in Niger, Zimbabwe, and Indonesia, 2015–2100.</w:t>
      </w:r>
    </w:p>
    <w:p w14:paraId="01BFF618" w14:textId="77777777" w:rsidR="00FC1B3B" w:rsidRDefault="00FC1B3B" w:rsidP="00FC1B3B">
      <w:pPr>
        <w:jc w:val="center"/>
      </w:pPr>
      <w:r>
        <w:rPr>
          <w:noProof/>
          <w:lang w:val="fr-BE" w:eastAsia="fr-BE"/>
        </w:rPr>
        <w:drawing>
          <wp:inline distT="0" distB="0" distL="0" distR="0" wp14:anchorId="0A39BC30" wp14:editId="0CBBDA35">
            <wp:extent cx="3195961" cy="2384267"/>
            <wp:effectExtent l="0" t="0" r="4445" b="0"/>
            <wp:docPr id="7183" name="Image 7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93890" cy="2382722"/>
                    </a:xfrm>
                    <a:prstGeom prst="rect">
                      <a:avLst/>
                    </a:prstGeom>
                    <a:noFill/>
                  </pic:spPr>
                </pic:pic>
              </a:graphicData>
            </a:graphic>
          </wp:inline>
        </w:drawing>
      </w:r>
    </w:p>
    <w:p w14:paraId="3C50B7FB" w14:textId="77777777" w:rsidR="00FC1B3B" w:rsidRDefault="00FC1B3B" w:rsidP="00FC1B3B">
      <w:pPr>
        <w:jc w:val="center"/>
      </w:pPr>
      <w:r>
        <w:rPr>
          <w:noProof/>
          <w:lang w:val="fr-BE" w:eastAsia="fr-BE"/>
        </w:rPr>
        <w:drawing>
          <wp:inline distT="0" distB="0" distL="0" distR="0" wp14:anchorId="4F096233" wp14:editId="75FF4508">
            <wp:extent cx="3266983" cy="2437254"/>
            <wp:effectExtent l="0" t="0" r="0" b="1270"/>
            <wp:docPr id="7184" name="Image 7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79890" cy="2446883"/>
                    </a:xfrm>
                    <a:prstGeom prst="rect">
                      <a:avLst/>
                    </a:prstGeom>
                    <a:noFill/>
                  </pic:spPr>
                </pic:pic>
              </a:graphicData>
            </a:graphic>
          </wp:inline>
        </w:drawing>
      </w:r>
    </w:p>
    <w:p w14:paraId="7FAEFA0A" w14:textId="77777777" w:rsidR="00FC1B3B" w:rsidRDefault="00FC1B3B" w:rsidP="00FC1B3B">
      <w:pPr>
        <w:jc w:val="center"/>
      </w:pPr>
      <w:r>
        <w:rPr>
          <w:noProof/>
          <w:lang w:val="fr-BE" w:eastAsia="fr-BE"/>
        </w:rPr>
        <w:drawing>
          <wp:inline distT="0" distB="0" distL="0" distR="0" wp14:anchorId="154667D7" wp14:editId="11B77788">
            <wp:extent cx="3391270" cy="2529976"/>
            <wp:effectExtent l="0" t="0" r="0" b="3810"/>
            <wp:docPr id="7185" name="Image 7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00520" cy="2536877"/>
                    </a:xfrm>
                    <a:prstGeom prst="rect">
                      <a:avLst/>
                    </a:prstGeom>
                    <a:noFill/>
                  </pic:spPr>
                </pic:pic>
              </a:graphicData>
            </a:graphic>
          </wp:inline>
        </w:drawing>
      </w:r>
    </w:p>
    <w:p w14:paraId="76BB4B03" w14:textId="0DD7150A" w:rsidR="00FC1B3B" w:rsidRPr="00844A6D" w:rsidRDefault="00FC1B3B" w:rsidP="00FC1B3B">
      <w:pPr>
        <w:rPr>
          <w:sz w:val="16"/>
        </w:rPr>
      </w:pPr>
      <w:r w:rsidRPr="00844A6D">
        <w:rPr>
          <w:b/>
          <w:sz w:val="16"/>
        </w:rPr>
        <w:t>Data</w:t>
      </w:r>
      <w:r w:rsidRPr="00844A6D">
        <w:rPr>
          <w:sz w:val="16"/>
        </w:rPr>
        <w:t xml:space="preserve">: Author’s computation with </w:t>
      </w:r>
      <w:r w:rsidRPr="00F656E4">
        <w:rPr>
          <w:i/>
          <w:sz w:val="16"/>
        </w:rPr>
        <w:t>World Population Prospects</w:t>
      </w:r>
      <w:r w:rsidRPr="00844A6D">
        <w:rPr>
          <w:sz w:val="16"/>
        </w:rPr>
        <w:t xml:space="preserve"> data (Uni</w:t>
      </w:r>
      <w:r w:rsidR="00A14D60">
        <w:rPr>
          <w:sz w:val="16"/>
        </w:rPr>
        <w:t>ted Nations Population Division</w:t>
      </w:r>
      <w:r w:rsidRPr="00844A6D">
        <w:rPr>
          <w:sz w:val="16"/>
        </w:rPr>
        <w:t xml:space="preserve"> 2017) and age patterns of male fertility based on DHS and UNDY data.</w:t>
      </w:r>
    </w:p>
    <w:p w14:paraId="2FD41D72" w14:textId="77777777" w:rsidR="00FC1B3B" w:rsidRPr="006D7B40" w:rsidRDefault="00FC1B3B" w:rsidP="00A40EEF"/>
    <w:sectPr w:rsidR="00FC1B3B" w:rsidRPr="006D7B40">
      <w:footerReference w:type="default" r:id="rId24"/>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3248B6" w14:textId="77777777" w:rsidR="00CE3C48" w:rsidRDefault="00CE3C48" w:rsidP="00A40EEF">
      <w:r>
        <w:separator/>
      </w:r>
    </w:p>
  </w:endnote>
  <w:endnote w:type="continuationSeparator" w:id="0">
    <w:p w14:paraId="673E5EFF" w14:textId="77777777" w:rsidR="00CE3C48" w:rsidRDefault="00CE3C48" w:rsidP="00A40EEF">
      <w:r>
        <w:continuationSeparator/>
      </w:r>
    </w:p>
  </w:endnote>
  <w:endnote w:id="1">
    <w:p w14:paraId="0969C1DF" w14:textId="612390EF" w:rsidR="006245BA" w:rsidRPr="005D2711" w:rsidRDefault="006245BA" w:rsidP="00A40EEF">
      <w:pPr>
        <w:pStyle w:val="Notedefin"/>
      </w:pPr>
      <w:r>
        <w:rPr>
          <w:rStyle w:val="Appeldenotedefin"/>
        </w:rPr>
        <w:endnoteRef/>
      </w:r>
      <w:r>
        <w:t xml:space="preserve"> </w:t>
      </w:r>
      <w:proofErr w:type="spellStart"/>
      <w:r w:rsidRPr="00BD55C8">
        <w:t>Dudel</w:t>
      </w:r>
      <w:proofErr w:type="spellEnd"/>
      <w:r w:rsidRPr="00BD55C8">
        <w:t xml:space="preserve"> and </w:t>
      </w:r>
      <w:proofErr w:type="spellStart"/>
      <w:r w:rsidRPr="00BD55C8">
        <w:t>Klüsener</w:t>
      </w:r>
      <w:proofErr w:type="spellEnd"/>
      <w:r w:rsidRPr="00BD55C8">
        <w:t xml:space="preserve"> (2018b) suggest </w:t>
      </w:r>
      <w:r>
        <w:t xml:space="preserve">that </w:t>
      </w:r>
      <w:r w:rsidRPr="00BD55C8">
        <w:t xml:space="preserve">a conditional approach </w:t>
      </w:r>
      <w:r>
        <w:t xml:space="preserve">may be </w:t>
      </w:r>
      <w:r w:rsidRPr="00BD55C8">
        <w:t xml:space="preserve">preferable, in which the births are distributed using the age distribution of fathers conditional on maternal age. However, the published data does not allow </w:t>
      </w:r>
      <w:r>
        <w:t xml:space="preserve">for use of </w:t>
      </w:r>
      <w:r w:rsidRPr="00BD55C8">
        <w:t>the conditional approach, and</w:t>
      </w:r>
      <w:r>
        <w:t xml:space="preserve"> the traditional (unconditional) approach is sufficient for our purposes.</w:t>
      </w:r>
    </w:p>
  </w:endnote>
  <w:endnote w:id="2">
    <w:p w14:paraId="393F3412" w14:textId="68B997B0" w:rsidR="006245BA" w:rsidRPr="00CF2AA2" w:rsidRDefault="006245BA" w:rsidP="00A40EEF">
      <w:pPr>
        <w:pStyle w:val="Notedefin"/>
      </w:pPr>
      <w:r>
        <w:rPr>
          <w:rStyle w:val="Appeldenotedefin"/>
        </w:rPr>
        <w:endnoteRef/>
      </w:r>
      <w:r>
        <w:t xml:space="preserve"> Simulations by </w:t>
      </w:r>
      <w:proofErr w:type="spellStart"/>
      <w:r>
        <w:t>Dudel</w:t>
      </w:r>
      <w:proofErr w:type="spellEnd"/>
      <w:r>
        <w:t xml:space="preserve"> and </w:t>
      </w:r>
      <w:proofErr w:type="spellStart"/>
      <w:r>
        <w:t>Klüsener</w:t>
      </w:r>
      <w:proofErr w:type="spellEnd"/>
      <w:r>
        <w:t xml:space="preserve"> (2018</w:t>
      </w:r>
      <w:r w:rsidR="009F10A3">
        <w:t>b</w:t>
      </w:r>
      <w:r>
        <w:t xml:space="preserve">) suggest the bias on the mean age at fatherhood is around 1 year, and the bias on the TFR is negligible. </w:t>
      </w:r>
    </w:p>
  </w:endnote>
  <w:endnote w:id="3">
    <w:p w14:paraId="29249154" w14:textId="625E0928" w:rsidR="006245BA" w:rsidRPr="005A7F47" w:rsidRDefault="006245BA">
      <w:pPr>
        <w:pStyle w:val="Notedefin"/>
      </w:pPr>
      <w:r>
        <w:rPr>
          <w:rStyle w:val="Appeldenotedefin"/>
        </w:rPr>
        <w:endnoteRef/>
      </w:r>
      <w:r>
        <w:t xml:space="preserve"> We assume that survival is independent of father’s age. If survival is lower among children from older fathers, male fertility rates at higher ages would be underestimated, and overestimated at lower ages. This may lead to a slight underestimation of the mean age at fatherhood, but the impact on the total fertility rate will be small. </w:t>
      </w:r>
    </w:p>
  </w:endnote>
  <w:endnote w:id="4">
    <w:p w14:paraId="48BD68E3" w14:textId="2B51DD2C" w:rsidR="006245BA" w:rsidRPr="002D5D43" w:rsidRDefault="006245BA" w:rsidP="00A40EEF">
      <w:pPr>
        <w:pStyle w:val="Notedefin"/>
      </w:pPr>
      <w:r>
        <w:rPr>
          <w:rStyle w:val="Appeldenotedefin"/>
        </w:rPr>
        <w:endnoteRef/>
      </w:r>
      <w:r>
        <w:t xml:space="preserve"> In the rare cases of </w:t>
      </w:r>
      <w:r w:rsidRPr="00A07A08">
        <w:t xml:space="preserve">unknown survival status of the father, it is imputed </w:t>
      </w:r>
      <w:r>
        <w:t xml:space="preserve">randomly. </w:t>
      </w:r>
    </w:p>
  </w:endnote>
  <w:endnote w:id="5">
    <w:p w14:paraId="23CFE138" w14:textId="2F3126DC" w:rsidR="006245BA" w:rsidRPr="00A07A08" w:rsidRDefault="006245BA" w:rsidP="00A40EEF">
      <w:pPr>
        <w:pStyle w:val="Notedefin"/>
      </w:pPr>
      <w:r>
        <w:rPr>
          <w:rStyle w:val="Appeldenotedefin"/>
        </w:rPr>
        <w:endnoteRef/>
      </w:r>
      <w:r>
        <w:t xml:space="preserve"> In doing so, we assume that the fertility of deceased men is equal to the fertility of surviving men. In most cases, this assumption has a small impact on recent fertility, given the small percentage of children aged 0–4 with deceased fathers. Simulations indicate that estimating male fertility using only children of surviving fathers usually leads to a slight underestimation of the male TFR by around 1%, resulting from the fertility among deceased men being usually higher. In some extreme cases, as in Lesotho (where 8.9% of children have a deceased father),</w:t>
      </w:r>
      <w:r w:rsidRPr="006C175F">
        <w:t xml:space="preserve"> th</w:t>
      </w:r>
      <w:r>
        <w:t>e</w:t>
      </w:r>
      <w:r w:rsidRPr="006C175F">
        <w:t xml:space="preserve"> </w:t>
      </w:r>
      <w:r>
        <w:t xml:space="preserve">underestimation is more substantial (around </w:t>
      </w:r>
      <w:r w:rsidRPr="006C175F">
        <w:t>7%</w:t>
      </w:r>
      <w:r>
        <w:t>). This issue is further discussed in the</w:t>
      </w:r>
      <w:r w:rsidRPr="00BD55C8">
        <w:t xml:space="preserve"> supporting material</w:t>
      </w:r>
      <w:r>
        <w:t xml:space="preserve">. </w:t>
      </w:r>
    </w:p>
  </w:endnote>
  <w:endnote w:id="6">
    <w:p w14:paraId="78FFF3FD" w14:textId="32AE20FB" w:rsidR="006245BA" w:rsidRPr="006B43B8" w:rsidRDefault="006245BA" w:rsidP="00A40EEF">
      <w:pPr>
        <w:pStyle w:val="Notedefin"/>
      </w:pPr>
      <w:r>
        <w:rPr>
          <w:rStyle w:val="Appeldenotedefin"/>
        </w:rPr>
        <w:endnoteRef/>
      </w:r>
      <w:r>
        <w:t xml:space="preserve"> Random hot-d</w:t>
      </w:r>
      <w:r w:rsidR="009F10A3">
        <w:t>eck imputation is used (Allison</w:t>
      </w:r>
      <w:r>
        <w:t xml:space="preserve"> 2001). Random imputation is performed 10 times, and 10 series of age-specific male fertility rates are computed. Average fertility rates based on the 10 series are reported.</w:t>
      </w:r>
    </w:p>
  </w:endnote>
  <w:endnote w:id="7">
    <w:p w14:paraId="0E40182A" w14:textId="3A659B64" w:rsidR="006245BA" w:rsidRPr="005E7117" w:rsidRDefault="006245BA" w:rsidP="00A40EEF">
      <w:pPr>
        <w:pStyle w:val="Notedefin"/>
      </w:pPr>
      <w:r>
        <w:rPr>
          <w:rStyle w:val="Appeldenotedefin"/>
        </w:rPr>
        <w:endnoteRef/>
      </w:r>
      <w:r>
        <w:t xml:space="preserve"> This is similar to the approach used for deceased fathers, and assumes that the fertility of international migrants is similar to that of non-migrants.</w:t>
      </w:r>
    </w:p>
  </w:endnote>
  <w:endnote w:id="8">
    <w:p w14:paraId="4BEBC26C" w14:textId="67070D6A" w:rsidR="006245BA" w:rsidRPr="002A20DB" w:rsidRDefault="006245BA" w:rsidP="00A40EEF">
      <w:pPr>
        <w:pStyle w:val="Notedefin"/>
      </w:pPr>
      <w:r>
        <w:rPr>
          <w:rStyle w:val="Appeldenotedefin"/>
        </w:rPr>
        <w:endnoteRef/>
      </w:r>
      <w:r>
        <w:t xml:space="preserve"> </w:t>
      </w:r>
      <w:r w:rsidRPr="002A20DB">
        <w:t>This issue is not specific to the own</w:t>
      </w:r>
      <w:r>
        <w:t>-</w:t>
      </w:r>
      <w:r w:rsidRPr="002A20DB">
        <w:t>children method and also potentially affects estimates from vital statistics.</w:t>
      </w:r>
    </w:p>
  </w:endnote>
  <w:endnote w:id="9">
    <w:p w14:paraId="2E8E87CC" w14:textId="05DE187A" w:rsidR="006245BA" w:rsidRPr="006631F0" w:rsidRDefault="006245BA" w:rsidP="00A40EEF">
      <w:pPr>
        <w:pStyle w:val="Notedefin"/>
      </w:pPr>
      <w:r>
        <w:rPr>
          <w:rStyle w:val="Appeldenotedefin"/>
        </w:rPr>
        <w:endnoteRef/>
      </w:r>
      <w:r>
        <w:t xml:space="preserve"> In this paper data are available for only two Gulf countries (Qatar and Bahrain). These data are highlighted in the figures as they are clear outliers. In the case of Qatar, we use both the UNDY and the MICS estimates, except in the maps, where only MICS estimates are used.</w:t>
      </w:r>
    </w:p>
  </w:endnote>
  <w:endnote w:id="10">
    <w:p w14:paraId="2CFC596E" w14:textId="77777777" w:rsidR="006245BA" w:rsidRPr="00EE01BC" w:rsidRDefault="006245BA" w:rsidP="00A40EEF">
      <w:pPr>
        <w:pStyle w:val="Notedefin"/>
      </w:pPr>
      <w:r>
        <w:rPr>
          <w:rStyle w:val="Appeldenotedefin"/>
        </w:rPr>
        <w:endnoteRef/>
      </w:r>
      <w:r>
        <w:t xml:space="preserve"> Male f</w:t>
      </w:r>
      <w:r w:rsidRPr="00085412">
        <w:t>ertility is even lower in some Gulf countries when immigration is not accounted for in the estimation.</w:t>
      </w:r>
    </w:p>
  </w:endnote>
  <w:endnote w:id="11">
    <w:p w14:paraId="51CD5FBF" w14:textId="2F487CEE" w:rsidR="006245BA" w:rsidRPr="002D52F9" w:rsidRDefault="006245BA" w:rsidP="00A40EEF">
      <w:pPr>
        <w:pStyle w:val="Notedefin"/>
      </w:pPr>
      <w:r>
        <w:rPr>
          <w:rStyle w:val="Appeldenotedefin"/>
        </w:rPr>
        <w:endnoteRef/>
      </w:r>
      <w:r w:rsidRPr="002D52F9">
        <w:t xml:space="preserve"> Demographic and Health Surveys allow similar comparisons for completed fertility (the mean number of children ever born at the end of reproductive li</w:t>
      </w:r>
      <w:r>
        <w:t>fe</w:t>
      </w:r>
      <w:r w:rsidRPr="002D52F9">
        <w:t xml:space="preserve">) among </w:t>
      </w:r>
      <w:r>
        <w:t>men</w:t>
      </w:r>
      <w:r w:rsidRPr="002D52F9">
        <w:t xml:space="preserve"> and </w:t>
      </w:r>
      <w:r>
        <w:t>women</w:t>
      </w:r>
      <w:r w:rsidRPr="002D52F9">
        <w:t xml:space="preserve">. However, </w:t>
      </w:r>
      <w:r>
        <w:t>men</w:t>
      </w:r>
      <w:r w:rsidRPr="002D52F9">
        <w:t xml:space="preserve"> are often interviewed up to ages 55</w:t>
      </w:r>
      <w:r>
        <w:t>–</w:t>
      </w:r>
      <w:r w:rsidRPr="002D52F9">
        <w:t>59, and occasionally to ages 60</w:t>
      </w:r>
      <w:r>
        <w:t>–</w:t>
      </w:r>
      <w:r w:rsidRPr="002D52F9">
        <w:t xml:space="preserve">64, so that completed fertility is underestimated among </w:t>
      </w:r>
      <w:r>
        <w:t>men</w:t>
      </w:r>
      <w:r w:rsidRPr="002D52F9">
        <w:t xml:space="preserve"> in countries where fertility is substantial beyond these ages (e.g.</w:t>
      </w:r>
      <w:r>
        <w:t>,</w:t>
      </w:r>
      <w:r w:rsidRPr="002D52F9">
        <w:t xml:space="preserve"> in Senegal</w:t>
      </w:r>
      <w:r>
        <w:t>;</w:t>
      </w:r>
      <w:r w:rsidRPr="002D52F9">
        <w:t xml:space="preserve"> see below). Yet, completed fertility is significantly higher among </w:t>
      </w:r>
      <w:r>
        <w:t>men</w:t>
      </w:r>
      <w:r w:rsidRPr="002D52F9">
        <w:t xml:space="preserve"> than among </w:t>
      </w:r>
      <w:r>
        <w:t>women</w:t>
      </w:r>
      <w:r w:rsidRPr="002D52F9">
        <w:t xml:space="preserve"> in most countries, except where fertility is low (results not shown).</w:t>
      </w:r>
      <w:r>
        <w:t xml:space="preserve"> </w:t>
      </w:r>
    </w:p>
  </w:endnote>
  <w:endnote w:id="12">
    <w:p w14:paraId="4EDEF675" w14:textId="58BE722F" w:rsidR="006245BA" w:rsidRPr="00DF42AF" w:rsidRDefault="006245BA" w:rsidP="00A40EEF">
      <w:pPr>
        <w:pStyle w:val="Notedefin"/>
      </w:pPr>
      <w:r>
        <w:rPr>
          <w:rStyle w:val="Appeldenotedefin"/>
        </w:rPr>
        <w:endnoteRef/>
      </w:r>
      <w:r>
        <w:t xml:space="preserve"> </w:t>
      </w:r>
      <w:r w:rsidRPr="001C3436">
        <w:t xml:space="preserve">In contrast, in non-stable populations, male and female age-specific fertility rates observed at </w:t>
      </w:r>
      <w:r>
        <w:t xml:space="preserve">a </w:t>
      </w:r>
      <w:r w:rsidRPr="001C3436">
        <w:t xml:space="preserve">given time may lead to different intrinsic growth rates, as discussed in the two-sex problem </w:t>
      </w:r>
      <w:r w:rsidR="009F10A3">
        <w:rPr>
          <w:rFonts w:cs="Times New Roman"/>
        </w:rPr>
        <w:t>(</w:t>
      </w:r>
      <w:proofErr w:type="spellStart"/>
      <w:r w:rsidR="009F10A3">
        <w:rPr>
          <w:rFonts w:cs="Times New Roman"/>
        </w:rPr>
        <w:t>Karmel</w:t>
      </w:r>
      <w:proofErr w:type="spellEnd"/>
      <w:r w:rsidR="009F10A3">
        <w:rPr>
          <w:rFonts w:cs="Times New Roman"/>
        </w:rPr>
        <w:t xml:space="preserve"> 1947; Vincent</w:t>
      </w:r>
      <w:r w:rsidRPr="001C3436">
        <w:rPr>
          <w:rFonts w:cs="Times New Roman"/>
        </w:rPr>
        <w:t xml:space="preserve"> 1946)</w:t>
      </w:r>
      <w:r w:rsidRPr="001C3436">
        <w:t>.</w:t>
      </w:r>
      <w:r>
        <w:t xml:space="preserve"> Before the population has reached stability, constant age-specific female fertility rates will be accompanied by non-constant age-specific male fertility rates. In the stable population, however, both sets of rates will remain unchanged. </w:t>
      </w:r>
    </w:p>
  </w:endnote>
  <w:endnote w:id="13">
    <w:p w14:paraId="5AA1B8B3" w14:textId="107FA347" w:rsidR="006245BA" w:rsidRPr="006A549A" w:rsidRDefault="006245BA" w:rsidP="00CB6DAA">
      <w:pPr>
        <w:spacing w:after="0" w:line="240" w:lineRule="auto"/>
        <w:rPr>
          <w:rFonts w:eastAsiaTheme="minorEastAsia"/>
          <w:sz w:val="20"/>
          <w:szCs w:val="20"/>
          <w:lang w:eastAsia="fr-BE"/>
        </w:rPr>
      </w:pPr>
      <w:r>
        <w:rPr>
          <w:rStyle w:val="Appeldenotedefin"/>
        </w:rPr>
        <w:endnoteRef/>
      </w:r>
      <w:r w:rsidRPr="001B2DB0">
        <w:t xml:space="preserve"> </w:t>
      </w:r>
      <w:r w:rsidRPr="00CB6DAA">
        <w:rPr>
          <w:rFonts w:eastAsiaTheme="minorEastAsia"/>
          <w:sz w:val="20"/>
          <w:szCs w:val="20"/>
          <w:lang w:eastAsia="fr-BE"/>
        </w:rPr>
        <w:t>Eq.</w:t>
      </w:r>
      <w:r>
        <w:rPr>
          <w:rFonts w:eastAsiaTheme="minorEastAsia"/>
          <w:sz w:val="20"/>
          <w:szCs w:val="20"/>
          <w:lang w:eastAsia="fr-BE"/>
        </w:rPr>
        <w:t xml:space="preserve"> </w:t>
      </w:r>
      <w:r w:rsidRPr="00CB6DAA">
        <w:rPr>
          <w:rFonts w:eastAsiaTheme="minorEastAsia"/>
          <w:sz w:val="20"/>
          <w:szCs w:val="20"/>
          <w:lang w:eastAsia="fr-BE"/>
        </w:rPr>
        <w:t xml:space="preserve">1 relies on the assumption that the survival function decreases linearly over the age range of reproduction. While this assumption is benign among </w:t>
      </w:r>
      <w:r>
        <w:rPr>
          <w:rFonts w:eastAsiaTheme="minorEastAsia"/>
          <w:sz w:val="20"/>
          <w:szCs w:val="20"/>
          <w:lang w:eastAsia="fr-BE"/>
        </w:rPr>
        <w:t>women</w:t>
      </w:r>
      <w:r w:rsidRPr="00CB6DAA">
        <w:rPr>
          <w:rFonts w:eastAsiaTheme="minorEastAsia"/>
          <w:sz w:val="20"/>
          <w:szCs w:val="20"/>
          <w:lang w:eastAsia="fr-BE"/>
        </w:rPr>
        <w:t xml:space="preserve">, this is not the case among </w:t>
      </w:r>
      <w:r>
        <w:rPr>
          <w:rFonts w:eastAsiaTheme="minorEastAsia"/>
          <w:sz w:val="20"/>
          <w:szCs w:val="20"/>
          <w:lang w:eastAsia="fr-BE"/>
        </w:rPr>
        <w:t>men</w:t>
      </w:r>
      <w:r w:rsidRPr="00CB6DAA">
        <w:rPr>
          <w:rFonts w:eastAsiaTheme="minorEastAsia"/>
          <w:sz w:val="20"/>
          <w:szCs w:val="20"/>
          <w:lang w:eastAsia="fr-BE"/>
        </w:rPr>
        <w:t xml:space="preserve"> if fertility extends well beyond age 50. In low</w:t>
      </w:r>
      <w:r>
        <w:rPr>
          <w:rFonts w:eastAsiaTheme="minorEastAsia"/>
          <w:sz w:val="20"/>
          <w:szCs w:val="20"/>
          <w:lang w:eastAsia="fr-BE"/>
        </w:rPr>
        <w:t>-</w:t>
      </w:r>
      <w:r w:rsidRPr="00CB6DAA">
        <w:rPr>
          <w:rFonts w:eastAsiaTheme="minorEastAsia"/>
          <w:sz w:val="20"/>
          <w:szCs w:val="20"/>
          <w:lang w:eastAsia="fr-BE"/>
        </w:rPr>
        <w:t xml:space="preserve"> and moderate</w:t>
      </w:r>
      <w:r>
        <w:rPr>
          <w:rFonts w:eastAsiaTheme="minorEastAsia"/>
          <w:sz w:val="20"/>
          <w:szCs w:val="20"/>
          <w:lang w:eastAsia="fr-BE"/>
        </w:rPr>
        <w:t>-</w:t>
      </w:r>
      <w:r w:rsidRPr="00CB6DAA">
        <w:rPr>
          <w:rFonts w:eastAsiaTheme="minorEastAsia"/>
          <w:sz w:val="20"/>
          <w:szCs w:val="20"/>
          <w:lang w:eastAsia="fr-BE"/>
        </w:rPr>
        <w:t>fertility settings, the ratio obtained with Eq. 1 is very close to the true ratio; in countries where male fertility is high and late, Eq. 1 still provides a good estimatio</w:t>
      </w:r>
      <w:r>
        <w:rPr>
          <w:rFonts w:eastAsiaTheme="minorEastAsia"/>
          <w:sz w:val="20"/>
          <w:szCs w:val="20"/>
          <w:lang w:eastAsia="fr-BE"/>
        </w:rPr>
        <w:t xml:space="preserve">n of this ratio. A spreadsheet </w:t>
      </w:r>
      <w:r w:rsidRPr="00CB6DAA">
        <w:rPr>
          <w:rFonts w:eastAsiaTheme="minorEastAsia"/>
          <w:sz w:val="20"/>
          <w:szCs w:val="20"/>
          <w:lang w:eastAsia="fr-BE"/>
        </w:rPr>
        <w:t>in the supporting material allows comparing the true ratio of male TFR to female TFR in a stable population with the approximation from Eq. 1</w:t>
      </w:r>
      <w:r>
        <w:rPr>
          <w:rFonts w:eastAsiaTheme="minorEastAsia"/>
          <w:sz w:val="20"/>
          <w:szCs w:val="20"/>
          <w:lang w:eastAsia="fr-BE"/>
        </w:rPr>
        <w:t xml:space="preserve"> for stable equivalent populations from any country and any period between 1950 and 2010.</w:t>
      </w:r>
    </w:p>
  </w:endnote>
  <w:endnote w:id="14">
    <w:p w14:paraId="09378ED6" w14:textId="0D3A6A0D" w:rsidR="006245BA" w:rsidRPr="00665D58" w:rsidRDefault="006245BA" w:rsidP="00665D58">
      <w:pPr>
        <w:spacing w:after="0" w:line="240" w:lineRule="auto"/>
        <w:rPr>
          <w:highlight w:val="yellow"/>
        </w:rPr>
      </w:pPr>
      <w:r>
        <w:rPr>
          <w:rStyle w:val="Appeldenotedefin"/>
        </w:rPr>
        <w:endnoteRef/>
      </w:r>
      <w:r>
        <w:t xml:space="preserve"> </w:t>
      </w:r>
      <w:r w:rsidRPr="00665D58">
        <w:rPr>
          <w:rFonts w:eastAsiaTheme="minorEastAsia"/>
          <w:sz w:val="20"/>
          <w:szCs w:val="20"/>
          <w:lang w:eastAsia="fr-BE"/>
        </w:rPr>
        <w:t xml:space="preserve">We focus on differences in the mean age at which men and women have their children, but differences in variance of age patterns of fertility between </w:t>
      </w:r>
      <w:r>
        <w:rPr>
          <w:rFonts w:eastAsiaTheme="minorEastAsia"/>
          <w:sz w:val="20"/>
          <w:szCs w:val="20"/>
          <w:lang w:eastAsia="fr-BE"/>
        </w:rPr>
        <w:t>men</w:t>
      </w:r>
      <w:r w:rsidRPr="00665D58">
        <w:rPr>
          <w:rFonts w:eastAsiaTheme="minorEastAsia"/>
          <w:sz w:val="20"/>
          <w:szCs w:val="20"/>
          <w:lang w:eastAsia="fr-BE"/>
        </w:rPr>
        <w:t xml:space="preserve"> and </w:t>
      </w:r>
      <w:r>
        <w:rPr>
          <w:rFonts w:eastAsiaTheme="minorEastAsia"/>
          <w:sz w:val="20"/>
          <w:szCs w:val="20"/>
          <w:lang w:eastAsia="fr-BE"/>
        </w:rPr>
        <w:t>women</w:t>
      </w:r>
      <w:r w:rsidRPr="00665D58">
        <w:rPr>
          <w:rFonts w:eastAsiaTheme="minorEastAsia"/>
          <w:sz w:val="20"/>
          <w:szCs w:val="20"/>
          <w:lang w:eastAsia="fr-BE"/>
        </w:rPr>
        <w:t xml:space="preserve"> may also influence differences between male and female TFR</w:t>
      </w:r>
      <w:r>
        <w:rPr>
          <w:rFonts w:eastAsiaTheme="minorEastAsia"/>
          <w:sz w:val="20"/>
          <w:szCs w:val="20"/>
          <w:lang w:eastAsia="fr-BE"/>
        </w:rPr>
        <w:t>s</w:t>
      </w:r>
      <w:r w:rsidRPr="00665D58">
        <w:rPr>
          <w:rFonts w:eastAsiaTheme="minorEastAsia"/>
          <w:sz w:val="20"/>
          <w:szCs w:val="20"/>
          <w:lang w:eastAsia="fr-BE"/>
        </w:rPr>
        <w:t xml:space="preserve">. </w:t>
      </w:r>
      <w:r w:rsidRPr="0064394A">
        <w:rPr>
          <w:rFonts w:eastAsiaTheme="minorEastAsia"/>
          <w:sz w:val="20"/>
          <w:szCs w:val="20"/>
          <w:lang w:eastAsia="fr-BE"/>
        </w:rPr>
        <w:t>In growing population</w:t>
      </w:r>
      <w:r>
        <w:rPr>
          <w:rFonts w:eastAsiaTheme="minorEastAsia"/>
          <w:sz w:val="20"/>
          <w:szCs w:val="20"/>
          <w:lang w:eastAsia="fr-BE"/>
        </w:rPr>
        <w:t>s</w:t>
      </w:r>
      <w:r w:rsidRPr="0064394A">
        <w:rPr>
          <w:rFonts w:eastAsiaTheme="minorEastAsia"/>
          <w:sz w:val="20"/>
          <w:szCs w:val="20"/>
          <w:lang w:eastAsia="fr-BE"/>
        </w:rPr>
        <w:t>, a larger age span tends to slightly decrease the total male fertility compared to fertility with the same mean age at fatherhood. In low fertility settings, differences in variance ha</w:t>
      </w:r>
      <w:r>
        <w:rPr>
          <w:rFonts w:eastAsiaTheme="minorEastAsia"/>
          <w:sz w:val="20"/>
          <w:szCs w:val="20"/>
          <w:lang w:eastAsia="fr-BE"/>
        </w:rPr>
        <w:t>ve</w:t>
      </w:r>
      <w:r w:rsidRPr="0064394A">
        <w:rPr>
          <w:rFonts w:eastAsiaTheme="minorEastAsia"/>
          <w:sz w:val="20"/>
          <w:szCs w:val="20"/>
          <w:lang w:eastAsia="fr-BE"/>
        </w:rPr>
        <w:t xml:space="preserve"> a very limited impact. </w:t>
      </w:r>
      <w:r w:rsidRPr="00665D58">
        <w:rPr>
          <w:rFonts w:eastAsiaTheme="minorEastAsia"/>
          <w:sz w:val="20"/>
          <w:szCs w:val="20"/>
          <w:lang w:eastAsia="fr-BE"/>
        </w:rPr>
        <w:t>In Eq.</w:t>
      </w:r>
      <w:r>
        <w:rPr>
          <w:rFonts w:eastAsiaTheme="minorEastAsia"/>
          <w:sz w:val="20"/>
          <w:szCs w:val="20"/>
          <w:lang w:eastAsia="fr-BE"/>
        </w:rPr>
        <w:t xml:space="preserve"> </w:t>
      </w:r>
      <w:r w:rsidRPr="00665D58">
        <w:rPr>
          <w:rFonts w:eastAsiaTheme="minorEastAsia"/>
          <w:sz w:val="20"/>
          <w:szCs w:val="20"/>
          <w:lang w:eastAsia="fr-BE"/>
        </w:rPr>
        <w:t xml:space="preserve">1, the differences in variance of the age at fatherhood </w:t>
      </w:r>
      <w:r>
        <w:rPr>
          <w:rFonts w:eastAsiaTheme="minorEastAsia"/>
          <w:sz w:val="20"/>
          <w:szCs w:val="20"/>
          <w:lang w:eastAsia="fr-BE"/>
        </w:rPr>
        <w:t xml:space="preserve">and age at childbearing </w:t>
      </w:r>
      <w:r w:rsidRPr="00665D58">
        <w:rPr>
          <w:rFonts w:eastAsiaTheme="minorEastAsia"/>
          <w:sz w:val="20"/>
          <w:szCs w:val="20"/>
          <w:lang w:eastAsia="fr-BE"/>
        </w:rPr>
        <w:t>are in fact included in the mean length</w:t>
      </w:r>
      <w:r>
        <w:rPr>
          <w:rFonts w:eastAsiaTheme="minorEastAsia"/>
          <w:sz w:val="20"/>
          <w:szCs w:val="20"/>
          <w:lang w:eastAsia="fr-BE"/>
        </w:rPr>
        <w:t>s</w:t>
      </w:r>
      <w:r w:rsidRPr="00665D58">
        <w:rPr>
          <w:rFonts w:eastAsiaTheme="minorEastAsia"/>
          <w:sz w:val="20"/>
          <w:szCs w:val="20"/>
          <w:lang w:eastAsia="fr-BE"/>
        </w:rPr>
        <w:t xml:space="preserve"> of generation, which </w:t>
      </w:r>
      <w:r>
        <w:rPr>
          <w:rFonts w:eastAsiaTheme="minorEastAsia"/>
          <w:sz w:val="20"/>
          <w:szCs w:val="20"/>
          <w:lang w:eastAsia="fr-BE"/>
        </w:rPr>
        <w:t xml:space="preserve">are </w:t>
      </w:r>
      <w:r w:rsidRPr="00665D58">
        <w:rPr>
          <w:rFonts w:eastAsiaTheme="minorEastAsia"/>
          <w:sz w:val="20"/>
          <w:szCs w:val="20"/>
          <w:lang w:eastAsia="fr-BE"/>
        </w:rPr>
        <w:t>different for two age patterns of fertility with the same mean age at fatherhood</w:t>
      </w:r>
      <w:r>
        <w:rPr>
          <w:rFonts w:eastAsiaTheme="minorEastAsia"/>
          <w:sz w:val="20"/>
          <w:szCs w:val="20"/>
          <w:lang w:eastAsia="fr-BE"/>
        </w:rPr>
        <w:t xml:space="preserve"> and mean age at childbearing</w:t>
      </w:r>
      <w:r w:rsidRPr="00665D58">
        <w:rPr>
          <w:rFonts w:eastAsiaTheme="minorEastAsia"/>
          <w:sz w:val="20"/>
          <w:szCs w:val="20"/>
          <w:lang w:eastAsia="fr-BE"/>
        </w:rPr>
        <w:t xml:space="preserve"> but </w:t>
      </w:r>
      <w:r>
        <w:rPr>
          <w:rFonts w:eastAsiaTheme="minorEastAsia"/>
          <w:sz w:val="20"/>
          <w:szCs w:val="20"/>
          <w:lang w:eastAsia="fr-BE"/>
        </w:rPr>
        <w:t xml:space="preserve">with </w:t>
      </w:r>
      <w:r w:rsidRPr="00665D58">
        <w:rPr>
          <w:rFonts w:eastAsiaTheme="minorEastAsia"/>
          <w:sz w:val="20"/>
          <w:szCs w:val="20"/>
          <w:lang w:eastAsia="fr-BE"/>
        </w:rPr>
        <w:t>different variance</w:t>
      </w:r>
      <w:r>
        <w:rPr>
          <w:rFonts w:eastAsiaTheme="minorEastAsia"/>
          <w:sz w:val="20"/>
          <w:szCs w:val="20"/>
          <w:lang w:eastAsia="fr-BE"/>
        </w:rPr>
        <w:t>s</w:t>
      </w:r>
      <w:r w:rsidRPr="00665D58">
        <w:rPr>
          <w:rFonts w:eastAsiaTheme="minorEastAsia"/>
          <w:sz w:val="20"/>
          <w:szCs w:val="20"/>
          <w:lang w:eastAsia="fr-BE"/>
        </w:rPr>
        <w:t xml:space="preserve">. </w:t>
      </w:r>
    </w:p>
  </w:endnote>
  <w:endnote w:id="15">
    <w:p w14:paraId="336F591F" w14:textId="4E467410" w:rsidR="006245BA" w:rsidRPr="00844A6D" w:rsidRDefault="006245BA">
      <w:pPr>
        <w:pStyle w:val="Notedefin"/>
      </w:pPr>
      <w:r>
        <w:rPr>
          <w:rStyle w:val="Appeldenotedefin"/>
        </w:rPr>
        <w:endnoteRef/>
      </w:r>
      <w:r>
        <w:t xml:space="preserve"> In year 2100, the female fertility rate is projected to reach 1.82 children in Indonesia, 1.83 in Zimbabwe, and 2.48 </w:t>
      </w:r>
      <w:r w:rsidRPr="00E324BB">
        <w:t>in Niger (see fertility trends in supporting material, Figure 4).</w:t>
      </w:r>
    </w:p>
  </w:endnote>
  <w:endnote w:id="16">
    <w:p w14:paraId="4DD29D84" w14:textId="77777777" w:rsidR="006245BA" w:rsidRDefault="006245BA" w:rsidP="00D24CA6">
      <w:pPr>
        <w:pStyle w:val="Notedefin"/>
      </w:pPr>
      <w:r>
        <w:rPr>
          <w:rStyle w:val="Appeldenotedefin"/>
        </w:rPr>
        <w:endnoteRef/>
      </w:r>
      <w:r>
        <w:t xml:space="preserve"> The target age patterns come from the following countries: Canada in 2009 (mean age at fatherhood equal to 32.8)</w:t>
      </w:r>
      <w:r w:rsidRPr="009C4637">
        <w:t xml:space="preserve">, </w:t>
      </w:r>
      <w:r>
        <w:t xml:space="preserve">Malawi in 2013 (36.0), Niger in 2010 (41.7), Senegal in 2010 (44.1) and the </w:t>
      </w:r>
      <w:r w:rsidRPr="009C4637">
        <w:t>United States of America in 2012 (31.7)</w:t>
      </w:r>
      <w:r>
        <w:t xml:space="preserve">. </w:t>
      </w:r>
    </w:p>
    <w:p w14:paraId="2292E820" w14:textId="77777777" w:rsidR="006245BA" w:rsidRDefault="006245BA" w:rsidP="00D24CA6">
      <w:pPr>
        <w:pStyle w:val="Notedefin"/>
      </w:pPr>
    </w:p>
    <w:p w14:paraId="78DFC599" w14:textId="77777777" w:rsidR="006245BA" w:rsidRPr="009C4637" w:rsidRDefault="006245BA" w:rsidP="00D24CA6">
      <w:pPr>
        <w:pStyle w:val="Notedefin"/>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54086"/>
      <w:docPartObj>
        <w:docPartGallery w:val="Page Numbers (Bottom of Page)"/>
        <w:docPartUnique/>
      </w:docPartObj>
    </w:sdtPr>
    <w:sdtEndPr/>
    <w:sdtContent>
      <w:p w14:paraId="47E68685" w14:textId="77777777" w:rsidR="006245BA" w:rsidRDefault="006245BA" w:rsidP="00A40EEF">
        <w:pPr>
          <w:pStyle w:val="Pieddepage"/>
        </w:pPr>
        <w:r>
          <w:fldChar w:fldCharType="begin"/>
        </w:r>
        <w:r>
          <w:instrText>PAGE   \* MERGEFORMAT</w:instrText>
        </w:r>
        <w:r>
          <w:fldChar w:fldCharType="separate"/>
        </w:r>
        <w:r w:rsidR="00B97B82" w:rsidRPr="00B97B82">
          <w:rPr>
            <w:noProof/>
            <w:lang w:val="fr-FR"/>
          </w:rPr>
          <w:t>36</w:t>
        </w:r>
        <w:r>
          <w:fldChar w:fldCharType="end"/>
        </w:r>
      </w:p>
    </w:sdtContent>
  </w:sdt>
  <w:p w14:paraId="71C384C4" w14:textId="77777777" w:rsidR="006245BA" w:rsidRDefault="006245BA" w:rsidP="00A40EE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54D4C9" w14:textId="77777777" w:rsidR="00CE3C48" w:rsidRDefault="00CE3C48" w:rsidP="00A40EEF">
      <w:r>
        <w:separator/>
      </w:r>
    </w:p>
  </w:footnote>
  <w:footnote w:type="continuationSeparator" w:id="0">
    <w:p w14:paraId="06339904" w14:textId="77777777" w:rsidR="00CE3C48" w:rsidRDefault="00CE3C48" w:rsidP="00A40E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84D9F"/>
    <w:multiLevelType w:val="hybridMultilevel"/>
    <w:tmpl w:val="1990FF28"/>
    <w:lvl w:ilvl="0" w:tplc="AA7E2A0A">
      <w:start w:val="9"/>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36423A61"/>
    <w:multiLevelType w:val="multilevel"/>
    <w:tmpl w:val="4D9CB0E2"/>
    <w:lvl w:ilvl="0">
      <w:start w:val="1"/>
      <w:numFmt w:val="decimal"/>
      <w:lvlText w:val="%1."/>
      <w:lvlJc w:val="left"/>
      <w:pPr>
        <w:ind w:left="360" w:hanging="360"/>
      </w:pPr>
    </w:lvl>
    <w:lvl w:ilvl="1">
      <w:start w:val="1"/>
      <w:numFmt w:val="decimal"/>
      <w:pStyle w:val="Titre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F625F57"/>
    <w:multiLevelType w:val="hybridMultilevel"/>
    <w:tmpl w:val="07EE775C"/>
    <w:lvl w:ilvl="0" w:tplc="17624D5A">
      <w:start w:val="11"/>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407921E3"/>
    <w:multiLevelType w:val="hybridMultilevel"/>
    <w:tmpl w:val="3FEA43B2"/>
    <w:lvl w:ilvl="0" w:tplc="36D2760C">
      <w:numFmt w:val="bullet"/>
      <w:lvlText w:val="-"/>
      <w:lvlJc w:val="left"/>
      <w:pPr>
        <w:ind w:left="720" w:hanging="360"/>
      </w:pPr>
      <w:rPr>
        <w:rFonts w:ascii="Times New Roman" w:eastAsiaTheme="minorHAnsi" w:hAnsi="Times New Roman"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5B2D2492"/>
    <w:multiLevelType w:val="multilevel"/>
    <w:tmpl w:val="564034C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63F32B23"/>
    <w:multiLevelType w:val="multilevel"/>
    <w:tmpl w:val="343C4AE6"/>
    <w:lvl w:ilvl="0">
      <w:start w:val="1"/>
      <w:numFmt w:val="decimal"/>
      <w:pStyle w:val="Titre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68460D22"/>
    <w:multiLevelType w:val="hybridMultilevel"/>
    <w:tmpl w:val="F3DCD924"/>
    <w:lvl w:ilvl="0" w:tplc="08B6A0F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
  </w:num>
  <w:num w:numId="4">
    <w:abstractNumId w:val="0"/>
  </w:num>
  <w:num w:numId="5">
    <w:abstractNumId w:val="2"/>
  </w:num>
  <w:num w:numId="6">
    <w:abstractNumId w:val="4"/>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BE5"/>
    <w:rsid w:val="0000128F"/>
    <w:rsid w:val="00001AA6"/>
    <w:rsid w:val="00003CD7"/>
    <w:rsid w:val="00007F14"/>
    <w:rsid w:val="000102C7"/>
    <w:rsid w:val="000109EF"/>
    <w:rsid w:val="000125CF"/>
    <w:rsid w:val="000144E2"/>
    <w:rsid w:val="00017AD1"/>
    <w:rsid w:val="000250A2"/>
    <w:rsid w:val="00031A3B"/>
    <w:rsid w:val="000323EB"/>
    <w:rsid w:val="000333C7"/>
    <w:rsid w:val="00033B34"/>
    <w:rsid w:val="000434F9"/>
    <w:rsid w:val="00052387"/>
    <w:rsid w:val="00057325"/>
    <w:rsid w:val="00061B80"/>
    <w:rsid w:val="00061FB3"/>
    <w:rsid w:val="0006477F"/>
    <w:rsid w:val="00064CAB"/>
    <w:rsid w:val="00064DFD"/>
    <w:rsid w:val="000651BC"/>
    <w:rsid w:val="000654CB"/>
    <w:rsid w:val="000659D0"/>
    <w:rsid w:val="00067701"/>
    <w:rsid w:val="00073409"/>
    <w:rsid w:val="000736F2"/>
    <w:rsid w:val="0007782A"/>
    <w:rsid w:val="00077923"/>
    <w:rsid w:val="000835AC"/>
    <w:rsid w:val="0008473F"/>
    <w:rsid w:val="00085412"/>
    <w:rsid w:val="00085F3B"/>
    <w:rsid w:val="000860D3"/>
    <w:rsid w:val="00086CBE"/>
    <w:rsid w:val="00086CCF"/>
    <w:rsid w:val="00092358"/>
    <w:rsid w:val="000933CC"/>
    <w:rsid w:val="00095448"/>
    <w:rsid w:val="00097276"/>
    <w:rsid w:val="000A0C12"/>
    <w:rsid w:val="000A148E"/>
    <w:rsid w:val="000A33A7"/>
    <w:rsid w:val="000A43D7"/>
    <w:rsid w:val="000A5344"/>
    <w:rsid w:val="000B0CBD"/>
    <w:rsid w:val="000B4D1F"/>
    <w:rsid w:val="000C2F53"/>
    <w:rsid w:val="000C33E0"/>
    <w:rsid w:val="000C6609"/>
    <w:rsid w:val="000C78A3"/>
    <w:rsid w:val="000D016A"/>
    <w:rsid w:val="000D6843"/>
    <w:rsid w:val="000D7883"/>
    <w:rsid w:val="000E02D9"/>
    <w:rsid w:val="000E0C8B"/>
    <w:rsid w:val="000E117A"/>
    <w:rsid w:val="000E55B1"/>
    <w:rsid w:val="000F0C0A"/>
    <w:rsid w:val="000F5420"/>
    <w:rsid w:val="0010117C"/>
    <w:rsid w:val="00101879"/>
    <w:rsid w:val="001029CE"/>
    <w:rsid w:val="00104790"/>
    <w:rsid w:val="00104885"/>
    <w:rsid w:val="00111907"/>
    <w:rsid w:val="00111EC5"/>
    <w:rsid w:val="00113035"/>
    <w:rsid w:val="0011475F"/>
    <w:rsid w:val="0011624E"/>
    <w:rsid w:val="00117C63"/>
    <w:rsid w:val="00120150"/>
    <w:rsid w:val="00134726"/>
    <w:rsid w:val="00134739"/>
    <w:rsid w:val="0014009E"/>
    <w:rsid w:val="00142A90"/>
    <w:rsid w:val="00143CD7"/>
    <w:rsid w:val="001452AE"/>
    <w:rsid w:val="00146A85"/>
    <w:rsid w:val="00147AA3"/>
    <w:rsid w:val="0015029D"/>
    <w:rsid w:val="00152C29"/>
    <w:rsid w:val="0015353B"/>
    <w:rsid w:val="001548BC"/>
    <w:rsid w:val="00154AB7"/>
    <w:rsid w:val="00157C37"/>
    <w:rsid w:val="00160C37"/>
    <w:rsid w:val="001613BC"/>
    <w:rsid w:val="001618A6"/>
    <w:rsid w:val="001629EB"/>
    <w:rsid w:val="001641F1"/>
    <w:rsid w:val="00164742"/>
    <w:rsid w:val="00165A18"/>
    <w:rsid w:val="00170AB2"/>
    <w:rsid w:val="00171FF1"/>
    <w:rsid w:val="00172A5D"/>
    <w:rsid w:val="00172B17"/>
    <w:rsid w:val="00175A61"/>
    <w:rsid w:val="00176BB5"/>
    <w:rsid w:val="001911F2"/>
    <w:rsid w:val="001915F6"/>
    <w:rsid w:val="00193A7B"/>
    <w:rsid w:val="001945A3"/>
    <w:rsid w:val="0019552F"/>
    <w:rsid w:val="00195A4A"/>
    <w:rsid w:val="00197216"/>
    <w:rsid w:val="001A205C"/>
    <w:rsid w:val="001A358C"/>
    <w:rsid w:val="001A543C"/>
    <w:rsid w:val="001B1656"/>
    <w:rsid w:val="001B2DB0"/>
    <w:rsid w:val="001B566C"/>
    <w:rsid w:val="001B6F02"/>
    <w:rsid w:val="001B7AB1"/>
    <w:rsid w:val="001B7F69"/>
    <w:rsid w:val="001C000A"/>
    <w:rsid w:val="001C3436"/>
    <w:rsid w:val="001C4741"/>
    <w:rsid w:val="001C5F37"/>
    <w:rsid w:val="001C7928"/>
    <w:rsid w:val="001C7D86"/>
    <w:rsid w:val="001D099E"/>
    <w:rsid w:val="001D28E0"/>
    <w:rsid w:val="001D2A8B"/>
    <w:rsid w:val="001D36AD"/>
    <w:rsid w:val="001D3CD7"/>
    <w:rsid w:val="001D4308"/>
    <w:rsid w:val="001D665C"/>
    <w:rsid w:val="001D694C"/>
    <w:rsid w:val="001D7AFA"/>
    <w:rsid w:val="001E3C97"/>
    <w:rsid w:val="001E40AE"/>
    <w:rsid w:val="001E4F1B"/>
    <w:rsid w:val="001E7FC5"/>
    <w:rsid w:val="001F003A"/>
    <w:rsid w:val="001F0A75"/>
    <w:rsid w:val="001F27A8"/>
    <w:rsid w:val="001F4029"/>
    <w:rsid w:val="001F4CF3"/>
    <w:rsid w:val="001F4D1D"/>
    <w:rsid w:val="002007BD"/>
    <w:rsid w:val="00201E89"/>
    <w:rsid w:val="002102E6"/>
    <w:rsid w:val="00210C1F"/>
    <w:rsid w:val="0021348C"/>
    <w:rsid w:val="00216C04"/>
    <w:rsid w:val="00221CEE"/>
    <w:rsid w:val="00222B1F"/>
    <w:rsid w:val="00223245"/>
    <w:rsid w:val="002277C0"/>
    <w:rsid w:val="002300B8"/>
    <w:rsid w:val="00230254"/>
    <w:rsid w:val="0023158D"/>
    <w:rsid w:val="0023504D"/>
    <w:rsid w:val="00236A96"/>
    <w:rsid w:val="0023766C"/>
    <w:rsid w:val="00242328"/>
    <w:rsid w:val="0024585E"/>
    <w:rsid w:val="00250F6F"/>
    <w:rsid w:val="00252F49"/>
    <w:rsid w:val="002532F6"/>
    <w:rsid w:val="002549AA"/>
    <w:rsid w:val="00255FDF"/>
    <w:rsid w:val="00260157"/>
    <w:rsid w:val="002613D2"/>
    <w:rsid w:val="00261C0F"/>
    <w:rsid w:val="00262645"/>
    <w:rsid w:val="00272016"/>
    <w:rsid w:val="00275392"/>
    <w:rsid w:val="0028027B"/>
    <w:rsid w:val="00280395"/>
    <w:rsid w:val="00282876"/>
    <w:rsid w:val="00283395"/>
    <w:rsid w:val="00283EB2"/>
    <w:rsid w:val="0029065A"/>
    <w:rsid w:val="00290E83"/>
    <w:rsid w:val="00290FF4"/>
    <w:rsid w:val="00291BAA"/>
    <w:rsid w:val="00291D72"/>
    <w:rsid w:val="002950E9"/>
    <w:rsid w:val="00295DC5"/>
    <w:rsid w:val="002A0ED1"/>
    <w:rsid w:val="002A20DB"/>
    <w:rsid w:val="002A2ACA"/>
    <w:rsid w:val="002A2BC4"/>
    <w:rsid w:val="002A3CD0"/>
    <w:rsid w:val="002A599B"/>
    <w:rsid w:val="002B1DA2"/>
    <w:rsid w:val="002B224D"/>
    <w:rsid w:val="002B315A"/>
    <w:rsid w:val="002C28EE"/>
    <w:rsid w:val="002C465A"/>
    <w:rsid w:val="002C471D"/>
    <w:rsid w:val="002C53DC"/>
    <w:rsid w:val="002C72EB"/>
    <w:rsid w:val="002C7C3A"/>
    <w:rsid w:val="002D2D64"/>
    <w:rsid w:val="002D4BE8"/>
    <w:rsid w:val="002D52F9"/>
    <w:rsid w:val="002D5D43"/>
    <w:rsid w:val="002D6DF6"/>
    <w:rsid w:val="002E0024"/>
    <w:rsid w:val="002E5F55"/>
    <w:rsid w:val="002E7189"/>
    <w:rsid w:val="002F4B0E"/>
    <w:rsid w:val="002F61D9"/>
    <w:rsid w:val="00300C05"/>
    <w:rsid w:val="003021BC"/>
    <w:rsid w:val="003041FE"/>
    <w:rsid w:val="003046F2"/>
    <w:rsid w:val="00306FBA"/>
    <w:rsid w:val="00307104"/>
    <w:rsid w:val="0030748C"/>
    <w:rsid w:val="00312DF5"/>
    <w:rsid w:val="003140B7"/>
    <w:rsid w:val="003158FA"/>
    <w:rsid w:val="00315A6F"/>
    <w:rsid w:val="00315A8D"/>
    <w:rsid w:val="00320716"/>
    <w:rsid w:val="003229FE"/>
    <w:rsid w:val="0032321F"/>
    <w:rsid w:val="00323918"/>
    <w:rsid w:val="00334254"/>
    <w:rsid w:val="00334B93"/>
    <w:rsid w:val="00335D2F"/>
    <w:rsid w:val="00336178"/>
    <w:rsid w:val="00345F78"/>
    <w:rsid w:val="003500CA"/>
    <w:rsid w:val="003529A5"/>
    <w:rsid w:val="0035388B"/>
    <w:rsid w:val="003548DB"/>
    <w:rsid w:val="00355943"/>
    <w:rsid w:val="00357E17"/>
    <w:rsid w:val="00361025"/>
    <w:rsid w:val="003611DF"/>
    <w:rsid w:val="003614D4"/>
    <w:rsid w:val="00363962"/>
    <w:rsid w:val="003645D3"/>
    <w:rsid w:val="00366936"/>
    <w:rsid w:val="003672CD"/>
    <w:rsid w:val="00370657"/>
    <w:rsid w:val="00370FE9"/>
    <w:rsid w:val="00382791"/>
    <w:rsid w:val="00383871"/>
    <w:rsid w:val="00386075"/>
    <w:rsid w:val="003861B9"/>
    <w:rsid w:val="00396A80"/>
    <w:rsid w:val="00397977"/>
    <w:rsid w:val="003A1095"/>
    <w:rsid w:val="003A10B2"/>
    <w:rsid w:val="003A50CB"/>
    <w:rsid w:val="003A7998"/>
    <w:rsid w:val="003B0259"/>
    <w:rsid w:val="003B0D96"/>
    <w:rsid w:val="003B1442"/>
    <w:rsid w:val="003B30C5"/>
    <w:rsid w:val="003B7039"/>
    <w:rsid w:val="003B746D"/>
    <w:rsid w:val="003C1EE3"/>
    <w:rsid w:val="003C4130"/>
    <w:rsid w:val="003C6E79"/>
    <w:rsid w:val="003D0341"/>
    <w:rsid w:val="003D0BBB"/>
    <w:rsid w:val="003D0E45"/>
    <w:rsid w:val="003D5115"/>
    <w:rsid w:val="003E10FA"/>
    <w:rsid w:val="003E1BEC"/>
    <w:rsid w:val="003E2F1F"/>
    <w:rsid w:val="003E396B"/>
    <w:rsid w:val="003E4BA3"/>
    <w:rsid w:val="003E6662"/>
    <w:rsid w:val="003E7710"/>
    <w:rsid w:val="003F1D62"/>
    <w:rsid w:val="003F23D6"/>
    <w:rsid w:val="003F2FFA"/>
    <w:rsid w:val="004012D4"/>
    <w:rsid w:val="00403206"/>
    <w:rsid w:val="004056F4"/>
    <w:rsid w:val="004145FE"/>
    <w:rsid w:val="00415D6A"/>
    <w:rsid w:val="00421313"/>
    <w:rsid w:val="00424E04"/>
    <w:rsid w:val="004269FE"/>
    <w:rsid w:val="00426CEF"/>
    <w:rsid w:val="00431861"/>
    <w:rsid w:val="004327ED"/>
    <w:rsid w:val="00432D16"/>
    <w:rsid w:val="0043409E"/>
    <w:rsid w:val="00440D31"/>
    <w:rsid w:val="00442B76"/>
    <w:rsid w:val="00443BBA"/>
    <w:rsid w:val="004470BF"/>
    <w:rsid w:val="00447164"/>
    <w:rsid w:val="00451C67"/>
    <w:rsid w:val="0045237E"/>
    <w:rsid w:val="00452769"/>
    <w:rsid w:val="00452903"/>
    <w:rsid w:val="0046089F"/>
    <w:rsid w:val="00467341"/>
    <w:rsid w:val="004731CC"/>
    <w:rsid w:val="0047765D"/>
    <w:rsid w:val="00477723"/>
    <w:rsid w:val="00485CED"/>
    <w:rsid w:val="00491FDF"/>
    <w:rsid w:val="004935CD"/>
    <w:rsid w:val="004943F4"/>
    <w:rsid w:val="00495AFA"/>
    <w:rsid w:val="004A1BE4"/>
    <w:rsid w:val="004A2163"/>
    <w:rsid w:val="004A2580"/>
    <w:rsid w:val="004A2AAD"/>
    <w:rsid w:val="004A362B"/>
    <w:rsid w:val="004A4BBE"/>
    <w:rsid w:val="004B3798"/>
    <w:rsid w:val="004C0E8C"/>
    <w:rsid w:val="004C28B4"/>
    <w:rsid w:val="004C349F"/>
    <w:rsid w:val="004C40DD"/>
    <w:rsid w:val="004C48C1"/>
    <w:rsid w:val="004C4D3A"/>
    <w:rsid w:val="004D2419"/>
    <w:rsid w:val="004D64AE"/>
    <w:rsid w:val="004D78EA"/>
    <w:rsid w:val="004D7E8E"/>
    <w:rsid w:val="004E09BB"/>
    <w:rsid w:val="004E0CEF"/>
    <w:rsid w:val="004E10CD"/>
    <w:rsid w:val="004E171F"/>
    <w:rsid w:val="004E1B68"/>
    <w:rsid w:val="004E4FFF"/>
    <w:rsid w:val="004E6D7B"/>
    <w:rsid w:val="004F1A1D"/>
    <w:rsid w:val="004F6252"/>
    <w:rsid w:val="004F7824"/>
    <w:rsid w:val="00501A62"/>
    <w:rsid w:val="00503167"/>
    <w:rsid w:val="00504D4C"/>
    <w:rsid w:val="00507F63"/>
    <w:rsid w:val="00511530"/>
    <w:rsid w:val="005177F6"/>
    <w:rsid w:val="00527F18"/>
    <w:rsid w:val="0053057D"/>
    <w:rsid w:val="005319BE"/>
    <w:rsid w:val="00534E4F"/>
    <w:rsid w:val="00534E69"/>
    <w:rsid w:val="00535676"/>
    <w:rsid w:val="00535B24"/>
    <w:rsid w:val="0053728F"/>
    <w:rsid w:val="00540765"/>
    <w:rsid w:val="005434AE"/>
    <w:rsid w:val="00545151"/>
    <w:rsid w:val="00546975"/>
    <w:rsid w:val="00546AA1"/>
    <w:rsid w:val="005475DE"/>
    <w:rsid w:val="00550FBE"/>
    <w:rsid w:val="005547D3"/>
    <w:rsid w:val="00555956"/>
    <w:rsid w:val="00555E66"/>
    <w:rsid w:val="00563F7D"/>
    <w:rsid w:val="0056527E"/>
    <w:rsid w:val="00566505"/>
    <w:rsid w:val="005673DB"/>
    <w:rsid w:val="00571F90"/>
    <w:rsid w:val="00575138"/>
    <w:rsid w:val="00580C1E"/>
    <w:rsid w:val="005863CC"/>
    <w:rsid w:val="00587BE6"/>
    <w:rsid w:val="005925DD"/>
    <w:rsid w:val="00593836"/>
    <w:rsid w:val="0059392C"/>
    <w:rsid w:val="00594DC7"/>
    <w:rsid w:val="005A13D7"/>
    <w:rsid w:val="005A2518"/>
    <w:rsid w:val="005A426C"/>
    <w:rsid w:val="005A5A45"/>
    <w:rsid w:val="005A7F47"/>
    <w:rsid w:val="005B019D"/>
    <w:rsid w:val="005B3722"/>
    <w:rsid w:val="005B3997"/>
    <w:rsid w:val="005B450C"/>
    <w:rsid w:val="005B47B3"/>
    <w:rsid w:val="005C3011"/>
    <w:rsid w:val="005C5BFD"/>
    <w:rsid w:val="005C69E2"/>
    <w:rsid w:val="005C7515"/>
    <w:rsid w:val="005C7DB3"/>
    <w:rsid w:val="005D14FB"/>
    <w:rsid w:val="005D1C91"/>
    <w:rsid w:val="005D2711"/>
    <w:rsid w:val="005D5F17"/>
    <w:rsid w:val="005D5F98"/>
    <w:rsid w:val="005D78A3"/>
    <w:rsid w:val="005D79AB"/>
    <w:rsid w:val="005D7B0D"/>
    <w:rsid w:val="005E3C3C"/>
    <w:rsid w:val="005E402E"/>
    <w:rsid w:val="005E6609"/>
    <w:rsid w:val="005E7117"/>
    <w:rsid w:val="005F3E78"/>
    <w:rsid w:val="006000D6"/>
    <w:rsid w:val="006006D6"/>
    <w:rsid w:val="00603E7C"/>
    <w:rsid w:val="00607D62"/>
    <w:rsid w:val="006102A7"/>
    <w:rsid w:val="00611356"/>
    <w:rsid w:val="0061190A"/>
    <w:rsid w:val="00612E10"/>
    <w:rsid w:val="006130AE"/>
    <w:rsid w:val="00617E0F"/>
    <w:rsid w:val="006237A3"/>
    <w:rsid w:val="006245BA"/>
    <w:rsid w:val="0063050F"/>
    <w:rsid w:val="0063064A"/>
    <w:rsid w:val="00633FBB"/>
    <w:rsid w:val="0063779E"/>
    <w:rsid w:val="00641C82"/>
    <w:rsid w:val="00642D1E"/>
    <w:rsid w:val="00643835"/>
    <w:rsid w:val="0064394A"/>
    <w:rsid w:val="006455E2"/>
    <w:rsid w:val="00646378"/>
    <w:rsid w:val="006518C6"/>
    <w:rsid w:val="00652550"/>
    <w:rsid w:val="00654120"/>
    <w:rsid w:val="00655EC3"/>
    <w:rsid w:val="00656247"/>
    <w:rsid w:val="00660480"/>
    <w:rsid w:val="00660A71"/>
    <w:rsid w:val="00660FB5"/>
    <w:rsid w:val="006631F0"/>
    <w:rsid w:val="00665D58"/>
    <w:rsid w:val="00666C6B"/>
    <w:rsid w:val="006722A2"/>
    <w:rsid w:val="00673233"/>
    <w:rsid w:val="00677695"/>
    <w:rsid w:val="00677B85"/>
    <w:rsid w:val="00680780"/>
    <w:rsid w:val="00681DA1"/>
    <w:rsid w:val="00682FBA"/>
    <w:rsid w:val="00683793"/>
    <w:rsid w:val="0068468E"/>
    <w:rsid w:val="00687C2E"/>
    <w:rsid w:val="00691ABE"/>
    <w:rsid w:val="00692142"/>
    <w:rsid w:val="006A090D"/>
    <w:rsid w:val="006A2597"/>
    <w:rsid w:val="006A549A"/>
    <w:rsid w:val="006A61AE"/>
    <w:rsid w:val="006B2690"/>
    <w:rsid w:val="006B2FE7"/>
    <w:rsid w:val="006B3CC8"/>
    <w:rsid w:val="006B43B8"/>
    <w:rsid w:val="006B43E9"/>
    <w:rsid w:val="006B6018"/>
    <w:rsid w:val="006B6201"/>
    <w:rsid w:val="006B7111"/>
    <w:rsid w:val="006C3F4A"/>
    <w:rsid w:val="006C6EDF"/>
    <w:rsid w:val="006D7986"/>
    <w:rsid w:val="006D7B40"/>
    <w:rsid w:val="006E0F46"/>
    <w:rsid w:val="006E1054"/>
    <w:rsid w:val="006E10E4"/>
    <w:rsid w:val="006E1A7E"/>
    <w:rsid w:val="006E40AB"/>
    <w:rsid w:val="006F3360"/>
    <w:rsid w:val="006F3D31"/>
    <w:rsid w:val="006F4181"/>
    <w:rsid w:val="00700D54"/>
    <w:rsid w:val="00702D35"/>
    <w:rsid w:val="007057E5"/>
    <w:rsid w:val="00705EF0"/>
    <w:rsid w:val="00707F0A"/>
    <w:rsid w:val="00710D58"/>
    <w:rsid w:val="00711868"/>
    <w:rsid w:val="00712E11"/>
    <w:rsid w:val="00714ACD"/>
    <w:rsid w:val="00717D52"/>
    <w:rsid w:val="0072286E"/>
    <w:rsid w:val="007260F3"/>
    <w:rsid w:val="00727650"/>
    <w:rsid w:val="00727888"/>
    <w:rsid w:val="00734DCF"/>
    <w:rsid w:val="007351B6"/>
    <w:rsid w:val="00736AF9"/>
    <w:rsid w:val="00737143"/>
    <w:rsid w:val="00741C6A"/>
    <w:rsid w:val="00742571"/>
    <w:rsid w:val="00743799"/>
    <w:rsid w:val="00744A2B"/>
    <w:rsid w:val="0075090C"/>
    <w:rsid w:val="00752F91"/>
    <w:rsid w:val="007532B4"/>
    <w:rsid w:val="0075350D"/>
    <w:rsid w:val="00757237"/>
    <w:rsid w:val="0076141C"/>
    <w:rsid w:val="007665A0"/>
    <w:rsid w:val="007671A6"/>
    <w:rsid w:val="00770B8C"/>
    <w:rsid w:val="007724C1"/>
    <w:rsid w:val="00782761"/>
    <w:rsid w:val="00785CDC"/>
    <w:rsid w:val="00786E1C"/>
    <w:rsid w:val="00790BFF"/>
    <w:rsid w:val="007954CA"/>
    <w:rsid w:val="00796A90"/>
    <w:rsid w:val="00796DBD"/>
    <w:rsid w:val="007A0100"/>
    <w:rsid w:val="007A0F9C"/>
    <w:rsid w:val="007A10C0"/>
    <w:rsid w:val="007A747D"/>
    <w:rsid w:val="007B076E"/>
    <w:rsid w:val="007B1866"/>
    <w:rsid w:val="007B19C8"/>
    <w:rsid w:val="007B63D1"/>
    <w:rsid w:val="007B7D54"/>
    <w:rsid w:val="007C0946"/>
    <w:rsid w:val="007C2592"/>
    <w:rsid w:val="007D22E2"/>
    <w:rsid w:val="007D299A"/>
    <w:rsid w:val="007D47AA"/>
    <w:rsid w:val="007D5E47"/>
    <w:rsid w:val="007D70EF"/>
    <w:rsid w:val="007D72FC"/>
    <w:rsid w:val="007E4FFE"/>
    <w:rsid w:val="007E6619"/>
    <w:rsid w:val="007F15E5"/>
    <w:rsid w:val="007F24A2"/>
    <w:rsid w:val="007F3DE7"/>
    <w:rsid w:val="007F6599"/>
    <w:rsid w:val="007F6DA8"/>
    <w:rsid w:val="00800684"/>
    <w:rsid w:val="008058BF"/>
    <w:rsid w:val="00805D26"/>
    <w:rsid w:val="0081038D"/>
    <w:rsid w:val="0081635B"/>
    <w:rsid w:val="00821C1C"/>
    <w:rsid w:val="00823B28"/>
    <w:rsid w:val="008327B2"/>
    <w:rsid w:val="00837ECE"/>
    <w:rsid w:val="008401D6"/>
    <w:rsid w:val="00841A32"/>
    <w:rsid w:val="00841B56"/>
    <w:rsid w:val="008433FA"/>
    <w:rsid w:val="00844A6D"/>
    <w:rsid w:val="00845F77"/>
    <w:rsid w:val="00850DB2"/>
    <w:rsid w:val="008518D3"/>
    <w:rsid w:val="00857C52"/>
    <w:rsid w:val="00861E82"/>
    <w:rsid w:val="008631F3"/>
    <w:rsid w:val="00864675"/>
    <w:rsid w:val="00866549"/>
    <w:rsid w:val="00867355"/>
    <w:rsid w:val="00873621"/>
    <w:rsid w:val="00877488"/>
    <w:rsid w:val="00885488"/>
    <w:rsid w:val="00890353"/>
    <w:rsid w:val="00891533"/>
    <w:rsid w:val="008964C0"/>
    <w:rsid w:val="00897D81"/>
    <w:rsid w:val="008A11ED"/>
    <w:rsid w:val="008A2BD6"/>
    <w:rsid w:val="008A2BDC"/>
    <w:rsid w:val="008A2DBE"/>
    <w:rsid w:val="008B1CB9"/>
    <w:rsid w:val="008B2325"/>
    <w:rsid w:val="008B354F"/>
    <w:rsid w:val="008B52D9"/>
    <w:rsid w:val="008B5D7C"/>
    <w:rsid w:val="008B7D6E"/>
    <w:rsid w:val="008C0193"/>
    <w:rsid w:val="008C0546"/>
    <w:rsid w:val="008C1730"/>
    <w:rsid w:val="008C60C3"/>
    <w:rsid w:val="008D0770"/>
    <w:rsid w:val="008D2FAC"/>
    <w:rsid w:val="008D39E9"/>
    <w:rsid w:val="008D3D32"/>
    <w:rsid w:val="008D42E6"/>
    <w:rsid w:val="008D543E"/>
    <w:rsid w:val="008D7435"/>
    <w:rsid w:val="008E0A47"/>
    <w:rsid w:val="008E1D8B"/>
    <w:rsid w:val="008E2010"/>
    <w:rsid w:val="008E3B30"/>
    <w:rsid w:val="008F0C1D"/>
    <w:rsid w:val="008F0E98"/>
    <w:rsid w:val="008F128E"/>
    <w:rsid w:val="008F2114"/>
    <w:rsid w:val="008F2F71"/>
    <w:rsid w:val="008F31A5"/>
    <w:rsid w:val="008F5CB0"/>
    <w:rsid w:val="008F725E"/>
    <w:rsid w:val="008F73D8"/>
    <w:rsid w:val="00900F70"/>
    <w:rsid w:val="00902726"/>
    <w:rsid w:val="009031B3"/>
    <w:rsid w:val="00904480"/>
    <w:rsid w:val="00905942"/>
    <w:rsid w:val="009073FC"/>
    <w:rsid w:val="009106DC"/>
    <w:rsid w:val="00910F70"/>
    <w:rsid w:val="009130B1"/>
    <w:rsid w:val="00914FC5"/>
    <w:rsid w:val="009154BE"/>
    <w:rsid w:val="00915922"/>
    <w:rsid w:val="009164F8"/>
    <w:rsid w:val="00916FB0"/>
    <w:rsid w:val="0091748F"/>
    <w:rsid w:val="00920FAF"/>
    <w:rsid w:val="00921914"/>
    <w:rsid w:val="0092527C"/>
    <w:rsid w:val="00932960"/>
    <w:rsid w:val="00932DC1"/>
    <w:rsid w:val="009333AE"/>
    <w:rsid w:val="0093400A"/>
    <w:rsid w:val="00935704"/>
    <w:rsid w:val="00935F5D"/>
    <w:rsid w:val="00936083"/>
    <w:rsid w:val="00937C43"/>
    <w:rsid w:val="00941D0A"/>
    <w:rsid w:val="00942051"/>
    <w:rsid w:val="009451AB"/>
    <w:rsid w:val="00945BA1"/>
    <w:rsid w:val="00945EC6"/>
    <w:rsid w:val="009461EE"/>
    <w:rsid w:val="00950380"/>
    <w:rsid w:val="00950E85"/>
    <w:rsid w:val="009557D9"/>
    <w:rsid w:val="00956E38"/>
    <w:rsid w:val="0096058E"/>
    <w:rsid w:val="0096090D"/>
    <w:rsid w:val="00960A9E"/>
    <w:rsid w:val="00962630"/>
    <w:rsid w:val="00962A2F"/>
    <w:rsid w:val="00963A41"/>
    <w:rsid w:val="00964C26"/>
    <w:rsid w:val="00966637"/>
    <w:rsid w:val="009668BC"/>
    <w:rsid w:val="00966AFC"/>
    <w:rsid w:val="009672C9"/>
    <w:rsid w:val="00971CF7"/>
    <w:rsid w:val="009755C4"/>
    <w:rsid w:val="00983F6C"/>
    <w:rsid w:val="00984E96"/>
    <w:rsid w:val="0098533A"/>
    <w:rsid w:val="00987FC6"/>
    <w:rsid w:val="0099603B"/>
    <w:rsid w:val="00997387"/>
    <w:rsid w:val="009A2747"/>
    <w:rsid w:val="009A327B"/>
    <w:rsid w:val="009A3B74"/>
    <w:rsid w:val="009A3E01"/>
    <w:rsid w:val="009A6243"/>
    <w:rsid w:val="009A64BD"/>
    <w:rsid w:val="009A666F"/>
    <w:rsid w:val="009B2144"/>
    <w:rsid w:val="009B2416"/>
    <w:rsid w:val="009B36C4"/>
    <w:rsid w:val="009B3CB5"/>
    <w:rsid w:val="009B4ACC"/>
    <w:rsid w:val="009B4F1B"/>
    <w:rsid w:val="009C1496"/>
    <w:rsid w:val="009C17BF"/>
    <w:rsid w:val="009C3DB9"/>
    <w:rsid w:val="009C4788"/>
    <w:rsid w:val="009C4E22"/>
    <w:rsid w:val="009D088A"/>
    <w:rsid w:val="009D1096"/>
    <w:rsid w:val="009D1B1C"/>
    <w:rsid w:val="009D42DB"/>
    <w:rsid w:val="009D5B9B"/>
    <w:rsid w:val="009D63FC"/>
    <w:rsid w:val="009E5038"/>
    <w:rsid w:val="009E5B53"/>
    <w:rsid w:val="009E61A4"/>
    <w:rsid w:val="009E754C"/>
    <w:rsid w:val="009E7ED3"/>
    <w:rsid w:val="009F023E"/>
    <w:rsid w:val="009F10A3"/>
    <w:rsid w:val="009F308C"/>
    <w:rsid w:val="009F430A"/>
    <w:rsid w:val="009F4E56"/>
    <w:rsid w:val="00A07A08"/>
    <w:rsid w:val="00A07CD8"/>
    <w:rsid w:val="00A07E6E"/>
    <w:rsid w:val="00A1024A"/>
    <w:rsid w:val="00A14819"/>
    <w:rsid w:val="00A14D60"/>
    <w:rsid w:val="00A157D9"/>
    <w:rsid w:val="00A16FF0"/>
    <w:rsid w:val="00A21B85"/>
    <w:rsid w:val="00A21DBC"/>
    <w:rsid w:val="00A27241"/>
    <w:rsid w:val="00A31C21"/>
    <w:rsid w:val="00A32E95"/>
    <w:rsid w:val="00A36F11"/>
    <w:rsid w:val="00A37D35"/>
    <w:rsid w:val="00A40EEF"/>
    <w:rsid w:val="00A41757"/>
    <w:rsid w:val="00A41B3B"/>
    <w:rsid w:val="00A43F8B"/>
    <w:rsid w:val="00A44ADA"/>
    <w:rsid w:val="00A45CA8"/>
    <w:rsid w:val="00A46A55"/>
    <w:rsid w:val="00A475D6"/>
    <w:rsid w:val="00A545CD"/>
    <w:rsid w:val="00A5534C"/>
    <w:rsid w:val="00A610BC"/>
    <w:rsid w:val="00A62DC1"/>
    <w:rsid w:val="00A63BB4"/>
    <w:rsid w:val="00A65B4F"/>
    <w:rsid w:val="00A679C1"/>
    <w:rsid w:val="00A70228"/>
    <w:rsid w:val="00A70F8C"/>
    <w:rsid w:val="00A750FC"/>
    <w:rsid w:val="00A758F3"/>
    <w:rsid w:val="00A82D27"/>
    <w:rsid w:val="00A8380F"/>
    <w:rsid w:val="00A91A0D"/>
    <w:rsid w:val="00A94C72"/>
    <w:rsid w:val="00A94E41"/>
    <w:rsid w:val="00A95054"/>
    <w:rsid w:val="00AA091A"/>
    <w:rsid w:val="00AA0CA8"/>
    <w:rsid w:val="00AA35B8"/>
    <w:rsid w:val="00AA3A03"/>
    <w:rsid w:val="00AA48DC"/>
    <w:rsid w:val="00AA496F"/>
    <w:rsid w:val="00AA5BDC"/>
    <w:rsid w:val="00AA6262"/>
    <w:rsid w:val="00AA6BF3"/>
    <w:rsid w:val="00AA720F"/>
    <w:rsid w:val="00AB01F8"/>
    <w:rsid w:val="00AB1A10"/>
    <w:rsid w:val="00AB1A13"/>
    <w:rsid w:val="00AB28A1"/>
    <w:rsid w:val="00AB7BE5"/>
    <w:rsid w:val="00AC12BC"/>
    <w:rsid w:val="00AC1CD5"/>
    <w:rsid w:val="00AC3AE0"/>
    <w:rsid w:val="00AC6091"/>
    <w:rsid w:val="00AD645C"/>
    <w:rsid w:val="00AE0FCA"/>
    <w:rsid w:val="00AE3E81"/>
    <w:rsid w:val="00AE660E"/>
    <w:rsid w:val="00AF11B0"/>
    <w:rsid w:val="00AF1867"/>
    <w:rsid w:val="00AF2EBC"/>
    <w:rsid w:val="00AF4DD9"/>
    <w:rsid w:val="00AF65D8"/>
    <w:rsid w:val="00B00281"/>
    <w:rsid w:val="00B029ED"/>
    <w:rsid w:val="00B052FC"/>
    <w:rsid w:val="00B0661D"/>
    <w:rsid w:val="00B06B6D"/>
    <w:rsid w:val="00B1060F"/>
    <w:rsid w:val="00B1187E"/>
    <w:rsid w:val="00B11B03"/>
    <w:rsid w:val="00B12ACE"/>
    <w:rsid w:val="00B15805"/>
    <w:rsid w:val="00B15BC8"/>
    <w:rsid w:val="00B206E7"/>
    <w:rsid w:val="00B22CB2"/>
    <w:rsid w:val="00B245D8"/>
    <w:rsid w:val="00B24B29"/>
    <w:rsid w:val="00B261AA"/>
    <w:rsid w:val="00B26712"/>
    <w:rsid w:val="00B26A29"/>
    <w:rsid w:val="00B330AE"/>
    <w:rsid w:val="00B35A27"/>
    <w:rsid w:val="00B35FDB"/>
    <w:rsid w:val="00B370C6"/>
    <w:rsid w:val="00B419FA"/>
    <w:rsid w:val="00B44296"/>
    <w:rsid w:val="00B4789E"/>
    <w:rsid w:val="00B51920"/>
    <w:rsid w:val="00B543D1"/>
    <w:rsid w:val="00B560C6"/>
    <w:rsid w:val="00B56124"/>
    <w:rsid w:val="00B61A49"/>
    <w:rsid w:val="00B63349"/>
    <w:rsid w:val="00B63E63"/>
    <w:rsid w:val="00B64EE1"/>
    <w:rsid w:val="00B67BBA"/>
    <w:rsid w:val="00B741FE"/>
    <w:rsid w:val="00B74CE2"/>
    <w:rsid w:val="00B74D75"/>
    <w:rsid w:val="00B75090"/>
    <w:rsid w:val="00B767C7"/>
    <w:rsid w:val="00B76D7C"/>
    <w:rsid w:val="00B842F9"/>
    <w:rsid w:val="00B84701"/>
    <w:rsid w:val="00B85639"/>
    <w:rsid w:val="00B90ECD"/>
    <w:rsid w:val="00B92CED"/>
    <w:rsid w:val="00B93BC1"/>
    <w:rsid w:val="00B95071"/>
    <w:rsid w:val="00B97834"/>
    <w:rsid w:val="00B97B82"/>
    <w:rsid w:val="00B97F9F"/>
    <w:rsid w:val="00BA01D3"/>
    <w:rsid w:val="00BA1A44"/>
    <w:rsid w:val="00BA648E"/>
    <w:rsid w:val="00BA6C52"/>
    <w:rsid w:val="00BA78B3"/>
    <w:rsid w:val="00BB0A11"/>
    <w:rsid w:val="00BB2A72"/>
    <w:rsid w:val="00BB3845"/>
    <w:rsid w:val="00BB3F3F"/>
    <w:rsid w:val="00BC329B"/>
    <w:rsid w:val="00BC3B2E"/>
    <w:rsid w:val="00BC51D7"/>
    <w:rsid w:val="00BC52F8"/>
    <w:rsid w:val="00BC6804"/>
    <w:rsid w:val="00BC7F93"/>
    <w:rsid w:val="00BD02D8"/>
    <w:rsid w:val="00BD1527"/>
    <w:rsid w:val="00BD264C"/>
    <w:rsid w:val="00BD2C88"/>
    <w:rsid w:val="00BD2EDA"/>
    <w:rsid w:val="00BD30AA"/>
    <w:rsid w:val="00BD4E7F"/>
    <w:rsid w:val="00BD55C8"/>
    <w:rsid w:val="00BD79A5"/>
    <w:rsid w:val="00BD79EA"/>
    <w:rsid w:val="00BE0238"/>
    <w:rsid w:val="00BE0338"/>
    <w:rsid w:val="00BE2C65"/>
    <w:rsid w:val="00BE2F95"/>
    <w:rsid w:val="00BE4F9F"/>
    <w:rsid w:val="00BE732C"/>
    <w:rsid w:val="00BF4D07"/>
    <w:rsid w:val="00BF52AB"/>
    <w:rsid w:val="00BF770C"/>
    <w:rsid w:val="00C02221"/>
    <w:rsid w:val="00C03301"/>
    <w:rsid w:val="00C073D9"/>
    <w:rsid w:val="00C07847"/>
    <w:rsid w:val="00C11F67"/>
    <w:rsid w:val="00C20998"/>
    <w:rsid w:val="00C21962"/>
    <w:rsid w:val="00C27A7B"/>
    <w:rsid w:val="00C30513"/>
    <w:rsid w:val="00C31C2E"/>
    <w:rsid w:val="00C3356E"/>
    <w:rsid w:val="00C3373C"/>
    <w:rsid w:val="00C34AF2"/>
    <w:rsid w:val="00C351E6"/>
    <w:rsid w:val="00C36838"/>
    <w:rsid w:val="00C37DE5"/>
    <w:rsid w:val="00C4129E"/>
    <w:rsid w:val="00C41541"/>
    <w:rsid w:val="00C42682"/>
    <w:rsid w:val="00C44E49"/>
    <w:rsid w:val="00C460BA"/>
    <w:rsid w:val="00C470E4"/>
    <w:rsid w:val="00C5019E"/>
    <w:rsid w:val="00C50DB2"/>
    <w:rsid w:val="00C61FDC"/>
    <w:rsid w:val="00C6759C"/>
    <w:rsid w:val="00C74E87"/>
    <w:rsid w:val="00C82550"/>
    <w:rsid w:val="00C8569C"/>
    <w:rsid w:val="00C8577B"/>
    <w:rsid w:val="00C8599F"/>
    <w:rsid w:val="00C87F4B"/>
    <w:rsid w:val="00C93FB4"/>
    <w:rsid w:val="00C94166"/>
    <w:rsid w:val="00C94914"/>
    <w:rsid w:val="00C952D9"/>
    <w:rsid w:val="00C9628B"/>
    <w:rsid w:val="00C96DA6"/>
    <w:rsid w:val="00CA00F5"/>
    <w:rsid w:val="00CA0AB0"/>
    <w:rsid w:val="00CA1817"/>
    <w:rsid w:val="00CA2112"/>
    <w:rsid w:val="00CA6677"/>
    <w:rsid w:val="00CA66B1"/>
    <w:rsid w:val="00CA6A34"/>
    <w:rsid w:val="00CB0A1E"/>
    <w:rsid w:val="00CB0F9B"/>
    <w:rsid w:val="00CB14EF"/>
    <w:rsid w:val="00CB640C"/>
    <w:rsid w:val="00CB6DAA"/>
    <w:rsid w:val="00CC059A"/>
    <w:rsid w:val="00CC0A4E"/>
    <w:rsid w:val="00CC1531"/>
    <w:rsid w:val="00CC1A0C"/>
    <w:rsid w:val="00CC1B20"/>
    <w:rsid w:val="00CC1C55"/>
    <w:rsid w:val="00CC2175"/>
    <w:rsid w:val="00CC23A5"/>
    <w:rsid w:val="00CC367D"/>
    <w:rsid w:val="00CC6473"/>
    <w:rsid w:val="00CC6FED"/>
    <w:rsid w:val="00CD0BFC"/>
    <w:rsid w:val="00CD5377"/>
    <w:rsid w:val="00CD5767"/>
    <w:rsid w:val="00CD646C"/>
    <w:rsid w:val="00CD73D8"/>
    <w:rsid w:val="00CE1F91"/>
    <w:rsid w:val="00CE2D0E"/>
    <w:rsid w:val="00CE3C48"/>
    <w:rsid w:val="00CF0A46"/>
    <w:rsid w:val="00CF2819"/>
    <w:rsid w:val="00CF28EB"/>
    <w:rsid w:val="00CF29F4"/>
    <w:rsid w:val="00CF2AA2"/>
    <w:rsid w:val="00CF41AB"/>
    <w:rsid w:val="00CF4C08"/>
    <w:rsid w:val="00CF4D47"/>
    <w:rsid w:val="00CF517D"/>
    <w:rsid w:val="00CF5A56"/>
    <w:rsid w:val="00CF769B"/>
    <w:rsid w:val="00D10B31"/>
    <w:rsid w:val="00D11311"/>
    <w:rsid w:val="00D1174C"/>
    <w:rsid w:val="00D11FB3"/>
    <w:rsid w:val="00D12A4C"/>
    <w:rsid w:val="00D12F87"/>
    <w:rsid w:val="00D17769"/>
    <w:rsid w:val="00D21166"/>
    <w:rsid w:val="00D21C5E"/>
    <w:rsid w:val="00D2397D"/>
    <w:rsid w:val="00D24CA6"/>
    <w:rsid w:val="00D25DE9"/>
    <w:rsid w:val="00D2694C"/>
    <w:rsid w:val="00D274CB"/>
    <w:rsid w:val="00D30F17"/>
    <w:rsid w:val="00D30F29"/>
    <w:rsid w:val="00D31045"/>
    <w:rsid w:val="00D34818"/>
    <w:rsid w:val="00D34A68"/>
    <w:rsid w:val="00D3536B"/>
    <w:rsid w:val="00D42651"/>
    <w:rsid w:val="00D441A1"/>
    <w:rsid w:val="00D44C88"/>
    <w:rsid w:val="00D5013D"/>
    <w:rsid w:val="00D50BCB"/>
    <w:rsid w:val="00D543D1"/>
    <w:rsid w:val="00D545FA"/>
    <w:rsid w:val="00D55C14"/>
    <w:rsid w:val="00D56A9F"/>
    <w:rsid w:val="00D66084"/>
    <w:rsid w:val="00D6741D"/>
    <w:rsid w:val="00D70A55"/>
    <w:rsid w:val="00D723D7"/>
    <w:rsid w:val="00D726E6"/>
    <w:rsid w:val="00D74C04"/>
    <w:rsid w:val="00D74DF4"/>
    <w:rsid w:val="00D80BD5"/>
    <w:rsid w:val="00D815FB"/>
    <w:rsid w:val="00D818D9"/>
    <w:rsid w:val="00D82C0F"/>
    <w:rsid w:val="00D859E3"/>
    <w:rsid w:val="00D9004F"/>
    <w:rsid w:val="00D92B85"/>
    <w:rsid w:val="00D93977"/>
    <w:rsid w:val="00D94B31"/>
    <w:rsid w:val="00D950F0"/>
    <w:rsid w:val="00D95805"/>
    <w:rsid w:val="00DA1EB8"/>
    <w:rsid w:val="00DA29EE"/>
    <w:rsid w:val="00DA2E18"/>
    <w:rsid w:val="00DA75E8"/>
    <w:rsid w:val="00DB33E3"/>
    <w:rsid w:val="00DB4ED8"/>
    <w:rsid w:val="00DB54F5"/>
    <w:rsid w:val="00DB7341"/>
    <w:rsid w:val="00DC009B"/>
    <w:rsid w:val="00DC01CC"/>
    <w:rsid w:val="00DC09B4"/>
    <w:rsid w:val="00DC0A2B"/>
    <w:rsid w:val="00DC1CA2"/>
    <w:rsid w:val="00DC3C5E"/>
    <w:rsid w:val="00DC43E1"/>
    <w:rsid w:val="00DC59F9"/>
    <w:rsid w:val="00DC5A91"/>
    <w:rsid w:val="00DC6FE0"/>
    <w:rsid w:val="00DD0ECB"/>
    <w:rsid w:val="00DD234B"/>
    <w:rsid w:val="00DD3290"/>
    <w:rsid w:val="00DD4A63"/>
    <w:rsid w:val="00DD4C0A"/>
    <w:rsid w:val="00DD7350"/>
    <w:rsid w:val="00DE139D"/>
    <w:rsid w:val="00DE22B6"/>
    <w:rsid w:val="00DE28EC"/>
    <w:rsid w:val="00DF07AC"/>
    <w:rsid w:val="00DF17CD"/>
    <w:rsid w:val="00DF2482"/>
    <w:rsid w:val="00DF42AF"/>
    <w:rsid w:val="00DF556D"/>
    <w:rsid w:val="00DF7F6F"/>
    <w:rsid w:val="00E0072A"/>
    <w:rsid w:val="00E00C7A"/>
    <w:rsid w:val="00E00E73"/>
    <w:rsid w:val="00E01809"/>
    <w:rsid w:val="00E03498"/>
    <w:rsid w:val="00E046DC"/>
    <w:rsid w:val="00E050F8"/>
    <w:rsid w:val="00E06B6A"/>
    <w:rsid w:val="00E07406"/>
    <w:rsid w:val="00E12B8B"/>
    <w:rsid w:val="00E12FF0"/>
    <w:rsid w:val="00E13A84"/>
    <w:rsid w:val="00E178BA"/>
    <w:rsid w:val="00E20F8A"/>
    <w:rsid w:val="00E222ED"/>
    <w:rsid w:val="00E23090"/>
    <w:rsid w:val="00E23DF2"/>
    <w:rsid w:val="00E24016"/>
    <w:rsid w:val="00E243F6"/>
    <w:rsid w:val="00E247AA"/>
    <w:rsid w:val="00E2522B"/>
    <w:rsid w:val="00E26534"/>
    <w:rsid w:val="00E26EEC"/>
    <w:rsid w:val="00E324BB"/>
    <w:rsid w:val="00E33615"/>
    <w:rsid w:val="00E33C82"/>
    <w:rsid w:val="00E356BB"/>
    <w:rsid w:val="00E3572F"/>
    <w:rsid w:val="00E36512"/>
    <w:rsid w:val="00E3759E"/>
    <w:rsid w:val="00E40B42"/>
    <w:rsid w:val="00E42CBE"/>
    <w:rsid w:val="00E46055"/>
    <w:rsid w:val="00E47419"/>
    <w:rsid w:val="00E52B80"/>
    <w:rsid w:val="00E54811"/>
    <w:rsid w:val="00E556D9"/>
    <w:rsid w:val="00E56256"/>
    <w:rsid w:val="00E57B76"/>
    <w:rsid w:val="00E60205"/>
    <w:rsid w:val="00E6349B"/>
    <w:rsid w:val="00E63AD5"/>
    <w:rsid w:val="00E6471E"/>
    <w:rsid w:val="00E64763"/>
    <w:rsid w:val="00E64AE3"/>
    <w:rsid w:val="00E716AD"/>
    <w:rsid w:val="00E73ABF"/>
    <w:rsid w:val="00E75524"/>
    <w:rsid w:val="00E77D2C"/>
    <w:rsid w:val="00E80413"/>
    <w:rsid w:val="00E81310"/>
    <w:rsid w:val="00E8208F"/>
    <w:rsid w:val="00E82847"/>
    <w:rsid w:val="00E837CF"/>
    <w:rsid w:val="00E83A41"/>
    <w:rsid w:val="00E912E2"/>
    <w:rsid w:val="00E93E7D"/>
    <w:rsid w:val="00E9408F"/>
    <w:rsid w:val="00E965B8"/>
    <w:rsid w:val="00E96A43"/>
    <w:rsid w:val="00E96BFF"/>
    <w:rsid w:val="00E97692"/>
    <w:rsid w:val="00E97A52"/>
    <w:rsid w:val="00EA345D"/>
    <w:rsid w:val="00EA4356"/>
    <w:rsid w:val="00EA4454"/>
    <w:rsid w:val="00EA4B23"/>
    <w:rsid w:val="00EA5331"/>
    <w:rsid w:val="00EA5892"/>
    <w:rsid w:val="00EA63CF"/>
    <w:rsid w:val="00EA6557"/>
    <w:rsid w:val="00EB07B9"/>
    <w:rsid w:val="00EB0912"/>
    <w:rsid w:val="00EB17B6"/>
    <w:rsid w:val="00EB2ADE"/>
    <w:rsid w:val="00EB325F"/>
    <w:rsid w:val="00EB4B2B"/>
    <w:rsid w:val="00EB5639"/>
    <w:rsid w:val="00EB56F8"/>
    <w:rsid w:val="00EB74BA"/>
    <w:rsid w:val="00EB74CB"/>
    <w:rsid w:val="00EB7664"/>
    <w:rsid w:val="00EC0491"/>
    <w:rsid w:val="00EC1F18"/>
    <w:rsid w:val="00EC3BD8"/>
    <w:rsid w:val="00EC7BB7"/>
    <w:rsid w:val="00ED04A0"/>
    <w:rsid w:val="00ED14D0"/>
    <w:rsid w:val="00ED1FB9"/>
    <w:rsid w:val="00ED29E3"/>
    <w:rsid w:val="00ED46FA"/>
    <w:rsid w:val="00ED4F0E"/>
    <w:rsid w:val="00EE01BC"/>
    <w:rsid w:val="00EE0931"/>
    <w:rsid w:val="00EE30A1"/>
    <w:rsid w:val="00EE5DFB"/>
    <w:rsid w:val="00EE606B"/>
    <w:rsid w:val="00EE6D8B"/>
    <w:rsid w:val="00EE777C"/>
    <w:rsid w:val="00EF0A9C"/>
    <w:rsid w:val="00EF178E"/>
    <w:rsid w:val="00EF4507"/>
    <w:rsid w:val="00EF55F2"/>
    <w:rsid w:val="00EF6A16"/>
    <w:rsid w:val="00EF7926"/>
    <w:rsid w:val="00EF7A7B"/>
    <w:rsid w:val="00F00365"/>
    <w:rsid w:val="00F00D0C"/>
    <w:rsid w:val="00F02006"/>
    <w:rsid w:val="00F10766"/>
    <w:rsid w:val="00F12979"/>
    <w:rsid w:val="00F154F5"/>
    <w:rsid w:val="00F15AD7"/>
    <w:rsid w:val="00F1642F"/>
    <w:rsid w:val="00F17CA0"/>
    <w:rsid w:val="00F202DD"/>
    <w:rsid w:val="00F26917"/>
    <w:rsid w:val="00F271D9"/>
    <w:rsid w:val="00F27B9C"/>
    <w:rsid w:val="00F3075C"/>
    <w:rsid w:val="00F33772"/>
    <w:rsid w:val="00F41B94"/>
    <w:rsid w:val="00F41E13"/>
    <w:rsid w:val="00F4349A"/>
    <w:rsid w:val="00F438F5"/>
    <w:rsid w:val="00F44622"/>
    <w:rsid w:val="00F462C2"/>
    <w:rsid w:val="00F472D4"/>
    <w:rsid w:val="00F47D39"/>
    <w:rsid w:val="00F47D3C"/>
    <w:rsid w:val="00F51885"/>
    <w:rsid w:val="00F529ED"/>
    <w:rsid w:val="00F56F5C"/>
    <w:rsid w:val="00F6238F"/>
    <w:rsid w:val="00F63F2B"/>
    <w:rsid w:val="00F63FD1"/>
    <w:rsid w:val="00F641F9"/>
    <w:rsid w:val="00F656E4"/>
    <w:rsid w:val="00F65CBF"/>
    <w:rsid w:val="00F660F7"/>
    <w:rsid w:val="00F67E4B"/>
    <w:rsid w:val="00F7015E"/>
    <w:rsid w:val="00F70F3F"/>
    <w:rsid w:val="00F7149B"/>
    <w:rsid w:val="00F73D52"/>
    <w:rsid w:val="00F8046B"/>
    <w:rsid w:val="00F85377"/>
    <w:rsid w:val="00F87EC9"/>
    <w:rsid w:val="00F92E02"/>
    <w:rsid w:val="00F93A19"/>
    <w:rsid w:val="00F95652"/>
    <w:rsid w:val="00F958B5"/>
    <w:rsid w:val="00FA366E"/>
    <w:rsid w:val="00FA6047"/>
    <w:rsid w:val="00FA6189"/>
    <w:rsid w:val="00FA68E8"/>
    <w:rsid w:val="00FB1117"/>
    <w:rsid w:val="00FB39A9"/>
    <w:rsid w:val="00FB7C80"/>
    <w:rsid w:val="00FC1306"/>
    <w:rsid w:val="00FC1B3B"/>
    <w:rsid w:val="00FC6794"/>
    <w:rsid w:val="00FD1263"/>
    <w:rsid w:val="00FD3E62"/>
    <w:rsid w:val="00FD4E3B"/>
    <w:rsid w:val="00FD78A3"/>
    <w:rsid w:val="00FE5F55"/>
    <w:rsid w:val="00FF1D06"/>
    <w:rsid w:val="00FF41C5"/>
    <w:rsid w:val="00FF423B"/>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693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EEF"/>
    <w:pPr>
      <w:spacing w:after="100" w:line="360" w:lineRule="auto"/>
      <w:jc w:val="both"/>
    </w:pPr>
    <w:rPr>
      <w:rFonts w:ascii="Times New Roman" w:hAnsi="Times New Roman"/>
      <w:sz w:val="24"/>
      <w:lang w:val="en-US"/>
    </w:rPr>
  </w:style>
  <w:style w:type="paragraph" w:styleId="Titre1">
    <w:name w:val="heading 1"/>
    <w:basedOn w:val="Normal"/>
    <w:next w:val="Normal"/>
    <w:link w:val="Titre1Car"/>
    <w:uiPriority w:val="9"/>
    <w:qFormat/>
    <w:rsid w:val="00085412"/>
    <w:pPr>
      <w:keepNext/>
      <w:keepLines/>
      <w:numPr>
        <w:numId w:val="2"/>
      </w:numPr>
      <w:spacing w:before="240" w:after="0"/>
      <w:ind w:left="357" w:hanging="357"/>
      <w:outlineLvl w:val="0"/>
    </w:pPr>
    <w:rPr>
      <w:rFonts w:asciiTheme="majorHAnsi" w:eastAsiaTheme="majorEastAsia" w:hAnsiTheme="majorHAnsi" w:cstheme="majorBidi"/>
      <w:b/>
      <w:bCs/>
      <w:color w:val="000000" w:themeColor="text1"/>
      <w:sz w:val="28"/>
      <w:szCs w:val="28"/>
    </w:rPr>
  </w:style>
  <w:style w:type="paragraph" w:styleId="Titre2">
    <w:name w:val="heading 2"/>
    <w:basedOn w:val="Normal"/>
    <w:next w:val="Normal"/>
    <w:link w:val="Titre2Car"/>
    <w:uiPriority w:val="9"/>
    <w:unhideWhenUsed/>
    <w:qFormat/>
    <w:rsid w:val="00C3373C"/>
    <w:pPr>
      <w:keepNext/>
      <w:keepLines/>
      <w:numPr>
        <w:ilvl w:val="1"/>
        <w:numId w:val="3"/>
      </w:numPr>
      <w:spacing w:before="200" w:after="0"/>
      <w:outlineLvl w:val="1"/>
    </w:pPr>
    <w:rPr>
      <w:rFonts w:asciiTheme="majorHAnsi" w:eastAsiaTheme="majorEastAsia" w:hAnsiTheme="majorHAnsi" w:cstheme="majorBidi"/>
      <w:b/>
      <w:bCs/>
      <w:color w:val="000000" w:themeColor="text1"/>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AB7B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8E3B3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E3B30"/>
    <w:rPr>
      <w:rFonts w:ascii="Tahoma" w:hAnsi="Tahoma" w:cs="Tahoma"/>
      <w:sz w:val="16"/>
      <w:szCs w:val="16"/>
    </w:rPr>
  </w:style>
  <w:style w:type="paragraph" w:styleId="Bibliographie">
    <w:name w:val="Bibliography"/>
    <w:basedOn w:val="Normal"/>
    <w:next w:val="Normal"/>
    <w:uiPriority w:val="37"/>
    <w:unhideWhenUsed/>
    <w:rsid w:val="003046F2"/>
    <w:pPr>
      <w:spacing w:after="0" w:line="480" w:lineRule="auto"/>
      <w:ind w:left="720" w:hanging="720"/>
    </w:pPr>
  </w:style>
  <w:style w:type="paragraph" w:styleId="PrformatHTML">
    <w:name w:val="HTML Preformatted"/>
    <w:basedOn w:val="Normal"/>
    <w:link w:val="PrformatHTMLCar"/>
    <w:uiPriority w:val="99"/>
    <w:semiHidden/>
    <w:unhideWhenUsed/>
    <w:rsid w:val="00DC3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BE"/>
    </w:rPr>
  </w:style>
  <w:style w:type="character" w:customStyle="1" w:styleId="PrformatHTMLCar">
    <w:name w:val="Préformaté HTML Car"/>
    <w:basedOn w:val="Policepardfaut"/>
    <w:link w:val="PrformatHTML"/>
    <w:uiPriority w:val="99"/>
    <w:semiHidden/>
    <w:rsid w:val="00DC3C5E"/>
    <w:rPr>
      <w:rFonts w:ascii="Courier New" w:eastAsia="Times New Roman" w:hAnsi="Courier New" w:cs="Courier New"/>
      <w:sz w:val="20"/>
      <w:szCs w:val="20"/>
      <w:lang w:eastAsia="fr-BE"/>
    </w:rPr>
  </w:style>
  <w:style w:type="paragraph" w:styleId="Lgende">
    <w:name w:val="caption"/>
    <w:basedOn w:val="Normal"/>
    <w:next w:val="Normal"/>
    <w:uiPriority w:val="35"/>
    <w:unhideWhenUsed/>
    <w:qFormat/>
    <w:rsid w:val="00C87F4B"/>
    <w:pPr>
      <w:spacing w:line="240" w:lineRule="auto"/>
    </w:pPr>
    <w:rPr>
      <w:b/>
      <w:bCs/>
      <w:color w:val="4F81BD" w:themeColor="accent1"/>
      <w:sz w:val="18"/>
      <w:szCs w:val="18"/>
    </w:rPr>
  </w:style>
  <w:style w:type="paragraph" w:styleId="Notedebasdepage">
    <w:name w:val="footnote text"/>
    <w:basedOn w:val="Normal"/>
    <w:link w:val="NotedebasdepageCar"/>
    <w:uiPriority w:val="99"/>
    <w:unhideWhenUsed/>
    <w:rsid w:val="00540765"/>
    <w:pPr>
      <w:spacing w:after="0" w:line="240" w:lineRule="auto"/>
    </w:pPr>
    <w:rPr>
      <w:rFonts w:eastAsiaTheme="minorEastAsia"/>
      <w:sz w:val="20"/>
      <w:szCs w:val="20"/>
      <w:lang w:eastAsia="fr-BE"/>
    </w:rPr>
  </w:style>
  <w:style w:type="character" w:customStyle="1" w:styleId="NotedebasdepageCar">
    <w:name w:val="Note de bas de page Car"/>
    <w:basedOn w:val="Policepardfaut"/>
    <w:link w:val="Notedebasdepage"/>
    <w:uiPriority w:val="99"/>
    <w:rsid w:val="00540765"/>
    <w:rPr>
      <w:rFonts w:ascii="Times New Roman" w:eastAsiaTheme="minorEastAsia" w:hAnsi="Times New Roman"/>
      <w:sz w:val="20"/>
      <w:szCs w:val="20"/>
      <w:lang w:val="en-US" w:eastAsia="fr-BE"/>
    </w:rPr>
  </w:style>
  <w:style w:type="character" w:styleId="Appelnotedebasdep">
    <w:name w:val="footnote reference"/>
    <w:basedOn w:val="Policepardfaut"/>
    <w:uiPriority w:val="99"/>
    <w:semiHidden/>
    <w:unhideWhenUsed/>
    <w:rsid w:val="00540765"/>
    <w:rPr>
      <w:vertAlign w:val="superscript"/>
    </w:rPr>
  </w:style>
  <w:style w:type="paragraph" w:styleId="En-tte">
    <w:name w:val="header"/>
    <w:basedOn w:val="Normal"/>
    <w:link w:val="En-tteCar"/>
    <w:uiPriority w:val="99"/>
    <w:unhideWhenUsed/>
    <w:rsid w:val="00143CD7"/>
    <w:pPr>
      <w:tabs>
        <w:tab w:val="center" w:pos="4536"/>
        <w:tab w:val="right" w:pos="9072"/>
      </w:tabs>
      <w:spacing w:after="0" w:line="240" w:lineRule="auto"/>
    </w:pPr>
  </w:style>
  <w:style w:type="character" w:customStyle="1" w:styleId="En-tteCar">
    <w:name w:val="En-tête Car"/>
    <w:basedOn w:val="Policepardfaut"/>
    <w:link w:val="En-tte"/>
    <w:uiPriority w:val="99"/>
    <w:rsid w:val="00143CD7"/>
    <w:rPr>
      <w:rFonts w:ascii="Times New Roman" w:hAnsi="Times New Roman"/>
      <w:sz w:val="24"/>
    </w:rPr>
  </w:style>
  <w:style w:type="paragraph" w:styleId="Pieddepage">
    <w:name w:val="footer"/>
    <w:basedOn w:val="Normal"/>
    <w:link w:val="PieddepageCar"/>
    <w:uiPriority w:val="99"/>
    <w:unhideWhenUsed/>
    <w:rsid w:val="00143CD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43CD7"/>
    <w:rPr>
      <w:rFonts w:ascii="Times New Roman" w:hAnsi="Times New Roman"/>
      <w:sz w:val="24"/>
    </w:rPr>
  </w:style>
  <w:style w:type="paragraph" w:styleId="Paragraphedeliste">
    <w:name w:val="List Paragraph"/>
    <w:basedOn w:val="Normal"/>
    <w:uiPriority w:val="34"/>
    <w:qFormat/>
    <w:rsid w:val="000A0C12"/>
    <w:pPr>
      <w:ind w:left="720"/>
      <w:contextualSpacing/>
    </w:pPr>
  </w:style>
  <w:style w:type="paragraph" w:styleId="NormalWeb">
    <w:name w:val="Normal (Web)"/>
    <w:basedOn w:val="Normal"/>
    <w:uiPriority w:val="99"/>
    <w:unhideWhenUsed/>
    <w:rsid w:val="00BE0238"/>
    <w:pPr>
      <w:spacing w:before="100" w:beforeAutospacing="1" w:afterAutospacing="1" w:line="240" w:lineRule="auto"/>
    </w:pPr>
    <w:rPr>
      <w:rFonts w:eastAsia="Times New Roman" w:cs="Times New Roman"/>
      <w:szCs w:val="24"/>
      <w:lang w:eastAsia="fr-BE"/>
    </w:rPr>
  </w:style>
  <w:style w:type="character" w:customStyle="1" w:styleId="Titre1Car">
    <w:name w:val="Titre 1 Car"/>
    <w:basedOn w:val="Policepardfaut"/>
    <w:link w:val="Titre1"/>
    <w:uiPriority w:val="9"/>
    <w:rsid w:val="00085412"/>
    <w:rPr>
      <w:rFonts w:asciiTheme="majorHAnsi" w:eastAsiaTheme="majorEastAsia" w:hAnsiTheme="majorHAnsi" w:cstheme="majorBidi"/>
      <w:b/>
      <w:bCs/>
      <w:color w:val="000000" w:themeColor="text1"/>
      <w:sz w:val="28"/>
      <w:szCs w:val="28"/>
      <w:lang w:val="en-US"/>
    </w:rPr>
  </w:style>
  <w:style w:type="character" w:customStyle="1" w:styleId="Titre2Car">
    <w:name w:val="Titre 2 Car"/>
    <w:basedOn w:val="Policepardfaut"/>
    <w:link w:val="Titre2"/>
    <w:uiPriority w:val="9"/>
    <w:rsid w:val="00C3373C"/>
    <w:rPr>
      <w:rFonts w:asciiTheme="majorHAnsi" w:eastAsiaTheme="majorEastAsia" w:hAnsiTheme="majorHAnsi" w:cstheme="majorBidi"/>
      <w:b/>
      <w:bCs/>
      <w:color w:val="000000" w:themeColor="text1"/>
      <w:sz w:val="24"/>
      <w:szCs w:val="26"/>
      <w:lang w:val="en-US"/>
    </w:rPr>
  </w:style>
  <w:style w:type="character" w:styleId="Appeldenotedefin">
    <w:name w:val="endnote reference"/>
    <w:basedOn w:val="Policepardfaut"/>
    <w:uiPriority w:val="99"/>
    <w:semiHidden/>
    <w:unhideWhenUsed/>
    <w:rsid w:val="00910F70"/>
    <w:rPr>
      <w:vertAlign w:val="superscript"/>
    </w:rPr>
  </w:style>
  <w:style w:type="character" w:styleId="Textedelespacerserv">
    <w:name w:val="Placeholder Text"/>
    <w:basedOn w:val="Policepardfaut"/>
    <w:uiPriority w:val="99"/>
    <w:semiHidden/>
    <w:rsid w:val="008964C0"/>
    <w:rPr>
      <w:color w:val="808080"/>
    </w:rPr>
  </w:style>
  <w:style w:type="paragraph" w:styleId="Notedefin">
    <w:name w:val="endnote text"/>
    <w:basedOn w:val="Normal"/>
    <w:link w:val="NotedefinCar"/>
    <w:uiPriority w:val="99"/>
    <w:semiHidden/>
    <w:unhideWhenUsed/>
    <w:rsid w:val="005D78A3"/>
    <w:pPr>
      <w:spacing w:after="0" w:line="240" w:lineRule="auto"/>
    </w:pPr>
    <w:rPr>
      <w:sz w:val="20"/>
      <w:szCs w:val="20"/>
    </w:rPr>
  </w:style>
  <w:style w:type="character" w:customStyle="1" w:styleId="NotedefinCar">
    <w:name w:val="Note de fin Car"/>
    <w:basedOn w:val="Policepardfaut"/>
    <w:link w:val="Notedefin"/>
    <w:uiPriority w:val="99"/>
    <w:semiHidden/>
    <w:rsid w:val="005D78A3"/>
    <w:rPr>
      <w:rFonts w:ascii="Times New Roman" w:hAnsi="Times New Roman"/>
      <w:sz w:val="20"/>
      <w:szCs w:val="20"/>
    </w:rPr>
  </w:style>
  <w:style w:type="character" w:styleId="Lienhypertexte">
    <w:name w:val="Hyperlink"/>
    <w:basedOn w:val="Policepardfaut"/>
    <w:uiPriority w:val="99"/>
    <w:unhideWhenUsed/>
    <w:rsid w:val="00B74CE2"/>
    <w:rPr>
      <w:color w:val="0000FF" w:themeColor="hyperlink"/>
      <w:u w:val="single"/>
    </w:rPr>
  </w:style>
  <w:style w:type="character" w:styleId="Lienhypertextesuivivisit">
    <w:name w:val="FollowedHyperlink"/>
    <w:basedOn w:val="Policepardfaut"/>
    <w:uiPriority w:val="99"/>
    <w:semiHidden/>
    <w:unhideWhenUsed/>
    <w:rsid w:val="00CC6FED"/>
    <w:rPr>
      <w:color w:val="800080" w:themeColor="followedHyperlink"/>
      <w:u w:val="single"/>
    </w:rPr>
  </w:style>
  <w:style w:type="character" w:styleId="Marquedecommentaire">
    <w:name w:val="annotation reference"/>
    <w:basedOn w:val="Policepardfaut"/>
    <w:uiPriority w:val="99"/>
    <w:semiHidden/>
    <w:unhideWhenUsed/>
    <w:rsid w:val="00085F3B"/>
    <w:rPr>
      <w:sz w:val="18"/>
      <w:szCs w:val="18"/>
    </w:rPr>
  </w:style>
  <w:style w:type="paragraph" w:styleId="Commentaire">
    <w:name w:val="annotation text"/>
    <w:basedOn w:val="Normal"/>
    <w:link w:val="CommentaireCar"/>
    <w:uiPriority w:val="99"/>
    <w:semiHidden/>
    <w:unhideWhenUsed/>
    <w:rsid w:val="00085F3B"/>
    <w:pPr>
      <w:spacing w:line="240" w:lineRule="auto"/>
    </w:pPr>
    <w:rPr>
      <w:szCs w:val="24"/>
    </w:rPr>
  </w:style>
  <w:style w:type="character" w:customStyle="1" w:styleId="CommentaireCar">
    <w:name w:val="Commentaire Car"/>
    <w:basedOn w:val="Policepardfaut"/>
    <w:link w:val="Commentaire"/>
    <w:uiPriority w:val="99"/>
    <w:semiHidden/>
    <w:rsid w:val="00085F3B"/>
    <w:rPr>
      <w:rFonts w:ascii="Times New Roman" w:hAnsi="Times New Roman"/>
      <w:sz w:val="24"/>
      <w:szCs w:val="24"/>
      <w:lang w:val="en-US"/>
    </w:rPr>
  </w:style>
  <w:style w:type="paragraph" w:styleId="Objetducommentaire">
    <w:name w:val="annotation subject"/>
    <w:basedOn w:val="Commentaire"/>
    <w:next w:val="Commentaire"/>
    <w:link w:val="ObjetducommentaireCar"/>
    <w:uiPriority w:val="99"/>
    <w:semiHidden/>
    <w:unhideWhenUsed/>
    <w:rsid w:val="00085F3B"/>
    <w:rPr>
      <w:b/>
      <w:bCs/>
      <w:sz w:val="20"/>
      <w:szCs w:val="20"/>
    </w:rPr>
  </w:style>
  <w:style w:type="character" w:customStyle="1" w:styleId="ObjetducommentaireCar">
    <w:name w:val="Objet du commentaire Car"/>
    <w:basedOn w:val="CommentaireCar"/>
    <w:link w:val="Objetducommentaire"/>
    <w:uiPriority w:val="99"/>
    <w:semiHidden/>
    <w:rsid w:val="00085F3B"/>
    <w:rPr>
      <w:rFonts w:ascii="Times New Roman" w:hAnsi="Times New Roman"/>
      <w:b/>
      <w:bCs/>
      <w:sz w:val="20"/>
      <w:szCs w:val="20"/>
      <w:lang w:val="en-US"/>
    </w:rPr>
  </w:style>
  <w:style w:type="paragraph" w:styleId="Explorateurdedocuments">
    <w:name w:val="Document Map"/>
    <w:basedOn w:val="Normal"/>
    <w:link w:val="ExplorateurdedocumentsCar"/>
    <w:uiPriority w:val="99"/>
    <w:semiHidden/>
    <w:unhideWhenUsed/>
    <w:rsid w:val="00580C1E"/>
    <w:pPr>
      <w:spacing w:after="0" w:line="240" w:lineRule="auto"/>
    </w:pPr>
    <w:rPr>
      <w:rFonts w:ascii="Lucida Grande" w:hAnsi="Lucida Grande" w:cs="Lucida Grande"/>
      <w:szCs w:val="24"/>
    </w:rPr>
  </w:style>
  <w:style w:type="character" w:customStyle="1" w:styleId="ExplorateurdedocumentsCar">
    <w:name w:val="Explorateur de documents Car"/>
    <w:basedOn w:val="Policepardfaut"/>
    <w:link w:val="Explorateurdedocuments"/>
    <w:uiPriority w:val="99"/>
    <w:semiHidden/>
    <w:rsid w:val="00580C1E"/>
    <w:rPr>
      <w:rFonts w:ascii="Lucida Grande" w:hAnsi="Lucida Grande" w:cs="Lucida Grande"/>
      <w:sz w:val="24"/>
      <w:szCs w:val="24"/>
      <w:lang w:val="en-US"/>
    </w:rPr>
  </w:style>
  <w:style w:type="character" w:customStyle="1" w:styleId="cit">
    <w:name w:val="cit"/>
    <w:basedOn w:val="Policepardfaut"/>
    <w:rsid w:val="00C37DE5"/>
  </w:style>
  <w:style w:type="character" w:customStyle="1" w:styleId="doi">
    <w:name w:val="doi"/>
    <w:basedOn w:val="Policepardfaut"/>
    <w:rsid w:val="00C37D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EEF"/>
    <w:pPr>
      <w:spacing w:after="100" w:line="360" w:lineRule="auto"/>
      <w:jc w:val="both"/>
    </w:pPr>
    <w:rPr>
      <w:rFonts w:ascii="Times New Roman" w:hAnsi="Times New Roman"/>
      <w:sz w:val="24"/>
      <w:lang w:val="en-US"/>
    </w:rPr>
  </w:style>
  <w:style w:type="paragraph" w:styleId="Titre1">
    <w:name w:val="heading 1"/>
    <w:basedOn w:val="Normal"/>
    <w:next w:val="Normal"/>
    <w:link w:val="Titre1Car"/>
    <w:uiPriority w:val="9"/>
    <w:qFormat/>
    <w:rsid w:val="00085412"/>
    <w:pPr>
      <w:keepNext/>
      <w:keepLines/>
      <w:numPr>
        <w:numId w:val="2"/>
      </w:numPr>
      <w:spacing w:before="240" w:after="0"/>
      <w:ind w:left="357" w:hanging="357"/>
      <w:outlineLvl w:val="0"/>
    </w:pPr>
    <w:rPr>
      <w:rFonts w:asciiTheme="majorHAnsi" w:eastAsiaTheme="majorEastAsia" w:hAnsiTheme="majorHAnsi" w:cstheme="majorBidi"/>
      <w:b/>
      <w:bCs/>
      <w:color w:val="000000" w:themeColor="text1"/>
      <w:sz w:val="28"/>
      <w:szCs w:val="28"/>
    </w:rPr>
  </w:style>
  <w:style w:type="paragraph" w:styleId="Titre2">
    <w:name w:val="heading 2"/>
    <w:basedOn w:val="Normal"/>
    <w:next w:val="Normal"/>
    <w:link w:val="Titre2Car"/>
    <w:uiPriority w:val="9"/>
    <w:unhideWhenUsed/>
    <w:qFormat/>
    <w:rsid w:val="00C3373C"/>
    <w:pPr>
      <w:keepNext/>
      <w:keepLines/>
      <w:numPr>
        <w:ilvl w:val="1"/>
        <w:numId w:val="3"/>
      </w:numPr>
      <w:spacing w:before="200" w:after="0"/>
      <w:outlineLvl w:val="1"/>
    </w:pPr>
    <w:rPr>
      <w:rFonts w:asciiTheme="majorHAnsi" w:eastAsiaTheme="majorEastAsia" w:hAnsiTheme="majorHAnsi" w:cstheme="majorBidi"/>
      <w:b/>
      <w:bCs/>
      <w:color w:val="000000" w:themeColor="text1"/>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AB7B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8E3B3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E3B30"/>
    <w:rPr>
      <w:rFonts w:ascii="Tahoma" w:hAnsi="Tahoma" w:cs="Tahoma"/>
      <w:sz w:val="16"/>
      <w:szCs w:val="16"/>
    </w:rPr>
  </w:style>
  <w:style w:type="paragraph" w:styleId="Bibliographie">
    <w:name w:val="Bibliography"/>
    <w:basedOn w:val="Normal"/>
    <w:next w:val="Normal"/>
    <w:uiPriority w:val="37"/>
    <w:unhideWhenUsed/>
    <w:rsid w:val="003046F2"/>
    <w:pPr>
      <w:spacing w:after="0" w:line="480" w:lineRule="auto"/>
      <w:ind w:left="720" w:hanging="720"/>
    </w:pPr>
  </w:style>
  <w:style w:type="paragraph" w:styleId="PrformatHTML">
    <w:name w:val="HTML Preformatted"/>
    <w:basedOn w:val="Normal"/>
    <w:link w:val="PrformatHTMLCar"/>
    <w:uiPriority w:val="99"/>
    <w:semiHidden/>
    <w:unhideWhenUsed/>
    <w:rsid w:val="00DC3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BE"/>
    </w:rPr>
  </w:style>
  <w:style w:type="character" w:customStyle="1" w:styleId="PrformatHTMLCar">
    <w:name w:val="Préformaté HTML Car"/>
    <w:basedOn w:val="Policepardfaut"/>
    <w:link w:val="PrformatHTML"/>
    <w:uiPriority w:val="99"/>
    <w:semiHidden/>
    <w:rsid w:val="00DC3C5E"/>
    <w:rPr>
      <w:rFonts w:ascii="Courier New" w:eastAsia="Times New Roman" w:hAnsi="Courier New" w:cs="Courier New"/>
      <w:sz w:val="20"/>
      <w:szCs w:val="20"/>
      <w:lang w:eastAsia="fr-BE"/>
    </w:rPr>
  </w:style>
  <w:style w:type="paragraph" w:styleId="Lgende">
    <w:name w:val="caption"/>
    <w:basedOn w:val="Normal"/>
    <w:next w:val="Normal"/>
    <w:uiPriority w:val="35"/>
    <w:unhideWhenUsed/>
    <w:qFormat/>
    <w:rsid w:val="00C87F4B"/>
    <w:pPr>
      <w:spacing w:line="240" w:lineRule="auto"/>
    </w:pPr>
    <w:rPr>
      <w:b/>
      <w:bCs/>
      <w:color w:val="4F81BD" w:themeColor="accent1"/>
      <w:sz w:val="18"/>
      <w:szCs w:val="18"/>
    </w:rPr>
  </w:style>
  <w:style w:type="paragraph" w:styleId="Notedebasdepage">
    <w:name w:val="footnote text"/>
    <w:basedOn w:val="Normal"/>
    <w:link w:val="NotedebasdepageCar"/>
    <w:uiPriority w:val="99"/>
    <w:unhideWhenUsed/>
    <w:rsid w:val="00540765"/>
    <w:pPr>
      <w:spacing w:after="0" w:line="240" w:lineRule="auto"/>
    </w:pPr>
    <w:rPr>
      <w:rFonts w:eastAsiaTheme="minorEastAsia"/>
      <w:sz w:val="20"/>
      <w:szCs w:val="20"/>
      <w:lang w:eastAsia="fr-BE"/>
    </w:rPr>
  </w:style>
  <w:style w:type="character" w:customStyle="1" w:styleId="NotedebasdepageCar">
    <w:name w:val="Note de bas de page Car"/>
    <w:basedOn w:val="Policepardfaut"/>
    <w:link w:val="Notedebasdepage"/>
    <w:uiPriority w:val="99"/>
    <w:rsid w:val="00540765"/>
    <w:rPr>
      <w:rFonts w:ascii="Times New Roman" w:eastAsiaTheme="minorEastAsia" w:hAnsi="Times New Roman"/>
      <w:sz w:val="20"/>
      <w:szCs w:val="20"/>
      <w:lang w:val="en-US" w:eastAsia="fr-BE"/>
    </w:rPr>
  </w:style>
  <w:style w:type="character" w:styleId="Appelnotedebasdep">
    <w:name w:val="footnote reference"/>
    <w:basedOn w:val="Policepardfaut"/>
    <w:uiPriority w:val="99"/>
    <w:semiHidden/>
    <w:unhideWhenUsed/>
    <w:rsid w:val="00540765"/>
    <w:rPr>
      <w:vertAlign w:val="superscript"/>
    </w:rPr>
  </w:style>
  <w:style w:type="paragraph" w:styleId="En-tte">
    <w:name w:val="header"/>
    <w:basedOn w:val="Normal"/>
    <w:link w:val="En-tteCar"/>
    <w:uiPriority w:val="99"/>
    <w:unhideWhenUsed/>
    <w:rsid w:val="00143CD7"/>
    <w:pPr>
      <w:tabs>
        <w:tab w:val="center" w:pos="4536"/>
        <w:tab w:val="right" w:pos="9072"/>
      </w:tabs>
      <w:spacing w:after="0" w:line="240" w:lineRule="auto"/>
    </w:pPr>
  </w:style>
  <w:style w:type="character" w:customStyle="1" w:styleId="En-tteCar">
    <w:name w:val="En-tête Car"/>
    <w:basedOn w:val="Policepardfaut"/>
    <w:link w:val="En-tte"/>
    <w:uiPriority w:val="99"/>
    <w:rsid w:val="00143CD7"/>
    <w:rPr>
      <w:rFonts w:ascii="Times New Roman" w:hAnsi="Times New Roman"/>
      <w:sz w:val="24"/>
    </w:rPr>
  </w:style>
  <w:style w:type="paragraph" w:styleId="Pieddepage">
    <w:name w:val="footer"/>
    <w:basedOn w:val="Normal"/>
    <w:link w:val="PieddepageCar"/>
    <w:uiPriority w:val="99"/>
    <w:unhideWhenUsed/>
    <w:rsid w:val="00143CD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43CD7"/>
    <w:rPr>
      <w:rFonts w:ascii="Times New Roman" w:hAnsi="Times New Roman"/>
      <w:sz w:val="24"/>
    </w:rPr>
  </w:style>
  <w:style w:type="paragraph" w:styleId="Paragraphedeliste">
    <w:name w:val="List Paragraph"/>
    <w:basedOn w:val="Normal"/>
    <w:uiPriority w:val="34"/>
    <w:qFormat/>
    <w:rsid w:val="000A0C12"/>
    <w:pPr>
      <w:ind w:left="720"/>
      <w:contextualSpacing/>
    </w:pPr>
  </w:style>
  <w:style w:type="paragraph" w:styleId="NormalWeb">
    <w:name w:val="Normal (Web)"/>
    <w:basedOn w:val="Normal"/>
    <w:uiPriority w:val="99"/>
    <w:unhideWhenUsed/>
    <w:rsid w:val="00BE0238"/>
    <w:pPr>
      <w:spacing w:before="100" w:beforeAutospacing="1" w:afterAutospacing="1" w:line="240" w:lineRule="auto"/>
    </w:pPr>
    <w:rPr>
      <w:rFonts w:eastAsia="Times New Roman" w:cs="Times New Roman"/>
      <w:szCs w:val="24"/>
      <w:lang w:eastAsia="fr-BE"/>
    </w:rPr>
  </w:style>
  <w:style w:type="character" w:customStyle="1" w:styleId="Titre1Car">
    <w:name w:val="Titre 1 Car"/>
    <w:basedOn w:val="Policepardfaut"/>
    <w:link w:val="Titre1"/>
    <w:uiPriority w:val="9"/>
    <w:rsid w:val="00085412"/>
    <w:rPr>
      <w:rFonts w:asciiTheme="majorHAnsi" w:eastAsiaTheme="majorEastAsia" w:hAnsiTheme="majorHAnsi" w:cstheme="majorBidi"/>
      <w:b/>
      <w:bCs/>
      <w:color w:val="000000" w:themeColor="text1"/>
      <w:sz w:val="28"/>
      <w:szCs w:val="28"/>
      <w:lang w:val="en-US"/>
    </w:rPr>
  </w:style>
  <w:style w:type="character" w:customStyle="1" w:styleId="Titre2Car">
    <w:name w:val="Titre 2 Car"/>
    <w:basedOn w:val="Policepardfaut"/>
    <w:link w:val="Titre2"/>
    <w:uiPriority w:val="9"/>
    <w:rsid w:val="00C3373C"/>
    <w:rPr>
      <w:rFonts w:asciiTheme="majorHAnsi" w:eastAsiaTheme="majorEastAsia" w:hAnsiTheme="majorHAnsi" w:cstheme="majorBidi"/>
      <w:b/>
      <w:bCs/>
      <w:color w:val="000000" w:themeColor="text1"/>
      <w:sz w:val="24"/>
      <w:szCs w:val="26"/>
      <w:lang w:val="en-US"/>
    </w:rPr>
  </w:style>
  <w:style w:type="character" w:styleId="Appeldenotedefin">
    <w:name w:val="endnote reference"/>
    <w:basedOn w:val="Policepardfaut"/>
    <w:uiPriority w:val="99"/>
    <w:semiHidden/>
    <w:unhideWhenUsed/>
    <w:rsid w:val="00910F70"/>
    <w:rPr>
      <w:vertAlign w:val="superscript"/>
    </w:rPr>
  </w:style>
  <w:style w:type="character" w:styleId="Textedelespacerserv">
    <w:name w:val="Placeholder Text"/>
    <w:basedOn w:val="Policepardfaut"/>
    <w:uiPriority w:val="99"/>
    <w:semiHidden/>
    <w:rsid w:val="008964C0"/>
    <w:rPr>
      <w:color w:val="808080"/>
    </w:rPr>
  </w:style>
  <w:style w:type="paragraph" w:styleId="Notedefin">
    <w:name w:val="endnote text"/>
    <w:basedOn w:val="Normal"/>
    <w:link w:val="NotedefinCar"/>
    <w:uiPriority w:val="99"/>
    <w:semiHidden/>
    <w:unhideWhenUsed/>
    <w:rsid w:val="005D78A3"/>
    <w:pPr>
      <w:spacing w:after="0" w:line="240" w:lineRule="auto"/>
    </w:pPr>
    <w:rPr>
      <w:sz w:val="20"/>
      <w:szCs w:val="20"/>
    </w:rPr>
  </w:style>
  <w:style w:type="character" w:customStyle="1" w:styleId="NotedefinCar">
    <w:name w:val="Note de fin Car"/>
    <w:basedOn w:val="Policepardfaut"/>
    <w:link w:val="Notedefin"/>
    <w:uiPriority w:val="99"/>
    <w:semiHidden/>
    <w:rsid w:val="005D78A3"/>
    <w:rPr>
      <w:rFonts w:ascii="Times New Roman" w:hAnsi="Times New Roman"/>
      <w:sz w:val="20"/>
      <w:szCs w:val="20"/>
    </w:rPr>
  </w:style>
  <w:style w:type="character" w:styleId="Lienhypertexte">
    <w:name w:val="Hyperlink"/>
    <w:basedOn w:val="Policepardfaut"/>
    <w:uiPriority w:val="99"/>
    <w:unhideWhenUsed/>
    <w:rsid w:val="00B74CE2"/>
    <w:rPr>
      <w:color w:val="0000FF" w:themeColor="hyperlink"/>
      <w:u w:val="single"/>
    </w:rPr>
  </w:style>
  <w:style w:type="character" w:styleId="Lienhypertextesuivivisit">
    <w:name w:val="FollowedHyperlink"/>
    <w:basedOn w:val="Policepardfaut"/>
    <w:uiPriority w:val="99"/>
    <w:semiHidden/>
    <w:unhideWhenUsed/>
    <w:rsid w:val="00CC6FED"/>
    <w:rPr>
      <w:color w:val="800080" w:themeColor="followedHyperlink"/>
      <w:u w:val="single"/>
    </w:rPr>
  </w:style>
  <w:style w:type="character" w:styleId="Marquedecommentaire">
    <w:name w:val="annotation reference"/>
    <w:basedOn w:val="Policepardfaut"/>
    <w:uiPriority w:val="99"/>
    <w:semiHidden/>
    <w:unhideWhenUsed/>
    <w:rsid w:val="00085F3B"/>
    <w:rPr>
      <w:sz w:val="18"/>
      <w:szCs w:val="18"/>
    </w:rPr>
  </w:style>
  <w:style w:type="paragraph" w:styleId="Commentaire">
    <w:name w:val="annotation text"/>
    <w:basedOn w:val="Normal"/>
    <w:link w:val="CommentaireCar"/>
    <w:uiPriority w:val="99"/>
    <w:semiHidden/>
    <w:unhideWhenUsed/>
    <w:rsid w:val="00085F3B"/>
    <w:pPr>
      <w:spacing w:line="240" w:lineRule="auto"/>
    </w:pPr>
    <w:rPr>
      <w:szCs w:val="24"/>
    </w:rPr>
  </w:style>
  <w:style w:type="character" w:customStyle="1" w:styleId="CommentaireCar">
    <w:name w:val="Commentaire Car"/>
    <w:basedOn w:val="Policepardfaut"/>
    <w:link w:val="Commentaire"/>
    <w:uiPriority w:val="99"/>
    <w:semiHidden/>
    <w:rsid w:val="00085F3B"/>
    <w:rPr>
      <w:rFonts w:ascii="Times New Roman" w:hAnsi="Times New Roman"/>
      <w:sz w:val="24"/>
      <w:szCs w:val="24"/>
      <w:lang w:val="en-US"/>
    </w:rPr>
  </w:style>
  <w:style w:type="paragraph" w:styleId="Objetducommentaire">
    <w:name w:val="annotation subject"/>
    <w:basedOn w:val="Commentaire"/>
    <w:next w:val="Commentaire"/>
    <w:link w:val="ObjetducommentaireCar"/>
    <w:uiPriority w:val="99"/>
    <w:semiHidden/>
    <w:unhideWhenUsed/>
    <w:rsid w:val="00085F3B"/>
    <w:rPr>
      <w:b/>
      <w:bCs/>
      <w:sz w:val="20"/>
      <w:szCs w:val="20"/>
    </w:rPr>
  </w:style>
  <w:style w:type="character" w:customStyle="1" w:styleId="ObjetducommentaireCar">
    <w:name w:val="Objet du commentaire Car"/>
    <w:basedOn w:val="CommentaireCar"/>
    <w:link w:val="Objetducommentaire"/>
    <w:uiPriority w:val="99"/>
    <w:semiHidden/>
    <w:rsid w:val="00085F3B"/>
    <w:rPr>
      <w:rFonts w:ascii="Times New Roman" w:hAnsi="Times New Roman"/>
      <w:b/>
      <w:bCs/>
      <w:sz w:val="20"/>
      <w:szCs w:val="20"/>
      <w:lang w:val="en-US"/>
    </w:rPr>
  </w:style>
  <w:style w:type="paragraph" w:styleId="Explorateurdedocuments">
    <w:name w:val="Document Map"/>
    <w:basedOn w:val="Normal"/>
    <w:link w:val="ExplorateurdedocumentsCar"/>
    <w:uiPriority w:val="99"/>
    <w:semiHidden/>
    <w:unhideWhenUsed/>
    <w:rsid w:val="00580C1E"/>
    <w:pPr>
      <w:spacing w:after="0" w:line="240" w:lineRule="auto"/>
    </w:pPr>
    <w:rPr>
      <w:rFonts w:ascii="Lucida Grande" w:hAnsi="Lucida Grande" w:cs="Lucida Grande"/>
      <w:szCs w:val="24"/>
    </w:rPr>
  </w:style>
  <w:style w:type="character" w:customStyle="1" w:styleId="ExplorateurdedocumentsCar">
    <w:name w:val="Explorateur de documents Car"/>
    <w:basedOn w:val="Policepardfaut"/>
    <w:link w:val="Explorateurdedocuments"/>
    <w:uiPriority w:val="99"/>
    <w:semiHidden/>
    <w:rsid w:val="00580C1E"/>
    <w:rPr>
      <w:rFonts w:ascii="Lucida Grande" w:hAnsi="Lucida Grande" w:cs="Lucida Grande"/>
      <w:sz w:val="24"/>
      <w:szCs w:val="24"/>
      <w:lang w:val="en-US"/>
    </w:rPr>
  </w:style>
  <w:style w:type="character" w:customStyle="1" w:styleId="cit">
    <w:name w:val="cit"/>
    <w:basedOn w:val="Policepardfaut"/>
    <w:rsid w:val="00C37DE5"/>
  </w:style>
  <w:style w:type="character" w:customStyle="1" w:styleId="doi">
    <w:name w:val="doi"/>
    <w:basedOn w:val="Policepardfaut"/>
    <w:rsid w:val="00C37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40133">
      <w:bodyDiv w:val="1"/>
      <w:marLeft w:val="0"/>
      <w:marRight w:val="0"/>
      <w:marTop w:val="0"/>
      <w:marBottom w:val="0"/>
      <w:divBdr>
        <w:top w:val="none" w:sz="0" w:space="0" w:color="auto"/>
        <w:left w:val="none" w:sz="0" w:space="0" w:color="auto"/>
        <w:bottom w:val="none" w:sz="0" w:space="0" w:color="auto"/>
        <w:right w:val="none" w:sz="0" w:space="0" w:color="auto"/>
      </w:divBdr>
    </w:div>
    <w:div w:id="244998498">
      <w:bodyDiv w:val="1"/>
      <w:marLeft w:val="0"/>
      <w:marRight w:val="0"/>
      <w:marTop w:val="0"/>
      <w:marBottom w:val="0"/>
      <w:divBdr>
        <w:top w:val="none" w:sz="0" w:space="0" w:color="auto"/>
        <w:left w:val="none" w:sz="0" w:space="0" w:color="auto"/>
        <w:bottom w:val="none" w:sz="0" w:space="0" w:color="auto"/>
        <w:right w:val="none" w:sz="0" w:space="0" w:color="auto"/>
      </w:divBdr>
    </w:div>
    <w:div w:id="259528974">
      <w:bodyDiv w:val="1"/>
      <w:marLeft w:val="0"/>
      <w:marRight w:val="0"/>
      <w:marTop w:val="0"/>
      <w:marBottom w:val="0"/>
      <w:divBdr>
        <w:top w:val="none" w:sz="0" w:space="0" w:color="auto"/>
        <w:left w:val="none" w:sz="0" w:space="0" w:color="auto"/>
        <w:bottom w:val="none" w:sz="0" w:space="0" w:color="auto"/>
        <w:right w:val="none" w:sz="0" w:space="0" w:color="auto"/>
      </w:divBdr>
    </w:div>
    <w:div w:id="296767438">
      <w:bodyDiv w:val="1"/>
      <w:marLeft w:val="0"/>
      <w:marRight w:val="0"/>
      <w:marTop w:val="0"/>
      <w:marBottom w:val="0"/>
      <w:divBdr>
        <w:top w:val="none" w:sz="0" w:space="0" w:color="auto"/>
        <w:left w:val="none" w:sz="0" w:space="0" w:color="auto"/>
        <w:bottom w:val="none" w:sz="0" w:space="0" w:color="auto"/>
        <w:right w:val="none" w:sz="0" w:space="0" w:color="auto"/>
      </w:divBdr>
    </w:div>
    <w:div w:id="325864258">
      <w:bodyDiv w:val="1"/>
      <w:marLeft w:val="0"/>
      <w:marRight w:val="0"/>
      <w:marTop w:val="0"/>
      <w:marBottom w:val="0"/>
      <w:divBdr>
        <w:top w:val="none" w:sz="0" w:space="0" w:color="auto"/>
        <w:left w:val="none" w:sz="0" w:space="0" w:color="auto"/>
        <w:bottom w:val="none" w:sz="0" w:space="0" w:color="auto"/>
        <w:right w:val="none" w:sz="0" w:space="0" w:color="auto"/>
      </w:divBdr>
    </w:div>
    <w:div w:id="684868963">
      <w:bodyDiv w:val="1"/>
      <w:marLeft w:val="0"/>
      <w:marRight w:val="0"/>
      <w:marTop w:val="0"/>
      <w:marBottom w:val="0"/>
      <w:divBdr>
        <w:top w:val="none" w:sz="0" w:space="0" w:color="auto"/>
        <w:left w:val="none" w:sz="0" w:space="0" w:color="auto"/>
        <w:bottom w:val="none" w:sz="0" w:space="0" w:color="auto"/>
        <w:right w:val="none" w:sz="0" w:space="0" w:color="auto"/>
      </w:divBdr>
    </w:div>
    <w:div w:id="688024509">
      <w:bodyDiv w:val="1"/>
      <w:marLeft w:val="0"/>
      <w:marRight w:val="0"/>
      <w:marTop w:val="0"/>
      <w:marBottom w:val="0"/>
      <w:divBdr>
        <w:top w:val="none" w:sz="0" w:space="0" w:color="auto"/>
        <w:left w:val="none" w:sz="0" w:space="0" w:color="auto"/>
        <w:bottom w:val="none" w:sz="0" w:space="0" w:color="auto"/>
        <w:right w:val="none" w:sz="0" w:space="0" w:color="auto"/>
      </w:divBdr>
    </w:div>
    <w:div w:id="879585493">
      <w:bodyDiv w:val="1"/>
      <w:marLeft w:val="0"/>
      <w:marRight w:val="0"/>
      <w:marTop w:val="0"/>
      <w:marBottom w:val="0"/>
      <w:divBdr>
        <w:top w:val="none" w:sz="0" w:space="0" w:color="auto"/>
        <w:left w:val="none" w:sz="0" w:space="0" w:color="auto"/>
        <w:bottom w:val="none" w:sz="0" w:space="0" w:color="auto"/>
        <w:right w:val="none" w:sz="0" w:space="0" w:color="auto"/>
      </w:divBdr>
    </w:div>
    <w:div w:id="1228760079">
      <w:bodyDiv w:val="1"/>
      <w:marLeft w:val="0"/>
      <w:marRight w:val="0"/>
      <w:marTop w:val="0"/>
      <w:marBottom w:val="0"/>
      <w:divBdr>
        <w:top w:val="none" w:sz="0" w:space="0" w:color="auto"/>
        <w:left w:val="none" w:sz="0" w:space="0" w:color="auto"/>
        <w:bottom w:val="none" w:sz="0" w:space="0" w:color="auto"/>
        <w:right w:val="none" w:sz="0" w:space="0" w:color="auto"/>
      </w:divBdr>
    </w:div>
    <w:div w:id="1445803437">
      <w:bodyDiv w:val="1"/>
      <w:marLeft w:val="0"/>
      <w:marRight w:val="0"/>
      <w:marTop w:val="0"/>
      <w:marBottom w:val="0"/>
      <w:divBdr>
        <w:top w:val="none" w:sz="0" w:space="0" w:color="auto"/>
        <w:left w:val="none" w:sz="0" w:space="0" w:color="auto"/>
        <w:bottom w:val="none" w:sz="0" w:space="0" w:color="auto"/>
        <w:right w:val="none" w:sz="0" w:space="0" w:color="auto"/>
      </w:divBdr>
    </w:div>
    <w:div w:id="1781296527">
      <w:bodyDiv w:val="1"/>
      <w:marLeft w:val="0"/>
      <w:marRight w:val="0"/>
      <w:marTop w:val="0"/>
      <w:marBottom w:val="0"/>
      <w:divBdr>
        <w:top w:val="none" w:sz="0" w:space="0" w:color="auto"/>
        <w:left w:val="none" w:sz="0" w:space="0" w:color="auto"/>
        <w:bottom w:val="none" w:sz="0" w:space="0" w:color="auto"/>
        <w:right w:val="none" w:sz="0" w:space="0" w:color="auto"/>
      </w:divBdr>
    </w:div>
    <w:div w:id="1811288385">
      <w:bodyDiv w:val="1"/>
      <w:marLeft w:val="0"/>
      <w:marRight w:val="0"/>
      <w:marTop w:val="0"/>
      <w:marBottom w:val="0"/>
      <w:divBdr>
        <w:top w:val="none" w:sz="0" w:space="0" w:color="auto"/>
        <w:left w:val="none" w:sz="0" w:space="0" w:color="auto"/>
        <w:bottom w:val="none" w:sz="0" w:space="0" w:color="auto"/>
        <w:right w:val="none" w:sz="0" w:space="0" w:color="auto"/>
      </w:divBdr>
    </w:div>
    <w:div w:id="1826586024">
      <w:bodyDiv w:val="1"/>
      <w:marLeft w:val="0"/>
      <w:marRight w:val="0"/>
      <w:marTop w:val="0"/>
      <w:marBottom w:val="0"/>
      <w:divBdr>
        <w:top w:val="none" w:sz="0" w:space="0" w:color="auto"/>
        <w:left w:val="none" w:sz="0" w:space="0" w:color="auto"/>
        <w:bottom w:val="none" w:sz="0" w:space="0" w:color="auto"/>
        <w:right w:val="none" w:sz="0" w:space="0" w:color="auto"/>
      </w:divBdr>
    </w:div>
    <w:div w:id="1977025884">
      <w:bodyDiv w:val="1"/>
      <w:marLeft w:val="0"/>
      <w:marRight w:val="0"/>
      <w:marTop w:val="0"/>
      <w:marBottom w:val="0"/>
      <w:divBdr>
        <w:top w:val="none" w:sz="0" w:space="0" w:color="auto"/>
        <w:left w:val="none" w:sz="0" w:space="0" w:color="auto"/>
        <w:bottom w:val="none" w:sz="0" w:space="0" w:color="auto"/>
        <w:right w:val="none" w:sz="0" w:space="0" w:color="auto"/>
      </w:divBdr>
    </w:div>
    <w:div w:id="2133593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image" Target="media/image12.png"/><Relationship Id="rId10" Type="http://schemas.openxmlformats.org/officeDocument/2006/relationships/image" Target="media/image2.png"/><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2.xml"/><Relationship Id="rId22" Type="http://schemas.openxmlformats.org/officeDocument/2006/relationships/image" Target="media/image11.png"/></Relationships>
</file>

<file path=word/charts/_rels/chart1.xml.rels><?xml version="1.0" encoding="UTF-8" standalone="yes"?>
<Relationships xmlns="http://schemas.openxmlformats.org/package/2006/relationships"><Relationship Id="rId1" Type="http://schemas.openxmlformats.org/officeDocument/2006/relationships/oleObject" Target="file:///C:\3.ARTICLES-COLLOQUES\PAA2018\Male%20fertility%20around%20the%20world\PDR\revised%20figures\Figures%20male%20female%20rat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3.ARTICLES-COLLOQUES\PAA2018\Male%20fertility%20around%20the%20world\PDR\revised%20figures\Figures%20male%20female%20rat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3.ARTICLES-COLLOQUES\PAA2018\Male%20fertility%20around%20the%20world\PDR\revised%20figures\Figures%20male%20female%20rat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B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fr-BE"/>
              <a:t>Senegal</a:t>
            </a:r>
            <a:r>
              <a:rPr lang="fr-BE" baseline="0"/>
              <a:t> (2013)</a:t>
            </a:r>
            <a:endParaRPr lang="fr-BE"/>
          </a:p>
        </c:rich>
      </c:tx>
      <c:layout>
        <c:manualLayout>
          <c:xMode val="edge"/>
          <c:yMode val="edge"/>
          <c:x val="0.68619252083247795"/>
          <c:y val="4.3927585974830097E-2"/>
        </c:manualLayout>
      </c:layout>
      <c:overlay val="1"/>
    </c:title>
    <c:autoTitleDeleted val="0"/>
    <c:plotArea>
      <c:layout>
        <c:manualLayout>
          <c:layoutTarget val="inner"/>
          <c:xMode val="edge"/>
          <c:yMode val="edge"/>
          <c:x val="0.19529599583202001"/>
          <c:y val="5.37240537240537E-2"/>
          <c:w val="0.75847465829221095"/>
          <c:h val="0.70690163729533795"/>
        </c:manualLayout>
      </c:layout>
      <c:lineChart>
        <c:grouping val="standard"/>
        <c:varyColors val="0"/>
        <c:ser>
          <c:idx val="0"/>
          <c:order val="0"/>
          <c:tx>
            <c:strRef>
              <c:f>Feuil1!$G$4</c:f>
              <c:strCache>
                <c:ptCount val="1"/>
                <c:pt idx="0">
                  <c:v>Males</c:v>
                </c:pt>
              </c:strCache>
            </c:strRef>
          </c:tx>
          <c:spPr>
            <a:ln w="15875">
              <a:solidFill>
                <a:schemeClr val="tx1"/>
              </a:solidFill>
            </a:ln>
          </c:spPr>
          <c:marker>
            <c:symbol val="diamond"/>
            <c:size val="5"/>
            <c:spPr>
              <a:solidFill>
                <a:schemeClr val="bg1"/>
              </a:solidFill>
              <a:ln>
                <a:solidFill>
                  <a:schemeClr val="tx1"/>
                </a:solidFill>
              </a:ln>
            </c:spPr>
          </c:marker>
          <c:cat>
            <c:strRef>
              <c:f>Feuil1!$B$5:$B$17</c:f>
              <c:strCache>
                <c:ptCount val="13"/>
                <c:pt idx="0">
                  <c:v>15-19</c:v>
                </c:pt>
                <c:pt idx="1">
                  <c:v>20-24</c:v>
                </c:pt>
                <c:pt idx="2">
                  <c:v>25-29</c:v>
                </c:pt>
                <c:pt idx="3">
                  <c:v>30-34</c:v>
                </c:pt>
                <c:pt idx="4">
                  <c:v>35-39</c:v>
                </c:pt>
                <c:pt idx="5">
                  <c:v>40-44</c:v>
                </c:pt>
                <c:pt idx="6">
                  <c:v>45-49</c:v>
                </c:pt>
                <c:pt idx="7">
                  <c:v>50-54</c:v>
                </c:pt>
                <c:pt idx="8">
                  <c:v>55-59</c:v>
                </c:pt>
                <c:pt idx="9">
                  <c:v>60-64</c:v>
                </c:pt>
                <c:pt idx="10">
                  <c:v>65-69</c:v>
                </c:pt>
                <c:pt idx="11">
                  <c:v>70-74</c:v>
                </c:pt>
                <c:pt idx="12">
                  <c:v>75-79</c:v>
                </c:pt>
              </c:strCache>
            </c:strRef>
          </c:cat>
          <c:val>
            <c:numRef>
              <c:f>Feuil1!$G$5:$G$17</c:f>
              <c:numCache>
                <c:formatCode>General</c:formatCode>
                <c:ptCount val="13"/>
                <c:pt idx="0">
                  <c:v>2.3232000000000001E-3</c:v>
                </c:pt>
                <c:pt idx="1">
                  <c:v>4.0564299999999998E-2</c:v>
                </c:pt>
                <c:pt idx="2">
                  <c:v>0.1743286</c:v>
                </c:pt>
                <c:pt idx="3">
                  <c:v>0.305344</c:v>
                </c:pt>
                <c:pt idx="4">
                  <c:v>0.35843740000000002</c:v>
                </c:pt>
                <c:pt idx="5">
                  <c:v>0.37652960000000002</c:v>
                </c:pt>
                <c:pt idx="6">
                  <c:v>0.30188809999999999</c:v>
                </c:pt>
                <c:pt idx="7">
                  <c:v>0.26000450000000003</c:v>
                </c:pt>
                <c:pt idx="8">
                  <c:v>0.15292169999999999</c:v>
                </c:pt>
                <c:pt idx="9">
                  <c:v>0.12126199999999999</c:v>
                </c:pt>
                <c:pt idx="10">
                  <c:v>6.8473500000000007E-2</c:v>
                </c:pt>
                <c:pt idx="11">
                  <c:v>2.3218599999999999E-2</c:v>
                </c:pt>
                <c:pt idx="12">
                  <c:v>1.45942E-2</c:v>
                </c:pt>
              </c:numCache>
            </c:numRef>
          </c:val>
          <c:smooth val="0"/>
        </c:ser>
        <c:ser>
          <c:idx val="1"/>
          <c:order val="1"/>
          <c:tx>
            <c:strRef>
              <c:f>Feuil1!$H$4</c:f>
              <c:strCache>
                <c:ptCount val="1"/>
                <c:pt idx="0">
                  <c:v>Females</c:v>
                </c:pt>
              </c:strCache>
            </c:strRef>
          </c:tx>
          <c:spPr>
            <a:ln w="12700">
              <a:solidFill>
                <a:schemeClr val="tx1"/>
              </a:solidFill>
            </a:ln>
          </c:spPr>
          <c:marker>
            <c:symbol val="circle"/>
            <c:size val="5"/>
            <c:spPr>
              <a:solidFill>
                <a:schemeClr val="bg1">
                  <a:lumMod val="85000"/>
                </a:schemeClr>
              </a:solidFill>
              <a:ln>
                <a:solidFill>
                  <a:schemeClr val="tx1"/>
                </a:solidFill>
              </a:ln>
            </c:spPr>
          </c:marker>
          <c:cat>
            <c:strRef>
              <c:f>Feuil1!$B$5:$B$17</c:f>
              <c:strCache>
                <c:ptCount val="13"/>
                <c:pt idx="0">
                  <c:v>15-19</c:v>
                </c:pt>
                <c:pt idx="1">
                  <c:v>20-24</c:v>
                </c:pt>
                <c:pt idx="2">
                  <c:v>25-29</c:v>
                </c:pt>
                <c:pt idx="3">
                  <c:v>30-34</c:v>
                </c:pt>
                <c:pt idx="4">
                  <c:v>35-39</c:v>
                </c:pt>
                <c:pt idx="5">
                  <c:v>40-44</c:v>
                </c:pt>
                <c:pt idx="6">
                  <c:v>45-49</c:v>
                </c:pt>
                <c:pt idx="7">
                  <c:v>50-54</c:v>
                </c:pt>
                <c:pt idx="8">
                  <c:v>55-59</c:v>
                </c:pt>
                <c:pt idx="9">
                  <c:v>60-64</c:v>
                </c:pt>
                <c:pt idx="10">
                  <c:v>65-69</c:v>
                </c:pt>
                <c:pt idx="11">
                  <c:v>70-74</c:v>
                </c:pt>
                <c:pt idx="12">
                  <c:v>75-79</c:v>
                </c:pt>
              </c:strCache>
            </c:strRef>
          </c:cat>
          <c:val>
            <c:numRef>
              <c:f>Feuil1!$H$5:$H$17</c:f>
              <c:numCache>
                <c:formatCode>General</c:formatCode>
                <c:ptCount val="13"/>
                <c:pt idx="0">
                  <c:v>9.8119288682937594E-2</c:v>
                </c:pt>
                <c:pt idx="1">
                  <c:v>0.213156163692474</c:v>
                </c:pt>
                <c:pt idx="2">
                  <c:v>0.246727004647255</c:v>
                </c:pt>
                <c:pt idx="3">
                  <c:v>0.220178708434105</c:v>
                </c:pt>
                <c:pt idx="4">
                  <c:v>0.180521830916405</c:v>
                </c:pt>
                <c:pt idx="5">
                  <c:v>8.6106322705745697E-2</c:v>
                </c:pt>
                <c:pt idx="6">
                  <c:v>1.28905698657036E-2</c:v>
                </c:pt>
                <c:pt idx="7">
                  <c:v>1.4570906059816499E-3</c:v>
                </c:pt>
              </c:numCache>
            </c:numRef>
          </c:val>
          <c:smooth val="0"/>
        </c:ser>
        <c:dLbls>
          <c:showLegendKey val="0"/>
          <c:showVal val="0"/>
          <c:showCatName val="0"/>
          <c:showSerName val="0"/>
          <c:showPercent val="0"/>
          <c:showBubbleSize val="0"/>
        </c:dLbls>
        <c:marker val="1"/>
        <c:smooth val="0"/>
        <c:axId val="43746816"/>
        <c:axId val="43757568"/>
      </c:lineChart>
      <c:catAx>
        <c:axId val="43746816"/>
        <c:scaling>
          <c:orientation val="minMax"/>
        </c:scaling>
        <c:delete val="0"/>
        <c:axPos val="b"/>
        <c:title>
          <c:tx>
            <c:rich>
              <a:bodyPr/>
              <a:lstStyle/>
              <a:p>
                <a:pPr>
                  <a:defRPr/>
                </a:pPr>
                <a:r>
                  <a:rPr lang="fr-BE"/>
                  <a:t>Age groups</a:t>
                </a:r>
              </a:p>
            </c:rich>
          </c:tx>
          <c:overlay val="0"/>
        </c:title>
        <c:majorTickMark val="none"/>
        <c:minorTickMark val="none"/>
        <c:tickLblPos val="nextTo"/>
        <c:txPr>
          <a:bodyPr rot="-5400000" vert="horz"/>
          <a:lstStyle/>
          <a:p>
            <a:pPr>
              <a:defRPr/>
            </a:pPr>
            <a:endParaRPr lang="fr-FR"/>
          </a:p>
        </c:txPr>
        <c:crossAx val="43757568"/>
        <c:crosses val="autoZero"/>
        <c:auto val="1"/>
        <c:lblAlgn val="ctr"/>
        <c:lblOffset val="100"/>
        <c:noMultiLvlLbl val="0"/>
      </c:catAx>
      <c:valAx>
        <c:axId val="43757568"/>
        <c:scaling>
          <c:orientation val="minMax"/>
          <c:max val="0.4"/>
        </c:scaling>
        <c:delete val="0"/>
        <c:axPos val="l"/>
        <c:title>
          <c:tx>
            <c:rich>
              <a:bodyPr/>
              <a:lstStyle/>
              <a:p>
                <a:pPr>
                  <a:defRPr/>
                </a:pPr>
                <a:r>
                  <a:rPr lang="fr-BE"/>
                  <a:t>Fertility</a:t>
                </a:r>
                <a:r>
                  <a:rPr lang="fr-BE" baseline="0"/>
                  <a:t> rate</a:t>
                </a:r>
                <a:endParaRPr lang="fr-BE"/>
              </a:p>
            </c:rich>
          </c:tx>
          <c:overlay val="0"/>
        </c:title>
        <c:numFmt formatCode="#,##0.00" sourceLinked="0"/>
        <c:majorTickMark val="out"/>
        <c:minorTickMark val="none"/>
        <c:tickLblPos val="nextTo"/>
        <c:crossAx val="43746816"/>
        <c:crosses val="autoZero"/>
        <c:crossBetween val="between"/>
      </c:valAx>
    </c:plotArea>
    <c:legend>
      <c:legendPos val="r"/>
      <c:layout>
        <c:manualLayout>
          <c:xMode val="edge"/>
          <c:yMode val="edge"/>
          <c:x val="0.68293723193478795"/>
          <c:y val="0.268950611942738"/>
          <c:w val="0.24622941149258901"/>
          <c:h val="0.15303856248738101"/>
        </c:manualLayout>
      </c:layout>
      <c:overlay val="0"/>
    </c:legend>
    <c:plotVisOnly val="1"/>
    <c:dispBlanksAs val="gap"/>
    <c:showDLblsOverMax val="0"/>
  </c:chart>
  <c:spPr>
    <a:ln>
      <a:noFill/>
    </a:ln>
  </c:spPr>
  <c:txPr>
    <a:bodyPr/>
    <a:lstStyle/>
    <a:p>
      <a:pPr>
        <a:defRPr sz="800"/>
      </a:pPr>
      <a:endParaRPr lang="fr-F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B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Haiti (2010)</a:t>
            </a:r>
          </a:p>
        </c:rich>
      </c:tx>
      <c:layout>
        <c:manualLayout>
          <c:xMode val="edge"/>
          <c:yMode val="edge"/>
          <c:x val="0.74488541498865302"/>
          <c:y val="1.4652014652014701E-2"/>
        </c:manualLayout>
      </c:layout>
      <c:overlay val="1"/>
    </c:title>
    <c:autoTitleDeleted val="0"/>
    <c:plotArea>
      <c:layout>
        <c:manualLayout>
          <c:layoutTarget val="inner"/>
          <c:xMode val="edge"/>
          <c:yMode val="edge"/>
          <c:x val="0.19529599583202001"/>
          <c:y val="5.37240537240537E-2"/>
          <c:w val="0.75847465829221095"/>
          <c:h val="0.70690163729533795"/>
        </c:manualLayout>
      </c:layout>
      <c:lineChart>
        <c:grouping val="standard"/>
        <c:varyColors val="0"/>
        <c:ser>
          <c:idx val="0"/>
          <c:order val="0"/>
          <c:tx>
            <c:strRef>
              <c:f>Feuil1!$K$4</c:f>
              <c:strCache>
                <c:ptCount val="1"/>
                <c:pt idx="0">
                  <c:v>Males</c:v>
                </c:pt>
              </c:strCache>
            </c:strRef>
          </c:tx>
          <c:spPr>
            <a:ln w="15875">
              <a:solidFill>
                <a:schemeClr val="tx1"/>
              </a:solidFill>
            </a:ln>
          </c:spPr>
          <c:marker>
            <c:symbol val="diamond"/>
            <c:size val="5"/>
            <c:spPr>
              <a:solidFill>
                <a:schemeClr val="bg1"/>
              </a:solidFill>
              <a:ln>
                <a:solidFill>
                  <a:schemeClr val="tx1"/>
                </a:solidFill>
              </a:ln>
            </c:spPr>
          </c:marker>
          <c:cat>
            <c:strRef>
              <c:f>Feuil1!$B$5:$B$17</c:f>
              <c:strCache>
                <c:ptCount val="13"/>
                <c:pt idx="0">
                  <c:v>15-19</c:v>
                </c:pt>
                <c:pt idx="1">
                  <c:v>20-24</c:v>
                </c:pt>
                <c:pt idx="2">
                  <c:v>25-29</c:v>
                </c:pt>
                <c:pt idx="3">
                  <c:v>30-34</c:v>
                </c:pt>
                <c:pt idx="4">
                  <c:v>35-39</c:v>
                </c:pt>
                <c:pt idx="5">
                  <c:v>40-44</c:v>
                </c:pt>
                <c:pt idx="6">
                  <c:v>45-49</c:v>
                </c:pt>
                <c:pt idx="7">
                  <c:v>50-54</c:v>
                </c:pt>
                <c:pt idx="8">
                  <c:v>55-59</c:v>
                </c:pt>
                <c:pt idx="9">
                  <c:v>60-64</c:v>
                </c:pt>
                <c:pt idx="10">
                  <c:v>65-69</c:v>
                </c:pt>
                <c:pt idx="11">
                  <c:v>70-74</c:v>
                </c:pt>
                <c:pt idx="12">
                  <c:v>75-79</c:v>
                </c:pt>
              </c:strCache>
            </c:strRef>
          </c:cat>
          <c:val>
            <c:numRef>
              <c:f>Feuil1!$K$5:$K$17</c:f>
              <c:numCache>
                <c:formatCode>General</c:formatCode>
                <c:ptCount val="13"/>
                <c:pt idx="0">
                  <c:v>9.4295000000000004E-3</c:v>
                </c:pt>
                <c:pt idx="1">
                  <c:v>8.3318199999999995E-2</c:v>
                </c:pt>
                <c:pt idx="2">
                  <c:v>0.1761875</c:v>
                </c:pt>
                <c:pt idx="3">
                  <c:v>0.20390140000000001</c:v>
                </c:pt>
                <c:pt idx="4">
                  <c:v>0.1865618</c:v>
                </c:pt>
                <c:pt idx="5">
                  <c:v>0.14804600000000001</c:v>
                </c:pt>
                <c:pt idx="6">
                  <c:v>0.10739170000000001</c:v>
                </c:pt>
                <c:pt idx="7">
                  <c:v>4.83139E-2</c:v>
                </c:pt>
                <c:pt idx="8">
                  <c:v>3.0328500000000001E-2</c:v>
                </c:pt>
                <c:pt idx="9">
                  <c:v>1.22139E-2</c:v>
                </c:pt>
                <c:pt idx="10">
                  <c:v>1.00102E-2</c:v>
                </c:pt>
              </c:numCache>
            </c:numRef>
          </c:val>
          <c:smooth val="0"/>
        </c:ser>
        <c:ser>
          <c:idx val="1"/>
          <c:order val="1"/>
          <c:tx>
            <c:strRef>
              <c:f>Feuil1!$L$4</c:f>
              <c:strCache>
                <c:ptCount val="1"/>
                <c:pt idx="0">
                  <c:v>Females</c:v>
                </c:pt>
              </c:strCache>
            </c:strRef>
          </c:tx>
          <c:spPr>
            <a:ln w="12700">
              <a:solidFill>
                <a:schemeClr val="tx1"/>
              </a:solidFill>
            </a:ln>
          </c:spPr>
          <c:marker>
            <c:symbol val="circle"/>
            <c:size val="5"/>
            <c:spPr>
              <a:solidFill>
                <a:schemeClr val="bg1">
                  <a:lumMod val="85000"/>
                </a:schemeClr>
              </a:solidFill>
              <a:ln>
                <a:solidFill>
                  <a:schemeClr val="tx1"/>
                </a:solidFill>
              </a:ln>
            </c:spPr>
          </c:marker>
          <c:cat>
            <c:strRef>
              <c:f>Feuil1!$B$5:$B$17</c:f>
              <c:strCache>
                <c:ptCount val="13"/>
                <c:pt idx="0">
                  <c:v>15-19</c:v>
                </c:pt>
                <c:pt idx="1">
                  <c:v>20-24</c:v>
                </c:pt>
                <c:pt idx="2">
                  <c:v>25-29</c:v>
                </c:pt>
                <c:pt idx="3">
                  <c:v>30-34</c:v>
                </c:pt>
                <c:pt idx="4">
                  <c:v>35-39</c:v>
                </c:pt>
                <c:pt idx="5">
                  <c:v>40-44</c:v>
                </c:pt>
                <c:pt idx="6">
                  <c:v>45-49</c:v>
                </c:pt>
                <c:pt idx="7">
                  <c:v>50-54</c:v>
                </c:pt>
                <c:pt idx="8">
                  <c:v>55-59</c:v>
                </c:pt>
                <c:pt idx="9">
                  <c:v>60-64</c:v>
                </c:pt>
                <c:pt idx="10">
                  <c:v>65-69</c:v>
                </c:pt>
                <c:pt idx="11">
                  <c:v>70-74</c:v>
                </c:pt>
                <c:pt idx="12">
                  <c:v>75-79</c:v>
                </c:pt>
              </c:strCache>
            </c:strRef>
          </c:cat>
          <c:val>
            <c:numRef>
              <c:f>Feuil1!$L$5:$L$17</c:f>
              <c:numCache>
                <c:formatCode>General</c:formatCode>
                <c:ptCount val="13"/>
                <c:pt idx="0">
                  <c:v>6.2933169305324499E-2</c:v>
                </c:pt>
                <c:pt idx="1">
                  <c:v>0.147178664803505</c:v>
                </c:pt>
                <c:pt idx="2">
                  <c:v>0.165598854422569</c:v>
                </c:pt>
                <c:pt idx="3">
                  <c:v>0.158539488911629</c:v>
                </c:pt>
                <c:pt idx="4">
                  <c:v>0.12945991754531899</c:v>
                </c:pt>
                <c:pt idx="5">
                  <c:v>5.76098710298538E-2</c:v>
                </c:pt>
                <c:pt idx="6">
                  <c:v>1.13623533397913E-2</c:v>
                </c:pt>
                <c:pt idx="7">
                  <c:v>1.2841563438996701E-3</c:v>
                </c:pt>
              </c:numCache>
            </c:numRef>
          </c:val>
          <c:smooth val="0"/>
        </c:ser>
        <c:dLbls>
          <c:showLegendKey val="0"/>
          <c:showVal val="0"/>
          <c:showCatName val="0"/>
          <c:showSerName val="0"/>
          <c:showPercent val="0"/>
          <c:showBubbleSize val="0"/>
        </c:dLbls>
        <c:marker val="1"/>
        <c:smooth val="0"/>
        <c:axId val="43057920"/>
        <c:axId val="43060224"/>
      </c:lineChart>
      <c:catAx>
        <c:axId val="43057920"/>
        <c:scaling>
          <c:orientation val="minMax"/>
        </c:scaling>
        <c:delete val="0"/>
        <c:axPos val="b"/>
        <c:title>
          <c:tx>
            <c:rich>
              <a:bodyPr/>
              <a:lstStyle/>
              <a:p>
                <a:pPr>
                  <a:defRPr/>
                </a:pPr>
                <a:r>
                  <a:rPr lang="fr-BE"/>
                  <a:t>Age groups</a:t>
                </a:r>
              </a:p>
            </c:rich>
          </c:tx>
          <c:overlay val="0"/>
        </c:title>
        <c:majorTickMark val="none"/>
        <c:minorTickMark val="none"/>
        <c:tickLblPos val="nextTo"/>
        <c:txPr>
          <a:bodyPr rot="-5400000" vert="horz"/>
          <a:lstStyle/>
          <a:p>
            <a:pPr>
              <a:defRPr/>
            </a:pPr>
            <a:endParaRPr lang="fr-FR"/>
          </a:p>
        </c:txPr>
        <c:crossAx val="43060224"/>
        <c:crosses val="autoZero"/>
        <c:auto val="1"/>
        <c:lblAlgn val="ctr"/>
        <c:lblOffset val="100"/>
        <c:noMultiLvlLbl val="0"/>
      </c:catAx>
      <c:valAx>
        <c:axId val="43060224"/>
        <c:scaling>
          <c:orientation val="minMax"/>
          <c:max val="0.4"/>
        </c:scaling>
        <c:delete val="0"/>
        <c:axPos val="l"/>
        <c:title>
          <c:tx>
            <c:rich>
              <a:bodyPr/>
              <a:lstStyle/>
              <a:p>
                <a:pPr>
                  <a:defRPr/>
                </a:pPr>
                <a:r>
                  <a:rPr lang="fr-BE"/>
                  <a:t>Fertility rate</a:t>
                </a:r>
              </a:p>
            </c:rich>
          </c:tx>
          <c:overlay val="0"/>
        </c:title>
        <c:numFmt formatCode="#,##0.00" sourceLinked="0"/>
        <c:majorTickMark val="out"/>
        <c:minorTickMark val="none"/>
        <c:tickLblPos val="nextTo"/>
        <c:crossAx val="43057920"/>
        <c:crosses val="autoZero"/>
        <c:crossBetween val="between"/>
      </c:valAx>
    </c:plotArea>
    <c:legend>
      <c:legendPos val="r"/>
      <c:layout>
        <c:manualLayout>
          <c:xMode val="edge"/>
          <c:yMode val="edge"/>
          <c:x val="0.64127055159794999"/>
          <c:y val="0.29825464124676698"/>
          <c:w val="0.24622941149258901"/>
          <c:h val="0.15303856248738101"/>
        </c:manualLayout>
      </c:layout>
      <c:overlay val="0"/>
    </c:legend>
    <c:plotVisOnly val="1"/>
    <c:dispBlanksAs val="gap"/>
    <c:showDLblsOverMax val="0"/>
  </c:chart>
  <c:spPr>
    <a:ln>
      <a:noFill/>
    </a:ln>
  </c:spPr>
  <c:txPr>
    <a:bodyPr/>
    <a:lstStyle/>
    <a:p>
      <a:pPr>
        <a:defRPr sz="800"/>
      </a:pPr>
      <a:endParaRPr lang="fr-F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B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fr-BE"/>
              <a:t>France (2012)</a:t>
            </a:r>
          </a:p>
        </c:rich>
      </c:tx>
      <c:layout>
        <c:manualLayout>
          <c:xMode val="edge"/>
          <c:yMode val="edge"/>
          <c:x val="0.70381256686764004"/>
          <c:y val="1.9536019536019501E-2"/>
        </c:manualLayout>
      </c:layout>
      <c:overlay val="1"/>
    </c:title>
    <c:autoTitleDeleted val="0"/>
    <c:plotArea>
      <c:layout>
        <c:manualLayout>
          <c:layoutTarget val="inner"/>
          <c:xMode val="edge"/>
          <c:yMode val="edge"/>
          <c:x val="0.19529599583202001"/>
          <c:y val="5.37240537240537E-2"/>
          <c:w val="0.75847465829221095"/>
          <c:h val="0.70690163729533795"/>
        </c:manualLayout>
      </c:layout>
      <c:lineChart>
        <c:grouping val="standard"/>
        <c:varyColors val="0"/>
        <c:ser>
          <c:idx val="0"/>
          <c:order val="0"/>
          <c:tx>
            <c:strRef>
              <c:f>Feuil1!$C$4</c:f>
              <c:strCache>
                <c:ptCount val="1"/>
                <c:pt idx="0">
                  <c:v>Males</c:v>
                </c:pt>
              </c:strCache>
            </c:strRef>
          </c:tx>
          <c:spPr>
            <a:ln w="15875">
              <a:solidFill>
                <a:schemeClr val="tx1"/>
              </a:solidFill>
            </a:ln>
          </c:spPr>
          <c:marker>
            <c:symbol val="diamond"/>
            <c:size val="5"/>
            <c:spPr>
              <a:solidFill>
                <a:schemeClr val="bg1"/>
              </a:solidFill>
              <a:ln>
                <a:solidFill>
                  <a:schemeClr val="tx1"/>
                </a:solidFill>
              </a:ln>
            </c:spPr>
          </c:marker>
          <c:cat>
            <c:strRef>
              <c:f>Feuil1!$B$5:$B$17</c:f>
              <c:strCache>
                <c:ptCount val="13"/>
                <c:pt idx="0">
                  <c:v>15-19</c:v>
                </c:pt>
                <c:pt idx="1">
                  <c:v>20-24</c:v>
                </c:pt>
                <c:pt idx="2">
                  <c:v>25-29</c:v>
                </c:pt>
                <c:pt idx="3">
                  <c:v>30-34</c:v>
                </c:pt>
                <c:pt idx="4">
                  <c:v>35-39</c:v>
                </c:pt>
                <c:pt idx="5">
                  <c:v>40-44</c:v>
                </c:pt>
                <c:pt idx="6">
                  <c:v>45-49</c:v>
                </c:pt>
                <c:pt idx="7">
                  <c:v>50-54</c:v>
                </c:pt>
                <c:pt idx="8">
                  <c:v>55-59</c:v>
                </c:pt>
                <c:pt idx="9">
                  <c:v>60-64</c:v>
                </c:pt>
                <c:pt idx="10">
                  <c:v>65-69</c:v>
                </c:pt>
                <c:pt idx="11">
                  <c:v>70-74</c:v>
                </c:pt>
                <c:pt idx="12">
                  <c:v>75-79</c:v>
                </c:pt>
              </c:strCache>
            </c:strRef>
          </c:cat>
          <c:val>
            <c:numRef>
              <c:f>Feuil1!$C$5:$C$17</c:f>
              <c:numCache>
                <c:formatCode>General</c:formatCode>
                <c:ptCount val="13"/>
                <c:pt idx="0">
                  <c:v>1.6019717E-3</c:v>
                </c:pt>
                <c:pt idx="1">
                  <c:v>2.5274738800000002E-2</c:v>
                </c:pt>
                <c:pt idx="2">
                  <c:v>9.2464605199999994E-2</c:v>
                </c:pt>
                <c:pt idx="3">
                  <c:v>0.1326608222</c:v>
                </c:pt>
                <c:pt idx="4">
                  <c:v>8.6821280900000006E-2</c:v>
                </c:pt>
                <c:pt idx="5">
                  <c:v>3.7677456999999998E-2</c:v>
                </c:pt>
                <c:pt idx="6">
                  <c:v>1.32779536E-2</c:v>
                </c:pt>
                <c:pt idx="7">
                  <c:v>4.5591570999999999E-3</c:v>
                </c:pt>
                <c:pt idx="8">
                  <c:v>1.6767442E-3</c:v>
                </c:pt>
              </c:numCache>
            </c:numRef>
          </c:val>
          <c:smooth val="0"/>
        </c:ser>
        <c:ser>
          <c:idx val="1"/>
          <c:order val="1"/>
          <c:tx>
            <c:strRef>
              <c:f>Feuil1!$D$4</c:f>
              <c:strCache>
                <c:ptCount val="1"/>
                <c:pt idx="0">
                  <c:v>Females</c:v>
                </c:pt>
              </c:strCache>
            </c:strRef>
          </c:tx>
          <c:spPr>
            <a:ln w="12700">
              <a:solidFill>
                <a:schemeClr val="tx1"/>
              </a:solidFill>
            </a:ln>
          </c:spPr>
          <c:marker>
            <c:symbol val="circle"/>
            <c:size val="5"/>
            <c:spPr>
              <a:solidFill>
                <a:schemeClr val="bg1">
                  <a:lumMod val="85000"/>
                </a:schemeClr>
              </a:solidFill>
              <a:ln>
                <a:solidFill>
                  <a:schemeClr val="tx1"/>
                </a:solidFill>
              </a:ln>
            </c:spPr>
          </c:marker>
          <c:cat>
            <c:strRef>
              <c:f>Feuil1!$B$5:$B$17</c:f>
              <c:strCache>
                <c:ptCount val="13"/>
                <c:pt idx="0">
                  <c:v>15-19</c:v>
                </c:pt>
                <c:pt idx="1">
                  <c:v>20-24</c:v>
                </c:pt>
                <c:pt idx="2">
                  <c:v>25-29</c:v>
                </c:pt>
                <c:pt idx="3">
                  <c:v>30-34</c:v>
                </c:pt>
                <c:pt idx="4">
                  <c:v>35-39</c:v>
                </c:pt>
                <c:pt idx="5">
                  <c:v>40-44</c:v>
                </c:pt>
                <c:pt idx="6">
                  <c:v>45-49</c:v>
                </c:pt>
                <c:pt idx="7">
                  <c:v>50-54</c:v>
                </c:pt>
                <c:pt idx="8">
                  <c:v>55-59</c:v>
                </c:pt>
                <c:pt idx="9">
                  <c:v>60-64</c:v>
                </c:pt>
                <c:pt idx="10">
                  <c:v>65-69</c:v>
                </c:pt>
                <c:pt idx="11">
                  <c:v>70-74</c:v>
                </c:pt>
                <c:pt idx="12">
                  <c:v>75-79</c:v>
                </c:pt>
              </c:strCache>
            </c:strRef>
          </c:cat>
          <c:val>
            <c:numRef>
              <c:f>Feuil1!$D$5:$D$17</c:f>
              <c:numCache>
                <c:formatCode>General</c:formatCode>
                <c:ptCount val="13"/>
                <c:pt idx="0">
                  <c:v>9.3959561999999996E-3</c:v>
                </c:pt>
                <c:pt idx="1">
                  <c:v>5.82299992E-2</c:v>
                </c:pt>
                <c:pt idx="2">
                  <c:v>0.1309514074</c:v>
                </c:pt>
                <c:pt idx="3">
                  <c:v>0.12715571379999999</c:v>
                </c:pt>
                <c:pt idx="4">
                  <c:v>5.9108378199999999E-2</c:v>
                </c:pt>
                <c:pt idx="5">
                  <c:v>1.2932699799999999E-2</c:v>
                </c:pt>
                <c:pt idx="6">
                  <c:v>6.9858449999999999E-4</c:v>
                </c:pt>
              </c:numCache>
            </c:numRef>
          </c:val>
          <c:smooth val="0"/>
        </c:ser>
        <c:dLbls>
          <c:showLegendKey val="0"/>
          <c:showVal val="0"/>
          <c:showCatName val="0"/>
          <c:showSerName val="0"/>
          <c:showPercent val="0"/>
          <c:showBubbleSize val="0"/>
        </c:dLbls>
        <c:marker val="1"/>
        <c:smooth val="0"/>
        <c:axId val="43089920"/>
        <c:axId val="43092224"/>
      </c:lineChart>
      <c:catAx>
        <c:axId val="43089920"/>
        <c:scaling>
          <c:orientation val="minMax"/>
        </c:scaling>
        <c:delete val="0"/>
        <c:axPos val="b"/>
        <c:title>
          <c:tx>
            <c:rich>
              <a:bodyPr/>
              <a:lstStyle/>
              <a:p>
                <a:pPr>
                  <a:defRPr/>
                </a:pPr>
                <a:r>
                  <a:rPr lang="fr-BE"/>
                  <a:t>Age groups</a:t>
                </a:r>
              </a:p>
            </c:rich>
          </c:tx>
          <c:overlay val="0"/>
        </c:title>
        <c:majorTickMark val="none"/>
        <c:minorTickMark val="none"/>
        <c:tickLblPos val="nextTo"/>
        <c:txPr>
          <a:bodyPr rot="-5400000" vert="horz"/>
          <a:lstStyle/>
          <a:p>
            <a:pPr>
              <a:defRPr/>
            </a:pPr>
            <a:endParaRPr lang="fr-FR"/>
          </a:p>
        </c:txPr>
        <c:crossAx val="43092224"/>
        <c:crosses val="autoZero"/>
        <c:auto val="1"/>
        <c:lblAlgn val="ctr"/>
        <c:lblOffset val="100"/>
        <c:noMultiLvlLbl val="0"/>
      </c:catAx>
      <c:valAx>
        <c:axId val="43092224"/>
        <c:scaling>
          <c:orientation val="minMax"/>
          <c:max val="0.4"/>
        </c:scaling>
        <c:delete val="0"/>
        <c:axPos val="l"/>
        <c:title>
          <c:tx>
            <c:rich>
              <a:bodyPr/>
              <a:lstStyle/>
              <a:p>
                <a:pPr>
                  <a:defRPr/>
                </a:pPr>
                <a:r>
                  <a:rPr lang="fr-BE"/>
                  <a:t>Fertility rate</a:t>
                </a:r>
              </a:p>
            </c:rich>
          </c:tx>
          <c:overlay val="0"/>
        </c:title>
        <c:numFmt formatCode="#,##0.00" sourceLinked="0"/>
        <c:majorTickMark val="out"/>
        <c:minorTickMark val="none"/>
        <c:tickLblPos val="nextTo"/>
        <c:crossAx val="43089920"/>
        <c:crosses val="autoZero"/>
        <c:crossBetween val="between"/>
      </c:valAx>
    </c:plotArea>
    <c:legend>
      <c:legendPos val="r"/>
      <c:layout>
        <c:manualLayout>
          <c:xMode val="edge"/>
          <c:yMode val="edge"/>
          <c:x val="0.40377047367797703"/>
          <c:y val="0.25918260217472799"/>
          <c:w val="0.24622941149258901"/>
          <c:h val="0.15303856248738101"/>
        </c:manualLayout>
      </c:layout>
      <c:overlay val="0"/>
    </c:legend>
    <c:plotVisOnly val="1"/>
    <c:dispBlanksAs val="gap"/>
    <c:showDLblsOverMax val="0"/>
  </c:chart>
  <c:spPr>
    <a:ln>
      <a:noFill/>
    </a:ln>
  </c:spPr>
  <c:txPr>
    <a:bodyPr/>
    <a:lstStyle/>
    <a:p>
      <a:pPr>
        <a:defRPr sz="800"/>
      </a:pPr>
      <a:endParaRPr lang="fr-FR"/>
    </a:p>
  </c:txPr>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A28C3-D4F7-4C93-B7AC-E6570C62C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37</Pages>
  <Words>9704</Words>
  <Characters>53375</Characters>
  <Application>Microsoft Office Word</Application>
  <DocSecurity>0</DocSecurity>
  <Lines>444</Lines>
  <Paragraphs>125</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62954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Schoumaker</dc:creator>
  <cp:lastModifiedBy>Bruno Schoumaker</cp:lastModifiedBy>
  <cp:revision>59</cp:revision>
  <cp:lastPrinted>2018-11-23T11:29:00Z</cp:lastPrinted>
  <dcterms:created xsi:type="dcterms:W3CDTF">2019-01-06T16:45:00Z</dcterms:created>
  <dcterms:modified xsi:type="dcterms:W3CDTF">2019-01-08T15:16:00Z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zotero-version="5.0.47"&gt;&lt;session id="Skb7x9fV"/&gt;&lt;style id="http://www.zotero.org/styles/apa" locale="en-GB" hasBibliography="1" bibliographyStyleHasBeenSet="1"/&gt;&lt;prefs&gt;&lt;pref name="fieldType" value="Field"/&gt;&lt;pref name="storeReference</vt:lpwstr>
  </property>
  <property fmtid="{D5CDD505-2E9C-101B-9397-08002B2CF9AE}" pid="3" name="ZOTERO_PREF_2">
    <vt:lpwstr>s" value="true"/&gt;&lt;/prefs&gt;&lt;/data&gt;</vt:lpwstr>
  </property>
</Properties>
</file>