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CE2E61" w14:textId="6509625A" w:rsidR="001B2892" w:rsidRDefault="001B2892" w:rsidP="001B2892">
      <w:pPr>
        <w:rPr>
          <w:lang w:val="en-US"/>
        </w:rPr>
      </w:pPr>
      <w:bookmarkStart w:id="0" w:name="_Hlk97562474"/>
      <w:r w:rsidRPr="001B2892">
        <w:rPr>
          <w:lang w:val="en-US"/>
        </w:rPr>
        <w:t xml:space="preserve">Gwendoline de Mûelenaere, </w:t>
      </w:r>
      <w:r w:rsidR="00682E07">
        <w:rPr>
          <w:lang w:val="en-US"/>
        </w:rPr>
        <w:t>“</w:t>
      </w:r>
      <w:r w:rsidR="00682E07" w:rsidRPr="00682E07">
        <w:rPr>
          <w:lang w:val="en-US"/>
        </w:rPr>
        <w:t>Illustrating Logic. Symbolic Images in Student Lecture Notebooks and Thesis Prints of the Southern Netherlands</w:t>
      </w:r>
      <w:r w:rsidRPr="001B2892">
        <w:rPr>
          <w:lang w:val="en-US"/>
        </w:rPr>
        <w:t xml:space="preserve">”, in R. Dekoninck, A. Guiderdoni, H. Leblanc, and A. Smeesters (eds.), </w:t>
      </w:r>
      <w:r w:rsidRPr="001B2892">
        <w:rPr>
          <w:i/>
          <w:iCs/>
          <w:lang w:val="en-US"/>
        </w:rPr>
        <w:t>Ut in schola dicitur: The Presence of Scholasticism in Early Modern Theories of Literature and Art</w:t>
      </w:r>
      <w:r w:rsidRPr="001B2892">
        <w:rPr>
          <w:lang w:val="en-US"/>
        </w:rPr>
        <w:t xml:space="preserve">, Turnhout, Brepols (accepted). </w:t>
      </w:r>
    </w:p>
    <w:p w14:paraId="41924B5D" w14:textId="77777777" w:rsidR="00182C29" w:rsidRPr="001B2892" w:rsidRDefault="00182C29" w:rsidP="001B2892">
      <w:pPr>
        <w:rPr>
          <w:lang w:val="en-US"/>
        </w:rPr>
      </w:pPr>
    </w:p>
    <w:p w14:paraId="700D9213" w14:textId="77777777" w:rsidR="001B2892" w:rsidRDefault="001B2892" w:rsidP="001B2892">
      <w:pPr>
        <w:rPr>
          <w:b/>
          <w:bCs/>
          <w:lang w:val="en-US"/>
        </w:rPr>
      </w:pPr>
    </w:p>
    <w:p w14:paraId="2803BC02" w14:textId="77D6371F" w:rsidR="002D4E23" w:rsidRPr="002D4E23" w:rsidRDefault="002D4E23" w:rsidP="001B2892">
      <w:pPr>
        <w:rPr>
          <w:b/>
          <w:bCs/>
          <w:lang w:val="en-GB"/>
        </w:rPr>
      </w:pPr>
      <w:r w:rsidRPr="002D4E23">
        <w:rPr>
          <w:b/>
          <w:bCs/>
          <w:lang w:val="en-GB"/>
        </w:rPr>
        <w:t>Abstract</w:t>
      </w:r>
    </w:p>
    <w:p w14:paraId="6515B96A" w14:textId="3CB5DD9E" w:rsidR="008A5CEB" w:rsidRPr="00465F42" w:rsidRDefault="008A5CEB" w:rsidP="002D4E23">
      <w:pPr>
        <w:rPr>
          <w:lang w:val="en-GB"/>
        </w:rPr>
      </w:pPr>
      <w:r w:rsidRPr="00687B3B">
        <w:rPr>
          <w:lang w:val="en-GB"/>
        </w:rPr>
        <w:t xml:space="preserve">My contribution examines the various roles of images in </w:t>
      </w:r>
      <w:r w:rsidR="00E129FA">
        <w:rPr>
          <w:lang w:val="en-GB"/>
        </w:rPr>
        <w:t>handwritten</w:t>
      </w:r>
      <w:r w:rsidRPr="00687B3B">
        <w:rPr>
          <w:lang w:val="en-GB"/>
        </w:rPr>
        <w:t xml:space="preserve"> lecture notebooks and </w:t>
      </w:r>
      <w:r w:rsidRPr="00C548B1">
        <w:rPr>
          <w:lang w:val="en-GB"/>
        </w:rPr>
        <w:t>thesis prints in logic in the Southern Low Countries.</w:t>
      </w:r>
      <w:r w:rsidR="007A4A39" w:rsidRPr="00C548B1">
        <w:rPr>
          <w:lang w:val="en-GB"/>
        </w:rPr>
        <w:t xml:space="preserve"> </w:t>
      </w:r>
      <w:r w:rsidRPr="00C548B1">
        <w:rPr>
          <w:lang w:val="en-GB"/>
        </w:rPr>
        <w:t xml:space="preserve">The </w:t>
      </w:r>
      <w:r w:rsidR="009C573E">
        <w:rPr>
          <w:lang w:val="en-GB"/>
        </w:rPr>
        <w:t>representations</w:t>
      </w:r>
      <w:r w:rsidRPr="00C548B1">
        <w:rPr>
          <w:lang w:val="en-GB"/>
        </w:rPr>
        <w:t xml:space="preserve"> </w:t>
      </w:r>
      <w:r w:rsidR="00E129FA" w:rsidRPr="00C548B1">
        <w:rPr>
          <w:lang w:val="en-GB"/>
        </w:rPr>
        <w:t xml:space="preserve">incorporated in </w:t>
      </w:r>
      <w:r w:rsidR="00606024" w:rsidRPr="00C548B1">
        <w:rPr>
          <w:lang w:val="en-GB"/>
        </w:rPr>
        <w:t xml:space="preserve">Louvain </w:t>
      </w:r>
      <w:r w:rsidR="00E129FA" w:rsidRPr="00C548B1">
        <w:rPr>
          <w:lang w:val="en-GB"/>
        </w:rPr>
        <w:t xml:space="preserve">lecture notebooks </w:t>
      </w:r>
      <w:r w:rsidRPr="00C548B1">
        <w:rPr>
          <w:lang w:val="en-GB"/>
        </w:rPr>
        <w:t>and their recycling process</w:t>
      </w:r>
      <w:r w:rsidR="00D96AB1">
        <w:rPr>
          <w:lang w:val="en-GB"/>
        </w:rPr>
        <w:t xml:space="preserve">, as well as the custom-made engravings for thesis prints </w:t>
      </w:r>
      <w:r w:rsidRPr="00C548B1">
        <w:rPr>
          <w:lang w:val="en-GB"/>
        </w:rPr>
        <w:t xml:space="preserve">shed light on the links between traditional symbolic motifs and the contents of scholastic philosophy and on the efforts made by students to customize their </w:t>
      </w:r>
      <w:r w:rsidR="00205153">
        <w:rPr>
          <w:lang w:val="en-GB"/>
        </w:rPr>
        <w:t>academic documents</w:t>
      </w:r>
      <w:r w:rsidRPr="00C548B1">
        <w:rPr>
          <w:lang w:val="en-GB"/>
        </w:rPr>
        <w:t>.</w:t>
      </w:r>
      <w:r w:rsidR="00CC4A50" w:rsidRPr="00C548B1">
        <w:rPr>
          <w:lang w:val="en-GB"/>
        </w:rPr>
        <w:t xml:space="preserve"> I consider these images both as artistic creations and as didactic and mnemonic tools, but also more generally as a way to celebrate knowledge, learning, and student life.</w:t>
      </w:r>
    </w:p>
    <w:bookmarkEnd w:id="0"/>
    <w:p w14:paraId="6937E919" w14:textId="03A512DE" w:rsidR="007A4A39" w:rsidRDefault="007A4A39" w:rsidP="002D4E23">
      <w:pPr>
        <w:rPr>
          <w:lang w:val="en-GB"/>
        </w:rPr>
      </w:pPr>
    </w:p>
    <w:p w14:paraId="4DC7996A" w14:textId="77777777" w:rsidR="002D4E23" w:rsidRPr="002D4E23" w:rsidRDefault="002D4E23" w:rsidP="002D4E23"/>
    <w:p w14:paraId="7D556127" w14:textId="246218F6" w:rsidR="002D4E23" w:rsidRPr="002D4E23" w:rsidRDefault="002D4E23" w:rsidP="002D4E23">
      <w:pPr>
        <w:rPr>
          <w:lang w:val="en-US"/>
        </w:rPr>
      </w:pPr>
      <w:r w:rsidRPr="002D4E23">
        <w:rPr>
          <w:b/>
          <w:bCs/>
          <w:lang w:val="en-US"/>
        </w:rPr>
        <w:t xml:space="preserve">Plan </w:t>
      </w:r>
    </w:p>
    <w:p w14:paraId="4F7D19B7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Introduction </w:t>
      </w:r>
    </w:p>
    <w:p w14:paraId="0D5067C3" w14:textId="573AB373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The </w:t>
      </w:r>
      <w:r w:rsidR="00015180">
        <w:rPr>
          <w:lang w:val="en-US"/>
        </w:rPr>
        <w:t>T</w:t>
      </w:r>
      <w:r w:rsidRPr="002D4E23">
        <w:rPr>
          <w:lang w:val="en-US"/>
        </w:rPr>
        <w:t xml:space="preserve">eaching of </w:t>
      </w:r>
      <w:r w:rsidR="00015180">
        <w:rPr>
          <w:lang w:val="en-US"/>
        </w:rPr>
        <w:t>L</w:t>
      </w:r>
      <w:r w:rsidRPr="002D4E23">
        <w:rPr>
          <w:lang w:val="en-US"/>
        </w:rPr>
        <w:t xml:space="preserve">ogic at Louvain (1425-1797) </w:t>
      </w:r>
    </w:p>
    <w:p w14:paraId="60A954FE" w14:textId="5988B0E6" w:rsidR="002D4E23" w:rsidRPr="00015180" w:rsidRDefault="009C05D3" w:rsidP="002D4E23">
      <w:pPr>
        <w:rPr>
          <w:lang w:val="en-US"/>
        </w:rPr>
      </w:pPr>
      <w:r w:rsidRPr="00015180">
        <w:rPr>
          <w:rFonts w:cs="Times New Roman"/>
          <w:bCs/>
          <w:szCs w:val="24"/>
          <w:lang w:val="en-GB"/>
        </w:rPr>
        <w:t>Categories of Images in Student Notebooks: From Diagrams to Emblem</w:t>
      </w:r>
      <w:r w:rsidR="00BC2F7C">
        <w:rPr>
          <w:rFonts w:cs="Times New Roman"/>
          <w:bCs/>
          <w:szCs w:val="24"/>
          <w:lang w:val="en-GB"/>
        </w:rPr>
        <w:t>s</w:t>
      </w:r>
      <w:r w:rsidR="002D4E23" w:rsidRPr="00015180">
        <w:rPr>
          <w:lang w:val="en-US"/>
        </w:rPr>
        <w:t xml:space="preserve"> </w:t>
      </w:r>
    </w:p>
    <w:p w14:paraId="5B2E741B" w14:textId="2D6DA7F0" w:rsidR="002D4E23" w:rsidRPr="002D4E23" w:rsidRDefault="002D4E23" w:rsidP="002D4E23">
      <w:r w:rsidRPr="002D4E23">
        <w:t xml:space="preserve">Humour in Louvain </w:t>
      </w:r>
      <w:r w:rsidR="00616828">
        <w:rPr>
          <w:i/>
          <w:iCs/>
        </w:rPr>
        <w:t>D</w:t>
      </w:r>
      <w:r w:rsidRPr="002D4E23">
        <w:rPr>
          <w:i/>
          <w:iCs/>
        </w:rPr>
        <w:t>ictata</w:t>
      </w:r>
      <w:r w:rsidRPr="002D4E23">
        <w:t xml:space="preserve">: </w:t>
      </w:r>
      <w:r w:rsidRPr="002D4E23">
        <w:rPr>
          <w:i/>
          <w:iCs/>
        </w:rPr>
        <w:t xml:space="preserve">Caput diabolicum </w:t>
      </w:r>
    </w:p>
    <w:p w14:paraId="202915DD" w14:textId="69FD3C1A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>Allegor</w:t>
      </w:r>
      <w:r w:rsidR="00616828">
        <w:rPr>
          <w:lang w:val="en-US"/>
        </w:rPr>
        <w:t>ies</w:t>
      </w:r>
      <w:r w:rsidRPr="002D4E23">
        <w:rPr>
          <w:lang w:val="en-US"/>
        </w:rPr>
        <w:t xml:space="preserve"> of Aristotelian </w:t>
      </w:r>
      <w:r w:rsidR="00616828">
        <w:rPr>
          <w:lang w:val="en-US"/>
        </w:rPr>
        <w:t>P</w:t>
      </w:r>
      <w:r w:rsidRPr="002D4E23">
        <w:rPr>
          <w:lang w:val="en-US"/>
        </w:rPr>
        <w:t xml:space="preserve">hilosophy in </w:t>
      </w:r>
      <w:r w:rsidR="00616828">
        <w:rPr>
          <w:lang w:val="en-US"/>
        </w:rPr>
        <w:t>T</w:t>
      </w:r>
      <w:r w:rsidRPr="002D4E23">
        <w:rPr>
          <w:lang w:val="en-US"/>
        </w:rPr>
        <w:t xml:space="preserve">hesis </w:t>
      </w:r>
      <w:r w:rsidR="00616828">
        <w:rPr>
          <w:lang w:val="en-US"/>
        </w:rPr>
        <w:t>P</w:t>
      </w:r>
      <w:r w:rsidRPr="002D4E23">
        <w:rPr>
          <w:lang w:val="en-US"/>
        </w:rPr>
        <w:t xml:space="preserve">rints </w:t>
      </w:r>
    </w:p>
    <w:p w14:paraId="633881E5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Conclusion </w:t>
      </w:r>
    </w:p>
    <w:p w14:paraId="09DC1A64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Bibliography </w:t>
      </w:r>
    </w:p>
    <w:p w14:paraId="5BED2CE4" w14:textId="77777777" w:rsid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List of illustrations </w:t>
      </w:r>
    </w:p>
    <w:p w14:paraId="34FF5B14" w14:textId="77777777" w:rsidR="002D4E23" w:rsidRPr="002D4E23" w:rsidRDefault="002D4E23" w:rsidP="002D4E23">
      <w:pPr>
        <w:rPr>
          <w:lang w:val="en-US"/>
        </w:rPr>
      </w:pPr>
    </w:p>
    <w:p w14:paraId="34E01A5E" w14:textId="77777777" w:rsidR="002D4E23" w:rsidRPr="002D4E23" w:rsidRDefault="002D4E23" w:rsidP="002D4E23">
      <w:pPr>
        <w:rPr>
          <w:lang w:val="en-US"/>
        </w:rPr>
      </w:pPr>
      <w:r w:rsidRPr="002D4E23">
        <w:rPr>
          <w:b/>
          <w:bCs/>
          <w:lang w:val="en-US"/>
        </w:rPr>
        <w:t xml:space="preserve">Manuscripts and Archival Sources </w:t>
      </w:r>
    </w:p>
    <w:p w14:paraId="14606570" w14:textId="77777777" w:rsidR="002D4E23" w:rsidRPr="002D4E23" w:rsidRDefault="002D4E23" w:rsidP="002D4E23">
      <w:pPr>
        <w:rPr>
          <w:lang w:val="nl-BE"/>
        </w:rPr>
      </w:pPr>
      <w:r w:rsidRPr="002D4E23">
        <w:rPr>
          <w:lang w:val="nl-BE"/>
        </w:rPr>
        <w:t xml:space="preserve">Antwerp, Erfgoedbibliotheek Hendrik Conscience, inv. hs. 30854 </w:t>
      </w:r>
    </w:p>
    <w:p w14:paraId="512032A2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Amsterdam, Rijksmuseum, Prints, inv. RP-P-1985-40 and inv. RP-P-1982-306-581-1 </w:t>
      </w:r>
    </w:p>
    <w:p w14:paraId="5B434C7D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Brussels, Royal Library of Belgium, Manuscripts, MSS 19376, II 1562, II 5419, II 5426, II 6933 </w:t>
      </w:r>
    </w:p>
    <w:p w14:paraId="3FDA36DE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Brussels, Royal Library of Belgium, Prints, inv. S.IV 86231 </w:t>
      </w:r>
    </w:p>
    <w:p w14:paraId="3177CC39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Brussels, Royal Library of Belgium, Rare Books, inv. VB 8.206 A 5 and 15 </w:t>
      </w:r>
    </w:p>
    <w:p w14:paraId="5BE27DEC" w14:textId="77777777" w:rsidR="002D4E23" w:rsidRPr="002D4E23" w:rsidRDefault="002D4E23" w:rsidP="002D4E23">
      <w:pPr>
        <w:rPr>
          <w:lang w:val="nl-BE"/>
        </w:rPr>
      </w:pPr>
      <w:r w:rsidRPr="002D4E23">
        <w:rPr>
          <w:lang w:val="en-US"/>
        </w:rPr>
        <w:t xml:space="preserve">Ghent, UGent Library, inv. </w:t>
      </w:r>
      <w:r w:rsidRPr="002D4E23">
        <w:rPr>
          <w:lang w:val="nl-BE"/>
        </w:rPr>
        <w:t xml:space="preserve">BIB.G.012228 </w:t>
      </w:r>
    </w:p>
    <w:p w14:paraId="1B05B10F" w14:textId="77777777" w:rsidR="002D4E23" w:rsidRPr="002D4E23" w:rsidRDefault="002D4E23" w:rsidP="002D4E23">
      <w:pPr>
        <w:rPr>
          <w:lang w:val="nl-BE"/>
        </w:rPr>
      </w:pPr>
      <w:r w:rsidRPr="002D4E23">
        <w:rPr>
          <w:lang w:val="nl-BE"/>
        </w:rPr>
        <w:t xml:space="preserve">Heeswijk, Abdij van Berne, MS K8 </w:t>
      </w:r>
    </w:p>
    <w:p w14:paraId="25FC273D" w14:textId="51775A96" w:rsidR="002D4E23" w:rsidRPr="002D4E23" w:rsidRDefault="002D4E23" w:rsidP="002D4E23">
      <w:r w:rsidRPr="002D4E23">
        <w:t>Liège, Archives de l’Université de Liège, MSS 2054, 2355</w:t>
      </w:r>
    </w:p>
    <w:p w14:paraId="557A2314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London, British Museum, inv. 1874,1212.467 </w:t>
      </w:r>
    </w:p>
    <w:p w14:paraId="49A0A0E3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Louvain, KU Leuven, MSS 211, 228, PM0026V, PM0326 </w:t>
      </w:r>
    </w:p>
    <w:p w14:paraId="32491083" w14:textId="77777777" w:rsidR="002D4E23" w:rsidRPr="002D4E23" w:rsidRDefault="002D4E23" w:rsidP="002D4E23">
      <w:r w:rsidRPr="002D4E23">
        <w:t xml:space="preserve">Louvain, M Museum, MS H/16/W </w:t>
      </w:r>
    </w:p>
    <w:p w14:paraId="380B4895" w14:textId="77777777" w:rsidR="002D4E23" w:rsidRPr="002D4E23" w:rsidRDefault="002D4E23" w:rsidP="002D4E23">
      <w:r w:rsidRPr="002D4E23">
        <w:t xml:space="preserve">Louvain-la-Neuve, UCLouvain, MSS C24, C86 </w:t>
      </w:r>
    </w:p>
    <w:p w14:paraId="23EC518D" w14:textId="77777777" w:rsidR="002D4E23" w:rsidRPr="002D4E23" w:rsidRDefault="002D4E23" w:rsidP="002D4E23">
      <w:r w:rsidRPr="002D4E23">
        <w:t xml:space="preserve">Namur, Société archéologique, MS SAN 31 </w:t>
      </w:r>
    </w:p>
    <w:p w14:paraId="3C014465" w14:textId="77777777" w:rsidR="002D4E23" w:rsidRDefault="002D4E23" w:rsidP="002D4E23">
      <w:r w:rsidRPr="002D4E23">
        <w:t xml:space="preserve">Paris, Bibliothèque nationale de France, Manuscrits, MSS Fonds latin 18461, 18485 </w:t>
      </w:r>
    </w:p>
    <w:p w14:paraId="6E38ABF0" w14:textId="77777777" w:rsidR="002D4E23" w:rsidRPr="002D4E23" w:rsidRDefault="002D4E23" w:rsidP="002D4E23"/>
    <w:p w14:paraId="17A9BD0C" w14:textId="77777777" w:rsidR="002D4E23" w:rsidRPr="002D4E23" w:rsidRDefault="002D4E23" w:rsidP="002D4E23">
      <w:pPr>
        <w:rPr>
          <w:lang w:val="en-US"/>
        </w:rPr>
      </w:pPr>
      <w:r w:rsidRPr="002D4E23">
        <w:rPr>
          <w:b/>
          <w:bCs/>
          <w:lang w:val="en-US"/>
        </w:rPr>
        <w:t xml:space="preserve">List of illustrations </w:t>
      </w:r>
    </w:p>
    <w:p w14:paraId="65C62D7B" w14:textId="77777777" w:rsidR="002D4E23" w:rsidRPr="002D4E23" w:rsidRDefault="002D4E23" w:rsidP="002D4E23">
      <w:r w:rsidRPr="002D4E23">
        <w:rPr>
          <w:lang w:val="en-US"/>
        </w:rPr>
        <w:t xml:space="preserve">Fig. 1. </w:t>
      </w:r>
      <w:r w:rsidRPr="002D4E23">
        <w:rPr>
          <w:i/>
          <w:iCs/>
          <w:lang w:val="en-US"/>
        </w:rPr>
        <w:t>Arbor Porphyrii</w:t>
      </w:r>
      <w:r w:rsidRPr="002D4E23">
        <w:rPr>
          <w:lang w:val="en-US"/>
        </w:rPr>
        <w:t xml:space="preserve">, coloured pen drawing in Adolphus Franciscus De Witte, </w:t>
      </w:r>
      <w:r w:rsidRPr="002D4E23">
        <w:rPr>
          <w:i/>
          <w:iCs/>
          <w:lang w:val="en-US"/>
        </w:rPr>
        <w:t>Dialectica</w:t>
      </w:r>
      <w:r w:rsidRPr="002D4E23">
        <w:rPr>
          <w:lang w:val="en-US"/>
        </w:rPr>
        <w:t xml:space="preserve">, 1698-1699. </w:t>
      </w:r>
      <w:r w:rsidRPr="002D4E23">
        <w:t>Louvain-la-Neuve, Archives de l’UCL, MS C24, fol. 10</w:t>
      </w:r>
      <w:r w:rsidRPr="002D4E23">
        <w:rPr>
          <w:vertAlign w:val="superscript"/>
        </w:rPr>
        <w:t>r</w:t>
      </w:r>
      <w:r w:rsidRPr="002D4E23">
        <w:t xml:space="preserve">. </w:t>
      </w:r>
    </w:p>
    <w:p w14:paraId="7ECBA364" w14:textId="52B30529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Fig. 2. Jean Ganière, </w:t>
      </w:r>
      <w:r w:rsidRPr="002D4E23">
        <w:rPr>
          <w:i/>
          <w:iCs/>
          <w:lang w:val="en-US"/>
        </w:rPr>
        <w:t xml:space="preserve">Porphyrian </w:t>
      </w:r>
      <w:r w:rsidR="00CD20A7">
        <w:rPr>
          <w:i/>
          <w:iCs/>
          <w:lang w:val="en-US"/>
        </w:rPr>
        <w:t>T</w:t>
      </w:r>
      <w:r w:rsidRPr="002D4E23">
        <w:rPr>
          <w:i/>
          <w:iCs/>
          <w:lang w:val="en-US"/>
        </w:rPr>
        <w:t>ree</w:t>
      </w:r>
      <w:r w:rsidRPr="002D4E23">
        <w:rPr>
          <w:lang w:val="en-US"/>
        </w:rPr>
        <w:t xml:space="preserve">, before 1642. Engraving in </w:t>
      </w:r>
      <w:r w:rsidRPr="002D4E23">
        <w:rPr>
          <w:i/>
          <w:iCs/>
          <w:lang w:val="en-US"/>
        </w:rPr>
        <w:t>Scripta logica</w:t>
      </w:r>
      <w:r w:rsidRPr="002D4E23">
        <w:rPr>
          <w:lang w:val="en-US"/>
        </w:rPr>
        <w:t>, notebook copied by Claude de Paul in 1642. Paris, BnF, MS lat. 18485, fol. 52</w:t>
      </w:r>
      <w:r w:rsidRPr="002D4E23">
        <w:rPr>
          <w:vertAlign w:val="superscript"/>
          <w:lang w:val="en-US"/>
        </w:rPr>
        <w:t>r</w:t>
      </w:r>
      <w:r w:rsidRPr="002D4E23">
        <w:rPr>
          <w:lang w:val="en-US"/>
        </w:rPr>
        <w:t xml:space="preserve">. </w:t>
      </w:r>
    </w:p>
    <w:p w14:paraId="6548401E" w14:textId="0665F0C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Fig. 3. </w:t>
      </w:r>
      <w:r w:rsidRPr="002D4E23">
        <w:rPr>
          <w:i/>
          <w:iCs/>
          <w:lang w:val="en-US"/>
        </w:rPr>
        <w:t xml:space="preserve">De unione </w:t>
      </w:r>
      <w:r w:rsidR="00467FAC">
        <w:rPr>
          <w:i/>
          <w:iCs/>
          <w:lang w:val="en-US"/>
        </w:rPr>
        <w:t>p</w:t>
      </w:r>
      <w:r w:rsidRPr="002D4E23">
        <w:rPr>
          <w:i/>
          <w:iCs/>
          <w:lang w:val="en-US"/>
        </w:rPr>
        <w:t>hysica</w:t>
      </w:r>
      <w:r w:rsidRPr="002D4E23">
        <w:rPr>
          <w:lang w:val="en-US"/>
        </w:rPr>
        <w:t xml:space="preserve">, engraving published by Michael Hayé and inserted in </w:t>
      </w:r>
      <w:r w:rsidRPr="002D4E23">
        <w:rPr>
          <w:i/>
          <w:iCs/>
          <w:lang w:val="en-US"/>
        </w:rPr>
        <w:t>Logica</w:t>
      </w:r>
      <w:r w:rsidRPr="002D4E23">
        <w:rPr>
          <w:lang w:val="en-US"/>
        </w:rPr>
        <w:t>, notebook copied by Cornelius van Riethoven in 1688-1689. Brussels, KBr, MS 19376, fol. 29</w:t>
      </w:r>
      <w:r w:rsidRPr="002D4E23">
        <w:rPr>
          <w:vertAlign w:val="superscript"/>
          <w:lang w:val="en-US"/>
        </w:rPr>
        <w:t>r</w:t>
      </w:r>
      <w:r w:rsidRPr="002D4E23">
        <w:rPr>
          <w:lang w:val="en-US"/>
        </w:rPr>
        <w:t xml:space="preserve">. </w:t>
      </w:r>
    </w:p>
    <w:p w14:paraId="1FD0A46E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lastRenderedPageBreak/>
        <w:t xml:space="preserve">Fig. 4. </w:t>
      </w:r>
      <w:r w:rsidRPr="002D4E23">
        <w:rPr>
          <w:i/>
          <w:iCs/>
          <w:lang w:val="en-US"/>
        </w:rPr>
        <w:t>Caput Diabolicum</w:t>
      </w:r>
      <w:r w:rsidRPr="002D4E23">
        <w:rPr>
          <w:lang w:val="en-US"/>
        </w:rPr>
        <w:t xml:space="preserve">, pen drawing in Anthonius de Lerze, </w:t>
      </w:r>
      <w:r w:rsidRPr="002D4E23">
        <w:rPr>
          <w:i/>
          <w:iCs/>
          <w:lang w:val="en-US"/>
        </w:rPr>
        <w:t>Logica. In universam Aristotelis in logicam</w:t>
      </w:r>
      <w:r w:rsidRPr="002D4E23">
        <w:rPr>
          <w:lang w:val="en-US"/>
        </w:rPr>
        <w:t>, 1639-1641. Brussels, KBr, MS II 5426, fol. 65</w:t>
      </w:r>
      <w:r w:rsidRPr="002D4E23">
        <w:rPr>
          <w:vertAlign w:val="superscript"/>
          <w:lang w:val="en-US"/>
        </w:rPr>
        <w:t>r</w:t>
      </w:r>
      <w:r w:rsidRPr="002D4E23">
        <w:rPr>
          <w:lang w:val="en-US"/>
        </w:rPr>
        <w:t xml:space="preserve">. </w:t>
      </w:r>
    </w:p>
    <w:p w14:paraId="2240C829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Fig. 5. </w:t>
      </w:r>
      <w:r w:rsidRPr="002D4E23">
        <w:rPr>
          <w:i/>
          <w:iCs/>
          <w:lang w:val="en-US"/>
        </w:rPr>
        <w:t>Caput Diabo[licum] vulgo Waloni[cum]</w:t>
      </w:r>
      <w:r w:rsidRPr="002D4E23">
        <w:rPr>
          <w:lang w:val="en-US"/>
        </w:rPr>
        <w:t xml:space="preserve">, engraving and brown ink in Guilielmus Quisthoudt, </w:t>
      </w:r>
      <w:r w:rsidRPr="002D4E23">
        <w:rPr>
          <w:i/>
          <w:iCs/>
          <w:lang w:val="en-US"/>
        </w:rPr>
        <w:t>Dictata logicalia</w:t>
      </w:r>
      <w:r w:rsidRPr="002D4E23">
        <w:rPr>
          <w:lang w:val="en-US"/>
        </w:rPr>
        <w:t>, 1655-1656. Heeswijk, Abdij van Berne, MS K8, fol. 112</w:t>
      </w:r>
      <w:r w:rsidRPr="002D4E23">
        <w:rPr>
          <w:vertAlign w:val="superscript"/>
          <w:lang w:val="en-US"/>
        </w:rPr>
        <w:t>r</w:t>
      </w:r>
      <w:r w:rsidRPr="002D4E23">
        <w:rPr>
          <w:lang w:val="en-US"/>
        </w:rPr>
        <w:t xml:space="preserve">. </w:t>
      </w:r>
    </w:p>
    <w:p w14:paraId="2A4B8937" w14:textId="77777777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Fig. 6. </w:t>
      </w:r>
      <w:r w:rsidRPr="002D4E23">
        <w:rPr>
          <w:i/>
          <w:iCs/>
          <w:lang w:val="en-US"/>
        </w:rPr>
        <w:t>Caput Diabolicum</w:t>
      </w:r>
      <w:r w:rsidRPr="002D4E23">
        <w:rPr>
          <w:lang w:val="en-US"/>
        </w:rPr>
        <w:t xml:space="preserve">, pen drawing in Joannes Perperius, </w:t>
      </w:r>
      <w:r w:rsidRPr="002D4E23">
        <w:rPr>
          <w:i/>
          <w:iCs/>
          <w:lang w:val="en-US"/>
        </w:rPr>
        <w:t>Logicae magis principalia</w:t>
      </w:r>
      <w:r w:rsidRPr="002D4E23">
        <w:rPr>
          <w:lang w:val="en-US"/>
        </w:rPr>
        <w:t>, 1631. Namur, Société archéologique, MS SAN 31, fol. 169</w:t>
      </w:r>
      <w:r w:rsidRPr="002D4E23">
        <w:rPr>
          <w:vertAlign w:val="superscript"/>
          <w:lang w:val="en-US"/>
        </w:rPr>
        <w:t>v</w:t>
      </w:r>
      <w:r w:rsidRPr="002D4E23">
        <w:rPr>
          <w:lang w:val="en-US"/>
        </w:rPr>
        <w:t xml:space="preserve">. </w:t>
      </w:r>
    </w:p>
    <w:p w14:paraId="2EDBBEED" w14:textId="78C30986" w:rsidR="002D4E23" w:rsidRPr="002D4E23" w:rsidRDefault="002D4E23" w:rsidP="002D4E23">
      <w:pPr>
        <w:rPr>
          <w:lang w:val="en-US"/>
        </w:rPr>
      </w:pPr>
      <w:r w:rsidRPr="002D4E23">
        <w:rPr>
          <w:lang w:val="en-US"/>
        </w:rPr>
        <w:t xml:space="preserve">Fig. 7. Petrus Rucholle, </w:t>
      </w:r>
      <w:r w:rsidRPr="002D4E23">
        <w:rPr>
          <w:i/>
          <w:iCs/>
          <w:lang w:val="en-US"/>
        </w:rPr>
        <w:t xml:space="preserve">Allegory of Aristotelian </w:t>
      </w:r>
      <w:r w:rsidR="00125A76">
        <w:rPr>
          <w:i/>
          <w:iCs/>
          <w:lang w:val="en-US"/>
        </w:rPr>
        <w:t>N</w:t>
      </w:r>
      <w:r w:rsidRPr="002D4E23">
        <w:rPr>
          <w:i/>
          <w:iCs/>
          <w:lang w:val="en-US"/>
        </w:rPr>
        <w:t xml:space="preserve">atural </w:t>
      </w:r>
      <w:r w:rsidR="00125A76">
        <w:rPr>
          <w:i/>
          <w:iCs/>
          <w:lang w:val="en-US"/>
        </w:rPr>
        <w:t>P</w:t>
      </w:r>
      <w:r w:rsidRPr="002D4E23">
        <w:rPr>
          <w:i/>
          <w:iCs/>
          <w:lang w:val="en-US"/>
        </w:rPr>
        <w:t>hilosophy</w:t>
      </w:r>
      <w:r w:rsidRPr="002D4E23">
        <w:rPr>
          <w:lang w:val="en-US"/>
        </w:rPr>
        <w:t xml:space="preserve">, 1641 or earlier. Engraving, 31.6 x 40.5 cm. London, BM, inv. 1874,1212.467. </w:t>
      </w:r>
    </w:p>
    <w:p w14:paraId="3F384990" w14:textId="14AEC68B" w:rsidR="002D4E23" w:rsidRPr="00125A76" w:rsidRDefault="002D4E23" w:rsidP="002D4E23">
      <w:pPr>
        <w:rPr>
          <w:lang w:val="en-US"/>
        </w:rPr>
      </w:pPr>
      <w:r w:rsidRPr="002D4E23">
        <w:rPr>
          <w:lang w:val="en-US"/>
        </w:rPr>
        <w:t xml:space="preserve">Fig. 8. </w:t>
      </w:r>
      <w:r w:rsidR="00125A76">
        <w:rPr>
          <w:lang w:val="en-US"/>
        </w:rPr>
        <w:t xml:space="preserve">Attributed to </w:t>
      </w:r>
      <w:r w:rsidRPr="002D4E23">
        <w:rPr>
          <w:lang w:val="en-US"/>
        </w:rPr>
        <w:t>Martin Baes (</w:t>
      </w:r>
      <w:r w:rsidR="00125A76">
        <w:rPr>
          <w:lang w:val="en-US"/>
        </w:rPr>
        <w:t>engraver</w:t>
      </w:r>
      <w:r w:rsidRPr="002D4E23">
        <w:rPr>
          <w:lang w:val="en-US"/>
        </w:rPr>
        <w:t xml:space="preserve">), ‘Logica’, illustration to a thesis in philosophy, 1635. </w:t>
      </w:r>
      <w:r w:rsidRPr="00125A76">
        <w:rPr>
          <w:lang w:val="en-US"/>
        </w:rPr>
        <w:t xml:space="preserve">[Arras (?), </w:t>
      </w:r>
      <w:r w:rsidR="00D40A5E">
        <w:rPr>
          <w:lang w:val="en-US"/>
        </w:rPr>
        <w:t>n.p</w:t>
      </w:r>
      <w:r w:rsidRPr="00125A76">
        <w:rPr>
          <w:lang w:val="en-US"/>
        </w:rPr>
        <w:t xml:space="preserve">.]. Brussels, KBr, inv. VB 8.206 A 5. </w:t>
      </w:r>
    </w:p>
    <w:p w14:paraId="42779D28" w14:textId="6D6AED61" w:rsidR="002D4E23" w:rsidRPr="008A5CEB" w:rsidRDefault="002D4E23" w:rsidP="002D4E23">
      <w:pPr>
        <w:rPr>
          <w:lang w:val="en-GB"/>
        </w:rPr>
      </w:pPr>
      <w:r w:rsidRPr="002D4E23">
        <w:t xml:space="preserve">Fig. 9. Cornelis Galle the Younger after Erasmus Quellinus, ‘Logica’, illustration to: </w:t>
      </w:r>
      <w:r w:rsidRPr="002D4E23">
        <w:rPr>
          <w:i/>
          <w:iCs/>
        </w:rPr>
        <w:t>Leopoldo Guillelmo Austriaco forti sapienti belli pacisque moderatori</w:t>
      </w:r>
      <w:r w:rsidRPr="002D4E23">
        <w:t>, 1648. Douai: Marc Wion. Engraving, 23.6 x 17.6 cm (sheet). Brussels, KBr, inv. VB 8.206 A 15.</w:t>
      </w:r>
    </w:p>
    <w:sectPr w:rsidR="002D4E23" w:rsidRPr="008A5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ED40B" w14:textId="77777777" w:rsidR="00267E5D" w:rsidRDefault="00267E5D" w:rsidP="008A5CEB">
      <w:r>
        <w:separator/>
      </w:r>
    </w:p>
  </w:endnote>
  <w:endnote w:type="continuationSeparator" w:id="0">
    <w:p w14:paraId="773086D6" w14:textId="77777777" w:rsidR="00267E5D" w:rsidRDefault="00267E5D" w:rsidP="008A5C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2BD014" w14:textId="77777777" w:rsidR="00267E5D" w:rsidRDefault="00267E5D" w:rsidP="008A5CEB">
      <w:r>
        <w:separator/>
      </w:r>
    </w:p>
  </w:footnote>
  <w:footnote w:type="continuationSeparator" w:id="0">
    <w:p w14:paraId="35F4880F" w14:textId="77777777" w:rsidR="00267E5D" w:rsidRDefault="00267E5D" w:rsidP="008A5C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CEB"/>
    <w:rsid w:val="00015180"/>
    <w:rsid w:val="00062897"/>
    <w:rsid w:val="001057B7"/>
    <w:rsid w:val="00125A76"/>
    <w:rsid w:val="0013053C"/>
    <w:rsid w:val="00182885"/>
    <w:rsid w:val="00182C29"/>
    <w:rsid w:val="001951C2"/>
    <w:rsid w:val="001B1269"/>
    <w:rsid w:val="001B2892"/>
    <w:rsid w:val="00205153"/>
    <w:rsid w:val="00251AF2"/>
    <w:rsid w:val="00267E5D"/>
    <w:rsid w:val="002D4E23"/>
    <w:rsid w:val="0036692E"/>
    <w:rsid w:val="003C2E12"/>
    <w:rsid w:val="00467FAC"/>
    <w:rsid w:val="004726C9"/>
    <w:rsid w:val="00606024"/>
    <w:rsid w:val="00616828"/>
    <w:rsid w:val="00634BBF"/>
    <w:rsid w:val="00681396"/>
    <w:rsid w:val="00682E07"/>
    <w:rsid w:val="006857A1"/>
    <w:rsid w:val="00687B3B"/>
    <w:rsid w:val="006E4DE2"/>
    <w:rsid w:val="00721858"/>
    <w:rsid w:val="00747824"/>
    <w:rsid w:val="007A1A4C"/>
    <w:rsid w:val="007A4A39"/>
    <w:rsid w:val="007C42A2"/>
    <w:rsid w:val="00817194"/>
    <w:rsid w:val="008225E2"/>
    <w:rsid w:val="00832799"/>
    <w:rsid w:val="00892508"/>
    <w:rsid w:val="008A5CEB"/>
    <w:rsid w:val="009908B6"/>
    <w:rsid w:val="009C05D3"/>
    <w:rsid w:val="009C573E"/>
    <w:rsid w:val="00A90CB1"/>
    <w:rsid w:val="00AA175C"/>
    <w:rsid w:val="00B100FF"/>
    <w:rsid w:val="00B85388"/>
    <w:rsid w:val="00BC2F7C"/>
    <w:rsid w:val="00BF1750"/>
    <w:rsid w:val="00C548B1"/>
    <w:rsid w:val="00CC4A50"/>
    <w:rsid w:val="00CD20A7"/>
    <w:rsid w:val="00D23986"/>
    <w:rsid w:val="00D27C52"/>
    <w:rsid w:val="00D40A5E"/>
    <w:rsid w:val="00D57F24"/>
    <w:rsid w:val="00D96AB1"/>
    <w:rsid w:val="00E129FA"/>
    <w:rsid w:val="00E577E9"/>
    <w:rsid w:val="00EF5C10"/>
    <w:rsid w:val="00F7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FF6A8"/>
  <w15:chartTrackingRefBased/>
  <w15:docId w15:val="{C18DD315-75A7-472C-85C9-FD402C396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5CEB"/>
    <w:pPr>
      <w:spacing w:after="0" w:line="240" w:lineRule="auto"/>
      <w:jc w:val="both"/>
    </w:pPr>
    <w:rPr>
      <w:rFonts w:ascii="Times New Roman" w:hAnsi="Times New Roman"/>
      <w:kern w:val="0"/>
      <w:sz w:val="24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8A5CEB"/>
    <w:pPr>
      <w:keepNext/>
      <w:keepLines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8A5CEB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EF5C10"/>
    <w:pPr>
      <w:keepNext/>
      <w:keepLines/>
      <w:spacing w:before="160" w:after="80" w:line="259" w:lineRule="auto"/>
      <w:jc w:val="left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u w:val="single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A5CEB"/>
    <w:pPr>
      <w:keepNext/>
      <w:keepLines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A5CEB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A5CEB"/>
    <w:pPr>
      <w:keepNext/>
      <w:keepLines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A5CEB"/>
    <w:pPr>
      <w:keepNext/>
      <w:keepLines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A5CEB"/>
    <w:pPr>
      <w:keepNext/>
      <w:keepLines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A5CEB"/>
    <w:pPr>
      <w:keepNext/>
      <w:keepLines/>
      <w:spacing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EF5C10"/>
    <w:rPr>
      <w:rFonts w:ascii="Times New Roman" w:eastAsiaTheme="majorEastAsia" w:hAnsi="Times New Roman" w:cstheme="majorBidi"/>
      <w:color w:val="0F4761" w:themeColor="accent1" w:themeShade="BF"/>
      <w:sz w:val="28"/>
      <w:szCs w:val="28"/>
      <w:u w:val="single"/>
    </w:rPr>
  </w:style>
  <w:style w:type="character" w:customStyle="1" w:styleId="Titre1Car">
    <w:name w:val="Titre 1 Car"/>
    <w:basedOn w:val="Policepardfaut"/>
    <w:link w:val="Titre1"/>
    <w:uiPriority w:val="9"/>
    <w:rsid w:val="008A5C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8A5C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4Car">
    <w:name w:val="Titre 4 Car"/>
    <w:basedOn w:val="Policepardfaut"/>
    <w:link w:val="Titre4"/>
    <w:uiPriority w:val="9"/>
    <w:semiHidden/>
    <w:rsid w:val="008A5CEB"/>
    <w:rPr>
      <w:rFonts w:eastAsiaTheme="majorEastAsia" w:cstheme="majorBidi"/>
      <w:i/>
      <w:iCs/>
      <w:color w:val="0F4761" w:themeColor="accent1" w:themeShade="BF"/>
      <w:sz w:val="24"/>
    </w:rPr>
  </w:style>
  <w:style w:type="character" w:customStyle="1" w:styleId="Titre5Car">
    <w:name w:val="Titre 5 Car"/>
    <w:basedOn w:val="Policepardfaut"/>
    <w:link w:val="Titre5"/>
    <w:uiPriority w:val="9"/>
    <w:semiHidden/>
    <w:rsid w:val="008A5CEB"/>
    <w:rPr>
      <w:rFonts w:eastAsiaTheme="majorEastAsia" w:cstheme="majorBidi"/>
      <w:color w:val="0F4761" w:themeColor="accent1" w:themeShade="BF"/>
      <w:sz w:val="24"/>
    </w:rPr>
  </w:style>
  <w:style w:type="character" w:customStyle="1" w:styleId="Titre6Car">
    <w:name w:val="Titre 6 Car"/>
    <w:basedOn w:val="Policepardfaut"/>
    <w:link w:val="Titre6"/>
    <w:uiPriority w:val="9"/>
    <w:semiHidden/>
    <w:rsid w:val="008A5CEB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Titre7Car">
    <w:name w:val="Titre 7 Car"/>
    <w:basedOn w:val="Policepardfaut"/>
    <w:link w:val="Titre7"/>
    <w:uiPriority w:val="9"/>
    <w:semiHidden/>
    <w:rsid w:val="008A5CEB"/>
    <w:rPr>
      <w:rFonts w:eastAsiaTheme="majorEastAsia" w:cstheme="majorBidi"/>
      <w:color w:val="595959" w:themeColor="text1" w:themeTint="A6"/>
      <w:sz w:val="24"/>
    </w:rPr>
  </w:style>
  <w:style w:type="character" w:customStyle="1" w:styleId="Titre8Car">
    <w:name w:val="Titre 8 Car"/>
    <w:basedOn w:val="Policepardfaut"/>
    <w:link w:val="Titre8"/>
    <w:uiPriority w:val="9"/>
    <w:semiHidden/>
    <w:rsid w:val="008A5CEB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Titre9Car">
    <w:name w:val="Titre 9 Car"/>
    <w:basedOn w:val="Policepardfaut"/>
    <w:link w:val="Titre9"/>
    <w:uiPriority w:val="9"/>
    <w:semiHidden/>
    <w:rsid w:val="008A5CEB"/>
    <w:rPr>
      <w:rFonts w:eastAsiaTheme="majorEastAsia" w:cstheme="majorBidi"/>
      <w:color w:val="272727" w:themeColor="text1" w:themeTint="D8"/>
      <w:sz w:val="24"/>
    </w:rPr>
  </w:style>
  <w:style w:type="paragraph" w:styleId="Titre">
    <w:name w:val="Title"/>
    <w:basedOn w:val="Normal"/>
    <w:next w:val="Normal"/>
    <w:link w:val="TitreCar"/>
    <w:uiPriority w:val="10"/>
    <w:qFormat/>
    <w:rsid w:val="008A5CEB"/>
    <w:pPr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8A5C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A5CEB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8A5C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8A5CEB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8A5CEB"/>
    <w:rPr>
      <w:rFonts w:ascii="Times New Roman" w:hAnsi="Times New Roman"/>
      <w:i/>
      <w:iCs/>
      <w:color w:val="404040" w:themeColor="text1" w:themeTint="BF"/>
      <w:sz w:val="24"/>
    </w:rPr>
  </w:style>
  <w:style w:type="paragraph" w:styleId="Paragraphedeliste">
    <w:name w:val="List Paragraph"/>
    <w:basedOn w:val="Normal"/>
    <w:uiPriority w:val="34"/>
    <w:qFormat/>
    <w:rsid w:val="008A5CEB"/>
    <w:pPr>
      <w:spacing w:after="160" w:line="259" w:lineRule="auto"/>
      <w:ind w:left="720"/>
      <w:contextualSpacing/>
      <w:jc w:val="left"/>
    </w:pPr>
    <w:rPr>
      <w:kern w:val="2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8A5CEB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8A5C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8A5CEB"/>
    <w:rPr>
      <w:rFonts w:ascii="Times New Roman" w:hAnsi="Times New Roman"/>
      <w:i/>
      <w:iCs/>
      <w:color w:val="0F4761" w:themeColor="accent1" w:themeShade="BF"/>
      <w:sz w:val="24"/>
    </w:rPr>
  </w:style>
  <w:style w:type="character" w:styleId="Rfrenceintense">
    <w:name w:val="Intense Reference"/>
    <w:basedOn w:val="Policepardfaut"/>
    <w:uiPriority w:val="32"/>
    <w:qFormat/>
    <w:rsid w:val="008A5CEB"/>
    <w:rPr>
      <w:b/>
      <w:bCs/>
      <w:smallCaps/>
      <w:color w:val="0F4761" w:themeColor="accent1" w:themeShade="BF"/>
      <w:spacing w:val="5"/>
    </w:rPr>
  </w:style>
  <w:style w:type="paragraph" w:styleId="Notedebasdepage">
    <w:name w:val="footnote text"/>
    <w:aliases w:val="Car"/>
    <w:basedOn w:val="Normal"/>
    <w:link w:val="NotedebasdepageCar"/>
    <w:uiPriority w:val="99"/>
    <w:unhideWhenUsed/>
    <w:qFormat/>
    <w:rsid w:val="008A5CEB"/>
    <w:pPr>
      <w:jc w:val="left"/>
    </w:pPr>
    <w:rPr>
      <w:szCs w:val="20"/>
    </w:rPr>
  </w:style>
  <w:style w:type="character" w:customStyle="1" w:styleId="NotedebasdepageCar">
    <w:name w:val="Note de bas de page Car"/>
    <w:aliases w:val="Car Car"/>
    <w:basedOn w:val="Policepardfaut"/>
    <w:link w:val="Notedebasdepage"/>
    <w:uiPriority w:val="99"/>
    <w:rsid w:val="008A5CEB"/>
    <w:rPr>
      <w:rFonts w:ascii="Times New Roman" w:hAnsi="Times New Roman"/>
      <w:kern w:val="0"/>
      <w:sz w:val="24"/>
      <w:szCs w:val="20"/>
      <w14:ligatures w14:val="none"/>
    </w:rPr>
  </w:style>
  <w:style w:type="character" w:styleId="Appelnotedebasdep">
    <w:name w:val="footnote reference"/>
    <w:basedOn w:val="Policepardfaut"/>
    <w:uiPriority w:val="99"/>
    <w:unhideWhenUsed/>
    <w:rsid w:val="008A5CEB"/>
    <w:rPr>
      <w:rFonts w:ascii="Times New Roman" w:hAnsi="Times New Roman"/>
      <w:sz w:val="24"/>
      <w:vertAlign w:val="superscript"/>
    </w:rPr>
  </w:style>
  <w:style w:type="paragraph" w:styleId="Sansinterligne">
    <w:name w:val="No Spacing"/>
    <w:uiPriority w:val="1"/>
    <w:qFormat/>
    <w:rsid w:val="008A5CEB"/>
    <w:pPr>
      <w:spacing w:after="0" w:line="240" w:lineRule="auto"/>
      <w:jc w:val="both"/>
    </w:pPr>
    <w:rPr>
      <w:rFonts w:ascii="Times New Roman" w:hAnsi="Times New Roman"/>
      <w:kern w:val="0"/>
      <w:sz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68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5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2</Pages>
  <Words>563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UCLouvain</Company>
  <LinksUpToDate>false</LinksUpToDate>
  <CharactersWithSpaces>3657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Gwendoline de Mûelenaere</dc:creator>
  <cp:keywords/>
  <dc:description/>
  <cp:lastModifiedBy>Gwendoline de Mûelenaere</cp:lastModifiedBy>
  <cp:revision>42</cp:revision>
  <dcterms:created xsi:type="dcterms:W3CDTF">2025-06-18T09:02:00Z</dcterms:created>
  <dcterms:modified xsi:type="dcterms:W3CDTF">2025-06-25T08:24:00Z</dcterms:modified>
</cp:coreProperties>
</file>