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421F2C" w14:textId="77777777" w:rsidR="001B112B" w:rsidRPr="00651CEC" w:rsidRDefault="001B112B" w:rsidP="00651CEC">
      <w:pPr>
        <w:spacing w:line="276" w:lineRule="auto"/>
        <w:rPr>
          <w:rFonts w:ascii="Garamond" w:hAnsi="Garamond"/>
          <w:lang w:val="en-US"/>
        </w:rPr>
      </w:pPr>
      <w:r w:rsidRPr="00651CEC">
        <w:rPr>
          <w:rFonts w:ascii="Garamond" w:hAnsi="Garamond"/>
          <w:lang w:val="en-US"/>
        </w:rPr>
        <w:t xml:space="preserve">LEST 2025 </w:t>
      </w:r>
    </w:p>
    <w:p w14:paraId="2DB2A76A" w14:textId="77777777" w:rsidR="001B112B" w:rsidRPr="00651CEC" w:rsidRDefault="001B112B" w:rsidP="00651CEC">
      <w:pPr>
        <w:spacing w:line="276" w:lineRule="auto"/>
        <w:rPr>
          <w:rFonts w:ascii="Garamond" w:hAnsi="Garamond"/>
          <w:lang w:val="en-US"/>
        </w:rPr>
      </w:pPr>
    </w:p>
    <w:p w14:paraId="39CD4B79" w14:textId="77777777" w:rsidR="001B112B" w:rsidRPr="00651CEC" w:rsidRDefault="001B112B" w:rsidP="00651CEC">
      <w:pPr>
        <w:spacing w:line="276" w:lineRule="auto"/>
        <w:jc w:val="center"/>
        <w:rPr>
          <w:rFonts w:ascii="Garamond" w:hAnsi="Garamond"/>
          <w:b/>
          <w:bCs/>
        </w:rPr>
      </w:pPr>
      <w:bookmarkStart w:id="0" w:name="OLE_LINK3"/>
      <w:r w:rsidRPr="00651CEC">
        <w:rPr>
          <w:rFonts w:ascii="Garamond" w:hAnsi="Garamond"/>
          <w:b/>
          <w:bCs/>
        </w:rPr>
        <w:t>Synodal Catholicity</w:t>
      </w:r>
    </w:p>
    <w:p w14:paraId="13D5431E" w14:textId="77777777" w:rsidR="001B112B" w:rsidRPr="00651CEC" w:rsidRDefault="001B112B" w:rsidP="00651CEC">
      <w:pPr>
        <w:spacing w:line="276" w:lineRule="auto"/>
        <w:jc w:val="center"/>
        <w:rPr>
          <w:rFonts w:ascii="Garamond" w:hAnsi="Garamond"/>
        </w:rPr>
      </w:pPr>
      <w:r w:rsidRPr="00651CEC">
        <w:rPr>
          <w:rFonts w:ascii="Garamond" w:hAnsi="Garamond"/>
        </w:rPr>
        <w:t>A Discourse on Relational Ecclesiology within University Chaplaincy</w:t>
      </w:r>
    </w:p>
    <w:p w14:paraId="777C876C" w14:textId="77777777" w:rsidR="001B112B" w:rsidRPr="00651CEC" w:rsidRDefault="001B112B" w:rsidP="00651CEC">
      <w:pPr>
        <w:spacing w:line="276" w:lineRule="auto"/>
        <w:rPr>
          <w:rFonts w:ascii="Garamond" w:hAnsi="Garamond"/>
          <w:b/>
          <w:bCs/>
          <w:lang w:val="en-US"/>
        </w:rPr>
      </w:pPr>
    </w:p>
    <w:p w14:paraId="7F643CE8" w14:textId="77777777" w:rsidR="001B112B" w:rsidRPr="00651CEC" w:rsidRDefault="001B112B" w:rsidP="00651CEC">
      <w:pPr>
        <w:spacing w:line="276" w:lineRule="auto"/>
        <w:rPr>
          <w:rFonts w:ascii="Garamond" w:hAnsi="Garamond"/>
          <w:lang w:val="en-US"/>
        </w:rPr>
      </w:pPr>
    </w:p>
    <w:p w14:paraId="5B4EC547" w14:textId="40B6D3FE" w:rsidR="001B112B" w:rsidRPr="00651CEC" w:rsidRDefault="001B112B" w:rsidP="00651CEC">
      <w:pPr>
        <w:spacing w:line="276" w:lineRule="auto"/>
        <w:rPr>
          <w:rFonts w:ascii="Garamond" w:hAnsi="Garamond"/>
          <w:lang w:val="en-US"/>
        </w:rPr>
      </w:pPr>
      <w:r w:rsidRPr="00651CEC">
        <w:rPr>
          <w:rFonts w:ascii="Garamond" w:hAnsi="Garamond"/>
          <w:lang w:val="en-US"/>
        </w:rPr>
        <w:t>In most discourses about synodality, theology Faculties have largely focused on ecclesiological and canonical research that seek to develop and deepen the synodal style in different church settings but with little or no attention to the university chaplaincy. University chaplaincies and parishes are spaces where the pastoral agency of young people are most evident. Certainly, there are some references to the involvement of young people in the project of synodality (</w:t>
      </w:r>
      <w:r w:rsidRPr="00651CEC">
        <w:rPr>
          <w:rFonts w:ascii="Garamond" w:hAnsi="Garamond"/>
          <w:i/>
          <w:iCs/>
          <w:lang w:val="en-US"/>
        </w:rPr>
        <w:t>Synthesis Report</w:t>
      </w:r>
      <w:r w:rsidRPr="00651CEC">
        <w:rPr>
          <w:rFonts w:ascii="Garamond" w:hAnsi="Garamond"/>
          <w:lang w:val="en-US"/>
        </w:rPr>
        <w:t xml:space="preserve"> §§1b,8d&amp;n,16e, </w:t>
      </w:r>
      <w:r w:rsidRPr="00651CEC">
        <w:rPr>
          <w:rFonts w:ascii="Garamond" w:hAnsi="Garamond"/>
          <w:i/>
          <w:iCs/>
          <w:lang w:val="en-US"/>
        </w:rPr>
        <w:t>Final Document</w:t>
      </w:r>
      <w:r w:rsidRPr="00651CEC">
        <w:rPr>
          <w:rFonts w:ascii="Garamond" w:hAnsi="Garamond"/>
          <w:lang w:val="en-US"/>
        </w:rPr>
        <w:t xml:space="preserve"> §§62,106,118), often in reference to the Post-Synodal Exhortation </w:t>
      </w:r>
      <w:r w:rsidRPr="00651CEC">
        <w:rPr>
          <w:rFonts w:ascii="Garamond" w:hAnsi="Garamond"/>
          <w:i/>
          <w:iCs/>
          <w:lang w:val="en-US"/>
        </w:rPr>
        <w:t xml:space="preserve">Christus </w:t>
      </w:r>
      <w:proofErr w:type="spellStart"/>
      <w:r w:rsidRPr="00651CEC">
        <w:rPr>
          <w:rFonts w:ascii="Garamond" w:hAnsi="Garamond"/>
          <w:i/>
          <w:iCs/>
          <w:lang w:val="en-US"/>
        </w:rPr>
        <w:t>Vivit</w:t>
      </w:r>
      <w:proofErr w:type="spellEnd"/>
      <w:r w:rsidRPr="00651CEC">
        <w:rPr>
          <w:rFonts w:ascii="Garamond" w:hAnsi="Garamond"/>
          <w:lang w:val="en-US"/>
        </w:rPr>
        <w:t xml:space="preserve"> (2018), yet these are always done passively, either in terms of their being ‘digital natives’ or the critical questions they pose to the church today. What appears missing is the role of young people as authentic actors in the doing and living of a synodal church, and thus, as agents in constructing catholicity. This paper argues that nowhere is such an agency clearly demonstrated than in the university chaplaincy or campus ministry. Unfortunately, this ministry appears to have been completely sidelined in the synodal deliberations and documents, with the presumption that it belongs to the same context as a typical parish. Yet a well-organized campus ministry constitutes a space for ecclesiological creativity of young people which has the potential to shape the future synodal leadership in the church.</w:t>
      </w:r>
      <w:r w:rsidRPr="00651CEC">
        <w:rPr>
          <w:rStyle w:val="FootnoteReference"/>
          <w:rFonts w:ascii="Garamond" w:hAnsi="Garamond"/>
          <w:lang w:val="en-US"/>
        </w:rPr>
        <w:footnoteReference w:id="1"/>
      </w:r>
      <w:r w:rsidRPr="00651CEC">
        <w:rPr>
          <w:rFonts w:ascii="Garamond" w:hAnsi="Garamond"/>
          <w:lang w:val="en-US"/>
        </w:rPr>
        <w:t xml:space="preserve"> In consideration of this potential, this paper poses the questions: What type of ecclesiology is operational in a typical Catholic university chaplaincy? How can such an ecclesiology produce a transformative synodal culture among university students for synodal mission in/of the church? In response to these questions, this paper argues in </w:t>
      </w:r>
      <w:proofErr w:type="spellStart"/>
      <w:r w:rsidRPr="00651CEC">
        <w:rPr>
          <w:rFonts w:ascii="Garamond" w:hAnsi="Garamond"/>
          <w:lang w:val="en-US"/>
        </w:rPr>
        <w:t>favour</w:t>
      </w:r>
      <w:proofErr w:type="spellEnd"/>
      <w:r w:rsidRPr="00651CEC">
        <w:rPr>
          <w:rFonts w:ascii="Garamond" w:hAnsi="Garamond"/>
          <w:lang w:val="en-US"/>
        </w:rPr>
        <w:t xml:space="preserve"> of a ‘relational ecclesiology’ as a formative synodal leadership paradigm that highlights the agency of young people in fostering synodality and catholicity.</w:t>
      </w:r>
      <w:bookmarkEnd w:id="0"/>
    </w:p>
    <w:p w14:paraId="77F31659" w14:textId="77777777" w:rsidR="001B112B" w:rsidRPr="00651CEC" w:rsidRDefault="001B112B" w:rsidP="00651CEC">
      <w:pPr>
        <w:spacing w:line="276" w:lineRule="auto"/>
        <w:rPr>
          <w:rFonts w:ascii="Garamond" w:hAnsi="Garamond"/>
        </w:rPr>
      </w:pPr>
    </w:p>
    <w:p w14:paraId="43AD4134" w14:textId="77777777" w:rsidR="001B112B" w:rsidRPr="00651CEC" w:rsidRDefault="001B112B" w:rsidP="00651CEC">
      <w:pPr>
        <w:spacing w:line="276" w:lineRule="auto"/>
        <w:rPr>
          <w:rFonts w:ascii="Garamond" w:hAnsi="Garamond"/>
          <w:b/>
          <w:bCs/>
        </w:rPr>
      </w:pPr>
      <w:r w:rsidRPr="00651CEC">
        <w:rPr>
          <w:rFonts w:ascii="Garamond" w:hAnsi="Garamond"/>
          <w:b/>
          <w:bCs/>
        </w:rPr>
        <w:t>Introduction: Narrating the contexts</w:t>
      </w:r>
    </w:p>
    <w:p w14:paraId="68AB3EE1" w14:textId="77777777" w:rsidR="001B112B" w:rsidRPr="00651CEC" w:rsidRDefault="001B112B" w:rsidP="00651CEC">
      <w:pPr>
        <w:spacing w:line="276" w:lineRule="auto"/>
        <w:rPr>
          <w:rFonts w:ascii="Garamond" w:hAnsi="Garamond"/>
          <w:lang w:val="en-US"/>
        </w:rPr>
      </w:pPr>
    </w:p>
    <w:p w14:paraId="0C983986" w14:textId="77777777" w:rsidR="001B112B"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I teach a seminar course on ecclesiology, and last semester we explored the idea of synodality with focus on two points of view – learning and praxis. Interestingly, the group that presented on strategies for practicing synodality at the level of institutions, argued that at the level of theology faculties, there is need to link/connect the Theology Faculty to the Parish – the integration could become a chance for mutual enrichment. The immediate context that offers this possibility is the chaplaincy that is domiciled in the University. There began my interest in investigating this gap in the synodality project, an ecclesiological gap I dare to say. The central question is: </w:t>
      </w:r>
      <w:r w:rsidRPr="00651CEC">
        <w:rPr>
          <w:rFonts w:ascii="Garamond" w:hAnsi="Garamond"/>
          <w:b/>
          <w:bCs/>
          <w:color w:val="000000" w:themeColor="text1"/>
          <w:lang w:val="en-US"/>
        </w:rPr>
        <w:t>In the light of the program of synodality, how can we best frame the ecclesiology that is, or ought, to be operational in a Catholic students’ chaplaincy?</w:t>
      </w:r>
      <w:r w:rsidRPr="00651CEC">
        <w:rPr>
          <w:rFonts w:ascii="Garamond" w:hAnsi="Garamond"/>
          <w:color w:val="000000" w:themeColor="text1"/>
          <w:lang w:val="en-US"/>
        </w:rPr>
        <w:t xml:space="preserve"> Being part of many university communities in the past few years and even being a coordinator of a </w:t>
      </w:r>
      <w:r w:rsidRPr="00651CEC">
        <w:rPr>
          <w:rFonts w:ascii="Garamond" w:hAnsi="Garamond"/>
          <w:color w:val="000000" w:themeColor="text1"/>
          <w:lang w:val="en-US"/>
        </w:rPr>
        <w:lastRenderedPageBreak/>
        <w:t xml:space="preserve">quasi-chaplaincy in Leuven, I had somewhere to begin. In making such a choice of settings, I settled for students’ chaplaincy service at my former and current home universities, </w:t>
      </w:r>
      <w:proofErr w:type="spellStart"/>
      <w:r w:rsidRPr="00651CEC">
        <w:rPr>
          <w:rFonts w:ascii="Garamond" w:hAnsi="Garamond"/>
          <w:color w:val="000000" w:themeColor="text1"/>
          <w:lang w:val="en-US"/>
        </w:rPr>
        <w:t>UCLouvain</w:t>
      </w:r>
      <w:proofErr w:type="spellEnd"/>
      <w:r w:rsidRPr="00651CEC">
        <w:rPr>
          <w:rFonts w:ascii="Garamond" w:hAnsi="Garamond"/>
          <w:color w:val="000000" w:themeColor="text1"/>
          <w:lang w:val="en-US"/>
        </w:rPr>
        <w:t xml:space="preserve"> and the University of Trier, respectively.</w:t>
      </w:r>
    </w:p>
    <w:p w14:paraId="46E37FDA" w14:textId="77777777" w:rsidR="001B112B" w:rsidRPr="00651CEC" w:rsidRDefault="001B112B" w:rsidP="00651CEC">
      <w:pPr>
        <w:spacing w:line="276" w:lineRule="auto"/>
        <w:rPr>
          <w:rFonts w:ascii="Garamond" w:hAnsi="Garamond"/>
          <w:color w:val="000000" w:themeColor="text1"/>
          <w:lang w:val="en-US"/>
        </w:rPr>
      </w:pPr>
    </w:p>
    <w:p w14:paraId="20ACB48D" w14:textId="6CE8D669" w:rsidR="001B112B"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At </w:t>
      </w:r>
      <w:proofErr w:type="spellStart"/>
      <w:r w:rsidRPr="00651CEC">
        <w:rPr>
          <w:rFonts w:ascii="Garamond" w:hAnsi="Garamond"/>
          <w:color w:val="000000" w:themeColor="text1"/>
          <w:lang w:val="en-US"/>
        </w:rPr>
        <w:t>UCLouvain</w:t>
      </w:r>
      <w:proofErr w:type="spellEnd"/>
      <w:r w:rsidRPr="00651CEC">
        <w:rPr>
          <w:rFonts w:ascii="Garamond" w:hAnsi="Garamond"/>
          <w:color w:val="000000" w:themeColor="text1"/>
          <w:lang w:val="en-US"/>
        </w:rPr>
        <w:t xml:space="preserve">, the chaplaincy does not belong to the university. It is rather domiciled in a parish, Saint François </w:t>
      </w:r>
      <w:proofErr w:type="spellStart"/>
      <w:r w:rsidRPr="00651CEC">
        <w:rPr>
          <w:rFonts w:ascii="Garamond" w:hAnsi="Garamond"/>
          <w:color w:val="000000" w:themeColor="text1"/>
          <w:lang w:val="en-US"/>
        </w:rPr>
        <w:t>d’Assise</w:t>
      </w:r>
      <w:proofErr w:type="spellEnd"/>
      <w:r w:rsidRPr="00651CEC">
        <w:rPr>
          <w:rFonts w:ascii="Garamond" w:hAnsi="Garamond"/>
          <w:color w:val="000000" w:themeColor="text1"/>
          <w:lang w:val="en-US"/>
        </w:rPr>
        <w:t xml:space="preserve"> Louvain-la-Neuve, and run by both diocesan and Dominican priests. The parish website for the students’ chaplaincy gives us a clear glimpse of the communal identity of these young Catholics with respect to their faith (this is my rough translation of the original French): “The students are </w:t>
      </w:r>
      <w:r w:rsidRPr="00651CEC">
        <w:rPr>
          <w:rFonts w:ascii="Garamond" w:hAnsi="Garamond"/>
          <w:color w:val="000000" w:themeColor="text1"/>
          <w:u w:val="single"/>
          <w:lang w:val="en-US"/>
        </w:rPr>
        <w:t>young people who enjoy getting together for various parish activities and sharing community moments</w:t>
      </w:r>
      <w:r w:rsidRPr="00651CEC">
        <w:rPr>
          <w:rFonts w:ascii="Garamond" w:hAnsi="Garamond"/>
          <w:color w:val="000000" w:themeColor="text1"/>
          <w:lang w:val="en-US"/>
        </w:rPr>
        <w:t xml:space="preserve"> in a healthy and holy atmosphere! These include, first and foremost, the ‘student mass’ on Wednesday evenings, but also other activities: conferences, training sessions, testimonies, prayer groups, serving the poor, etc. Whether you’re a little, a lot, passionately, madly Christian... or not at all, a </w:t>
      </w:r>
      <w:r w:rsidRPr="00651CEC">
        <w:rPr>
          <w:rFonts w:ascii="Garamond" w:hAnsi="Garamond"/>
          <w:color w:val="000000" w:themeColor="text1"/>
          <w:u w:val="single"/>
          <w:lang w:val="en-US"/>
        </w:rPr>
        <w:t>mass is an opportunity to escape the daily grind and connect with what’s essential</w:t>
      </w:r>
      <w:r w:rsidRPr="00651CEC">
        <w:rPr>
          <w:rFonts w:ascii="Garamond" w:hAnsi="Garamond"/>
          <w:color w:val="000000" w:themeColor="text1"/>
          <w:lang w:val="en-US"/>
        </w:rPr>
        <w:t xml:space="preserve">. It’s also an opportunity to be active, to get involved in projects that move you forward. It’s living out your faith or your convictions by feeling them exist deep within you. So, come and participate in the mass and activities of the Louvain-la-Neuve student parish every Wednesday starting at 6:30 p.m. That’s just the right time for most of us to finish our last class, </w:t>
      </w:r>
      <w:r w:rsidRPr="00651CEC">
        <w:rPr>
          <w:rFonts w:ascii="Garamond" w:hAnsi="Garamond"/>
          <w:color w:val="000000" w:themeColor="text1"/>
          <w:u w:val="single"/>
          <w:lang w:val="en-US"/>
        </w:rPr>
        <w:t>ready to start the evening with a bang</w:t>
      </w:r>
      <w:r w:rsidRPr="00651CEC">
        <w:rPr>
          <w:rFonts w:ascii="Garamond" w:hAnsi="Garamond"/>
          <w:color w:val="000000" w:themeColor="text1"/>
          <w:lang w:val="en-US"/>
        </w:rPr>
        <w:t>!”</w:t>
      </w:r>
      <w:r w:rsidRPr="00651CEC">
        <w:rPr>
          <w:rStyle w:val="FootnoteReference"/>
          <w:rFonts w:ascii="Garamond" w:hAnsi="Garamond"/>
          <w:color w:val="000000" w:themeColor="text1"/>
          <w:lang w:val="en-US"/>
        </w:rPr>
        <w:footnoteReference w:id="2"/>
      </w:r>
    </w:p>
    <w:p w14:paraId="1C973D59" w14:textId="77777777" w:rsidR="001B112B" w:rsidRPr="00651CEC" w:rsidRDefault="001B112B" w:rsidP="00651CEC">
      <w:pPr>
        <w:spacing w:line="276" w:lineRule="auto"/>
        <w:rPr>
          <w:rFonts w:ascii="Garamond" w:hAnsi="Garamond"/>
          <w:color w:val="000000" w:themeColor="text1"/>
          <w:lang w:val="en-US"/>
        </w:rPr>
      </w:pPr>
    </w:p>
    <w:p w14:paraId="711934AE" w14:textId="07A3186D" w:rsidR="001B112B"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This attitude of openness, awareness of the extra identities as young people and students, inclusivity, commitment, connectedness, and consistency, defines the experience that one gets upon attending any of their activities. It was therefore not a surprise how the students embraced the call to a synodal church and developed among themselves and for themselves activities and </w:t>
      </w:r>
      <w:proofErr w:type="spellStart"/>
      <w:r w:rsidRPr="00651CEC">
        <w:rPr>
          <w:rFonts w:ascii="Garamond" w:hAnsi="Garamond"/>
          <w:color w:val="000000" w:themeColor="text1"/>
          <w:lang w:val="en-US"/>
        </w:rPr>
        <w:t>programmes</w:t>
      </w:r>
      <w:proofErr w:type="spellEnd"/>
      <w:r w:rsidRPr="00651CEC">
        <w:rPr>
          <w:rFonts w:ascii="Garamond" w:hAnsi="Garamond"/>
          <w:color w:val="000000" w:themeColor="text1"/>
          <w:lang w:val="en-US"/>
        </w:rPr>
        <w:t xml:space="preserve"> that advanced the synodal life among them. One of such activities that I find fascinating is the invitation of priests to bless the student apartments/rooms. Other activities revolve around the spiritual and social of the students, not only within the chaplaincy but also as teams within the larger university context (</w:t>
      </w:r>
      <w:proofErr w:type="spellStart"/>
      <w:r w:rsidRPr="00651CEC">
        <w:rPr>
          <w:rFonts w:ascii="Garamond" w:hAnsi="Garamond"/>
          <w:color w:val="000000" w:themeColor="text1"/>
          <w:lang w:val="en-US"/>
        </w:rPr>
        <w:t>eg.</w:t>
      </w:r>
      <w:proofErr w:type="spellEnd"/>
      <w:r w:rsidRPr="00651CEC">
        <w:rPr>
          <w:rFonts w:ascii="Garamond" w:hAnsi="Garamond"/>
          <w:color w:val="000000" w:themeColor="text1"/>
          <w:lang w:val="en-US"/>
        </w:rPr>
        <w:t xml:space="preserve"> 24-hour velo). (I show in this PPT a leaflet of their activities – it is a ground-up </w:t>
      </w:r>
      <w:proofErr w:type="spellStart"/>
      <w:r w:rsidRPr="00651CEC">
        <w:rPr>
          <w:rFonts w:ascii="Garamond" w:hAnsi="Garamond"/>
          <w:color w:val="000000" w:themeColor="text1"/>
          <w:lang w:val="en-US"/>
        </w:rPr>
        <w:t>programme</w:t>
      </w:r>
      <w:proofErr w:type="spellEnd"/>
      <w:r w:rsidRPr="00651CEC">
        <w:rPr>
          <w:rFonts w:ascii="Garamond" w:hAnsi="Garamond"/>
          <w:color w:val="000000" w:themeColor="text1"/>
          <w:lang w:val="en-US"/>
        </w:rPr>
        <w:t xml:space="preserve"> by students jointly with their pastors rather than a </w:t>
      </w:r>
      <w:proofErr w:type="spellStart"/>
      <w:r w:rsidRPr="00651CEC">
        <w:rPr>
          <w:rFonts w:ascii="Garamond" w:hAnsi="Garamond"/>
          <w:color w:val="000000" w:themeColor="text1"/>
          <w:lang w:val="en-US"/>
        </w:rPr>
        <w:t>programme</w:t>
      </w:r>
      <w:proofErr w:type="spellEnd"/>
      <w:r w:rsidRPr="00651CEC">
        <w:rPr>
          <w:rFonts w:ascii="Garamond" w:hAnsi="Garamond"/>
          <w:color w:val="000000" w:themeColor="text1"/>
          <w:lang w:val="en-US"/>
        </w:rPr>
        <w:t xml:space="preserve"> designed by ‘those who know better’). That takes me to the second context. </w:t>
      </w:r>
    </w:p>
    <w:p w14:paraId="6F06DDA3" w14:textId="77777777" w:rsidR="001B112B" w:rsidRPr="00651CEC" w:rsidRDefault="001B112B" w:rsidP="00651CEC">
      <w:pPr>
        <w:spacing w:line="276" w:lineRule="auto"/>
        <w:rPr>
          <w:rFonts w:ascii="Garamond" w:hAnsi="Garamond"/>
          <w:color w:val="000000" w:themeColor="text1"/>
          <w:lang w:val="en-US"/>
        </w:rPr>
      </w:pPr>
    </w:p>
    <w:p w14:paraId="75719BBD" w14:textId="77777777" w:rsidR="001B112B"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At the University of Trier, the chaplaincy service is also not organized by the University, rather it is run by the diocese of Trier under the </w:t>
      </w:r>
      <w:proofErr w:type="spellStart"/>
      <w:r w:rsidRPr="00651CEC">
        <w:rPr>
          <w:rFonts w:ascii="Garamond" w:hAnsi="Garamond"/>
          <w:color w:val="000000" w:themeColor="text1"/>
          <w:lang w:val="en-US"/>
        </w:rPr>
        <w:t>Katholische</w:t>
      </w:r>
      <w:proofErr w:type="spellEnd"/>
      <w:r w:rsidRPr="00651CEC">
        <w:rPr>
          <w:rFonts w:ascii="Garamond" w:hAnsi="Garamond"/>
          <w:color w:val="000000" w:themeColor="text1"/>
          <w:lang w:val="en-US"/>
        </w:rPr>
        <w:t xml:space="preserve"> </w:t>
      </w:r>
      <w:proofErr w:type="spellStart"/>
      <w:r w:rsidRPr="00651CEC">
        <w:rPr>
          <w:rFonts w:ascii="Garamond" w:hAnsi="Garamond"/>
          <w:color w:val="000000" w:themeColor="text1"/>
          <w:lang w:val="en-US"/>
        </w:rPr>
        <w:t>Hochschulgemeinde</w:t>
      </w:r>
      <w:proofErr w:type="spellEnd"/>
      <w:r w:rsidRPr="00651CEC">
        <w:rPr>
          <w:rFonts w:ascii="Garamond" w:hAnsi="Garamond"/>
          <w:color w:val="000000" w:themeColor="text1"/>
          <w:lang w:val="en-US"/>
        </w:rPr>
        <w:t xml:space="preserve"> (KHG). </w:t>
      </w:r>
      <w:r w:rsidRPr="00651CEC">
        <w:rPr>
          <w:rFonts w:ascii="Garamond" w:hAnsi="Garamond"/>
          <w:color w:val="000000" w:themeColor="text1"/>
          <w:highlight w:val="yellow"/>
          <w:lang w:val="en-US"/>
        </w:rPr>
        <w:t xml:space="preserve">It has two contact points, for administrative and activities, </w:t>
      </w:r>
      <w:proofErr w:type="spellStart"/>
      <w:r w:rsidRPr="00651CEC">
        <w:rPr>
          <w:rFonts w:ascii="Garamond" w:hAnsi="Garamond"/>
          <w:color w:val="000000" w:themeColor="text1"/>
          <w:highlight w:val="yellow"/>
          <w:lang w:val="en-US"/>
        </w:rPr>
        <w:t>Im</w:t>
      </w:r>
      <w:proofErr w:type="spellEnd"/>
      <w:r w:rsidRPr="00651CEC">
        <w:rPr>
          <w:rFonts w:ascii="Garamond" w:hAnsi="Garamond"/>
          <w:color w:val="000000" w:themeColor="text1"/>
          <w:highlight w:val="yellow"/>
          <w:lang w:val="en-US"/>
        </w:rPr>
        <w:t xml:space="preserve"> Treff15 and </w:t>
      </w:r>
      <w:proofErr w:type="spellStart"/>
      <w:r w:rsidRPr="00651CEC">
        <w:rPr>
          <w:rFonts w:ascii="Garamond" w:hAnsi="Garamond"/>
          <w:color w:val="000000" w:themeColor="text1"/>
          <w:highlight w:val="yellow"/>
          <w:lang w:val="en-US"/>
        </w:rPr>
        <w:t>Im</w:t>
      </w:r>
      <w:proofErr w:type="spellEnd"/>
      <w:r w:rsidRPr="00651CEC">
        <w:rPr>
          <w:rFonts w:ascii="Garamond" w:hAnsi="Garamond"/>
          <w:color w:val="000000" w:themeColor="text1"/>
          <w:highlight w:val="yellow"/>
          <w:lang w:val="en-US"/>
        </w:rPr>
        <w:t xml:space="preserve"> Treff 27. The former formerly domiciled at the </w:t>
      </w:r>
      <w:proofErr w:type="spellStart"/>
      <w:r w:rsidRPr="00651CEC">
        <w:rPr>
          <w:rFonts w:ascii="Garamond" w:hAnsi="Garamond"/>
          <w:color w:val="000000" w:themeColor="text1"/>
          <w:highlight w:val="yellow"/>
          <w:lang w:val="en-US"/>
        </w:rPr>
        <w:t>Pfarrei</w:t>
      </w:r>
      <w:proofErr w:type="spellEnd"/>
      <w:r w:rsidRPr="00651CEC">
        <w:rPr>
          <w:rFonts w:ascii="Garamond" w:hAnsi="Garamond"/>
          <w:color w:val="000000" w:themeColor="text1"/>
          <w:highlight w:val="yellow"/>
          <w:lang w:val="en-US"/>
        </w:rPr>
        <w:t xml:space="preserve"> Hl. Edith Stein is being moved to a yet-to-be-disclosed location. But what is most interesting to me is ‘chaplaincy’ style that exists for the theology students at the faculty. There are periodic Masses and events that bring the community together. In this context, the Catholic theology students were able to get involved in the synodality program not merely in creating activities like the group at </w:t>
      </w:r>
      <w:proofErr w:type="spellStart"/>
      <w:r w:rsidRPr="00651CEC">
        <w:rPr>
          <w:rFonts w:ascii="Garamond" w:hAnsi="Garamond"/>
          <w:color w:val="000000" w:themeColor="text1"/>
          <w:highlight w:val="yellow"/>
          <w:lang w:val="en-US"/>
        </w:rPr>
        <w:t>UCLouvain</w:t>
      </w:r>
      <w:proofErr w:type="spellEnd"/>
      <w:r w:rsidRPr="00651CEC">
        <w:rPr>
          <w:rFonts w:ascii="Garamond" w:hAnsi="Garamond"/>
          <w:color w:val="000000" w:themeColor="text1"/>
          <w:highlight w:val="yellow"/>
          <w:lang w:val="en-US"/>
        </w:rPr>
        <w:t>, but in raising critical questions on the praxis of synodality in the diocese of Trier.</w:t>
      </w:r>
      <w:r w:rsidRPr="00651CEC">
        <w:rPr>
          <w:rFonts w:ascii="Garamond" w:hAnsi="Garamond"/>
          <w:color w:val="000000" w:themeColor="text1"/>
          <w:lang w:val="en-US"/>
        </w:rPr>
        <w:t xml:space="preserve"> </w:t>
      </w:r>
    </w:p>
    <w:p w14:paraId="2270A6A9" w14:textId="77777777" w:rsidR="001B112B" w:rsidRPr="00651CEC" w:rsidRDefault="001B112B" w:rsidP="00651CEC">
      <w:pPr>
        <w:spacing w:line="276" w:lineRule="auto"/>
        <w:rPr>
          <w:rFonts w:ascii="Garamond" w:hAnsi="Garamond"/>
          <w:color w:val="000000" w:themeColor="text1"/>
          <w:lang w:val="en-US"/>
        </w:rPr>
      </w:pPr>
    </w:p>
    <w:p w14:paraId="56B664C1" w14:textId="77777777" w:rsidR="001B112B"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During the process of the Synod on Synodality, 10 of these students produced an official response to the working document at the continental level, “‘Enlarge the Space of Your Tent’ </w:t>
      </w:r>
      <w:r w:rsidRPr="00651CEC">
        <w:rPr>
          <w:rFonts w:ascii="Garamond" w:hAnsi="Garamond"/>
          <w:color w:val="000000" w:themeColor="text1"/>
          <w:lang w:val="en-US"/>
        </w:rPr>
        <w:lastRenderedPageBreak/>
        <w:t>(Is.54:2)”. It was a fascinating document of 22 paragraphs that responds to 3 questions from the working document (I shall highlight a few ideas therein). The students complained bitterly the lack of interest on synodality of the universal church within the German church: “Unfortunately, in the Catholic Church in Germany, the bishops hardly brought the diocesan phase pf the World Synod, especially the step of questioning the people of God, to the attention of the faithful. As a result, only few could be reached.” (§2) Most of the volunteers and employees of the church denied being asked to participate in the process. The communication process was unserious with only the Archdiocese of Cologne was praised for an excellent digital communication. Again, they observed that “the voice of the youth is hardly represented in the church” and for them “personal interaction is particularly important in order to feel encouraged to participate and to get in touch (again) with the faith.” (§4) For these students, what is missing a bold intention and intense demonstration of relationality within the church instead of the over-structurization of church life in Germany.</w:t>
      </w:r>
    </w:p>
    <w:p w14:paraId="2E442545" w14:textId="77777777" w:rsidR="001B112B" w:rsidRPr="00651CEC" w:rsidRDefault="001B112B" w:rsidP="00651CEC">
      <w:pPr>
        <w:spacing w:line="276" w:lineRule="auto"/>
        <w:rPr>
          <w:rFonts w:ascii="Garamond" w:hAnsi="Garamond"/>
          <w:color w:val="000000" w:themeColor="text1"/>
          <w:lang w:val="en-US"/>
        </w:rPr>
      </w:pPr>
    </w:p>
    <w:p w14:paraId="2BCEAA21" w14:textId="40EF7DEE" w:rsidR="00651CEC" w:rsidRPr="00651CEC" w:rsidRDefault="001B112B" w:rsidP="00651CEC">
      <w:pPr>
        <w:spacing w:line="276" w:lineRule="auto"/>
        <w:rPr>
          <w:rFonts w:ascii="Garamond" w:hAnsi="Garamond"/>
          <w:color w:val="000000" w:themeColor="text1"/>
          <w:lang w:val="en-US"/>
        </w:rPr>
      </w:pPr>
      <w:r w:rsidRPr="00651CEC">
        <w:rPr>
          <w:rFonts w:ascii="Garamond" w:hAnsi="Garamond"/>
          <w:color w:val="000000" w:themeColor="text1"/>
          <w:lang w:val="en-US"/>
        </w:rPr>
        <w:t xml:space="preserve">From these two accounts, the first task in exploring the relational ecclesiological pattern for Catholic chaplaincy is to first ask what this means for the project of synodality within a world church. By protesting the disinterestedness of the German church to the global Synod, one is wont to ask: How Catholic is the Synod? And perhaps it is best to define ‘synodal Catholicity’ </w:t>
      </w:r>
      <w:proofErr w:type="gramStart"/>
      <w:r w:rsidRPr="00651CEC">
        <w:rPr>
          <w:rFonts w:ascii="Garamond" w:hAnsi="Garamond"/>
          <w:color w:val="000000" w:themeColor="text1"/>
          <w:lang w:val="en-US"/>
        </w:rPr>
        <w:t>in order to</w:t>
      </w:r>
      <w:proofErr w:type="gramEnd"/>
      <w:r w:rsidRPr="00651CEC">
        <w:rPr>
          <w:rFonts w:ascii="Garamond" w:hAnsi="Garamond"/>
          <w:color w:val="000000" w:themeColor="text1"/>
          <w:lang w:val="en-US"/>
        </w:rPr>
        <w:t xml:space="preserve"> name what these young students are yearning for. This should also explain why the chaplaincy should be taken seriously by ecclesiology.</w:t>
      </w:r>
    </w:p>
    <w:p w14:paraId="37E7ABFC" w14:textId="77777777" w:rsidR="001B112B" w:rsidRPr="00651CEC" w:rsidRDefault="001B112B" w:rsidP="00651CEC">
      <w:pPr>
        <w:spacing w:line="276" w:lineRule="auto"/>
        <w:rPr>
          <w:rFonts w:ascii="Garamond" w:hAnsi="Garamond"/>
          <w:lang w:val="en-US"/>
        </w:rPr>
      </w:pPr>
    </w:p>
    <w:p w14:paraId="4DBDB39E" w14:textId="77777777" w:rsidR="001B112B" w:rsidRPr="00651CEC" w:rsidRDefault="001B112B" w:rsidP="00651CEC">
      <w:pPr>
        <w:spacing w:line="276" w:lineRule="auto"/>
        <w:rPr>
          <w:rFonts w:ascii="Garamond" w:hAnsi="Garamond"/>
          <w:b/>
          <w:bCs/>
        </w:rPr>
      </w:pPr>
      <w:r w:rsidRPr="00651CEC">
        <w:rPr>
          <w:rFonts w:ascii="Garamond" w:hAnsi="Garamond"/>
          <w:b/>
          <w:bCs/>
        </w:rPr>
        <w:t>Part I: Understanding the idea of ‘Synodal Catholicity’ and how it is linked to University Chaplaincy</w:t>
      </w:r>
    </w:p>
    <w:p w14:paraId="7DC799CF" w14:textId="77777777" w:rsidR="001B112B" w:rsidRPr="00651CEC" w:rsidRDefault="001B112B" w:rsidP="00651CEC">
      <w:pPr>
        <w:spacing w:line="276" w:lineRule="auto"/>
        <w:rPr>
          <w:rFonts w:ascii="Garamond" w:hAnsi="Garamond"/>
          <w:lang w:val="en-US"/>
        </w:rPr>
      </w:pPr>
    </w:p>
    <w:p w14:paraId="6D648DD9" w14:textId="77777777" w:rsidR="001B112B" w:rsidRPr="00651CEC" w:rsidRDefault="001B112B" w:rsidP="00651CEC">
      <w:pPr>
        <w:spacing w:line="276" w:lineRule="auto"/>
        <w:rPr>
          <w:rFonts w:ascii="Garamond" w:eastAsia="Times New Roman" w:hAnsi="Garamond" w:cstheme="majorHAnsi"/>
          <w:color w:val="000000"/>
          <w:kern w:val="0"/>
          <w:lang w:eastAsia="en-GB"/>
          <w14:ligatures w14:val="none"/>
        </w:rPr>
      </w:pPr>
      <w:r w:rsidRPr="00651CEC">
        <w:rPr>
          <w:rFonts w:ascii="Garamond" w:hAnsi="Garamond"/>
          <w:lang w:val="en-US"/>
        </w:rPr>
        <w:t xml:space="preserve">The history of conciliarism informs us of the regional councils prior to Nicaea. While this was going quite well, it was not until the Quartodeciman controversy </w:t>
      </w:r>
      <w:r w:rsidRPr="00651CEC">
        <w:rPr>
          <w:rFonts w:ascii="Garamond" w:eastAsia="Times New Roman" w:hAnsi="Garamond" w:cstheme="majorHAnsi"/>
          <w:color w:val="000000"/>
          <w:kern w:val="0"/>
          <w:lang w:eastAsia="en-GB"/>
          <w14:ligatures w14:val="none"/>
        </w:rPr>
        <w:t>on the proper date for Easter that the extra-regional need for a council arose. In fact, the Bishop of Rome, Victor I (189-98) who attempted to resolve the problem by force was met with stift resistance by other bishops, including Polycrates, the bishop of Ephesus, who sent him a letter of dispute.</w:t>
      </w:r>
      <w:r w:rsidRPr="00651CEC">
        <w:rPr>
          <w:rStyle w:val="FootnoteReference"/>
          <w:rFonts w:ascii="Garamond" w:eastAsia="Times New Roman" w:hAnsi="Garamond" w:cstheme="majorHAnsi"/>
          <w:color w:val="000000"/>
          <w:kern w:val="0"/>
          <w:lang w:eastAsia="en-GB"/>
          <w14:ligatures w14:val="none"/>
        </w:rPr>
        <w:footnoteReference w:id="3"/>
      </w:r>
      <w:r w:rsidRPr="00651CEC">
        <w:rPr>
          <w:rFonts w:ascii="Garamond" w:eastAsia="Times New Roman" w:hAnsi="Garamond" w:cstheme="majorHAnsi"/>
          <w:color w:val="000000"/>
          <w:kern w:val="0"/>
          <w:lang w:eastAsia="en-GB"/>
          <w14:ligatures w14:val="none"/>
        </w:rPr>
        <w:t xml:space="preserve"> What happens in one part of the world affects the other, and much more in a global church. While this is not an argument for centralization but an attention to the fact that a healthy decentralization (as insisted by Pope Francis) must not be allowed to slip into provincialism.</w:t>
      </w:r>
    </w:p>
    <w:p w14:paraId="45A2B8CA" w14:textId="77777777" w:rsidR="001B112B" w:rsidRPr="00651CEC" w:rsidRDefault="001B112B" w:rsidP="00651CEC">
      <w:pPr>
        <w:spacing w:line="276" w:lineRule="auto"/>
        <w:rPr>
          <w:rFonts w:ascii="Garamond" w:eastAsia="Times New Roman" w:hAnsi="Garamond" w:cstheme="majorHAnsi"/>
          <w:color w:val="000000"/>
          <w:kern w:val="0"/>
          <w:lang w:eastAsia="en-GB"/>
          <w14:ligatures w14:val="none"/>
        </w:rPr>
      </w:pPr>
    </w:p>
    <w:p w14:paraId="0E97FA13" w14:textId="77777777" w:rsidR="001B112B" w:rsidRPr="00651CEC" w:rsidRDefault="001B112B" w:rsidP="00651CEC">
      <w:pPr>
        <w:spacing w:line="276" w:lineRule="auto"/>
        <w:rPr>
          <w:rFonts w:ascii="Garamond" w:hAnsi="Garamond"/>
        </w:rPr>
      </w:pPr>
      <w:r w:rsidRPr="00651CEC">
        <w:rPr>
          <w:rFonts w:ascii="Garamond" w:eastAsia="Times New Roman" w:hAnsi="Garamond" w:cstheme="majorHAnsi"/>
          <w:color w:val="000000"/>
          <w:kern w:val="0"/>
          <w:lang w:eastAsia="en-GB"/>
          <w14:ligatures w14:val="none"/>
        </w:rPr>
        <w:t>Synodal catholicity is a practice of synodality that takes into account the different communities that form the church as a dynamic unit.</w:t>
      </w:r>
      <w:r w:rsidRPr="00651CEC">
        <w:rPr>
          <w:rFonts w:ascii="Garamond" w:hAnsi="Garamond"/>
        </w:rPr>
        <w:t xml:space="preserve"> The idea of ‘synodal catholicity’ is explained by </w:t>
      </w:r>
      <w:r w:rsidRPr="00651CEC">
        <w:rPr>
          <w:rFonts w:ascii="Garamond" w:hAnsi="Garamond"/>
          <w:i/>
          <w:iCs/>
        </w:rPr>
        <w:t>Lumen Gentium</w:t>
      </w:r>
      <w:r w:rsidRPr="00651CEC">
        <w:rPr>
          <w:rFonts w:ascii="Garamond" w:hAnsi="Garamond"/>
        </w:rPr>
        <w:t xml:space="preserve"> 13, which asserts that by virtue of catholicity, and one could also argue, by virtue of synodality, “the individual parts bring their own gifts to the other parts and to the whole Church, in such a way that the whole and individual parts grow greater through the mutual communication of all and their united efforts towards fullness in unity” (LG 13).</w:t>
      </w:r>
    </w:p>
    <w:p w14:paraId="77615276" w14:textId="77777777" w:rsidR="001B112B" w:rsidRPr="00651CEC" w:rsidRDefault="001B112B" w:rsidP="00651CEC">
      <w:pPr>
        <w:spacing w:line="276" w:lineRule="auto"/>
        <w:rPr>
          <w:rFonts w:ascii="Garamond" w:eastAsia="Times New Roman" w:hAnsi="Garamond" w:cstheme="majorHAnsi"/>
          <w:color w:val="000000"/>
          <w:kern w:val="0"/>
          <w:lang w:eastAsia="en-GB"/>
          <w14:ligatures w14:val="none"/>
        </w:rPr>
      </w:pPr>
    </w:p>
    <w:p w14:paraId="6BA57578" w14:textId="16ECC3B3" w:rsidR="001B112B" w:rsidRPr="00651CEC" w:rsidRDefault="001B112B" w:rsidP="00651CEC">
      <w:pPr>
        <w:spacing w:line="276" w:lineRule="auto"/>
        <w:rPr>
          <w:rFonts w:ascii="Garamond" w:hAnsi="Garamond"/>
          <w:lang w:val="en-US"/>
        </w:rPr>
      </w:pPr>
      <w:r w:rsidRPr="00651CEC">
        <w:rPr>
          <w:rFonts w:ascii="Garamond" w:hAnsi="Garamond"/>
          <w:lang w:val="en-US"/>
        </w:rPr>
        <w:t xml:space="preserve">Synodal catholicity is opposed to provincialism, which is a prevailing pattern of Anglican ecclesiology. Paul Valliere describes provincialism as “a system in which autonomous </w:t>
      </w:r>
      <w:r w:rsidRPr="00651CEC">
        <w:rPr>
          <w:rFonts w:ascii="Garamond" w:hAnsi="Garamond"/>
          <w:lang w:val="en-US"/>
        </w:rPr>
        <w:lastRenderedPageBreak/>
        <w:t>ecclesiastical provinces such as the Anglican Church of Canada, the Episcopal Church or the Church of Uganda, function as the ultimate units of church government.” Autonomy framed in absolute terms implies that ‘walking together’ with others is not considered a necessary dimension of ecclesiology.</w:t>
      </w:r>
    </w:p>
    <w:p w14:paraId="45987F7E" w14:textId="77777777" w:rsidR="001B112B" w:rsidRPr="00651CEC" w:rsidRDefault="001B112B" w:rsidP="00651CEC">
      <w:pPr>
        <w:spacing w:line="276" w:lineRule="auto"/>
        <w:rPr>
          <w:rFonts w:ascii="Garamond" w:hAnsi="Garamond"/>
          <w:lang w:val="en-US"/>
        </w:rPr>
      </w:pPr>
    </w:p>
    <w:p w14:paraId="065FEB34" w14:textId="77777777" w:rsidR="001B112B" w:rsidRPr="00651CEC" w:rsidRDefault="001B112B" w:rsidP="00651CEC">
      <w:pPr>
        <w:spacing w:line="276" w:lineRule="auto"/>
        <w:rPr>
          <w:rFonts w:ascii="Garamond" w:hAnsi="Garamond"/>
          <w:lang w:val="en-US"/>
        </w:rPr>
      </w:pPr>
      <w:r w:rsidRPr="00651CEC">
        <w:rPr>
          <w:rFonts w:ascii="Garamond" w:hAnsi="Garamond"/>
          <w:lang w:val="en-US"/>
        </w:rPr>
        <w:t xml:space="preserve">Synodal catholicity is by the same measure contrary to </w:t>
      </w:r>
      <w:proofErr w:type="spellStart"/>
      <w:r w:rsidRPr="00651CEC">
        <w:rPr>
          <w:rFonts w:ascii="Garamond" w:hAnsi="Garamond"/>
          <w:lang w:val="en-US"/>
        </w:rPr>
        <w:t>synodophobia</w:t>
      </w:r>
      <w:proofErr w:type="spellEnd"/>
      <w:r w:rsidRPr="00651CEC">
        <w:rPr>
          <w:rFonts w:ascii="Garamond" w:hAnsi="Garamond"/>
          <w:lang w:val="en-US"/>
        </w:rPr>
        <w:t xml:space="preserve">. </w:t>
      </w:r>
      <w:r w:rsidRPr="00651CEC">
        <w:rPr>
          <w:rFonts w:ascii="Garamond" w:hAnsi="Garamond"/>
        </w:rPr>
        <w:t xml:space="preserve">Synodophobia, which is synonymous with provincialism, </w:t>
      </w:r>
      <w:r w:rsidRPr="00651CEC">
        <w:rPr>
          <w:rFonts w:ascii="Garamond" w:hAnsi="Garamond"/>
          <w:highlight w:val="lightGray"/>
        </w:rPr>
        <w:t>represents a certain form of indifference to universal communion since the self-sufficiency of the province is not affected in any way, while the necessity of a cross-provincial mechanism of mutual accountability is reduced or even eliminated. Universal communion is only seen as symbolic and sometimes it is even reduced to a matter of nomenclatural association, a form of identification by name only.</w:t>
      </w:r>
      <w:r w:rsidRPr="00651CEC">
        <w:rPr>
          <w:rFonts w:ascii="Garamond" w:hAnsi="Garamond"/>
          <w:lang w:val="en-US"/>
        </w:rPr>
        <w:t xml:space="preserve">  </w:t>
      </w:r>
    </w:p>
    <w:p w14:paraId="28CEE8FB" w14:textId="77777777" w:rsidR="001B112B" w:rsidRPr="00651CEC" w:rsidRDefault="001B112B" w:rsidP="00651CEC">
      <w:pPr>
        <w:spacing w:line="276" w:lineRule="auto"/>
        <w:rPr>
          <w:rFonts w:ascii="Garamond" w:hAnsi="Garamond"/>
          <w:lang w:val="en-US"/>
        </w:rPr>
      </w:pPr>
    </w:p>
    <w:p w14:paraId="24CCBCC7" w14:textId="77777777" w:rsidR="001B112B" w:rsidRPr="00651CEC" w:rsidRDefault="001B112B" w:rsidP="00651CEC">
      <w:pPr>
        <w:spacing w:line="276" w:lineRule="auto"/>
        <w:rPr>
          <w:rFonts w:ascii="Garamond" w:hAnsi="Garamond"/>
          <w:lang w:val="en-US"/>
        </w:rPr>
      </w:pPr>
      <w:r w:rsidRPr="00651CEC">
        <w:rPr>
          <w:rFonts w:ascii="Garamond" w:hAnsi="Garamond"/>
          <w:lang w:val="en-US"/>
        </w:rPr>
        <w:t>I would say that bar its many great points, the German ‘</w:t>
      </w:r>
      <w:proofErr w:type="spellStart"/>
      <w:r w:rsidRPr="00651CEC">
        <w:rPr>
          <w:rFonts w:ascii="Garamond" w:hAnsi="Garamond"/>
          <w:lang w:val="en-US"/>
        </w:rPr>
        <w:t>synodale</w:t>
      </w:r>
      <w:proofErr w:type="spellEnd"/>
      <w:r w:rsidRPr="00651CEC">
        <w:rPr>
          <w:rFonts w:ascii="Garamond" w:hAnsi="Garamond"/>
          <w:lang w:val="en-US"/>
        </w:rPr>
        <w:t xml:space="preserve"> </w:t>
      </w:r>
      <w:proofErr w:type="spellStart"/>
      <w:r w:rsidRPr="00651CEC">
        <w:rPr>
          <w:rFonts w:ascii="Garamond" w:hAnsi="Garamond"/>
          <w:lang w:val="en-US"/>
        </w:rPr>
        <w:t>weg</w:t>
      </w:r>
      <w:proofErr w:type="spellEnd"/>
      <w:r w:rsidRPr="00651CEC">
        <w:rPr>
          <w:rFonts w:ascii="Garamond" w:hAnsi="Garamond"/>
          <w:lang w:val="en-US"/>
        </w:rPr>
        <w:t xml:space="preserve">’ represents an attempt at provincialism that goes against a synodal catholicity. </w:t>
      </w:r>
      <w:r w:rsidRPr="00651CEC">
        <w:rPr>
          <w:rFonts w:ascii="Garamond" w:hAnsi="Garamond"/>
          <w:highlight w:val="yellow"/>
          <w:lang w:val="en-US"/>
        </w:rPr>
        <w:t>(search sources for the problem of S-Weg)</w:t>
      </w:r>
    </w:p>
    <w:p w14:paraId="5D72DEBB" w14:textId="77777777" w:rsidR="001B112B" w:rsidRPr="00651CEC" w:rsidRDefault="001B112B" w:rsidP="00651CEC">
      <w:pPr>
        <w:spacing w:line="276" w:lineRule="auto"/>
        <w:rPr>
          <w:rFonts w:ascii="Garamond" w:hAnsi="Garamond"/>
          <w:lang w:val="en-US"/>
        </w:rPr>
      </w:pPr>
    </w:p>
    <w:p w14:paraId="1AD78DDE" w14:textId="77777777" w:rsidR="001B112B" w:rsidRPr="00651CEC" w:rsidRDefault="001B112B" w:rsidP="00651CEC">
      <w:pPr>
        <w:spacing w:line="276" w:lineRule="auto"/>
        <w:rPr>
          <w:rFonts w:ascii="Garamond" w:hAnsi="Garamond"/>
        </w:rPr>
      </w:pPr>
      <w:r w:rsidRPr="00651CEC">
        <w:rPr>
          <w:rFonts w:ascii="Garamond" w:hAnsi="Garamond"/>
          <w:lang w:val="en-US"/>
        </w:rPr>
        <w:t xml:space="preserve">Synodal catholicity implies the journeying together of everyone at all levels, local, national and international. To subtract from synodal catholicity is to exclude or pay less attention to any of the components of catholic unity. </w:t>
      </w:r>
      <w:r w:rsidRPr="00651CEC">
        <w:rPr>
          <w:rFonts w:ascii="Garamond" w:hAnsi="Garamond"/>
        </w:rPr>
        <w:t xml:space="preserve">The </w:t>
      </w:r>
      <w:r w:rsidRPr="00651CEC">
        <w:rPr>
          <w:rFonts w:ascii="Garamond" w:hAnsi="Garamond"/>
          <w:i/>
          <w:iCs/>
        </w:rPr>
        <w:t>Final Document</w:t>
      </w:r>
      <w:r w:rsidRPr="00651CEC">
        <w:rPr>
          <w:rFonts w:ascii="Garamond" w:hAnsi="Garamond"/>
        </w:rPr>
        <w:t xml:space="preserve"> of the Synod on Synodality repeats the claim of LG 13 (cf. no.37), and maintains that while catholicity is precisely defined by the ‘unity in diversity’, the richness of the plurality that is “highlighted by the synodal process, is a sign of this very catholicity” (no.38). Although this statement is made within the context of the Catholic plurality of the Churches sui iuris, the same remains valid for the other composites of the Church, to which University chaplaincies belong. </w:t>
      </w:r>
      <w:r w:rsidRPr="00651CEC">
        <w:rPr>
          <w:rFonts w:ascii="Garamond" w:hAnsi="Garamond"/>
          <w:highlight w:val="lightGray"/>
        </w:rPr>
        <w:t>University chaplaincy constitutes a local context, that is a “place where the universal call from God manifests and fulfils itself.” (FD 39) In fact “[t]he appreciation of contexts, cultures and diversities, and of the relationships between them, is key to growing as a missionary synodal Church” and by extension, an ecumencal Church (FD 40).</w:t>
      </w:r>
    </w:p>
    <w:p w14:paraId="5A6A40A2" w14:textId="77777777" w:rsidR="001B112B" w:rsidRPr="00651CEC" w:rsidRDefault="001B112B" w:rsidP="00651CEC">
      <w:pPr>
        <w:spacing w:line="276" w:lineRule="auto"/>
        <w:rPr>
          <w:rFonts w:ascii="Garamond" w:hAnsi="Garamond"/>
          <w:lang w:val="en-US"/>
        </w:rPr>
      </w:pPr>
    </w:p>
    <w:p w14:paraId="393E6F87" w14:textId="77777777" w:rsidR="001B112B" w:rsidRPr="00651CEC" w:rsidRDefault="001B112B" w:rsidP="00651CEC">
      <w:pPr>
        <w:spacing w:line="276" w:lineRule="auto"/>
        <w:rPr>
          <w:rFonts w:ascii="Garamond" w:hAnsi="Garamond"/>
          <w:lang w:val="en-US"/>
        </w:rPr>
      </w:pPr>
      <w:r w:rsidRPr="00651CEC">
        <w:rPr>
          <w:rFonts w:ascii="Garamond" w:hAnsi="Garamond"/>
          <w:lang w:val="en-US"/>
        </w:rPr>
        <w:t xml:space="preserve">It is my informed argument that the university campus ministry or chaplaincy appears to be sidelined in the conversations on and even praxis of synodality. There are number of reasons for this </w:t>
      </w:r>
      <w:r w:rsidRPr="00651CEC">
        <w:rPr>
          <w:rFonts w:ascii="Garamond" w:hAnsi="Garamond"/>
          <w:highlight w:val="yellow"/>
          <w:lang w:val="en-US"/>
        </w:rPr>
        <w:t>(elaborate!).</w:t>
      </w:r>
    </w:p>
    <w:p w14:paraId="2B495E5E" w14:textId="77777777" w:rsidR="001B112B" w:rsidRPr="00651CEC" w:rsidRDefault="001B112B" w:rsidP="00651CEC">
      <w:pPr>
        <w:spacing w:line="276" w:lineRule="auto"/>
        <w:rPr>
          <w:rFonts w:ascii="Garamond" w:hAnsi="Garamond"/>
          <w:lang w:val="en-US"/>
        </w:rPr>
      </w:pPr>
    </w:p>
    <w:p w14:paraId="38B60B33" w14:textId="77777777" w:rsidR="001B112B" w:rsidRPr="00651CEC" w:rsidRDefault="001B112B" w:rsidP="00651CEC">
      <w:pPr>
        <w:pStyle w:val="ListParagraph"/>
        <w:numPr>
          <w:ilvl w:val="0"/>
          <w:numId w:val="1"/>
        </w:numPr>
        <w:spacing w:line="276" w:lineRule="auto"/>
        <w:rPr>
          <w:rFonts w:ascii="Garamond" w:hAnsi="Garamond"/>
          <w:lang w:val="en-US"/>
        </w:rPr>
      </w:pPr>
      <w:r w:rsidRPr="00651CEC">
        <w:rPr>
          <w:rFonts w:ascii="Garamond" w:hAnsi="Garamond"/>
          <w:lang w:val="en-US"/>
        </w:rPr>
        <w:t>It is taken as belonging to the parish and is not recognized for its distinctiveness – the fact that most members are young, and the reality of double belonging of all members: belonging at once to the university and to the chaplaincy</w:t>
      </w:r>
    </w:p>
    <w:p w14:paraId="3AD86F35" w14:textId="77777777" w:rsidR="001B112B" w:rsidRPr="00651CEC" w:rsidRDefault="001B112B" w:rsidP="00651CEC">
      <w:pPr>
        <w:pStyle w:val="ListParagraph"/>
        <w:numPr>
          <w:ilvl w:val="0"/>
          <w:numId w:val="1"/>
        </w:numPr>
        <w:spacing w:line="276" w:lineRule="auto"/>
        <w:rPr>
          <w:rFonts w:ascii="Garamond" w:hAnsi="Garamond"/>
          <w:lang w:val="en-US"/>
        </w:rPr>
      </w:pPr>
      <w:r w:rsidRPr="00651CEC">
        <w:rPr>
          <w:rFonts w:ascii="Garamond" w:hAnsi="Garamond"/>
          <w:lang w:val="en-US"/>
        </w:rPr>
        <w:t>The young people that constitute the chaplaincies are counted as those addressed in the deliberations about young people, and thus other extant factors are ignored</w:t>
      </w:r>
    </w:p>
    <w:p w14:paraId="1C2F0944" w14:textId="77777777" w:rsidR="001B112B" w:rsidRPr="00651CEC" w:rsidRDefault="001B112B" w:rsidP="00651CEC">
      <w:pPr>
        <w:pStyle w:val="ListParagraph"/>
        <w:numPr>
          <w:ilvl w:val="0"/>
          <w:numId w:val="1"/>
        </w:numPr>
        <w:spacing w:line="276" w:lineRule="auto"/>
        <w:rPr>
          <w:rFonts w:ascii="Garamond" w:hAnsi="Garamond"/>
          <w:lang w:val="en-US"/>
        </w:rPr>
      </w:pPr>
      <w:r w:rsidRPr="00651CEC">
        <w:rPr>
          <w:rFonts w:ascii="Garamond" w:hAnsi="Garamond"/>
          <w:lang w:val="en-US"/>
        </w:rPr>
        <w:t xml:space="preserve">Often priests who have neither the disposition </w:t>
      </w:r>
      <w:proofErr w:type="gramStart"/>
      <w:r w:rsidRPr="00651CEC">
        <w:rPr>
          <w:rFonts w:ascii="Garamond" w:hAnsi="Garamond"/>
          <w:lang w:val="en-US"/>
        </w:rPr>
        <w:t>or</w:t>
      </w:r>
      <w:proofErr w:type="gramEnd"/>
      <w:r w:rsidRPr="00651CEC">
        <w:rPr>
          <w:rFonts w:ascii="Garamond" w:hAnsi="Garamond"/>
          <w:lang w:val="en-US"/>
        </w:rPr>
        <w:t xml:space="preserve"> special training to deal with young people are sent to chaplaincies </w:t>
      </w:r>
    </w:p>
    <w:p w14:paraId="53833458" w14:textId="77777777" w:rsidR="001B112B" w:rsidRPr="00651CEC" w:rsidRDefault="001B112B" w:rsidP="00651CEC">
      <w:pPr>
        <w:pStyle w:val="ListParagraph"/>
        <w:numPr>
          <w:ilvl w:val="0"/>
          <w:numId w:val="1"/>
        </w:numPr>
        <w:spacing w:line="276" w:lineRule="auto"/>
        <w:rPr>
          <w:rFonts w:ascii="Garamond" w:hAnsi="Garamond"/>
          <w:lang w:val="en-US"/>
        </w:rPr>
      </w:pPr>
      <w:r w:rsidRPr="00651CEC">
        <w:rPr>
          <w:rFonts w:ascii="Garamond" w:hAnsi="Garamond"/>
          <w:lang w:val="en-US"/>
        </w:rPr>
        <w:t xml:space="preserve">The sexual abuse crisis has also hindered some well-intended priests/pastoral workers from engaging the students in a very creative and productive way. Here we have ‘pastoral distancing’ as </w:t>
      </w:r>
      <w:r w:rsidRPr="00651CEC">
        <w:rPr>
          <w:rFonts w:ascii="Garamond" w:hAnsi="Garamond"/>
          <w:i/>
          <w:iCs/>
          <w:lang w:val="en-US"/>
        </w:rPr>
        <w:t>mode de la vie</w:t>
      </w:r>
      <w:r w:rsidRPr="00651CEC">
        <w:rPr>
          <w:rFonts w:ascii="Garamond" w:hAnsi="Garamond"/>
          <w:lang w:val="en-US"/>
        </w:rPr>
        <w:t xml:space="preserve"> of these priests/pastoral agents.</w:t>
      </w:r>
    </w:p>
    <w:p w14:paraId="6B7BE81C" w14:textId="77777777" w:rsidR="001B112B" w:rsidRPr="00651CEC" w:rsidRDefault="001B112B" w:rsidP="00651CEC">
      <w:pPr>
        <w:spacing w:line="276" w:lineRule="auto"/>
        <w:rPr>
          <w:rFonts w:ascii="Garamond" w:hAnsi="Garamond"/>
          <w:lang w:val="en-US"/>
        </w:rPr>
      </w:pPr>
    </w:p>
    <w:p w14:paraId="743DA7B5" w14:textId="3EBEF851" w:rsidR="001B112B" w:rsidRPr="00651CEC" w:rsidRDefault="001B112B" w:rsidP="00651CEC">
      <w:pPr>
        <w:spacing w:line="276" w:lineRule="auto"/>
        <w:rPr>
          <w:rFonts w:ascii="Garamond" w:hAnsi="Garamond"/>
        </w:rPr>
      </w:pPr>
      <w:r w:rsidRPr="00651CEC">
        <w:rPr>
          <w:rFonts w:ascii="Garamond" w:hAnsi="Garamond"/>
          <w:lang w:val="en-US"/>
        </w:rPr>
        <w:lastRenderedPageBreak/>
        <w:t xml:space="preserve">Yet the chaplaincy remains the proper place for developing a true synodal leadership style among those who constitute the future of the church. The reason is evident in the communal and collaborative disposition of the students. In a properly organized chaplaincy, there is a sense of ‘nostra’ in the </w:t>
      </w:r>
      <w:proofErr w:type="gramStart"/>
      <w:r w:rsidRPr="00651CEC">
        <w:rPr>
          <w:rFonts w:ascii="Garamond" w:hAnsi="Garamond"/>
          <w:lang w:val="en-US"/>
        </w:rPr>
        <w:t>manner in which</w:t>
      </w:r>
      <w:proofErr w:type="gramEnd"/>
      <w:r w:rsidRPr="00651CEC">
        <w:rPr>
          <w:rFonts w:ascii="Garamond" w:hAnsi="Garamond"/>
          <w:lang w:val="en-US"/>
        </w:rPr>
        <w:t xml:space="preserve"> tasks are distributed and executed. Liturgical settings and activities</w:t>
      </w:r>
      <w:r w:rsidRPr="00651CEC">
        <w:rPr>
          <w:rFonts w:ascii="Garamond" w:hAnsi="Garamond"/>
        </w:rPr>
        <w:t xml:space="preserve"> in chaplaincies appeal differently. It is fresh, authentic, joyful, devotional and evocative. It is a process of double re-narration of the Gospel that appeals to the outsider even within the structure. [Add the story of Jens at Ash Wednesday 2025 at Sain François, LLN] In fact, relationship defines this ecclesial space. </w:t>
      </w:r>
      <w:r w:rsidRPr="00651CEC">
        <w:rPr>
          <w:rFonts w:ascii="Garamond" w:hAnsi="Garamond"/>
          <w:lang w:val="en-US"/>
        </w:rPr>
        <w:t xml:space="preserve">There are a couple of literature on campus ministry as it mostly referred to in North America, but one hardly finds any that discusses this pastoral space in the light of synodality. An exception is </w:t>
      </w:r>
      <w:proofErr w:type="spellStart"/>
      <w:r w:rsidRPr="00651CEC">
        <w:rPr>
          <w:rFonts w:ascii="Garamond" w:hAnsi="Garamond"/>
          <w:lang w:val="en-US"/>
        </w:rPr>
        <w:t>Herminilito</w:t>
      </w:r>
      <w:proofErr w:type="spellEnd"/>
      <w:r w:rsidRPr="00651CEC">
        <w:rPr>
          <w:rFonts w:ascii="Garamond" w:hAnsi="Garamond"/>
          <w:lang w:val="en-US"/>
        </w:rPr>
        <w:t xml:space="preserve"> Luna’s “A Synodal Campus Ministry in the Philippine Context”</w:t>
      </w:r>
      <w:r w:rsidRPr="00651CEC">
        <w:rPr>
          <w:rStyle w:val="FootnoteReference"/>
          <w:rFonts w:ascii="Garamond" w:hAnsi="Garamond"/>
          <w:lang w:val="en-US"/>
        </w:rPr>
        <w:footnoteReference w:id="4"/>
      </w:r>
      <w:r w:rsidRPr="00651CEC">
        <w:rPr>
          <w:rFonts w:ascii="Garamond" w:hAnsi="Garamond"/>
          <w:lang w:val="en-US"/>
        </w:rPr>
        <w:t xml:space="preserve"> that examines the synodal dynamics of the De La Salle Araneta University Campus Ministry. In what follows I shall explore relational ecclesiology that is appropriate in describing the ecclesial life of the chaplaincy, </w:t>
      </w:r>
      <w:proofErr w:type="gramStart"/>
      <w:r w:rsidRPr="00651CEC">
        <w:rPr>
          <w:rFonts w:ascii="Garamond" w:hAnsi="Garamond"/>
          <w:lang w:val="en-US"/>
        </w:rPr>
        <w:t>in order to</w:t>
      </w:r>
      <w:proofErr w:type="gramEnd"/>
      <w:r w:rsidRPr="00651CEC">
        <w:rPr>
          <w:rFonts w:ascii="Garamond" w:hAnsi="Garamond"/>
          <w:lang w:val="en-US"/>
        </w:rPr>
        <w:t xml:space="preserve"> provide inspiration for future reflection on synodality within this context. </w:t>
      </w:r>
    </w:p>
    <w:p w14:paraId="7C57C93B" w14:textId="77777777" w:rsidR="001B112B" w:rsidRPr="00651CEC" w:rsidRDefault="001B112B" w:rsidP="00651CEC">
      <w:pPr>
        <w:spacing w:line="276" w:lineRule="auto"/>
        <w:rPr>
          <w:rFonts w:ascii="Garamond" w:hAnsi="Garamond"/>
          <w:lang w:val="en-US"/>
        </w:rPr>
      </w:pPr>
    </w:p>
    <w:p w14:paraId="4ECFCDA6" w14:textId="77777777" w:rsidR="001B112B" w:rsidRPr="00651CEC" w:rsidRDefault="001B112B" w:rsidP="00651CEC">
      <w:pPr>
        <w:spacing w:line="276" w:lineRule="auto"/>
        <w:rPr>
          <w:rFonts w:ascii="Garamond" w:hAnsi="Garamond"/>
          <w:b/>
          <w:bCs/>
        </w:rPr>
      </w:pPr>
      <w:r w:rsidRPr="00651CEC">
        <w:rPr>
          <w:rFonts w:ascii="Garamond" w:hAnsi="Garamond"/>
          <w:b/>
          <w:bCs/>
        </w:rPr>
        <w:t>Part II: The paradigm of ‘relational eccelsiology’ as gift to synodal catholicity</w:t>
      </w:r>
    </w:p>
    <w:p w14:paraId="151144D4" w14:textId="77777777" w:rsidR="001B112B" w:rsidRPr="00651CEC" w:rsidRDefault="001B112B" w:rsidP="00651CEC">
      <w:pPr>
        <w:spacing w:line="276" w:lineRule="auto"/>
        <w:rPr>
          <w:rFonts w:ascii="Garamond" w:hAnsi="Garamond"/>
          <w:lang w:val="en-US"/>
        </w:rPr>
      </w:pPr>
    </w:p>
    <w:p w14:paraId="528A4597" w14:textId="77777777" w:rsidR="001B112B" w:rsidRPr="00651CEC" w:rsidRDefault="001B112B" w:rsidP="00651CEC">
      <w:pPr>
        <w:spacing w:line="276" w:lineRule="auto"/>
        <w:rPr>
          <w:rFonts w:ascii="Garamond" w:hAnsi="Garamond"/>
          <w:lang w:val="en-US"/>
        </w:rPr>
      </w:pPr>
      <w:r w:rsidRPr="00651CEC">
        <w:rPr>
          <w:rFonts w:ascii="Garamond" w:hAnsi="Garamond"/>
          <w:lang w:val="en-US"/>
        </w:rPr>
        <w:t>In this part of the paper, I pose two questions: Why propose a relational ecclesiology as necessary for realizing synodal catholicity? Why suggest that a relational ecclesiology best describes the ecclesiological reality of a university chaplaincy?</w:t>
      </w:r>
    </w:p>
    <w:p w14:paraId="1D9CA420" w14:textId="77777777" w:rsidR="001B112B" w:rsidRPr="00651CEC" w:rsidRDefault="001B112B" w:rsidP="00651CEC">
      <w:pPr>
        <w:spacing w:line="276" w:lineRule="auto"/>
        <w:rPr>
          <w:rFonts w:ascii="Garamond" w:hAnsi="Garamond"/>
          <w:lang w:val="en-US"/>
        </w:rPr>
      </w:pPr>
    </w:p>
    <w:p w14:paraId="1D51132E" w14:textId="77777777" w:rsidR="001B112B" w:rsidRPr="00651CEC" w:rsidRDefault="001B112B" w:rsidP="00651CEC">
      <w:pPr>
        <w:spacing w:line="276" w:lineRule="auto"/>
        <w:rPr>
          <w:rFonts w:ascii="Garamond" w:hAnsi="Garamond"/>
          <w:lang w:val="en-US"/>
        </w:rPr>
      </w:pPr>
      <w:r w:rsidRPr="00651CEC">
        <w:rPr>
          <w:rFonts w:ascii="Garamond" w:hAnsi="Garamond"/>
          <w:lang w:val="en-US"/>
        </w:rPr>
        <w:t xml:space="preserve">To the first question, a relational ecclesiology recognizes that we are a community of baptized that participate in the life of God and in the life of one another. Our relationship as members of the church is not passive, </w:t>
      </w:r>
      <w:r w:rsidRPr="00651CEC">
        <w:rPr>
          <w:rFonts w:ascii="Garamond" w:hAnsi="Garamond"/>
          <w:highlight w:val="lightGray"/>
          <w:lang w:val="en-US"/>
        </w:rPr>
        <w:t>just as one finds in most parishes in Europe today</w:t>
      </w:r>
      <w:r w:rsidRPr="00651CEC">
        <w:rPr>
          <w:rFonts w:ascii="Garamond" w:hAnsi="Garamond"/>
          <w:lang w:val="en-US"/>
        </w:rPr>
        <w:t xml:space="preserve">. It is active, defined by the energy one finds in the youth.  In this way, relational ecclesiology coincides with both communio ecclesiology and participatory ecclesiology. </w:t>
      </w:r>
      <w:r w:rsidRPr="00651CEC">
        <w:rPr>
          <w:rFonts w:ascii="Garamond" w:hAnsi="Garamond"/>
          <w:highlight w:val="lightGray"/>
          <w:lang w:val="en-US"/>
        </w:rPr>
        <w:t>At the nominal level the choice of relational ecclesiology is informed by its accent on the connections, while communio might be seen as emphasizing just the whole, the collective. I will also deploy aspects of participatory ecclesiology to underscore that the relation is active rather than state.</w:t>
      </w:r>
    </w:p>
    <w:p w14:paraId="4A597DFD" w14:textId="77777777" w:rsidR="001B112B" w:rsidRPr="00651CEC" w:rsidRDefault="001B112B" w:rsidP="00651CEC">
      <w:pPr>
        <w:spacing w:line="276" w:lineRule="auto"/>
        <w:rPr>
          <w:rFonts w:ascii="Garamond" w:hAnsi="Garamond"/>
          <w:lang w:val="en-US"/>
        </w:rPr>
      </w:pPr>
    </w:p>
    <w:p w14:paraId="6643282D" w14:textId="77777777" w:rsidR="001B112B" w:rsidRPr="00651CEC" w:rsidRDefault="001B112B" w:rsidP="00651CEC">
      <w:pPr>
        <w:spacing w:line="276" w:lineRule="auto"/>
        <w:rPr>
          <w:rFonts w:ascii="Garamond" w:hAnsi="Garamond"/>
          <w:lang w:val="en-US"/>
        </w:rPr>
      </w:pPr>
      <w:r w:rsidRPr="00651CEC">
        <w:rPr>
          <w:rFonts w:ascii="Garamond" w:hAnsi="Garamond"/>
          <w:lang w:val="en-US"/>
        </w:rPr>
        <w:t xml:space="preserve">To the second question, nowhere is the demonstration of relationality most evident than among the young people, in this case, students who share much more than a liturgical space. The Final Document of Synod on Synodality already remarks that, </w:t>
      </w:r>
      <w:r w:rsidRPr="00651CEC">
        <w:rPr>
          <w:rFonts w:ascii="Garamond" w:hAnsi="Garamond" w:cs="Arial"/>
          <w:color w:val="000000"/>
          <w:shd w:val="clear" w:color="auto" w:fill="FFFFFF"/>
        </w:rPr>
        <w:t xml:space="preserve">“youth, as a phase in the development of the personality, is marked by dreams which gather momentum, by relationships which acquire </w:t>
      </w:r>
      <w:proofErr w:type="gramStart"/>
      <w:r w:rsidRPr="00651CEC">
        <w:rPr>
          <w:rFonts w:ascii="Garamond" w:hAnsi="Garamond" w:cs="Arial"/>
          <w:color w:val="000000"/>
          <w:shd w:val="clear" w:color="auto" w:fill="FFFFFF"/>
        </w:rPr>
        <w:t>more and more</w:t>
      </w:r>
      <w:proofErr w:type="gramEnd"/>
      <w:r w:rsidRPr="00651CEC">
        <w:rPr>
          <w:rFonts w:ascii="Garamond" w:hAnsi="Garamond" w:cs="Arial"/>
          <w:color w:val="000000"/>
          <w:shd w:val="clear" w:color="auto" w:fill="FFFFFF"/>
        </w:rPr>
        <w:t xml:space="preserve"> consistency and balance, by trials and experiments, and by choices which gradually build a life project. At this stage in life, the young are called to move forward without cutting themselves off from their roots, to build autonomy but not in solitude”. (Final Document 65) Sometimes this relationality, which is not circumscribed to family can be messy and vulnerable, like in the cyberspace (Christus Vivit 90)</w:t>
      </w:r>
      <w:r w:rsidRPr="00651CEC">
        <w:rPr>
          <w:rFonts w:ascii="Garamond" w:hAnsi="Garamond"/>
          <w:lang w:val="en-US"/>
        </w:rPr>
        <w:t xml:space="preserve">. Pope Francis in understanding the sensitivities of this insists </w:t>
      </w:r>
      <w:r w:rsidRPr="00651CEC">
        <w:rPr>
          <w:rFonts w:ascii="Garamond" w:hAnsi="Garamond" w:cs="Arial"/>
          <w:color w:val="000000"/>
          <w:shd w:val="clear" w:color="auto" w:fill="FFFFFF"/>
        </w:rPr>
        <w:t xml:space="preserve">“we need to use above all the language of closeness, the language of generous, relational and existential love that touches the heart, impacts life, and awakens hope </w:t>
      </w:r>
      <w:r w:rsidRPr="00651CEC">
        <w:rPr>
          <w:rFonts w:ascii="Garamond" w:hAnsi="Garamond" w:cs="Arial"/>
          <w:color w:val="000000"/>
          <w:shd w:val="clear" w:color="auto" w:fill="FFFFFF"/>
        </w:rPr>
        <w:lastRenderedPageBreak/>
        <w:t>and desires</w:t>
      </w:r>
      <w:r w:rsidRPr="00651CEC">
        <w:rPr>
          <w:rStyle w:val="apple-converted-space"/>
          <w:rFonts w:ascii="Garamond" w:hAnsi="Garamond" w:cs="Arial"/>
          <w:color w:val="000000"/>
          <w:shd w:val="clear" w:color="auto" w:fill="FFFFFF"/>
        </w:rPr>
        <w:t>” in addressing them. (CV 211) These insights compel us to further develop a relational ecclesiology.</w:t>
      </w:r>
    </w:p>
    <w:p w14:paraId="1515344C" w14:textId="77777777" w:rsidR="001B112B" w:rsidRPr="00651CEC" w:rsidRDefault="001B112B" w:rsidP="00651CEC">
      <w:pPr>
        <w:spacing w:line="276" w:lineRule="auto"/>
        <w:rPr>
          <w:rFonts w:ascii="Garamond" w:hAnsi="Garamond"/>
          <w:lang w:val="en-US"/>
        </w:rPr>
      </w:pPr>
    </w:p>
    <w:p w14:paraId="6983FEFB" w14:textId="77777777" w:rsidR="001B112B" w:rsidRPr="00651CEC" w:rsidRDefault="001B112B" w:rsidP="00651CEC">
      <w:pPr>
        <w:spacing w:line="276" w:lineRule="auto"/>
        <w:rPr>
          <w:rFonts w:ascii="Garamond" w:hAnsi="Garamond"/>
          <w:i/>
          <w:iCs/>
          <w:lang w:val="en-US"/>
        </w:rPr>
      </w:pPr>
      <w:r w:rsidRPr="00651CEC">
        <w:rPr>
          <w:rFonts w:ascii="Garamond" w:hAnsi="Garamond"/>
          <w:i/>
          <w:iCs/>
          <w:lang w:val="en-US"/>
        </w:rPr>
        <w:t>Developing the paradigm of relational ecclesiology</w:t>
      </w:r>
    </w:p>
    <w:p w14:paraId="07D9C5F1" w14:textId="77777777" w:rsidR="001B112B" w:rsidRPr="00651CEC" w:rsidRDefault="001B112B" w:rsidP="00651CEC">
      <w:pPr>
        <w:spacing w:line="276" w:lineRule="auto"/>
        <w:rPr>
          <w:rFonts w:ascii="Garamond" w:hAnsi="Garamond"/>
        </w:rPr>
      </w:pPr>
    </w:p>
    <w:p w14:paraId="488B7176" w14:textId="489C0F3B" w:rsidR="001B112B" w:rsidRPr="00651CEC" w:rsidRDefault="001B112B" w:rsidP="00651CEC">
      <w:pPr>
        <w:spacing w:line="276" w:lineRule="auto"/>
        <w:rPr>
          <w:rFonts w:ascii="Garamond" w:hAnsi="Garamond"/>
        </w:rPr>
      </w:pPr>
      <w:r w:rsidRPr="00651CEC">
        <w:rPr>
          <w:rFonts w:ascii="Garamond" w:hAnsi="Garamond"/>
        </w:rPr>
        <w:t xml:space="preserve">There have been proposals of relational ontology by scholars not only in theology but also in sociology and anthropology. </w:t>
      </w:r>
      <w:r w:rsidRPr="00651CEC">
        <w:rPr>
          <w:rFonts w:ascii="Garamond" w:hAnsi="Garamond"/>
          <w:highlight w:val="yellow"/>
        </w:rPr>
        <w:t>Emile Durkheim’s idea of double solidarity (mechanical and organic) emerges from a reduced understanding of social relations as bonds (religio) between individuals. While, the same could be said of Max Weber who denies any ontological meaning to social relation, conceiving it only as a subjective symbolic reference (refero).</w:t>
      </w:r>
      <w:r w:rsidRPr="00651CEC">
        <w:rPr>
          <w:rStyle w:val="FootnoteReference"/>
          <w:rFonts w:ascii="Garamond" w:hAnsi="Garamond"/>
          <w:highlight w:val="yellow"/>
        </w:rPr>
        <w:footnoteReference w:id="5"/>
      </w:r>
      <w:r w:rsidRPr="00651CEC">
        <w:rPr>
          <w:rFonts w:ascii="Garamond" w:hAnsi="Garamond"/>
          <w:highlight w:val="yellow"/>
        </w:rPr>
        <w:t xml:space="preserve"> However, we find the working out of a relational ontology in the work of Pierpaolo Donati and Margaret Archer</w:t>
      </w:r>
      <w:r w:rsidRPr="00651CEC">
        <w:rPr>
          <w:rStyle w:val="FootnoteReference"/>
          <w:rFonts w:ascii="Garamond" w:hAnsi="Garamond"/>
          <w:highlight w:val="yellow"/>
        </w:rPr>
        <w:footnoteReference w:id="6"/>
      </w:r>
      <w:r w:rsidRPr="00651CEC">
        <w:rPr>
          <w:rFonts w:ascii="Garamond" w:hAnsi="Garamond"/>
          <w:highlight w:val="yellow"/>
        </w:rPr>
        <w:t>, and in the sapiental African philosophy of Ubuntu.</w:t>
      </w:r>
      <w:r w:rsidRPr="00651CEC">
        <w:rPr>
          <w:rStyle w:val="FootnoteReference"/>
          <w:rFonts w:ascii="Garamond" w:hAnsi="Garamond"/>
          <w:highlight w:val="yellow"/>
        </w:rPr>
        <w:footnoteReference w:id="7"/>
      </w:r>
      <w:r w:rsidRPr="00651CEC">
        <w:rPr>
          <w:rFonts w:ascii="Garamond" w:hAnsi="Garamond"/>
          <w:highlight w:val="yellow"/>
        </w:rPr>
        <w:t xml:space="preserve"> In the field of theology, Joseph Ratzinger (Benedict XVI) and Alexander Schemamann are good examples.</w:t>
      </w:r>
      <w:r w:rsidRPr="00651CEC">
        <w:rPr>
          <w:rStyle w:val="FootnoteReference"/>
          <w:rFonts w:ascii="Garamond" w:hAnsi="Garamond"/>
          <w:highlight w:val="yellow"/>
        </w:rPr>
        <w:footnoteReference w:id="8"/>
      </w:r>
      <w:r w:rsidRPr="00651CEC">
        <w:rPr>
          <w:rFonts w:ascii="Garamond" w:hAnsi="Garamond"/>
          <w:highlight w:val="yellow"/>
        </w:rPr>
        <w:t xml:space="preserve"> Both develop Trinitarian ontologies that underscore the constitutive inner-relationality of God, with the consequence that humans, as image of God, are fundamentally relational. The summary is that since God is relationahip in Godself, then human asre constituted by relationship in so far as they are created by God.</w:t>
      </w:r>
    </w:p>
    <w:p w14:paraId="288C9D93" w14:textId="77777777" w:rsidR="001B112B" w:rsidRPr="00651CEC" w:rsidRDefault="001B112B" w:rsidP="00651CEC">
      <w:pPr>
        <w:spacing w:line="276" w:lineRule="auto"/>
        <w:rPr>
          <w:rFonts w:ascii="Garamond" w:hAnsi="Garamond"/>
        </w:rPr>
      </w:pPr>
    </w:p>
    <w:p w14:paraId="3585E4D9" w14:textId="77777777" w:rsidR="001B112B" w:rsidRPr="00651CEC" w:rsidRDefault="001B112B" w:rsidP="00651CEC">
      <w:pPr>
        <w:spacing w:line="276" w:lineRule="auto"/>
        <w:rPr>
          <w:rFonts w:ascii="Garamond" w:hAnsi="Garamond"/>
        </w:rPr>
      </w:pPr>
      <w:r w:rsidRPr="00651CEC">
        <w:rPr>
          <w:rFonts w:ascii="Garamond" w:hAnsi="Garamond"/>
        </w:rPr>
        <w:t>The theology of relational ontology is very important for ecclesiology because “relationships are an essential part of what it means to be the church.”</w:t>
      </w:r>
      <w:r w:rsidRPr="00651CEC">
        <w:rPr>
          <w:rStyle w:val="FootnoteReference"/>
          <w:rFonts w:ascii="Garamond" w:hAnsi="Garamond"/>
        </w:rPr>
        <w:footnoteReference w:id="9"/>
      </w:r>
      <w:r w:rsidRPr="00651CEC">
        <w:rPr>
          <w:rFonts w:ascii="Garamond" w:hAnsi="Garamond"/>
        </w:rPr>
        <w:t xml:space="preserve"> It is not sufficient for individuals in the church to be relational beings, it is also critical that the church as the Body of Christ be understood as a relational subject. This is why a relational ontology is necessary to ground the ‘acts of relationality’ or participation that exists within the church. Participation in any form can only be thought in terms of relation.</w:t>
      </w:r>
    </w:p>
    <w:p w14:paraId="6CA92781" w14:textId="77777777" w:rsidR="001B112B" w:rsidRPr="00651CEC" w:rsidRDefault="001B112B" w:rsidP="00651CEC">
      <w:pPr>
        <w:spacing w:line="276" w:lineRule="auto"/>
        <w:rPr>
          <w:rFonts w:ascii="Garamond" w:hAnsi="Garamond"/>
        </w:rPr>
      </w:pPr>
    </w:p>
    <w:p w14:paraId="305D756D" w14:textId="77777777" w:rsidR="001B112B" w:rsidRPr="00651CEC" w:rsidRDefault="001B112B" w:rsidP="00651CEC">
      <w:pPr>
        <w:spacing w:line="276" w:lineRule="auto"/>
        <w:rPr>
          <w:rFonts w:ascii="Garamond" w:hAnsi="Garamond"/>
        </w:rPr>
      </w:pPr>
      <w:r w:rsidRPr="00651CEC">
        <w:rPr>
          <w:rFonts w:ascii="Garamond" w:hAnsi="Garamond"/>
          <w:highlight w:val="yellow"/>
        </w:rPr>
        <w:t>Andreas Davison describes this participation “first in terms of the relation of the creature to God, and then, because of that prior relation, also in terms of the relation of creatures to one another.” He concludes that “If all things come from God, as their common source, they come forth related.”</w:t>
      </w:r>
      <w:r w:rsidRPr="00651CEC">
        <w:rPr>
          <w:rStyle w:val="FootnoteReference"/>
          <w:rFonts w:ascii="Garamond" w:hAnsi="Garamond"/>
          <w:highlight w:val="yellow"/>
        </w:rPr>
        <w:footnoteReference w:id="10"/>
      </w:r>
      <w:r w:rsidRPr="00651CEC">
        <w:rPr>
          <w:rFonts w:ascii="Garamond" w:hAnsi="Garamond"/>
          <w:highlight w:val="yellow"/>
        </w:rPr>
        <w:t xml:space="preserve"> Theologically, this is as far as human participation is concerned. Participation as an act of relation is not initiated by the human. There is a fundamental participation in God </w:t>
      </w:r>
      <w:r w:rsidRPr="00651CEC">
        <w:rPr>
          <w:rFonts w:ascii="Garamond" w:hAnsi="Garamond"/>
          <w:highlight w:val="yellow"/>
        </w:rPr>
        <w:lastRenderedPageBreak/>
        <w:t>expressed in the relation within the Godhead, the Trinity. It is this ontological, internal relationship in God that is expressed in the created nature of human – imago Dei – the One who is relation, and therefore, participates both with the source and with other likes. With this, Davidson’s assessment of ‘creaturely interrelation’, as he calls it, is grounded on a better foundation.</w:t>
      </w:r>
      <w:r w:rsidRPr="00651CEC">
        <w:rPr>
          <w:rFonts w:ascii="Garamond" w:hAnsi="Garamond"/>
        </w:rPr>
        <w:t xml:space="preserve"> </w:t>
      </w:r>
    </w:p>
    <w:p w14:paraId="0C6EB04A" w14:textId="77777777" w:rsidR="001B112B" w:rsidRPr="00651CEC" w:rsidRDefault="001B112B" w:rsidP="00651CEC">
      <w:pPr>
        <w:spacing w:line="276" w:lineRule="auto"/>
        <w:rPr>
          <w:rFonts w:ascii="Garamond" w:hAnsi="Garamond"/>
        </w:rPr>
      </w:pPr>
    </w:p>
    <w:p w14:paraId="0D6DCA9F" w14:textId="10A45C04" w:rsidR="001B112B" w:rsidRPr="00651CEC" w:rsidRDefault="001B112B" w:rsidP="00651CEC">
      <w:pPr>
        <w:spacing w:line="276" w:lineRule="auto"/>
        <w:rPr>
          <w:rFonts w:ascii="Garamond" w:hAnsi="Garamond"/>
        </w:rPr>
      </w:pPr>
      <w:r w:rsidRPr="00651CEC">
        <w:rPr>
          <w:rFonts w:ascii="Garamond" w:hAnsi="Garamond"/>
        </w:rPr>
        <w:t>Relation just like participation, goes contrary to invidualism and isolation. Pope Benedict XVI makes this clear: “Our lives are involved with one another, through innumerable interactions they are linked together. No one lives alone. No one sins alone. No one is saved alone. The lives of others continually spill over into mine: in what I think, say, do and achieve. And conversely, my life spills over into that of others: for better and for worse.” (</w:t>
      </w:r>
      <w:r w:rsidRPr="00651CEC">
        <w:rPr>
          <w:rFonts w:ascii="Garamond" w:hAnsi="Garamond"/>
          <w:i/>
          <w:iCs/>
        </w:rPr>
        <w:t>Spe Salvi</w:t>
      </w:r>
      <w:r w:rsidRPr="00651CEC">
        <w:rPr>
          <w:rFonts w:ascii="Garamond" w:hAnsi="Garamond"/>
        </w:rPr>
        <w:t xml:space="preserve"> §48). Andreas Davison describes this interrelation as ‘intra-finite participation’ that unfolds at the levels of epistemology, ethics, and mediation. Epistemologically, “the knower participates in the known”</w:t>
      </w:r>
      <w:r w:rsidRPr="00651CEC">
        <w:rPr>
          <w:rStyle w:val="FootnoteReference"/>
          <w:rFonts w:ascii="Garamond" w:hAnsi="Garamond"/>
        </w:rPr>
        <w:footnoteReference w:id="11"/>
      </w:r>
      <w:r w:rsidRPr="00651CEC">
        <w:rPr>
          <w:rFonts w:ascii="Garamond" w:hAnsi="Garamond"/>
        </w:rPr>
        <w:t>, and by that very fact is intermixted with the reality of the known. In terms of ethics, we find this participation in the “dynamic of receiving from, of coming through, and of depending upon” and it is this “constitutive reception and dependence” that makes creation possible.</w:t>
      </w:r>
      <w:r w:rsidRPr="00651CEC">
        <w:rPr>
          <w:rStyle w:val="FootnoteReference"/>
          <w:rFonts w:ascii="Garamond" w:hAnsi="Garamond"/>
        </w:rPr>
        <w:footnoteReference w:id="12"/>
      </w:r>
      <w:r w:rsidRPr="00651CEC">
        <w:rPr>
          <w:rFonts w:ascii="Garamond" w:hAnsi="Garamond"/>
        </w:rPr>
        <w:t xml:space="preserve"> Structures of mediation in the world are set up by intra-finite participations, such that even without understanding the origin of all good or beauty, one could still be able to recognize the good or beautiful in things.</w:t>
      </w:r>
      <w:r w:rsidRPr="00651CEC">
        <w:rPr>
          <w:rStyle w:val="FootnoteReference"/>
          <w:rFonts w:ascii="Garamond" w:hAnsi="Garamond"/>
        </w:rPr>
        <w:footnoteReference w:id="13"/>
      </w:r>
    </w:p>
    <w:p w14:paraId="4802F108" w14:textId="77777777" w:rsidR="001B112B" w:rsidRPr="00651CEC" w:rsidRDefault="001B112B" w:rsidP="00651CEC">
      <w:pPr>
        <w:spacing w:line="276" w:lineRule="auto"/>
        <w:rPr>
          <w:rFonts w:ascii="Garamond" w:hAnsi="Garamond"/>
        </w:rPr>
      </w:pPr>
    </w:p>
    <w:p w14:paraId="33E58D62" w14:textId="77777777" w:rsidR="001B112B" w:rsidRPr="00651CEC" w:rsidRDefault="001B112B" w:rsidP="00651CEC">
      <w:pPr>
        <w:spacing w:line="276" w:lineRule="auto"/>
        <w:rPr>
          <w:rFonts w:ascii="Garamond" w:hAnsi="Garamond"/>
        </w:rPr>
      </w:pPr>
      <w:r w:rsidRPr="00651CEC">
        <w:rPr>
          <w:rFonts w:ascii="Garamond" w:hAnsi="Garamond"/>
        </w:rPr>
        <w:t xml:space="preserve">A deeper ethical perspective of intra-finite participation is realized in common work and common good. Both belong together. “This common good, in which all participate to their own benefit, is the common work of all, severally and together … work undertaken in common is </w:t>
      </w:r>
      <w:r w:rsidRPr="00651CEC">
        <w:rPr>
          <w:rFonts w:ascii="Garamond" w:hAnsi="Garamond"/>
          <w:i/>
          <w:iCs/>
        </w:rPr>
        <w:t>itself</w:t>
      </w:r>
      <w:r w:rsidRPr="00651CEC">
        <w:rPr>
          <w:rFonts w:ascii="Garamond" w:hAnsi="Garamond"/>
        </w:rPr>
        <w:t xml:space="preserve"> not the least part of where human flourishing is to be found.”</w:t>
      </w:r>
      <w:r w:rsidRPr="00651CEC">
        <w:rPr>
          <w:rStyle w:val="FootnoteReference"/>
          <w:rFonts w:ascii="Garamond" w:hAnsi="Garamond"/>
        </w:rPr>
        <w:footnoteReference w:id="14"/>
      </w:r>
      <w:r w:rsidRPr="00651CEC">
        <w:rPr>
          <w:rFonts w:ascii="Garamond" w:hAnsi="Garamond"/>
        </w:rPr>
        <w:t xml:space="preserve"> The aim is to counter overly hierarchical views of participation. The Dominicans who work at chaplaincies in Louvain-la-Neuve (and also at Liège) understand this dynamics and do not consider their task as separate from those of the students. Even the distribution of responsibilities belong together as common work.</w:t>
      </w:r>
    </w:p>
    <w:p w14:paraId="086DBB67" w14:textId="77777777" w:rsidR="001B112B" w:rsidRPr="00651CEC" w:rsidRDefault="001B112B" w:rsidP="00651CEC">
      <w:pPr>
        <w:spacing w:line="276" w:lineRule="auto"/>
        <w:rPr>
          <w:rFonts w:ascii="Garamond" w:hAnsi="Garamond"/>
        </w:rPr>
      </w:pPr>
    </w:p>
    <w:p w14:paraId="74BB06E0" w14:textId="77777777" w:rsidR="001B112B" w:rsidRPr="00651CEC" w:rsidRDefault="001B112B" w:rsidP="00651CEC">
      <w:pPr>
        <w:spacing w:line="276" w:lineRule="auto"/>
        <w:rPr>
          <w:rFonts w:ascii="Garamond" w:hAnsi="Garamond"/>
          <w:highlight w:val="yellow"/>
        </w:rPr>
      </w:pPr>
      <w:r w:rsidRPr="00651CEC">
        <w:rPr>
          <w:rFonts w:ascii="Garamond" w:hAnsi="Garamond"/>
          <w:highlight w:val="yellow"/>
        </w:rPr>
        <w:t>The alternative, a non-participatory paradigm, would lead to a theology where “creation is seen as separate from God, with God viewed as the divine watchmaker who sets it off and leaves it to run.”</w:t>
      </w:r>
      <w:r w:rsidRPr="00651CEC">
        <w:rPr>
          <w:rStyle w:val="FootnoteReference"/>
          <w:rFonts w:ascii="Garamond" w:hAnsi="Garamond"/>
          <w:highlight w:val="yellow"/>
        </w:rPr>
        <w:footnoteReference w:id="15"/>
      </w:r>
      <w:r w:rsidRPr="00651CEC">
        <w:rPr>
          <w:rFonts w:ascii="Garamond" w:hAnsi="Garamond"/>
          <w:highlight w:val="yellow"/>
        </w:rPr>
        <w:t xml:space="preserve"> This is not simply another way of reinventing a </w:t>
      </w:r>
      <w:r w:rsidRPr="00651CEC">
        <w:rPr>
          <w:rFonts w:ascii="Garamond" w:hAnsi="Garamond"/>
          <w:i/>
          <w:iCs/>
          <w:highlight w:val="yellow"/>
        </w:rPr>
        <w:t>Deus otiosus</w:t>
      </w:r>
      <w:r w:rsidRPr="00651CEC">
        <w:rPr>
          <w:rFonts w:ascii="Garamond" w:hAnsi="Garamond"/>
          <w:highlight w:val="yellow"/>
        </w:rPr>
        <w:t>, but a way of describing ecclesiologies that fail to balance the reltionahip between the creator and creatures. John Milbank suggests that such ecclesiologies should be rejected. One example is the diluted form of Protestantism combined with an emotivist Pentecostal stress on ‘free expressions’. Here, God is perceived as “ontically removed from creation and nominally imputing an incontrovertible righteousness.”</w:t>
      </w:r>
      <w:r w:rsidRPr="00651CEC">
        <w:rPr>
          <w:rStyle w:val="FootnoteReference"/>
          <w:rFonts w:ascii="Garamond" w:hAnsi="Garamond"/>
          <w:highlight w:val="yellow"/>
        </w:rPr>
        <w:footnoteReference w:id="16"/>
      </w:r>
      <w:r w:rsidRPr="00651CEC">
        <w:rPr>
          <w:rFonts w:ascii="Garamond" w:hAnsi="Garamond"/>
          <w:highlight w:val="yellow"/>
        </w:rPr>
        <w:t xml:space="preserve"> The result is that salvation is turned into “an arbitrary moment of will on the part of God thereby rendering irrelevant the sanctification of the believer and the dispensation of </w:t>
      </w:r>
      <w:r w:rsidRPr="00651CEC">
        <w:rPr>
          <w:rFonts w:ascii="Garamond" w:hAnsi="Garamond"/>
          <w:highlight w:val="yellow"/>
        </w:rPr>
        <w:lastRenderedPageBreak/>
        <w:t>the church’s sacraments.”</w:t>
      </w:r>
      <w:r w:rsidRPr="00651CEC">
        <w:rPr>
          <w:rStyle w:val="FootnoteReference"/>
          <w:rFonts w:ascii="Garamond" w:hAnsi="Garamond"/>
          <w:highlight w:val="yellow"/>
        </w:rPr>
        <w:footnoteReference w:id="17"/>
      </w:r>
      <w:r w:rsidRPr="00651CEC">
        <w:rPr>
          <w:rFonts w:ascii="Garamond" w:hAnsi="Garamond"/>
          <w:highlight w:val="yellow"/>
        </w:rPr>
        <w:t xml:space="preserve"> The consequence is that: “Christianity is reduced to a readily graspable product: the promise of a mysterious relationship with Jesus, the absolute authority of a printed book, the reduction of complex doctrine to formulas about atonement, a single punctual act of faith which is like an absolute banknote, redeemable in eternity. The point is that as many people as possible should buy this product – the interrelations, the social practices of these people are more or less beside the point.”</w:t>
      </w:r>
      <w:r w:rsidRPr="00651CEC">
        <w:rPr>
          <w:rStyle w:val="FootnoteReference"/>
          <w:rFonts w:ascii="Garamond" w:hAnsi="Garamond"/>
          <w:highlight w:val="yellow"/>
        </w:rPr>
        <w:footnoteReference w:id="18"/>
      </w:r>
      <w:r w:rsidRPr="00651CEC">
        <w:rPr>
          <w:rFonts w:ascii="Garamond" w:hAnsi="Garamond"/>
          <w:highlight w:val="yellow"/>
        </w:rPr>
        <w:t xml:space="preserve"> The structurization that was denounced by the German Catholic theology students equally belongs to this example.</w:t>
      </w:r>
    </w:p>
    <w:p w14:paraId="4603C2E0" w14:textId="77777777" w:rsidR="001B112B" w:rsidRPr="00651CEC" w:rsidRDefault="001B112B" w:rsidP="00651CEC">
      <w:pPr>
        <w:spacing w:line="276" w:lineRule="auto"/>
        <w:rPr>
          <w:rFonts w:ascii="Garamond" w:hAnsi="Garamond"/>
          <w:highlight w:val="yellow"/>
        </w:rPr>
      </w:pPr>
    </w:p>
    <w:p w14:paraId="1957DCD3" w14:textId="77777777" w:rsidR="001B112B" w:rsidRPr="00651CEC" w:rsidRDefault="001B112B" w:rsidP="00651CEC">
      <w:pPr>
        <w:spacing w:line="276" w:lineRule="auto"/>
        <w:rPr>
          <w:rFonts w:ascii="Garamond" w:hAnsi="Garamond"/>
        </w:rPr>
      </w:pPr>
      <w:r w:rsidRPr="00651CEC">
        <w:rPr>
          <w:rFonts w:ascii="Garamond" w:hAnsi="Garamond"/>
          <w:highlight w:val="yellow"/>
        </w:rPr>
        <w:t xml:space="preserve">Another example is found in a hyper-Calvinistic understanding of providence in which God is framed as the monopolizer who actively wills, and thus literally causes </w:t>
      </w:r>
      <w:r w:rsidRPr="00651CEC">
        <w:rPr>
          <w:rFonts w:ascii="Garamond" w:hAnsi="Garamond"/>
          <w:i/>
          <w:iCs/>
          <w:highlight w:val="yellow"/>
        </w:rPr>
        <w:t>everything</w:t>
      </w:r>
      <w:r w:rsidRPr="00651CEC">
        <w:rPr>
          <w:rFonts w:ascii="Garamond" w:hAnsi="Garamond"/>
          <w:highlight w:val="yellow"/>
        </w:rPr>
        <w:t xml:space="preserve"> that happens. This monopolizing God is also the one that can speak to me “as one persons to another and thefore tells me precisely what to do.” God is perceived as “ontically proximate and thereby feels a sense of religious duty.”</w:t>
      </w:r>
      <w:r w:rsidRPr="00651CEC">
        <w:rPr>
          <w:rStyle w:val="FootnoteReference"/>
          <w:rFonts w:ascii="Garamond" w:hAnsi="Garamond"/>
          <w:highlight w:val="yellow"/>
        </w:rPr>
        <w:footnoteReference w:id="19"/>
      </w:r>
      <w:r w:rsidRPr="00651CEC">
        <w:rPr>
          <w:rFonts w:ascii="Garamond" w:hAnsi="Garamond"/>
          <w:highlight w:val="yellow"/>
        </w:rPr>
        <w:t xml:space="preserve"> Against these, Milbank opts for a participatory ecclesiology that places “a highervaluation of the sacramental and of the Church as a spiritual society whose purpose is to </w:t>
      </w:r>
      <w:r w:rsidRPr="00651CEC">
        <w:rPr>
          <w:rFonts w:ascii="Garamond" w:hAnsi="Garamond"/>
          <w:i/>
          <w:iCs/>
          <w:highlight w:val="yellow"/>
        </w:rPr>
        <w:t>be</w:t>
      </w:r>
      <w:r w:rsidRPr="00651CEC">
        <w:rPr>
          <w:rFonts w:ascii="Garamond" w:hAnsi="Garamond"/>
          <w:highlight w:val="yellow"/>
        </w:rPr>
        <w:t xml:space="preserve"> the body of Christ and not simply to ‘bring people to the resurrected Jesus’,” a this reality that does not exist outside “sacramental and ecclesial mediation.”</w:t>
      </w:r>
      <w:r w:rsidRPr="00651CEC">
        <w:rPr>
          <w:rStyle w:val="FootnoteReference"/>
          <w:rFonts w:ascii="Garamond" w:hAnsi="Garamond"/>
          <w:highlight w:val="yellow"/>
        </w:rPr>
        <w:footnoteReference w:id="20"/>
      </w:r>
    </w:p>
    <w:p w14:paraId="5ABF4F23" w14:textId="77777777" w:rsidR="001B112B" w:rsidRPr="00651CEC" w:rsidRDefault="001B112B" w:rsidP="00651CEC">
      <w:pPr>
        <w:spacing w:line="276" w:lineRule="auto"/>
        <w:rPr>
          <w:rFonts w:ascii="Garamond" w:hAnsi="Garamond"/>
        </w:rPr>
      </w:pPr>
    </w:p>
    <w:p w14:paraId="784BCC4D" w14:textId="6BF75FEF" w:rsidR="001B112B" w:rsidRPr="00651CEC" w:rsidRDefault="001B112B" w:rsidP="00651CEC">
      <w:pPr>
        <w:spacing w:line="276" w:lineRule="auto"/>
        <w:rPr>
          <w:rFonts w:ascii="Garamond" w:hAnsi="Garamond"/>
        </w:rPr>
      </w:pPr>
      <w:r w:rsidRPr="00651CEC">
        <w:rPr>
          <w:rFonts w:ascii="Garamond" w:hAnsi="Garamond"/>
        </w:rPr>
        <w:t>Within the context of the sacraments, “ the formation of liturgy and the pracitce of being the community of God”</w:t>
      </w:r>
      <w:r w:rsidRPr="00651CEC">
        <w:rPr>
          <w:rStyle w:val="FootnoteReference"/>
          <w:rFonts w:ascii="Garamond" w:hAnsi="Garamond"/>
        </w:rPr>
        <w:footnoteReference w:id="21"/>
      </w:r>
      <w:r w:rsidRPr="00651CEC">
        <w:rPr>
          <w:rFonts w:ascii="Garamond" w:hAnsi="Garamond"/>
        </w:rPr>
        <w:t xml:space="preserve"> becomes the space where relational, participatory ontology unfolds in praxis, in responsibility. In the text by the German students, the German church is critiqued as “currently revealing itself as a ‘service desrt’” where “the right of the faithful to receive the sacraments is given far too little attention.” Specific mentiones were made of the sacraments of confession, Eucharist and anointing of the sick. (§12) If priests and pastoral workers consider their responsibility as merely a product of reciprocal relationship and not proceeding from their ministry within a synodal church, then there is a problem. </w:t>
      </w:r>
      <w:r w:rsidRPr="00651CEC">
        <w:rPr>
          <w:rFonts w:ascii="Garamond" w:hAnsi="Garamond"/>
          <w:highlight w:val="lightGray"/>
        </w:rPr>
        <w:t>Of course, responsibility towards the other may arise as a response to indebtedness of some sort, whether positive or negative, but it is often the kind of relationship that exists between two persons that makes possible a special form of responsibility. Direct reciprocity is therefore not always the motive for responsibility</w:t>
      </w:r>
      <w:r w:rsidRPr="00651CEC">
        <w:rPr>
          <w:rFonts w:ascii="Garamond" w:hAnsi="Garamond"/>
        </w:rPr>
        <w:t>.</w:t>
      </w:r>
      <w:r w:rsidRPr="00651CEC">
        <w:rPr>
          <w:rStyle w:val="FootnoteReference"/>
          <w:rFonts w:ascii="Garamond" w:hAnsi="Garamond"/>
        </w:rPr>
        <w:footnoteReference w:id="22"/>
      </w:r>
    </w:p>
    <w:p w14:paraId="32515846" w14:textId="77777777" w:rsidR="001B112B" w:rsidRPr="00651CEC" w:rsidRDefault="001B112B" w:rsidP="00651CEC">
      <w:pPr>
        <w:spacing w:line="276" w:lineRule="auto"/>
        <w:rPr>
          <w:rFonts w:ascii="Garamond" w:hAnsi="Garamond"/>
        </w:rPr>
      </w:pPr>
    </w:p>
    <w:p w14:paraId="75B44766" w14:textId="77777777" w:rsidR="001B112B" w:rsidRPr="00651CEC" w:rsidRDefault="001B112B" w:rsidP="00651CEC">
      <w:pPr>
        <w:spacing w:line="276" w:lineRule="auto"/>
        <w:rPr>
          <w:rFonts w:ascii="Garamond" w:hAnsi="Garamond"/>
          <w:b/>
          <w:bCs/>
        </w:rPr>
      </w:pPr>
      <w:r w:rsidRPr="00651CEC">
        <w:rPr>
          <w:rFonts w:ascii="Garamond" w:hAnsi="Garamond"/>
          <w:b/>
          <w:bCs/>
        </w:rPr>
        <w:t>Conclusion</w:t>
      </w:r>
    </w:p>
    <w:p w14:paraId="20240952" w14:textId="77777777" w:rsidR="001B112B" w:rsidRPr="00651CEC" w:rsidRDefault="001B112B" w:rsidP="00651CEC">
      <w:pPr>
        <w:spacing w:line="276" w:lineRule="auto"/>
        <w:rPr>
          <w:rFonts w:ascii="Garamond" w:hAnsi="Garamond"/>
        </w:rPr>
      </w:pPr>
    </w:p>
    <w:p w14:paraId="21864C9B" w14:textId="77777777" w:rsidR="001B112B" w:rsidRPr="00651CEC" w:rsidRDefault="001B112B" w:rsidP="00651CEC">
      <w:pPr>
        <w:spacing w:line="276" w:lineRule="auto"/>
        <w:rPr>
          <w:rFonts w:ascii="Garamond" w:hAnsi="Garamond"/>
        </w:rPr>
      </w:pPr>
      <w:r w:rsidRPr="00651CEC">
        <w:rPr>
          <w:rFonts w:ascii="Garamond" w:hAnsi="Garamond"/>
        </w:rPr>
        <w:t>To realize a synodal catholicity, the university chaplaincy must be taken seriously by ecclesiology and the arrangement of pastoral processes in the domicile diocese. Why? Because we risk losing the critical mass of educated youth who are “not simply…an object of pastoral concern”, but “leading characters in evangelization and in the renewal of the society.”</w:t>
      </w:r>
      <w:r w:rsidRPr="00651CEC">
        <w:rPr>
          <w:rStyle w:val="FootnoteReference"/>
          <w:rFonts w:ascii="Garamond" w:hAnsi="Garamond"/>
        </w:rPr>
        <w:footnoteReference w:id="23"/>
      </w:r>
      <w:r w:rsidRPr="00651CEC">
        <w:rPr>
          <w:rFonts w:ascii="Garamond" w:hAnsi="Garamond"/>
        </w:rPr>
        <w:t xml:space="preserve"> The chaplaincy is a </w:t>
      </w:r>
      <w:r w:rsidRPr="00651CEC">
        <w:rPr>
          <w:rFonts w:ascii="Garamond" w:hAnsi="Garamond"/>
        </w:rPr>
        <w:lastRenderedPageBreak/>
        <w:t>laboratory for synodal leadership praxis and the foretaste of a living, vibrant, joyful yet fiathful church. Where theology is completely distanced from the chaplaincy we also risk the emergence of ultra conservative group that are isolated from broad conversations and comfortable in the self-sufficiency of their faith.</w:t>
      </w:r>
    </w:p>
    <w:p w14:paraId="3835AA87" w14:textId="77777777" w:rsidR="001B112B" w:rsidRPr="00651CEC" w:rsidRDefault="001B112B" w:rsidP="00651CEC">
      <w:pPr>
        <w:spacing w:line="276" w:lineRule="auto"/>
        <w:rPr>
          <w:rFonts w:ascii="Garamond" w:hAnsi="Garamond"/>
        </w:rPr>
      </w:pPr>
    </w:p>
    <w:p w14:paraId="7DDBDD2C" w14:textId="77777777" w:rsidR="001B112B" w:rsidRPr="00651CEC" w:rsidRDefault="001B112B" w:rsidP="00651CEC">
      <w:pPr>
        <w:spacing w:line="276" w:lineRule="auto"/>
        <w:rPr>
          <w:rFonts w:ascii="Garamond" w:hAnsi="Garamond"/>
        </w:rPr>
      </w:pPr>
      <w:r w:rsidRPr="00651CEC">
        <w:rPr>
          <w:rFonts w:ascii="Garamond" w:hAnsi="Garamond"/>
        </w:rPr>
        <w:t>Meanwhile, there are three factors that would require further reflection in the future regarding chaplaincies and synodality.</w:t>
      </w:r>
    </w:p>
    <w:p w14:paraId="76C0E2E8" w14:textId="77777777" w:rsidR="001B112B" w:rsidRPr="00651CEC" w:rsidRDefault="001B112B" w:rsidP="00651CEC">
      <w:pPr>
        <w:spacing w:line="276" w:lineRule="auto"/>
        <w:rPr>
          <w:rFonts w:ascii="Garamond" w:hAnsi="Garamond"/>
        </w:rPr>
      </w:pPr>
    </w:p>
    <w:p w14:paraId="60CDDD22" w14:textId="0A548FF6" w:rsidR="001B112B" w:rsidRPr="00651CEC" w:rsidRDefault="001B112B" w:rsidP="00651CEC">
      <w:pPr>
        <w:pStyle w:val="ListParagraph"/>
        <w:numPr>
          <w:ilvl w:val="0"/>
          <w:numId w:val="2"/>
        </w:numPr>
        <w:spacing w:line="276" w:lineRule="auto"/>
        <w:rPr>
          <w:rFonts w:ascii="Garamond" w:hAnsi="Garamond"/>
          <w:sz w:val="22"/>
          <w:szCs w:val="22"/>
        </w:rPr>
      </w:pPr>
      <w:r w:rsidRPr="00651CEC">
        <w:rPr>
          <w:rFonts w:ascii="Garamond" w:hAnsi="Garamond"/>
          <w:sz w:val="22"/>
          <w:szCs w:val="22"/>
        </w:rPr>
        <w:t xml:space="preserve">The first is the question of transition or temporality of the participation of most members of the chaplaincy. Normally, there is a great change after every 4 years given the duration of university courses. Again, most of these students are always home on holidays creating gaps in the calender of the pastoral unit. Beside this gap is the fact that the students inhabit two pastoral world intermittently, their campus faith community and the home parish. How do they navigate their feeling of belonging in each space? </w:t>
      </w:r>
      <w:r w:rsidRPr="00651CEC">
        <w:rPr>
          <w:rFonts w:ascii="Garamond" w:hAnsi="Garamond"/>
          <w:sz w:val="22"/>
          <w:szCs w:val="22"/>
          <w:highlight w:val="lightGray"/>
        </w:rPr>
        <w:t>What is the level of participation in each or is there a choice of one against the other? If so, why?</w:t>
      </w:r>
    </w:p>
    <w:p w14:paraId="54A94F1F" w14:textId="77777777" w:rsidR="001B112B" w:rsidRPr="00651CEC" w:rsidRDefault="001B112B" w:rsidP="00651CEC">
      <w:pPr>
        <w:pStyle w:val="ListParagraph"/>
        <w:numPr>
          <w:ilvl w:val="0"/>
          <w:numId w:val="2"/>
        </w:numPr>
        <w:spacing w:line="276" w:lineRule="auto"/>
        <w:rPr>
          <w:rFonts w:ascii="Garamond" w:hAnsi="Garamond"/>
          <w:sz w:val="22"/>
          <w:szCs w:val="22"/>
        </w:rPr>
      </w:pPr>
      <w:r w:rsidRPr="00651CEC">
        <w:rPr>
          <w:rFonts w:ascii="Garamond" w:hAnsi="Garamond"/>
          <w:sz w:val="22"/>
          <w:szCs w:val="22"/>
        </w:rPr>
        <w:t xml:space="preserve">The second is the question of theological isolation which distances the world of these young people from any contact with the impact of the theology faculties. The relationship between the chaplaincy and the faculty, in many cases, are quite complicated. Members of the chaplaincy are not just theology students, who are always in the minority. </w:t>
      </w:r>
      <w:r w:rsidRPr="00651CEC">
        <w:rPr>
          <w:rFonts w:ascii="Garamond" w:hAnsi="Garamond"/>
          <w:sz w:val="22"/>
          <w:szCs w:val="22"/>
          <w:highlight w:val="lightGray"/>
        </w:rPr>
        <w:t>So it is difficult to manage or make input from the faculty except where a member of the faculty is deeply committed to the pastoral life of the chaplaincy. There are also cases of where theologians approach the chaplaincy with a ‘know-it-all’ critical disposition that makes reception very difficult.</w:t>
      </w:r>
    </w:p>
    <w:p w14:paraId="7E4D3612" w14:textId="77777777" w:rsidR="001B112B" w:rsidRPr="00651CEC" w:rsidRDefault="001B112B" w:rsidP="00651CEC">
      <w:pPr>
        <w:pStyle w:val="ListParagraph"/>
        <w:numPr>
          <w:ilvl w:val="0"/>
          <w:numId w:val="2"/>
        </w:numPr>
        <w:spacing w:line="276" w:lineRule="auto"/>
        <w:rPr>
          <w:rFonts w:ascii="Garamond" w:hAnsi="Garamond"/>
          <w:sz w:val="22"/>
          <w:szCs w:val="22"/>
          <w:highlight w:val="lightGray"/>
        </w:rPr>
      </w:pPr>
      <w:r w:rsidRPr="00651CEC">
        <w:rPr>
          <w:rFonts w:ascii="Garamond" w:hAnsi="Garamond"/>
          <w:sz w:val="22"/>
          <w:szCs w:val="22"/>
        </w:rPr>
        <w:t xml:space="preserve">The third is the necessity of ‘youth pastors’ by this I mean priests, who in both attitude and training understand and live out the dynamics of ministering to the young. A clericalist mindset will not be helpful. Such a priest must be patient, a good listener, a team player, a moral and spiritual example. </w:t>
      </w:r>
      <w:r w:rsidRPr="00651CEC">
        <w:rPr>
          <w:rFonts w:ascii="Garamond" w:hAnsi="Garamond"/>
          <w:sz w:val="22"/>
          <w:szCs w:val="22"/>
          <w:highlight w:val="lightGray"/>
        </w:rPr>
        <w:t xml:space="preserve">He should be someone who understands the vulnerability of young people and is able to journey with them with compassion and kindness. He should be dynamic enough to know when to lead either from the front or from the side, creating spaces for collaboration at all levels of the chaplaincy life. Not every priest has such charism. </w:t>
      </w:r>
    </w:p>
    <w:p w14:paraId="73203A43" w14:textId="77777777" w:rsidR="001B112B" w:rsidRPr="00651CEC" w:rsidRDefault="001B112B" w:rsidP="00651CEC">
      <w:pPr>
        <w:spacing w:line="276" w:lineRule="auto"/>
        <w:rPr>
          <w:rFonts w:ascii="Garamond" w:hAnsi="Garamond"/>
        </w:rPr>
      </w:pPr>
    </w:p>
    <w:p w14:paraId="36680192" w14:textId="77777777" w:rsidR="001B112B" w:rsidRPr="00651CEC" w:rsidRDefault="001B112B" w:rsidP="00651CEC">
      <w:pPr>
        <w:spacing w:line="276" w:lineRule="auto"/>
        <w:rPr>
          <w:rFonts w:ascii="Garamond" w:hAnsi="Garamond"/>
        </w:rPr>
      </w:pPr>
      <w:r w:rsidRPr="00651CEC">
        <w:rPr>
          <w:rFonts w:ascii="Garamond" w:hAnsi="Garamond"/>
        </w:rPr>
        <w:t>The pastor in chaplaincy should accompany the young people to navigate the call to synodality in four possible directions, following the proposals of Sandie Cornish:</w:t>
      </w:r>
      <w:r w:rsidRPr="00651CEC">
        <w:rPr>
          <w:rStyle w:val="FootnoteReference"/>
          <w:rFonts w:ascii="Garamond" w:hAnsi="Garamond"/>
        </w:rPr>
        <w:footnoteReference w:id="24"/>
      </w:r>
      <w:r w:rsidRPr="00651CEC">
        <w:rPr>
          <w:rFonts w:ascii="Garamond" w:hAnsi="Garamond"/>
        </w:rPr>
        <w:t xml:space="preserve"> </w:t>
      </w:r>
      <w:r w:rsidRPr="00651CEC">
        <w:rPr>
          <w:rFonts w:ascii="Garamond" w:hAnsi="Garamond"/>
          <w:lang w:val="en-US"/>
        </w:rPr>
        <w:t>a) the first is co-responsibility for agenda-setting rather a top-down approach to chaplaincy governance. This is also a matter of trust in the goodwill more than in the competence of the young;</w:t>
      </w:r>
      <w:r w:rsidRPr="00651CEC">
        <w:rPr>
          <w:rFonts w:ascii="Garamond" w:hAnsi="Garamond"/>
        </w:rPr>
        <w:t xml:space="preserve"> </w:t>
      </w:r>
      <w:r w:rsidRPr="00651CEC">
        <w:rPr>
          <w:rFonts w:ascii="Garamond" w:hAnsi="Garamond"/>
          <w:lang w:val="en-US"/>
        </w:rPr>
        <w:t>b) the second is to maintain open-ended processes that are subject to change and adjustment. The young people are flexible are easily to adapt with joy</w:t>
      </w:r>
      <w:r w:rsidRPr="00651CEC">
        <w:rPr>
          <w:rFonts w:ascii="Garamond" w:hAnsi="Garamond"/>
        </w:rPr>
        <w:t xml:space="preserve">; </w:t>
      </w:r>
      <w:r w:rsidRPr="00651CEC">
        <w:rPr>
          <w:rFonts w:ascii="Garamond" w:hAnsi="Garamond"/>
          <w:lang w:val="en-US"/>
        </w:rPr>
        <w:t xml:space="preserve">c) the third deals with uncovering the theological insights of the community. The pastor ought to be both pastorally and theologically sensitive. What is the Holy Spirit saying to the church from such a </w:t>
      </w:r>
      <w:proofErr w:type="gramStart"/>
      <w:r w:rsidRPr="00651CEC">
        <w:rPr>
          <w:rFonts w:ascii="Garamond" w:hAnsi="Garamond"/>
          <w:lang w:val="en-US"/>
        </w:rPr>
        <w:t>space?</w:t>
      </w:r>
      <w:r w:rsidRPr="00651CEC">
        <w:rPr>
          <w:rFonts w:ascii="Garamond" w:hAnsi="Garamond"/>
        </w:rPr>
        <w:t>;</w:t>
      </w:r>
      <w:proofErr w:type="gramEnd"/>
      <w:r w:rsidRPr="00651CEC">
        <w:rPr>
          <w:rFonts w:ascii="Garamond" w:hAnsi="Garamond"/>
        </w:rPr>
        <w:t xml:space="preserve"> </w:t>
      </w:r>
      <w:r w:rsidRPr="00651CEC">
        <w:rPr>
          <w:rFonts w:ascii="Garamond" w:hAnsi="Garamond"/>
          <w:lang w:val="en-US"/>
        </w:rPr>
        <w:t>d) the fourth is to create structures for shared leadership and collaboration. This should be normative in chaplaincies and should be constitutive of its creation.</w:t>
      </w:r>
      <w:r w:rsidRPr="00651CEC">
        <w:rPr>
          <w:rFonts w:ascii="Garamond" w:hAnsi="Garamond"/>
        </w:rPr>
        <w:t xml:space="preserve"> With these, all the ministries move together from co-responsibility to co-experientiality (the chaplain as ‘one’ of/with the students). This reinforces the demand for specific training for future ‘youth pastors’ or ‘chaplains’. </w:t>
      </w:r>
    </w:p>
    <w:p w14:paraId="4F1100CD" w14:textId="77777777" w:rsidR="001B112B" w:rsidRPr="00651CEC" w:rsidRDefault="001B112B" w:rsidP="00651CEC">
      <w:pPr>
        <w:spacing w:line="276" w:lineRule="auto"/>
        <w:rPr>
          <w:rFonts w:ascii="Garamond" w:hAnsi="Garamond"/>
          <w:lang w:val="en-US"/>
        </w:rPr>
      </w:pPr>
    </w:p>
    <w:p w14:paraId="5A588C3E" w14:textId="77777777" w:rsidR="001B112B" w:rsidRPr="00651CEC" w:rsidRDefault="001B112B" w:rsidP="00651CEC">
      <w:pPr>
        <w:spacing w:line="276" w:lineRule="auto"/>
        <w:rPr>
          <w:rFonts w:ascii="Garamond" w:hAnsi="Garamond"/>
        </w:rPr>
      </w:pPr>
    </w:p>
    <w:p w14:paraId="12090336" w14:textId="77777777" w:rsidR="001B112B" w:rsidRPr="00651CEC" w:rsidRDefault="001B112B" w:rsidP="00651CEC">
      <w:pPr>
        <w:spacing w:line="276" w:lineRule="auto"/>
        <w:rPr>
          <w:rFonts w:ascii="Garamond" w:hAnsi="Garamond"/>
        </w:rPr>
      </w:pPr>
    </w:p>
    <w:p w14:paraId="7ECCFC8A" w14:textId="77777777" w:rsidR="001B112B" w:rsidRPr="00651CEC" w:rsidRDefault="001B112B" w:rsidP="00651CEC">
      <w:pPr>
        <w:spacing w:line="276" w:lineRule="auto"/>
        <w:rPr>
          <w:rFonts w:ascii="Garamond" w:hAnsi="Garamond"/>
        </w:rPr>
      </w:pPr>
    </w:p>
    <w:p w14:paraId="190136BE" w14:textId="77777777" w:rsidR="001B112B" w:rsidRPr="00651CEC" w:rsidRDefault="001B112B" w:rsidP="00651CEC">
      <w:pPr>
        <w:spacing w:line="276" w:lineRule="auto"/>
        <w:rPr>
          <w:rFonts w:ascii="Garamond" w:hAnsi="Garamond"/>
        </w:rPr>
      </w:pPr>
    </w:p>
    <w:p w14:paraId="5E9DCD32" w14:textId="77777777" w:rsidR="001B112B" w:rsidRPr="00651CEC" w:rsidRDefault="001B112B" w:rsidP="00651CEC">
      <w:pPr>
        <w:spacing w:line="276" w:lineRule="auto"/>
        <w:rPr>
          <w:rFonts w:ascii="Garamond" w:hAnsi="Garamond"/>
        </w:rPr>
      </w:pPr>
    </w:p>
    <w:p w14:paraId="66D5DD84" w14:textId="77777777" w:rsidR="001B112B" w:rsidRPr="00651CEC" w:rsidRDefault="001B112B" w:rsidP="00651CEC">
      <w:pPr>
        <w:spacing w:line="276" w:lineRule="auto"/>
        <w:rPr>
          <w:rFonts w:ascii="Garamond" w:hAnsi="Garamond"/>
        </w:rPr>
      </w:pPr>
    </w:p>
    <w:p w14:paraId="359FEF70" w14:textId="77777777" w:rsidR="001B112B" w:rsidRPr="00651CEC" w:rsidRDefault="001B112B" w:rsidP="00651CEC">
      <w:pPr>
        <w:spacing w:line="276" w:lineRule="auto"/>
        <w:rPr>
          <w:rFonts w:ascii="Garamond" w:hAnsi="Garamond"/>
        </w:rPr>
      </w:pPr>
    </w:p>
    <w:p w14:paraId="53B17766" w14:textId="77777777" w:rsidR="001B112B" w:rsidRPr="00651CEC" w:rsidRDefault="001B112B" w:rsidP="00651CEC">
      <w:pPr>
        <w:spacing w:line="276" w:lineRule="auto"/>
        <w:rPr>
          <w:rFonts w:ascii="Garamond" w:hAnsi="Garamond"/>
        </w:rPr>
      </w:pPr>
    </w:p>
    <w:p w14:paraId="5A3E6A7B" w14:textId="77777777" w:rsidR="001B112B" w:rsidRPr="00651CEC" w:rsidRDefault="001B112B" w:rsidP="00651CEC">
      <w:pPr>
        <w:spacing w:line="276" w:lineRule="auto"/>
        <w:rPr>
          <w:rFonts w:ascii="Garamond" w:hAnsi="Garamond"/>
        </w:rPr>
      </w:pPr>
    </w:p>
    <w:p w14:paraId="2787D623" w14:textId="77777777" w:rsidR="001B112B" w:rsidRPr="00651CEC" w:rsidRDefault="001B112B" w:rsidP="00651CEC">
      <w:pPr>
        <w:spacing w:line="276" w:lineRule="auto"/>
        <w:jc w:val="right"/>
        <w:rPr>
          <w:rFonts w:ascii="Garamond" w:hAnsi="Garamond" w:cstheme="majorHAnsi"/>
          <w:b/>
          <w:bCs/>
        </w:rPr>
      </w:pPr>
      <w:r w:rsidRPr="00651CEC">
        <w:rPr>
          <w:rFonts w:ascii="Garamond" w:hAnsi="Garamond" w:cstheme="majorHAnsi"/>
          <w:b/>
          <w:bCs/>
        </w:rPr>
        <w:t>Ikenna Paschal Okpaleke</w:t>
      </w:r>
    </w:p>
    <w:p w14:paraId="212ED44F" w14:textId="77777777" w:rsidR="001B112B" w:rsidRPr="00651CEC" w:rsidRDefault="001B112B" w:rsidP="00651CEC">
      <w:pPr>
        <w:spacing w:line="276" w:lineRule="auto"/>
        <w:jc w:val="right"/>
        <w:rPr>
          <w:rFonts w:ascii="Garamond" w:hAnsi="Garamond" w:cstheme="majorHAnsi"/>
        </w:rPr>
      </w:pPr>
      <w:r w:rsidRPr="00651CEC">
        <w:rPr>
          <w:rFonts w:ascii="Garamond" w:hAnsi="Garamond" w:cstheme="majorHAnsi"/>
        </w:rPr>
        <w:t>Faculty of Theology and Religious Studies</w:t>
      </w:r>
    </w:p>
    <w:p w14:paraId="1C939B24" w14:textId="77777777" w:rsidR="001B112B" w:rsidRPr="00651CEC" w:rsidRDefault="001B112B" w:rsidP="00651CEC">
      <w:pPr>
        <w:spacing w:line="276" w:lineRule="auto"/>
        <w:jc w:val="right"/>
        <w:rPr>
          <w:rFonts w:ascii="Garamond" w:hAnsi="Garamond" w:cstheme="majorHAnsi"/>
        </w:rPr>
      </w:pPr>
      <w:r w:rsidRPr="00651CEC">
        <w:rPr>
          <w:rFonts w:ascii="Garamond" w:hAnsi="Garamond" w:cstheme="majorHAnsi"/>
        </w:rPr>
        <w:t>Université Catholique de Louvain</w:t>
      </w:r>
    </w:p>
    <w:p w14:paraId="65B36FA5" w14:textId="77777777" w:rsidR="001B112B" w:rsidRPr="00651CEC" w:rsidRDefault="001B112B" w:rsidP="00651CEC">
      <w:pPr>
        <w:spacing w:line="276" w:lineRule="auto"/>
        <w:jc w:val="right"/>
        <w:rPr>
          <w:rFonts w:ascii="Garamond" w:hAnsi="Garamond" w:cstheme="majorHAnsi"/>
        </w:rPr>
      </w:pPr>
      <w:r w:rsidRPr="00651CEC">
        <w:rPr>
          <w:rFonts w:ascii="Garamond" w:hAnsi="Garamond" w:cstheme="majorHAnsi"/>
        </w:rPr>
        <w:t>Grand Place 45, Box L3.01.01</w:t>
      </w:r>
    </w:p>
    <w:p w14:paraId="2FCEF64B" w14:textId="77777777" w:rsidR="001B112B" w:rsidRPr="00651CEC" w:rsidRDefault="001B112B" w:rsidP="00651CEC">
      <w:pPr>
        <w:spacing w:line="276" w:lineRule="auto"/>
        <w:jc w:val="right"/>
        <w:rPr>
          <w:rFonts w:ascii="Garamond" w:hAnsi="Garamond" w:cstheme="majorHAnsi"/>
        </w:rPr>
      </w:pPr>
      <w:r w:rsidRPr="00651CEC">
        <w:rPr>
          <w:rFonts w:ascii="Garamond" w:hAnsi="Garamond" w:cstheme="majorHAnsi"/>
        </w:rPr>
        <w:t>1348 Louvain-la-Neuve, Belgium</w:t>
      </w:r>
    </w:p>
    <w:p w14:paraId="31CB5D8F" w14:textId="77777777" w:rsidR="001B112B" w:rsidRPr="00651CEC" w:rsidRDefault="001B112B" w:rsidP="00651CEC">
      <w:pPr>
        <w:spacing w:line="276" w:lineRule="auto"/>
        <w:jc w:val="right"/>
        <w:rPr>
          <w:rFonts w:ascii="Garamond" w:hAnsi="Garamond" w:cstheme="majorHAnsi"/>
        </w:rPr>
      </w:pPr>
      <w:r w:rsidRPr="00651CEC">
        <w:rPr>
          <w:rFonts w:ascii="Garamond" w:hAnsi="Garamond" w:cstheme="majorHAnsi"/>
        </w:rPr>
        <w:t>Ikenna.okpaleke@uclouvain.be</w:t>
      </w:r>
    </w:p>
    <w:p w14:paraId="61D10745" w14:textId="77777777" w:rsidR="001B112B" w:rsidRPr="00651CEC" w:rsidRDefault="001B112B" w:rsidP="00651CEC">
      <w:pPr>
        <w:spacing w:line="276" w:lineRule="auto"/>
        <w:rPr>
          <w:rFonts w:ascii="Garamond" w:hAnsi="Garamond"/>
        </w:rPr>
      </w:pPr>
    </w:p>
    <w:p w14:paraId="6E49EFA4" w14:textId="77777777" w:rsidR="00803626" w:rsidRPr="00651CEC" w:rsidRDefault="00803626" w:rsidP="00651CEC">
      <w:pPr>
        <w:spacing w:line="276" w:lineRule="auto"/>
      </w:pPr>
    </w:p>
    <w:sectPr w:rsidR="00803626" w:rsidRPr="00651CEC" w:rsidSect="001B112B">
      <w:footerReference w:type="even" r:id="rId7"/>
      <w:footerReference w:type="default" r:id="rId8"/>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BC82F8B" w14:textId="77777777" w:rsidR="0086314A" w:rsidRDefault="0086314A" w:rsidP="001B112B">
      <w:r>
        <w:separator/>
      </w:r>
    </w:p>
  </w:endnote>
  <w:endnote w:type="continuationSeparator" w:id="0">
    <w:p w14:paraId="0542CCCD" w14:textId="77777777" w:rsidR="0086314A" w:rsidRDefault="0086314A" w:rsidP="001B1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790562591"/>
      <w:docPartObj>
        <w:docPartGallery w:val="Page Numbers (Bottom of Page)"/>
        <w:docPartUnique/>
      </w:docPartObj>
    </w:sdtPr>
    <w:sdtContent>
      <w:p w14:paraId="2504B465" w14:textId="77777777" w:rsidR="001B112B" w:rsidRDefault="001B112B" w:rsidP="00FD096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08940C3" w14:textId="77777777" w:rsidR="001B112B" w:rsidRDefault="001B112B" w:rsidP="007E538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Garamond" w:hAnsi="Garamond"/>
        <w:sz w:val="18"/>
        <w:szCs w:val="18"/>
      </w:rPr>
      <w:id w:val="-929731813"/>
      <w:docPartObj>
        <w:docPartGallery w:val="Page Numbers (Bottom of Page)"/>
        <w:docPartUnique/>
      </w:docPartObj>
    </w:sdtPr>
    <w:sdtContent>
      <w:p w14:paraId="76CE5E03" w14:textId="77777777" w:rsidR="001B112B" w:rsidRPr="007E538C" w:rsidRDefault="001B112B" w:rsidP="00FD0964">
        <w:pPr>
          <w:pStyle w:val="Footer"/>
          <w:framePr w:wrap="none" w:vAnchor="text" w:hAnchor="margin" w:xAlign="right" w:y="1"/>
          <w:rPr>
            <w:rStyle w:val="PageNumber"/>
            <w:rFonts w:ascii="Garamond" w:hAnsi="Garamond"/>
            <w:sz w:val="18"/>
            <w:szCs w:val="18"/>
          </w:rPr>
        </w:pPr>
        <w:r w:rsidRPr="007E538C">
          <w:rPr>
            <w:rStyle w:val="PageNumber"/>
            <w:rFonts w:ascii="Garamond" w:hAnsi="Garamond"/>
            <w:sz w:val="18"/>
            <w:szCs w:val="18"/>
          </w:rPr>
          <w:fldChar w:fldCharType="begin"/>
        </w:r>
        <w:r w:rsidRPr="007E538C">
          <w:rPr>
            <w:rStyle w:val="PageNumber"/>
            <w:rFonts w:ascii="Garamond" w:hAnsi="Garamond"/>
            <w:sz w:val="18"/>
            <w:szCs w:val="18"/>
          </w:rPr>
          <w:instrText xml:space="preserve"> PAGE </w:instrText>
        </w:r>
        <w:r w:rsidRPr="007E538C">
          <w:rPr>
            <w:rStyle w:val="PageNumber"/>
            <w:rFonts w:ascii="Garamond" w:hAnsi="Garamond"/>
            <w:sz w:val="18"/>
            <w:szCs w:val="18"/>
          </w:rPr>
          <w:fldChar w:fldCharType="separate"/>
        </w:r>
        <w:r w:rsidRPr="007E538C">
          <w:rPr>
            <w:rStyle w:val="PageNumber"/>
            <w:rFonts w:ascii="Garamond" w:hAnsi="Garamond"/>
            <w:noProof/>
            <w:sz w:val="18"/>
            <w:szCs w:val="18"/>
          </w:rPr>
          <w:t>2</w:t>
        </w:r>
        <w:r w:rsidRPr="007E538C">
          <w:rPr>
            <w:rStyle w:val="PageNumber"/>
            <w:rFonts w:ascii="Garamond" w:hAnsi="Garamond"/>
            <w:sz w:val="18"/>
            <w:szCs w:val="18"/>
          </w:rPr>
          <w:fldChar w:fldCharType="end"/>
        </w:r>
      </w:p>
    </w:sdtContent>
  </w:sdt>
  <w:p w14:paraId="65F9885B" w14:textId="77777777" w:rsidR="001B112B" w:rsidRPr="007E538C" w:rsidRDefault="001B112B" w:rsidP="007E538C">
    <w:pPr>
      <w:pStyle w:val="Footer"/>
      <w:ind w:right="360"/>
      <w:rPr>
        <w:rFonts w:ascii="Garamond" w:hAnsi="Garamond"/>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2F1122" w14:textId="77777777" w:rsidR="0086314A" w:rsidRDefault="0086314A" w:rsidP="001B112B">
      <w:r>
        <w:separator/>
      </w:r>
    </w:p>
  </w:footnote>
  <w:footnote w:type="continuationSeparator" w:id="0">
    <w:p w14:paraId="7EA6CED7" w14:textId="77777777" w:rsidR="0086314A" w:rsidRDefault="0086314A" w:rsidP="001B112B">
      <w:r>
        <w:continuationSeparator/>
      </w:r>
    </w:p>
  </w:footnote>
  <w:footnote w:id="1">
    <w:p w14:paraId="2B10D77B" w14:textId="77777777" w:rsidR="001B112B" w:rsidRPr="009F5BDD" w:rsidRDefault="001B112B" w:rsidP="001B112B">
      <w:pPr>
        <w:pStyle w:val="FootnoteText"/>
        <w:rPr>
          <w:rFonts w:ascii="Garamond" w:hAnsi="Garamond"/>
          <w:lang w:val="en-US"/>
        </w:rPr>
      </w:pPr>
      <w:r w:rsidRPr="009F5BDD">
        <w:rPr>
          <w:rStyle w:val="FootnoteReference"/>
          <w:rFonts w:ascii="Garamond" w:hAnsi="Garamond"/>
        </w:rPr>
        <w:footnoteRef/>
      </w:r>
      <w:r w:rsidRPr="009F5BDD">
        <w:rPr>
          <w:rFonts w:ascii="Garamond" w:hAnsi="Garamond"/>
        </w:rPr>
        <w:t xml:space="preserve"> </w:t>
      </w:r>
      <w:r w:rsidRPr="009F5BDD">
        <w:rPr>
          <w:rFonts w:ascii="Garamond" w:hAnsi="Garamond"/>
          <w:lang w:val="en-US"/>
        </w:rPr>
        <w:t xml:space="preserve">Kevin Ahern, “Young People are Leading a New Approach to Campus Ministry,” </w:t>
      </w:r>
      <w:proofErr w:type="spellStart"/>
      <w:r w:rsidRPr="009F5BDD">
        <w:rPr>
          <w:rFonts w:ascii="Garamond" w:hAnsi="Garamond"/>
          <w:lang w:val="en-US"/>
        </w:rPr>
        <w:t>U.S.Catholic</w:t>
      </w:r>
      <w:proofErr w:type="spellEnd"/>
      <w:r w:rsidRPr="009F5BDD">
        <w:rPr>
          <w:rFonts w:ascii="Garamond" w:hAnsi="Garamond"/>
          <w:lang w:val="en-US"/>
        </w:rPr>
        <w:t xml:space="preserve"> (17 August 2021), </w:t>
      </w:r>
      <w:hyperlink r:id="rId1" w:history="1">
        <w:r w:rsidRPr="009F5BDD">
          <w:rPr>
            <w:rStyle w:val="Hyperlink"/>
            <w:rFonts w:ascii="Garamond" w:hAnsi="Garamond"/>
            <w:lang w:val="en-US"/>
          </w:rPr>
          <w:t>https://uscatholic.org/articles/202108/young-people-are-leading-a-new-approach-to-campus-ministry/</w:t>
        </w:r>
      </w:hyperlink>
      <w:r w:rsidRPr="009F5BDD">
        <w:rPr>
          <w:rFonts w:ascii="Garamond" w:hAnsi="Garamond"/>
          <w:lang w:val="en-US"/>
        </w:rPr>
        <w:t xml:space="preserve"> (accessed 25 September 2025). Already Christopher </w:t>
      </w:r>
      <w:proofErr w:type="spellStart"/>
      <w:r w:rsidRPr="009F5BDD">
        <w:rPr>
          <w:rFonts w:ascii="Garamond" w:hAnsi="Garamond"/>
          <w:lang w:val="en-US"/>
        </w:rPr>
        <w:t>Derige</w:t>
      </w:r>
      <w:proofErr w:type="spellEnd"/>
      <w:r w:rsidRPr="009F5BDD">
        <w:rPr>
          <w:rFonts w:ascii="Garamond" w:hAnsi="Garamond"/>
          <w:lang w:val="en-US"/>
        </w:rPr>
        <w:t xml:space="preserve"> </w:t>
      </w:r>
      <w:proofErr w:type="spellStart"/>
      <w:r w:rsidRPr="009F5BDD">
        <w:rPr>
          <w:rFonts w:ascii="Garamond" w:hAnsi="Garamond"/>
          <w:lang w:val="en-US"/>
        </w:rPr>
        <w:t>Malano</w:t>
      </w:r>
      <w:proofErr w:type="spellEnd"/>
      <w:r w:rsidRPr="009F5BDD">
        <w:rPr>
          <w:rFonts w:ascii="Garamond" w:hAnsi="Garamond"/>
          <w:lang w:val="en-US"/>
        </w:rPr>
        <w:t xml:space="preserve"> and Kevin Ahern, </w:t>
      </w:r>
      <w:r w:rsidRPr="009F5BDD">
        <w:rPr>
          <w:rFonts w:ascii="Garamond" w:hAnsi="Garamond"/>
          <w:i/>
          <w:iCs/>
          <w:lang w:val="en-US"/>
        </w:rPr>
        <w:t>God’s Quad: Small Faith Communities on Campus and Beyond</w:t>
      </w:r>
      <w:r w:rsidRPr="009F5BDD">
        <w:rPr>
          <w:rFonts w:ascii="Garamond" w:hAnsi="Garamond"/>
          <w:lang w:val="en-US"/>
        </w:rPr>
        <w:t xml:space="preserve"> (Maryknoll: Orbis Books, 2018) present 12 different models of organizational leadership by students from the United Stated and five other countries.</w:t>
      </w:r>
    </w:p>
  </w:footnote>
  <w:footnote w:id="2">
    <w:p w14:paraId="4027555D"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proofErr w:type="spellStart"/>
      <w:r w:rsidRPr="009F5BDD">
        <w:rPr>
          <w:rFonts w:ascii="Garamond" w:hAnsi="Garamond"/>
          <w:color w:val="000000" w:themeColor="text1"/>
          <w:lang w:val="en-US"/>
        </w:rPr>
        <w:t>Paroisse</w:t>
      </w:r>
      <w:proofErr w:type="spellEnd"/>
      <w:r w:rsidRPr="009F5BDD">
        <w:rPr>
          <w:rFonts w:ascii="Garamond" w:hAnsi="Garamond"/>
          <w:color w:val="000000" w:themeColor="text1"/>
          <w:lang w:val="en-US"/>
        </w:rPr>
        <w:t xml:space="preserve"> Saint François, Louvain-la-Neuve, “La </w:t>
      </w:r>
      <w:proofErr w:type="spellStart"/>
      <w:r w:rsidRPr="009F5BDD">
        <w:rPr>
          <w:rFonts w:ascii="Garamond" w:hAnsi="Garamond"/>
          <w:color w:val="000000" w:themeColor="text1"/>
          <w:lang w:val="en-US"/>
        </w:rPr>
        <w:t>paroisse</w:t>
      </w:r>
      <w:proofErr w:type="spellEnd"/>
      <w:r w:rsidRPr="009F5BDD">
        <w:rPr>
          <w:rFonts w:ascii="Garamond" w:hAnsi="Garamond"/>
          <w:color w:val="000000" w:themeColor="text1"/>
          <w:lang w:val="en-US"/>
        </w:rPr>
        <w:t xml:space="preserve"> </w:t>
      </w:r>
      <w:proofErr w:type="spellStart"/>
      <w:r w:rsidRPr="009F5BDD">
        <w:rPr>
          <w:rFonts w:ascii="Garamond" w:hAnsi="Garamond"/>
          <w:color w:val="000000" w:themeColor="text1"/>
          <w:lang w:val="en-US"/>
        </w:rPr>
        <w:t>etudiante</w:t>
      </w:r>
      <w:proofErr w:type="spellEnd"/>
      <w:r w:rsidRPr="009F5BDD">
        <w:rPr>
          <w:rFonts w:ascii="Garamond" w:hAnsi="Garamond"/>
          <w:color w:val="000000" w:themeColor="text1"/>
          <w:lang w:val="en-US"/>
        </w:rPr>
        <w:t xml:space="preserve">,” </w:t>
      </w:r>
      <w:hyperlink r:id="rId2" w:history="1">
        <w:r w:rsidRPr="009F5BDD">
          <w:rPr>
            <w:rStyle w:val="Hyperlink"/>
            <w:rFonts w:ascii="Garamond" w:hAnsi="Garamond"/>
            <w:color w:val="000000" w:themeColor="text1"/>
            <w:lang w:val="en-US"/>
          </w:rPr>
          <w:t>https://www.paroissesaintfrancois.be/etudiants</w:t>
        </w:r>
      </w:hyperlink>
      <w:r w:rsidRPr="009F5BDD">
        <w:rPr>
          <w:rFonts w:ascii="Garamond" w:hAnsi="Garamond"/>
          <w:color w:val="000000" w:themeColor="text1"/>
          <w:lang w:val="en-US"/>
        </w:rPr>
        <w:t xml:space="preserve"> (accessed 22 September 2025).</w:t>
      </w:r>
    </w:p>
  </w:footnote>
  <w:footnote w:id="3">
    <w:p w14:paraId="400295CB" w14:textId="77777777" w:rsidR="001B112B" w:rsidRPr="009F5BDD" w:rsidRDefault="001B112B" w:rsidP="001B112B">
      <w:pPr>
        <w:pStyle w:val="FootnoteText"/>
        <w:rPr>
          <w:rFonts w:ascii="Garamond" w:hAnsi="Garamond" w:cstheme="majorHAnsi"/>
          <w:color w:val="000000" w:themeColor="text1"/>
          <w:lang w:val="en-US"/>
        </w:rPr>
      </w:pPr>
      <w:r w:rsidRPr="009F5BDD">
        <w:rPr>
          <w:rStyle w:val="FootnoteReference"/>
          <w:rFonts w:ascii="Garamond" w:hAnsi="Garamond" w:cstheme="majorHAnsi"/>
          <w:color w:val="000000" w:themeColor="text1"/>
        </w:rPr>
        <w:footnoteRef/>
      </w:r>
      <w:r w:rsidRPr="009F5BDD">
        <w:rPr>
          <w:rFonts w:ascii="Garamond" w:hAnsi="Garamond" w:cstheme="majorHAnsi"/>
          <w:color w:val="000000" w:themeColor="text1"/>
        </w:rPr>
        <w:t xml:space="preserve"> Paul Valliere, </w:t>
      </w:r>
      <w:r w:rsidRPr="009F5BDD">
        <w:rPr>
          <w:rFonts w:ascii="Garamond" w:hAnsi="Garamond" w:cstheme="majorHAnsi"/>
          <w:i/>
          <w:iCs/>
          <w:color w:val="000000" w:themeColor="text1"/>
        </w:rPr>
        <w:t>Conciliarism: A History of Decision-Making in the Church</w:t>
      </w:r>
      <w:r w:rsidRPr="009F5BDD">
        <w:rPr>
          <w:rFonts w:ascii="Garamond" w:hAnsi="Garamond" w:cstheme="majorHAnsi"/>
          <w:color w:val="000000" w:themeColor="text1"/>
        </w:rPr>
        <w:t xml:space="preserve"> (Cambridge: Cambridge University Press, 2012), 53-54.</w:t>
      </w:r>
    </w:p>
  </w:footnote>
  <w:footnote w:id="4">
    <w:p w14:paraId="3E3971C0"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proofErr w:type="spellStart"/>
      <w:r w:rsidRPr="009F5BDD">
        <w:rPr>
          <w:rFonts w:ascii="Garamond" w:hAnsi="Garamond"/>
          <w:color w:val="000000" w:themeColor="text1"/>
          <w:lang w:val="en-US"/>
        </w:rPr>
        <w:t>Herminilito</w:t>
      </w:r>
      <w:proofErr w:type="spellEnd"/>
      <w:r w:rsidRPr="009F5BDD">
        <w:rPr>
          <w:rFonts w:ascii="Garamond" w:hAnsi="Garamond"/>
          <w:color w:val="000000" w:themeColor="text1"/>
          <w:lang w:val="en-US"/>
        </w:rPr>
        <w:t xml:space="preserve"> Luna, “A Synodal Campus Ministry in the Philippine Context” </w:t>
      </w:r>
      <w:r w:rsidRPr="009F5BDD">
        <w:rPr>
          <w:rFonts w:ascii="Garamond" w:hAnsi="Garamond"/>
          <w:i/>
          <w:iCs/>
          <w:color w:val="000000" w:themeColor="text1"/>
          <w:lang w:val="en-US"/>
        </w:rPr>
        <w:t>Journal of Positive School Psychology</w:t>
      </w:r>
      <w:r w:rsidRPr="009F5BDD">
        <w:rPr>
          <w:rFonts w:ascii="Garamond" w:hAnsi="Garamond"/>
          <w:color w:val="000000" w:themeColor="text1"/>
          <w:lang w:val="en-US"/>
        </w:rPr>
        <w:t xml:space="preserve"> 6, no.8 (2022):855-867.</w:t>
      </w:r>
    </w:p>
  </w:footnote>
  <w:footnote w:id="5">
    <w:p w14:paraId="3CCDA6E5"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s="Arial"/>
          <w:color w:val="000000" w:themeColor="text1"/>
          <w:shd w:val="clear" w:color="auto" w:fill="FFFFFF"/>
        </w:rPr>
        <w:t>Pierpaolo Donati, “Morphogenic Society and The Structure of Social Relations,” In</w:t>
      </w:r>
      <w:r w:rsidRPr="009F5BDD">
        <w:rPr>
          <w:rStyle w:val="apple-converted-space"/>
          <w:rFonts w:ascii="Garamond" w:hAnsi="Garamond" w:cs="Arial"/>
          <w:color w:val="000000" w:themeColor="text1"/>
          <w:shd w:val="clear" w:color="auto" w:fill="FFFFFF"/>
        </w:rPr>
        <w:t xml:space="preserve"> Margaret S. Archer, ed., </w:t>
      </w:r>
      <w:r w:rsidRPr="009F5BDD">
        <w:rPr>
          <w:rFonts w:ascii="Garamond" w:hAnsi="Garamond" w:cs="Arial"/>
          <w:i/>
          <w:iCs/>
          <w:color w:val="000000" w:themeColor="text1"/>
        </w:rPr>
        <w:t xml:space="preserve">Late modernity: Trajectories Towards Morphogenic Society </w:t>
      </w:r>
      <w:r w:rsidRPr="009F5BDD">
        <w:rPr>
          <w:rFonts w:ascii="Garamond" w:hAnsi="Garamond" w:cs="Arial"/>
          <w:color w:val="000000" w:themeColor="text1"/>
        </w:rPr>
        <w:t>(</w:t>
      </w:r>
      <w:r w:rsidRPr="009F5BDD">
        <w:rPr>
          <w:rFonts w:ascii="Garamond" w:hAnsi="Garamond" w:cs="Arial"/>
          <w:color w:val="000000" w:themeColor="text1"/>
          <w:shd w:val="clear" w:color="auto" w:fill="FFFFFF"/>
        </w:rPr>
        <w:t>Cham: Springer International Publishing, 2014), 145.</w:t>
      </w:r>
    </w:p>
  </w:footnote>
  <w:footnote w:id="6">
    <w:p w14:paraId="3888785B" w14:textId="77777777" w:rsidR="001B112B" w:rsidRPr="009F5BDD" w:rsidRDefault="001B112B" w:rsidP="001B112B">
      <w:pPr>
        <w:pStyle w:val="p1"/>
        <w:rPr>
          <w:rFonts w:ascii="Garamond" w:hAnsi="Garamond"/>
          <w:color w:val="000000" w:themeColor="text1"/>
          <w:sz w:val="20"/>
          <w:szCs w:val="20"/>
        </w:rPr>
      </w:pPr>
      <w:r w:rsidRPr="009F5BDD">
        <w:rPr>
          <w:rStyle w:val="FootnoteReference"/>
          <w:rFonts w:ascii="Garamond" w:hAnsi="Garamond"/>
          <w:color w:val="000000" w:themeColor="text1"/>
          <w:sz w:val="20"/>
          <w:szCs w:val="20"/>
        </w:rPr>
        <w:footnoteRef/>
      </w:r>
      <w:r w:rsidRPr="009F5BDD">
        <w:rPr>
          <w:rFonts w:ascii="Garamond" w:hAnsi="Garamond"/>
          <w:color w:val="000000" w:themeColor="text1"/>
          <w:sz w:val="20"/>
          <w:szCs w:val="20"/>
        </w:rPr>
        <w:t xml:space="preserve"> According to Donati and Archer, “‘B</w:t>
      </w:r>
      <w:r w:rsidRPr="009F5BDD">
        <w:rPr>
          <w:rFonts w:ascii="Garamond" w:hAnsi="Garamond"/>
          <w:i/>
          <w:iCs/>
          <w:color w:val="000000" w:themeColor="text1"/>
          <w:sz w:val="20"/>
          <w:szCs w:val="20"/>
        </w:rPr>
        <w:t>eing in relation</w:t>
      </w:r>
      <w:r w:rsidRPr="009F5BDD">
        <w:rPr>
          <w:rFonts w:ascii="Garamond" w:hAnsi="Garamond"/>
          <w:color w:val="000000" w:themeColor="text1"/>
          <w:sz w:val="20"/>
          <w:szCs w:val="20"/>
        </w:rPr>
        <w:t xml:space="preserve">’ is an ontological expression that has three analytical meanings: (i) it says that, between two (or more) entities there is a </w:t>
      </w:r>
      <w:r w:rsidRPr="009F5BDD">
        <w:rPr>
          <w:rFonts w:ascii="Garamond" w:hAnsi="Garamond"/>
          <w:i/>
          <w:iCs/>
          <w:color w:val="000000" w:themeColor="text1"/>
          <w:sz w:val="20"/>
          <w:szCs w:val="20"/>
        </w:rPr>
        <w:t>certain distance</w:t>
      </w:r>
      <w:r w:rsidRPr="009F5BDD">
        <w:rPr>
          <w:rFonts w:ascii="Garamond" w:hAnsi="Garamond"/>
          <w:color w:val="000000" w:themeColor="text1"/>
          <w:sz w:val="20"/>
          <w:szCs w:val="20"/>
        </w:rPr>
        <w:t xml:space="preserve"> which, at the same time, distinguishes </w:t>
      </w:r>
      <w:r w:rsidRPr="009F5BDD">
        <w:rPr>
          <w:rFonts w:ascii="Garamond" w:hAnsi="Garamond"/>
          <w:i/>
          <w:iCs/>
          <w:color w:val="000000" w:themeColor="text1"/>
          <w:sz w:val="20"/>
          <w:szCs w:val="20"/>
        </w:rPr>
        <w:t>and</w:t>
      </w:r>
      <w:r w:rsidRPr="009F5BDD">
        <w:rPr>
          <w:rFonts w:ascii="Garamond" w:hAnsi="Garamond"/>
          <w:color w:val="000000" w:themeColor="text1"/>
          <w:sz w:val="20"/>
          <w:szCs w:val="20"/>
        </w:rPr>
        <w:t xml:space="preserve"> connects them; (ii) it says that any such relation </w:t>
      </w:r>
      <w:r w:rsidRPr="009F5BDD">
        <w:rPr>
          <w:rFonts w:ascii="Garamond" w:hAnsi="Garamond"/>
          <w:i/>
          <w:iCs/>
          <w:color w:val="000000" w:themeColor="text1"/>
          <w:sz w:val="20"/>
          <w:szCs w:val="20"/>
        </w:rPr>
        <w:t>exists</w:t>
      </w:r>
      <w:r w:rsidRPr="009F5BDD">
        <w:rPr>
          <w:rFonts w:ascii="Garamond" w:hAnsi="Garamond"/>
          <w:color w:val="000000" w:themeColor="text1"/>
          <w:sz w:val="20"/>
          <w:szCs w:val="20"/>
        </w:rPr>
        <w:t xml:space="preserve">, that is, it is real in itself, irreducible to its progenitors, and possesses its own properties and causal powers; and (iii) it says that such a reality has its own </w:t>
      </w:r>
      <w:r w:rsidRPr="009F5BDD">
        <w:rPr>
          <w:rFonts w:ascii="Garamond" w:hAnsi="Garamond"/>
          <w:i/>
          <w:iCs/>
          <w:color w:val="000000" w:themeColor="text1"/>
          <w:sz w:val="20"/>
          <w:szCs w:val="20"/>
        </w:rPr>
        <w:t xml:space="preserve">modus essendi </w:t>
      </w:r>
      <w:r w:rsidRPr="009F5BDD">
        <w:rPr>
          <w:rFonts w:ascii="Garamond" w:hAnsi="Garamond"/>
          <w:color w:val="000000" w:themeColor="text1"/>
          <w:sz w:val="20"/>
          <w:szCs w:val="20"/>
        </w:rPr>
        <w:t xml:space="preserve">(the modality of </w:t>
      </w:r>
      <w:r w:rsidRPr="009F5BDD">
        <w:rPr>
          <w:rFonts w:ascii="Garamond" w:hAnsi="Garamond"/>
          <w:i/>
          <w:iCs/>
          <w:color w:val="000000" w:themeColor="text1"/>
          <w:sz w:val="20"/>
          <w:szCs w:val="20"/>
        </w:rPr>
        <w:t>the</w:t>
      </w:r>
      <w:r w:rsidRPr="009F5BDD">
        <w:rPr>
          <w:rFonts w:ascii="Garamond" w:hAnsi="Garamond"/>
          <w:color w:val="000000" w:themeColor="text1"/>
          <w:sz w:val="20"/>
          <w:szCs w:val="20"/>
        </w:rPr>
        <w:t xml:space="preserve"> beings who are </w:t>
      </w:r>
      <w:r w:rsidRPr="009F5BDD">
        <w:rPr>
          <w:rFonts w:ascii="Garamond" w:hAnsi="Garamond"/>
          <w:i/>
          <w:iCs/>
          <w:color w:val="000000" w:themeColor="text1"/>
          <w:sz w:val="20"/>
          <w:szCs w:val="20"/>
        </w:rPr>
        <w:t>inside</w:t>
      </w:r>
      <w:r w:rsidRPr="009F5BDD">
        <w:rPr>
          <w:rFonts w:ascii="Garamond" w:hAnsi="Garamond"/>
          <w:color w:val="000000" w:themeColor="text1"/>
          <w:sz w:val="20"/>
          <w:szCs w:val="20"/>
        </w:rPr>
        <w:t xml:space="preserve"> the relation which refers to the internal structure of the social relation and its dynamics) and is responsible for its emergent properties, that is, relational goods and evils.” Cf. Pierpaolo Donati and Margaret Archer, </w:t>
      </w:r>
      <w:r w:rsidRPr="009F5BDD">
        <w:rPr>
          <w:rFonts w:ascii="Garamond" w:hAnsi="Garamond"/>
          <w:i/>
          <w:iCs/>
          <w:color w:val="000000" w:themeColor="text1"/>
          <w:sz w:val="20"/>
          <w:szCs w:val="20"/>
        </w:rPr>
        <w:t xml:space="preserve">The Relational Subject </w:t>
      </w:r>
      <w:r w:rsidRPr="009F5BDD">
        <w:rPr>
          <w:rFonts w:ascii="Garamond" w:hAnsi="Garamond"/>
          <w:color w:val="000000" w:themeColor="text1"/>
          <w:sz w:val="20"/>
          <w:szCs w:val="20"/>
        </w:rPr>
        <w:t>(Cambridge: Cambridge University Press, 2015), 18.</w:t>
      </w:r>
    </w:p>
  </w:footnote>
  <w:footnote w:id="7">
    <w:p w14:paraId="667E1ABD"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Cf. </w:t>
      </w:r>
      <w:r w:rsidRPr="009F5BDD">
        <w:rPr>
          <w:rFonts w:ascii="Garamond" w:hAnsi="Garamond" w:cs="Arial"/>
          <w:color w:val="000000" w:themeColor="text1"/>
          <w:shd w:val="clear" w:color="auto" w:fill="FFFFFF"/>
        </w:rPr>
        <w:t>Dion A. Forster, “African Relational Ontology, Individual Identity, and Christian Theology: An African Theological Contribution Towards an Integrated Relational Ontological Identity,”</w:t>
      </w:r>
      <w:r w:rsidRPr="009F5BDD">
        <w:rPr>
          <w:rStyle w:val="apple-converted-space"/>
          <w:rFonts w:ascii="Garamond" w:hAnsi="Garamond" w:cs="Arial"/>
          <w:color w:val="000000" w:themeColor="text1"/>
          <w:shd w:val="clear" w:color="auto" w:fill="FFFFFF"/>
        </w:rPr>
        <w:t> </w:t>
      </w:r>
      <w:r w:rsidRPr="009F5BDD">
        <w:rPr>
          <w:rFonts w:ascii="Garamond" w:hAnsi="Garamond" w:cs="Arial"/>
          <w:i/>
          <w:iCs/>
          <w:color w:val="000000" w:themeColor="text1"/>
        </w:rPr>
        <w:t xml:space="preserve">Theology </w:t>
      </w:r>
      <w:r w:rsidRPr="009F5BDD">
        <w:rPr>
          <w:rFonts w:ascii="Garamond" w:hAnsi="Garamond" w:cs="Arial"/>
          <w:color w:val="000000" w:themeColor="text1"/>
          <w:shd w:val="clear" w:color="auto" w:fill="FFFFFF"/>
        </w:rPr>
        <w:t>113, no.874 (2010): 243-253.</w:t>
      </w:r>
    </w:p>
  </w:footnote>
  <w:footnote w:id="8">
    <w:p w14:paraId="0ED4C324"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s="Arial"/>
          <w:color w:val="000000" w:themeColor="text1"/>
          <w:shd w:val="clear" w:color="auto" w:fill="FFFFFF"/>
        </w:rPr>
        <w:t>Andrew T.J. Kaethler, “Freedom in Relationship: Joseph Ratzinger and Alexander Schmemann in Dialogue,”</w:t>
      </w:r>
      <w:r w:rsidRPr="009F5BDD">
        <w:rPr>
          <w:rStyle w:val="apple-converted-space"/>
          <w:rFonts w:ascii="Garamond" w:hAnsi="Garamond" w:cs="Arial"/>
          <w:color w:val="000000" w:themeColor="text1"/>
          <w:shd w:val="clear" w:color="auto" w:fill="FFFFFF"/>
        </w:rPr>
        <w:t> </w:t>
      </w:r>
      <w:r w:rsidRPr="009F5BDD">
        <w:rPr>
          <w:rFonts w:ascii="Garamond" w:hAnsi="Garamond" w:cs="Arial"/>
          <w:i/>
          <w:iCs/>
          <w:color w:val="000000" w:themeColor="text1"/>
        </w:rPr>
        <w:t>New blackfriars</w:t>
      </w:r>
      <w:r w:rsidRPr="009F5BDD">
        <w:rPr>
          <w:rStyle w:val="apple-converted-space"/>
          <w:rFonts w:ascii="Garamond" w:hAnsi="Garamond" w:cs="Arial"/>
          <w:color w:val="000000" w:themeColor="text1"/>
          <w:shd w:val="clear" w:color="auto" w:fill="FFFFFF"/>
        </w:rPr>
        <w:t> </w:t>
      </w:r>
      <w:r w:rsidRPr="009F5BDD">
        <w:rPr>
          <w:rFonts w:ascii="Garamond" w:hAnsi="Garamond" w:cs="Arial"/>
          <w:color w:val="000000" w:themeColor="text1"/>
          <w:shd w:val="clear" w:color="auto" w:fill="FFFFFF"/>
        </w:rPr>
        <w:t>95, no.1058 (2014): 397-411.</w:t>
      </w:r>
    </w:p>
  </w:footnote>
  <w:footnote w:id="9">
    <w:p w14:paraId="134F06EF" w14:textId="77777777" w:rsidR="001B112B" w:rsidRPr="009F5BDD" w:rsidRDefault="001B112B" w:rsidP="001B112B">
      <w:pPr>
        <w:rPr>
          <w:rFonts w:ascii="Garamond" w:hAnsi="Garamond" w:cs="Arial"/>
          <w:color w:val="222222"/>
          <w:sz w:val="20"/>
          <w:szCs w:val="20"/>
          <w:shd w:val="clear" w:color="auto" w:fill="FFFFFF"/>
        </w:rPr>
      </w:pPr>
      <w:r w:rsidRPr="009F5BDD">
        <w:rPr>
          <w:rStyle w:val="FootnoteReference"/>
          <w:rFonts w:ascii="Garamond" w:hAnsi="Garamond"/>
          <w:sz w:val="20"/>
          <w:szCs w:val="20"/>
        </w:rPr>
        <w:footnoteRef/>
      </w:r>
      <w:r w:rsidRPr="009F5BDD">
        <w:rPr>
          <w:rFonts w:ascii="Garamond" w:hAnsi="Garamond"/>
          <w:sz w:val="20"/>
          <w:szCs w:val="20"/>
        </w:rPr>
        <w:t xml:space="preserve"> </w:t>
      </w:r>
      <w:r w:rsidRPr="009F5BDD">
        <w:rPr>
          <w:rFonts w:ascii="Garamond" w:hAnsi="Garamond" w:cs="Arial"/>
          <w:color w:val="222222"/>
          <w:sz w:val="20"/>
          <w:szCs w:val="20"/>
          <w:shd w:val="clear" w:color="auto" w:fill="FFFFFF"/>
        </w:rPr>
        <w:t>Matthew Edminster, “The Space Between: Considering the Church as Relational Subject,”</w:t>
      </w:r>
      <w:r w:rsidRPr="009F5BDD">
        <w:rPr>
          <w:rFonts w:ascii="Garamond" w:hAnsi="Garamond" w:cs="Arial"/>
          <w:i/>
          <w:iCs/>
          <w:color w:val="222222"/>
          <w:sz w:val="20"/>
          <w:szCs w:val="20"/>
        </w:rPr>
        <w:t xml:space="preserve"> Journal of European Baptist Studies</w:t>
      </w:r>
      <w:r w:rsidRPr="009F5BDD">
        <w:rPr>
          <w:rStyle w:val="apple-converted-space"/>
          <w:rFonts w:ascii="Garamond" w:hAnsi="Garamond" w:cs="Arial"/>
          <w:color w:val="222222"/>
          <w:sz w:val="20"/>
          <w:szCs w:val="20"/>
          <w:shd w:val="clear" w:color="auto" w:fill="FFFFFF"/>
        </w:rPr>
        <w:t> </w:t>
      </w:r>
      <w:r w:rsidRPr="009F5BDD">
        <w:rPr>
          <w:rFonts w:ascii="Garamond" w:hAnsi="Garamond" w:cs="Arial"/>
          <w:color w:val="222222"/>
          <w:sz w:val="20"/>
          <w:szCs w:val="20"/>
          <w:shd w:val="clear" w:color="auto" w:fill="FFFFFF"/>
        </w:rPr>
        <w:t>19, no.2 (2019): 9-20; 20.</w:t>
      </w:r>
    </w:p>
  </w:footnote>
  <w:footnote w:id="10">
    <w:p w14:paraId="59C9C3E8"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Andrew Davison, </w:t>
      </w:r>
      <w:r w:rsidRPr="009F5BDD">
        <w:rPr>
          <w:rFonts w:ascii="Garamond" w:hAnsi="Garamond"/>
          <w:i/>
          <w:iCs/>
          <w:color w:val="000000" w:themeColor="text1"/>
          <w:lang w:val="en-US"/>
        </w:rPr>
        <w:t>Participation in God: A Study in Christian Doctrine and Metaphysics</w:t>
      </w:r>
      <w:r w:rsidRPr="009F5BDD">
        <w:rPr>
          <w:rFonts w:ascii="Garamond" w:hAnsi="Garamond"/>
          <w:color w:val="000000" w:themeColor="text1"/>
          <w:lang w:val="en-US"/>
        </w:rPr>
        <w:t xml:space="preserve"> (Cambridge: Cambridge University Press, 2019), 367.</w:t>
      </w:r>
    </w:p>
  </w:footnote>
  <w:footnote w:id="11">
    <w:p w14:paraId="2C6D8741"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Davison, </w:t>
      </w:r>
      <w:r w:rsidRPr="009F5BDD">
        <w:rPr>
          <w:rFonts w:ascii="Garamond" w:hAnsi="Garamond"/>
          <w:i/>
          <w:iCs/>
          <w:color w:val="000000" w:themeColor="text1"/>
          <w:lang w:val="en-US"/>
        </w:rPr>
        <w:t>Participation in God</w:t>
      </w:r>
      <w:r w:rsidRPr="009F5BDD">
        <w:rPr>
          <w:rFonts w:ascii="Garamond" w:hAnsi="Garamond"/>
          <w:color w:val="000000" w:themeColor="text1"/>
          <w:lang w:val="en-US"/>
        </w:rPr>
        <w:t>, 370.</w:t>
      </w:r>
    </w:p>
  </w:footnote>
  <w:footnote w:id="12">
    <w:p w14:paraId="00EA98A4"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Davison, </w:t>
      </w:r>
      <w:r w:rsidRPr="009F5BDD">
        <w:rPr>
          <w:rFonts w:ascii="Garamond" w:hAnsi="Garamond"/>
          <w:i/>
          <w:iCs/>
          <w:color w:val="000000" w:themeColor="text1"/>
          <w:lang w:val="en-US"/>
        </w:rPr>
        <w:t>Participation in God</w:t>
      </w:r>
      <w:r w:rsidRPr="009F5BDD">
        <w:rPr>
          <w:rFonts w:ascii="Garamond" w:hAnsi="Garamond"/>
          <w:color w:val="000000" w:themeColor="text1"/>
          <w:lang w:val="en-US"/>
        </w:rPr>
        <w:t>, 370.</w:t>
      </w:r>
    </w:p>
  </w:footnote>
  <w:footnote w:id="13">
    <w:p w14:paraId="42EE7EC1"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Davison, </w:t>
      </w:r>
      <w:r w:rsidRPr="009F5BDD">
        <w:rPr>
          <w:rFonts w:ascii="Garamond" w:hAnsi="Garamond"/>
          <w:i/>
          <w:iCs/>
          <w:color w:val="000000" w:themeColor="text1"/>
          <w:lang w:val="en-US"/>
        </w:rPr>
        <w:t>Participation in God</w:t>
      </w:r>
      <w:r w:rsidRPr="009F5BDD">
        <w:rPr>
          <w:rFonts w:ascii="Garamond" w:hAnsi="Garamond"/>
          <w:color w:val="000000" w:themeColor="text1"/>
          <w:lang w:val="en-US"/>
        </w:rPr>
        <w:t>, 371.</w:t>
      </w:r>
    </w:p>
  </w:footnote>
  <w:footnote w:id="14">
    <w:p w14:paraId="52818E47"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Davison, </w:t>
      </w:r>
      <w:r w:rsidRPr="009F5BDD">
        <w:rPr>
          <w:rFonts w:ascii="Garamond" w:hAnsi="Garamond"/>
          <w:i/>
          <w:iCs/>
          <w:color w:val="000000" w:themeColor="text1"/>
          <w:lang w:val="en-US"/>
        </w:rPr>
        <w:t>Participation in God</w:t>
      </w:r>
      <w:r w:rsidRPr="009F5BDD">
        <w:rPr>
          <w:rFonts w:ascii="Garamond" w:hAnsi="Garamond"/>
          <w:color w:val="000000" w:themeColor="text1"/>
          <w:lang w:val="en-US"/>
        </w:rPr>
        <w:t>, 371.</w:t>
      </w:r>
    </w:p>
  </w:footnote>
  <w:footnote w:id="15">
    <w:p w14:paraId="4F3C08C4"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J.A. Franklin, </w:t>
      </w:r>
      <w:r w:rsidRPr="009F5BDD">
        <w:rPr>
          <w:rFonts w:ascii="Garamond" w:hAnsi="Garamond"/>
          <w:i/>
          <w:iCs/>
          <w:color w:val="000000" w:themeColor="text1"/>
          <w:lang w:val="en-US"/>
        </w:rPr>
        <w:t>Charles Taylor and Anglican Theology: Aesthetic Ecclesiology</w:t>
      </w:r>
      <w:r w:rsidRPr="009F5BDD">
        <w:rPr>
          <w:rFonts w:ascii="Garamond" w:hAnsi="Garamond"/>
          <w:color w:val="000000" w:themeColor="text1"/>
          <w:lang w:val="en-US"/>
        </w:rPr>
        <w:t xml:space="preserve"> (Cham: Palgrave Maximillan, 2021), 110.</w:t>
      </w:r>
    </w:p>
  </w:footnote>
  <w:footnote w:id="16">
    <w:p w14:paraId="4D293246"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Franklin, </w:t>
      </w:r>
      <w:r w:rsidRPr="009F5BDD">
        <w:rPr>
          <w:rFonts w:ascii="Garamond" w:hAnsi="Garamond"/>
          <w:i/>
          <w:iCs/>
          <w:color w:val="000000" w:themeColor="text1"/>
          <w:lang w:val="en-US"/>
        </w:rPr>
        <w:t>Charles Taylor and Anglican Theology</w:t>
      </w:r>
      <w:r w:rsidRPr="009F5BDD">
        <w:rPr>
          <w:rFonts w:ascii="Garamond" w:hAnsi="Garamond"/>
          <w:color w:val="000000" w:themeColor="text1"/>
          <w:lang w:val="en-US"/>
        </w:rPr>
        <w:t>, 141.</w:t>
      </w:r>
    </w:p>
  </w:footnote>
  <w:footnote w:id="17">
    <w:p w14:paraId="407A96EC"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Franklin, </w:t>
      </w:r>
      <w:r w:rsidRPr="009F5BDD">
        <w:rPr>
          <w:rFonts w:ascii="Garamond" w:hAnsi="Garamond"/>
          <w:i/>
          <w:iCs/>
          <w:color w:val="000000" w:themeColor="text1"/>
          <w:lang w:val="en-US"/>
        </w:rPr>
        <w:t>Charles Taylor and Anglican Theology</w:t>
      </w:r>
      <w:r w:rsidRPr="009F5BDD">
        <w:rPr>
          <w:rFonts w:ascii="Garamond" w:hAnsi="Garamond"/>
          <w:color w:val="000000" w:themeColor="text1"/>
          <w:lang w:val="en-US"/>
        </w:rPr>
        <w:t>, 140.</w:t>
      </w:r>
    </w:p>
  </w:footnote>
  <w:footnote w:id="18">
    <w:p w14:paraId="39FCC05D"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John Milbank, “Stale Expressions: The Management-Shaped Church,” </w:t>
      </w:r>
      <w:r w:rsidRPr="009F5BDD">
        <w:rPr>
          <w:rFonts w:ascii="Garamond" w:hAnsi="Garamond"/>
          <w:i/>
          <w:iCs/>
          <w:color w:val="000000" w:themeColor="text1"/>
          <w:lang w:val="en-US"/>
        </w:rPr>
        <w:t>Studies in Christian Ethics</w:t>
      </w:r>
      <w:r w:rsidRPr="009F5BDD">
        <w:rPr>
          <w:rFonts w:ascii="Garamond" w:hAnsi="Garamond"/>
          <w:color w:val="000000" w:themeColor="text1"/>
          <w:lang w:val="en-US"/>
        </w:rPr>
        <w:t xml:space="preserve"> 21, no.1 (2008): 117-128; 120.</w:t>
      </w:r>
    </w:p>
  </w:footnote>
  <w:footnote w:id="19">
    <w:p w14:paraId="306C8774"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Franklin, </w:t>
      </w:r>
      <w:r w:rsidRPr="009F5BDD">
        <w:rPr>
          <w:rFonts w:ascii="Garamond" w:hAnsi="Garamond"/>
          <w:i/>
          <w:iCs/>
          <w:color w:val="000000" w:themeColor="text1"/>
          <w:lang w:val="en-US"/>
        </w:rPr>
        <w:t>Charles Taylor and Anglican Theology</w:t>
      </w:r>
      <w:r w:rsidRPr="009F5BDD">
        <w:rPr>
          <w:rFonts w:ascii="Garamond" w:hAnsi="Garamond"/>
          <w:color w:val="000000" w:themeColor="text1"/>
          <w:lang w:val="en-US"/>
        </w:rPr>
        <w:t>, 141.</w:t>
      </w:r>
    </w:p>
  </w:footnote>
  <w:footnote w:id="20">
    <w:p w14:paraId="4E95348C"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Milbank, “Stale Expressions,” 122. Milbank observes this reality in the re-Catholicization process of educated, elite Protestantism and in the emerging trajectory of Third World Pentecostalism.</w:t>
      </w:r>
    </w:p>
  </w:footnote>
  <w:footnote w:id="21">
    <w:p w14:paraId="4D0DBCAB" w14:textId="77777777" w:rsidR="001B112B" w:rsidRPr="009F5BDD" w:rsidRDefault="001B112B" w:rsidP="001B112B">
      <w:pPr>
        <w:pStyle w:val="FootnoteText"/>
        <w:rPr>
          <w:rFonts w:ascii="Garamond" w:hAnsi="Garamond"/>
          <w:color w:val="000000" w:themeColor="text1"/>
          <w:lang w:val="en-US"/>
        </w:rPr>
      </w:pPr>
      <w:r w:rsidRPr="009F5BDD">
        <w:rPr>
          <w:rStyle w:val="FootnoteReference"/>
          <w:rFonts w:ascii="Garamond" w:hAnsi="Garamond"/>
          <w:color w:val="000000" w:themeColor="text1"/>
        </w:rPr>
        <w:footnoteRef/>
      </w:r>
      <w:r w:rsidRPr="009F5BDD">
        <w:rPr>
          <w:rFonts w:ascii="Garamond" w:hAnsi="Garamond"/>
          <w:color w:val="000000" w:themeColor="text1"/>
        </w:rPr>
        <w:t xml:space="preserve"> </w:t>
      </w:r>
      <w:r w:rsidRPr="009F5BDD">
        <w:rPr>
          <w:rFonts w:ascii="Garamond" w:hAnsi="Garamond"/>
          <w:color w:val="000000" w:themeColor="text1"/>
          <w:lang w:val="en-US"/>
        </w:rPr>
        <w:t xml:space="preserve">James K.A. Smith, </w:t>
      </w:r>
      <w:r w:rsidRPr="009F5BDD">
        <w:rPr>
          <w:rFonts w:ascii="Garamond" w:hAnsi="Garamond"/>
          <w:i/>
          <w:iCs/>
          <w:color w:val="000000" w:themeColor="text1"/>
          <w:lang w:val="en-US"/>
        </w:rPr>
        <w:t>Introducing Radical Orthodoxy: Mapping a Post-Secular Theology</w:t>
      </w:r>
      <w:r w:rsidRPr="009F5BDD">
        <w:rPr>
          <w:rFonts w:ascii="Garamond" w:hAnsi="Garamond"/>
          <w:color w:val="000000" w:themeColor="text1"/>
          <w:lang w:val="en-US"/>
        </w:rPr>
        <w:t xml:space="preserve"> (Grand Rapids: Baker Academic, 2004), 232.</w:t>
      </w:r>
    </w:p>
  </w:footnote>
  <w:footnote w:id="22">
    <w:p w14:paraId="230BD5D9" w14:textId="77777777" w:rsidR="001B112B" w:rsidRPr="009F5BDD" w:rsidRDefault="001B112B" w:rsidP="001B112B">
      <w:pPr>
        <w:rPr>
          <w:rFonts w:ascii="Garamond" w:hAnsi="Garamond"/>
          <w:color w:val="000000" w:themeColor="text1"/>
          <w:sz w:val="20"/>
          <w:szCs w:val="20"/>
        </w:rPr>
      </w:pPr>
      <w:r w:rsidRPr="009F5BDD">
        <w:rPr>
          <w:rStyle w:val="FootnoteReference"/>
          <w:rFonts w:ascii="Garamond" w:hAnsi="Garamond"/>
          <w:color w:val="000000" w:themeColor="text1"/>
          <w:sz w:val="20"/>
          <w:szCs w:val="20"/>
        </w:rPr>
        <w:footnoteRef/>
      </w:r>
      <w:r w:rsidRPr="009F5BDD">
        <w:rPr>
          <w:rFonts w:ascii="Garamond" w:hAnsi="Garamond"/>
          <w:color w:val="000000" w:themeColor="text1"/>
          <w:sz w:val="20"/>
          <w:szCs w:val="20"/>
        </w:rPr>
        <w:t xml:space="preserve"> Samuel Scheffler, “Relationships and Responsibilities,” </w:t>
      </w:r>
      <w:r w:rsidRPr="009F5BDD">
        <w:rPr>
          <w:rFonts w:ascii="Garamond" w:hAnsi="Garamond"/>
          <w:i/>
          <w:iCs/>
          <w:color w:val="000000" w:themeColor="text1"/>
          <w:sz w:val="20"/>
          <w:szCs w:val="20"/>
        </w:rPr>
        <w:t>Philosophy and Public Affairs</w:t>
      </w:r>
      <w:r w:rsidRPr="009F5BDD">
        <w:rPr>
          <w:rFonts w:ascii="Garamond" w:hAnsi="Garamond"/>
          <w:color w:val="000000" w:themeColor="text1"/>
          <w:sz w:val="20"/>
          <w:szCs w:val="20"/>
        </w:rPr>
        <w:t xml:space="preserve"> 26, no.3 (1997): 189-209.</w:t>
      </w:r>
    </w:p>
  </w:footnote>
  <w:footnote w:id="23">
    <w:p w14:paraId="1817A4A0" w14:textId="77777777" w:rsidR="001B112B" w:rsidRPr="009F5BDD" w:rsidRDefault="001B112B" w:rsidP="001B112B">
      <w:pPr>
        <w:pStyle w:val="FootnoteText"/>
        <w:rPr>
          <w:rFonts w:ascii="Garamond" w:hAnsi="Garamond"/>
          <w:lang w:val="en-US"/>
        </w:rPr>
      </w:pPr>
      <w:r w:rsidRPr="009F5BDD">
        <w:rPr>
          <w:rStyle w:val="FootnoteReference"/>
          <w:rFonts w:ascii="Garamond" w:hAnsi="Garamond"/>
        </w:rPr>
        <w:footnoteRef/>
      </w:r>
      <w:r w:rsidRPr="009F5BDD">
        <w:rPr>
          <w:rFonts w:ascii="Garamond" w:hAnsi="Garamond"/>
        </w:rPr>
        <w:t xml:space="preserve"> </w:t>
      </w:r>
      <w:r w:rsidRPr="009F5BDD">
        <w:rPr>
          <w:rFonts w:ascii="Garamond" w:hAnsi="Garamond"/>
          <w:lang w:val="en-US"/>
        </w:rPr>
        <w:t xml:space="preserve">Pope John Paul II, Post-Synodal Apostolic Exhortation, </w:t>
      </w:r>
      <w:r w:rsidRPr="009F5BDD">
        <w:rPr>
          <w:rFonts w:ascii="Garamond" w:hAnsi="Garamond"/>
          <w:i/>
          <w:iCs/>
          <w:lang w:val="en-US"/>
        </w:rPr>
        <w:t>Christifideles Laici</w:t>
      </w:r>
      <w:r w:rsidRPr="009F5BDD">
        <w:rPr>
          <w:rFonts w:ascii="Garamond" w:hAnsi="Garamond"/>
          <w:lang w:val="en-US"/>
        </w:rPr>
        <w:t xml:space="preserve">, On the Vocation and the Mission of the Lay Faithful in the Church and in the World (30 December 1988), </w:t>
      </w:r>
      <w:hyperlink r:id="rId3" w:history="1">
        <w:r w:rsidRPr="009F5BDD">
          <w:rPr>
            <w:rStyle w:val="Hyperlink"/>
            <w:rFonts w:ascii="Garamond" w:hAnsi="Garamond"/>
            <w:lang w:val="en-US"/>
          </w:rPr>
          <w:t>https://www.vatican.va/content/john-paul-ii/en/apost_exhortations/documents/hf_jp-ii_exh_30121988_christifideles-laici.html</w:t>
        </w:r>
      </w:hyperlink>
      <w:r w:rsidRPr="009F5BDD">
        <w:rPr>
          <w:rFonts w:ascii="Garamond" w:hAnsi="Garamond"/>
          <w:lang w:val="en-US"/>
        </w:rPr>
        <w:t xml:space="preserve"> (accessed 25 September 2025), §46.</w:t>
      </w:r>
    </w:p>
  </w:footnote>
  <w:footnote w:id="24">
    <w:p w14:paraId="5E1349D7" w14:textId="77777777" w:rsidR="001B112B" w:rsidRPr="009F5BDD" w:rsidRDefault="001B112B" w:rsidP="001B112B">
      <w:pPr>
        <w:pStyle w:val="FootnoteText"/>
        <w:rPr>
          <w:rFonts w:ascii="Garamond" w:hAnsi="Garamond"/>
          <w:lang w:val="en-US"/>
        </w:rPr>
      </w:pPr>
      <w:r w:rsidRPr="009F5BDD">
        <w:rPr>
          <w:rStyle w:val="FootnoteReference"/>
          <w:rFonts w:ascii="Garamond" w:hAnsi="Garamond"/>
        </w:rPr>
        <w:footnoteRef/>
      </w:r>
      <w:r w:rsidRPr="009F5BDD">
        <w:rPr>
          <w:rFonts w:ascii="Garamond" w:hAnsi="Garamond"/>
        </w:rPr>
        <w:t xml:space="preserve"> </w:t>
      </w:r>
      <w:r w:rsidRPr="009F5BDD">
        <w:rPr>
          <w:rFonts w:ascii="Garamond" w:hAnsi="Garamond"/>
          <w:lang w:val="en-US"/>
        </w:rPr>
        <w:t xml:space="preserve">Sandie Cornish, “Synodality and Local Social Teaching,” </w:t>
      </w:r>
      <w:r w:rsidRPr="009F5BDD">
        <w:rPr>
          <w:rFonts w:ascii="Garamond" w:hAnsi="Garamond"/>
          <w:i/>
          <w:iCs/>
          <w:lang w:val="en-US"/>
        </w:rPr>
        <w:t>The Australasian Catholic Record</w:t>
      </w:r>
      <w:r w:rsidRPr="009F5BDD">
        <w:rPr>
          <w:rFonts w:ascii="Garamond" w:hAnsi="Garamond"/>
          <w:lang w:val="en-US"/>
        </w:rPr>
        <w:t xml:space="preserve"> 99, no.1 (2022):76-85.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4C61D44"/>
    <w:multiLevelType w:val="hybridMultilevel"/>
    <w:tmpl w:val="C2584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667F5B4F"/>
    <w:multiLevelType w:val="hybridMultilevel"/>
    <w:tmpl w:val="34DA0572"/>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915092800">
    <w:abstractNumId w:val="1"/>
  </w:num>
  <w:num w:numId="2" w16cid:durableId="4400302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112B"/>
    <w:rsid w:val="00183F09"/>
    <w:rsid w:val="001B112B"/>
    <w:rsid w:val="00651CEC"/>
    <w:rsid w:val="00803626"/>
    <w:rsid w:val="0086314A"/>
    <w:rsid w:val="00951BE5"/>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4:docId w14:val="6E7771BB"/>
  <w15:chartTrackingRefBased/>
  <w15:docId w15:val="{A6B8B70D-A6E0-E541-BF89-5E9BA9944A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112B"/>
  </w:style>
  <w:style w:type="paragraph" w:styleId="Heading1">
    <w:name w:val="heading 1"/>
    <w:basedOn w:val="Normal"/>
    <w:next w:val="Normal"/>
    <w:link w:val="Heading1Char"/>
    <w:uiPriority w:val="9"/>
    <w:qFormat/>
    <w:rsid w:val="001B112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1B112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1B112B"/>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1B112B"/>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1B112B"/>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1B112B"/>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B112B"/>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B112B"/>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B112B"/>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B112B"/>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1B112B"/>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1B112B"/>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1B112B"/>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1B112B"/>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1B112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B112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B112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B112B"/>
    <w:rPr>
      <w:rFonts w:eastAsiaTheme="majorEastAsia" w:cstheme="majorBidi"/>
      <w:color w:val="272727" w:themeColor="text1" w:themeTint="D8"/>
    </w:rPr>
  </w:style>
  <w:style w:type="paragraph" w:styleId="Title">
    <w:name w:val="Title"/>
    <w:basedOn w:val="Normal"/>
    <w:next w:val="Normal"/>
    <w:link w:val="TitleChar"/>
    <w:uiPriority w:val="10"/>
    <w:qFormat/>
    <w:rsid w:val="001B112B"/>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B112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B112B"/>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B112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B112B"/>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B112B"/>
    <w:rPr>
      <w:i/>
      <w:iCs/>
      <w:color w:val="404040" w:themeColor="text1" w:themeTint="BF"/>
    </w:rPr>
  </w:style>
  <w:style w:type="paragraph" w:styleId="ListParagraph">
    <w:name w:val="List Paragraph"/>
    <w:basedOn w:val="Normal"/>
    <w:uiPriority w:val="34"/>
    <w:qFormat/>
    <w:rsid w:val="001B112B"/>
    <w:pPr>
      <w:ind w:left="720"/>
      <w:contextualSpacing/>
    </w:pPr>
  </w:style>
  <w:style w:type="character" w:styleId="IntenseEmphasis">
    <w:name w:val="Intense Emphasis"/>
    <w:basedOn w:val="DefaultParagraphFont"/>
    <w:uiPriority w:val="21"/>
    <w:qFormat/>
    <w:rsid w:val="001B112B"/>
    <w:rPr>
      <w:i/>
      <w:iCs/>
      <w:color w:val="2F5496" w:themeColor="accent1" w:themeShade="BF"/>
    </w:rPr>
  </w:style>
  <w:style w:type="paragraph" w:styleId="IntenseQuote">
    <w:name w:val="Intense Quote"/>
    <w:basedOn w:val="Normal"/>
    <w:next w:val="Normal"/>
    <w:link w:val="IntenseQuoteChar"/>
    <w:uiPriority w:val="30"/>
    <w:qFormat/>
    <w:rsid w:val="001B112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1B112B"/>
    <w:rPr>
      <w:i/>
      <w:iCs/>
      <w:color w:val="2F5496" w:themeColor="accent1" w:themeShade="BF"/>
    </w:rPr>
  </w:style>
  <w:style w:type="character" w:styleId="IntenseReference">
    <w:name w:val="Intense Reference"/>
    <w:basedOn w:val="DefaultParagraphFont"/>
    <w:uiPriority w:val="32"/>
    <w:qFormat/>
    <w:rsid w:val="001B112B"/>
    <w:rPr>
      <w:b/>
      <w:bCs/>
      <w:smallCaps/>
      <w:color w:val="2F5496" w:themeColor="accent1" w:themeShade="BF"/>
      <w:spacing w:val="5"/>
    </w:rPr>
  </w:style>
  <w:style w:type="character" w:customStyle="1" w:styleId="apple-converted-space">
    <w:name w:val="apple-converted-space"/>
    <w:basedOn w:val="DefaultParagraphFont"/>
    <w:rsid w:val="001B112B"/>
  </w:style>
  <w:style w:type="character" w:styleId="Hyperlink">
    <w:name w:val="Hyperlink"/>
    <w:basedOn w:val="DefaultParagraphFont"/>
    <w:uiPriority w:val="99"/>
    <w:unhideWhenUsed/>
    <w:rsid w:val="001B112B"/>
    <w:rPr>
      <w:color w:val="0563C1" w:themeColor="hyperlink"/>
      <w:u w:val="single"/>
    </w:rPr>
  </w:style>
  <w:style w:type="paragraph" w:customStyle="1" w:styleId="p1">
    <w:name w:val="p1"/>
    <w:basedOn w:val="Normal"/>
    <w:rsid w:val="001B112B"/>
    <w:rPr>
      <w:rFonts w:ascii="Times New Roman" w:eastAsia="Times New Roman" w:hAnsi="Times New Roman" w:cs="Times New Roman"/>
      <w:color w:val="000000"/>
      <w:kern w:val="0"/>
      <w:sz w:val="15"/>
      <w:szCs w:val="15"/>
      <w:lang w:eastAsia="en-GB"/>
      <w14:ligatures w14:val="none"/>
    </w:rPr>
  </w:style>
  <w:style w:type="paragraph" w:styleId="FootnoteText">
    <w:name w:val="footnote text"/>
    <w:basedOn w:val="Normal"/>
    <w:link w:val="FootnoteTextChar"/>
    <w:uiPriority w:val="99"/>
    <w:semiHidden/>
    <w:unhideWhenUsed/>
    <w:rsid w:val="001B112B"/>
    <w:rPr>
      <w:sz w:val="20"/>
      <w:szCs w:val="20"/>
    </w:rPr>
  </w:style>
  <w:style w:type="character" w:customStyle="1" w:styleId="FootnoteTextChar">
    <w:name w:val="Footnote Text Char"/>
    <w:basedOn w:val="DefaultParagraphFont"/>
    <w:link w:val="FootnoteText"/>
    <w:uiPriority w:val="99"/>
    <w:semiHidden/>
    <w:rsid w:val="001B112B"/>
    <w:rPr>
      <w:sz w:val="20"/>
      <w:szCs w:val="20"/>
    </w:rPr>
  </w:style>
  <w:style w:type="character" w:styleId="FootnoteReference">
    <w:name w:val="footnote reference"/>
    <w:basedOn w:val="DefaultParagraphFont"/>
    <w:uiPriority w:val="99"/>
    <w:semiHidden/>
    <w:unhideWhenUsed/>
    <w:rsid w:val="001B112B"/>
    <w:rPr>
      <w:vertAlign w:val="superscript"/>
    </w:rPr>
  </w:style>
  <w:style w:type="paragraph" w:styleId="Footer">
    <w:name w:val="footer"/>
    <w:basedOn w:val="Normal"/>
    <w:link w:val="FooterChar"/>
    <w:uiPriority w:val="99"/>
    <w:unhideWhenUsed/>
    <w:rsid w:val="001B112B"/>
    <w:pPr>
      <w:tabs>
        <w:tab w:val="center" w:pos="4513"/>
        <w:tab w:val="right" w:pos="9026"/>
      </w:tabs>
    </w:pPr>
  </w:style>
  <w:style w:type="character" w:customStyle="1" w:styleId="FooterChar">
    <w:name w:val="Footer Char"/>
    <w:basedOn w:val="DefaultParagraphFont"/>
    <w:link w:val="Footer"/>
    <w:uiPriority w:val="99"/>
    <w:rsid w:val="001B112B"/>
  </w:style>
  <w:style w:type="character" w:styleId="PageNumber">
    <w:name w:val="page number"/>
    <w:basedOn w:val="DefaultParagraphFont"/>
    <w:uiPriority w:val="99"/>
    <w:semiHidden/>
    <w:unhideWhenUsed/>
    <w:rsid w:val="001B11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ww.vatican.va/content/john-paul-ii/en/apost_exhortations/documents/hf_jp-ii_exh_30121988_christifideles-laici.html" TargetMode="External"/><Relationship Id="rId2" Type="http://schemas.openxmlformats.org/officeDocument/2006/relationships/hyperlink" Target="https://www.paroissesaintfrancois.be/etudiants" TargetMode="External"/><Relationship Id="rId1" Type="http://schemas.openxmlformats.org/officeDocument/2006/relationships/hyperlink" Target="https://uscatholic.org/articles/202108/young-people-are-leading-a-new-approach-to-campus-ministry/" TargetMode="Externa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10</Pages>
  <Words>4436</Words>
  <Characters>23604</Characters>
  <Application>Microsoft Office Word</Application>
  <DocSecurity>0</DocSecurity>
  <Lines>380</Lines>
  <Paragraphs>59</Paragraphs>
  <ScaleCrop>false</ScaleCrop>
  <Company/>
  <LinksUpToDate>false</LinksUpToDate>
  <CharactersWithSpaces>27981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2</cp:revision>
  <cp:lastPrinted>2025-10-20T17:33:00Z</cp:lastPrinted>
  <dcterms:created xsi:type="dcterms:W3CDTF">2025-10-15T15:50:00Z</dcterms:created>
  <dcterms:modified xsi:type="dcterms:W3CDTF">2025-10-20T17:33:00Z</dcterms:modified>
</cp:coreProperties>
</file>