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FA2B" w14:textId="77777777" w:rsidR="004E49F0" w:rsidRPr="00E33DEA" w:rsidRDefault="004E49F0" w:rsidP="00694406">
      <w:pPr>
        <w:jc w:val="both"/>
        <w:rPr>
          <w:rFonts w:ascii="Arial" w:hAnsi="Arial" w:cs="Arial"/>
          <w:sz w:val="22"/>
          <w:szCs w:val="22"/>
          <w:lang w:val="fr-BE"/>
        </w:rPr>
      </w:pPr>
    </w:p>
    <w:p w14:paraId="6F85A745" w14:textId="5A684575" w:rsidR="00D17F83" w:rsidRPr="00E33DEA" w:rsidRDefault="00D17F83" w:rsidP="00694406">
      <w:pPr>
        <w:jc w:val="both"/>
        <w:rPr>
          <w:rFonts w:ascii="Arial" w:hAnsi="Arial" w:cs="Arial"/>
          <w:b/>
          <w:bCs/>
          <w:sz w:val="22"/>
          <w:szCs w:val="22"/>
          <w:lang w:val="fr-BE"/>
        </w:rPr>
      </w:pPr>
      <w:r w:rsidRPr="00E33DEA">
        <w:rPr>
          <w:rFonts w:ascii="Arial" w:hAnsi="Arial" w:cs="Arial"/>
          <w:b/>
          <w:bCs/>
          <w:sz w:val="22"/>
          <w:szCs w:val="22"/>
          <w:lang w:val="fr-BE"/>
        </w:rPr>
        <w:t xml:space="preserve">Commentaire sous CJEU, 6 Octobre 2022, Aff. C-293/21 </w:t>
      </w:r>
      <w:r w:rsidRPr="00E33DEA">
        <w:rPr>
          <w:rFonts w:ascii="Arial" w:hAnsi="Arial" w:cs="Arial"/>
          <w:b/>
          <w:bCs/>
          <w:sz w:val="22"/>
          <w:szCs w:val="22"/>
          <w:lang w:val="fr-BE"/>
        </w:rPr>
        <w:t>UAB </w:t>
      </w:r>
      <w:proofErr w:type="spellStart"/>
      <w:r w:rsidRPr="00E33DEA">
        <w:rPr>
          <w:rFonts w:ascii="Arial" w:hAnsi="Arial" w:cs="Arial"/>
          <w:b/>
          <w:bCs/>
          <w:sz w:val="22"/>
          <w:szCs w:val="22"/>
          <w:lang w:val="fr-BE"/>
        </w:rPr>
        <w:t>Vittamed</w:t>
      </w:r>
      <w:proofErr w:type="spellEnd"/>
      <w:r w:rsidRPr="00E33DEA">
        <w:rPr>
          <w:rFonts w:ascii="Arial" w:hAnsi="Arial" w:cs="Arial"/>
          <w:b/>
          <w:bCs/>
          <w:sz w:val="22"/>
          <w:szCs w:val="22"/>
          <w:lang w:val="fr-BE"/>
        </w:rPr>
        <w:t xml:space="preserve"> </w:t>
      </w:r>
      <w:proofErr w:type="spellStart"/>
      <w:r w:rsidRPr="00E33DEA">
        <w:rPr>
          <w:rFonts w:ascii="Arial" w:hAnsi="Arial" w:cs="Arial"/>
          <w:b/>
          <w:bCs/>
          <w:sz w:val="22"/>
          <w:szCs w:val="22"/>
          <w:lang w:val="fr-BE"/>
        </w:rPr>
        <w:t>technologijos</w:t>
      </w:r>
      <w:proofErr w:type="spellEnd"/>
    </w:p>
    <w:p w14:paraId="4CA082DF" w14:textId="366DEE49" w:rsidR="00D17F83" w:rsidRDefault="00D17F83" w:rsidP="00694406">
      <w:pPr>
        <w:jc w:val="both"/>
        <w:rPr>
          <w:rFonts w:ascii="Arial" w:hAnsi="Arial" w:cs="Arial"/>
          <w:sz w:val="22"/>
          <w:szCs w:val="22"/>
          <w:lang w:val="fr-BE"/>
        </w:rPr>
      </w:pPr>
    </w:p>
    <w:p w14:paraId="325B2ED4" w14:textId="3C07C0C2" w:rsidR="00174849" w:rsidRDefault="00174849" w:rsidP="00694406">
      <w:pPr>
        <w:jc w:val="both"/>
        <w:rPr>
          <w:rFonts w:ascii="Arial" w:hAnsi="Arial" w:cs="Arial"/>
          <w:sz w:val="22"/>
          <w:szCs w:val="22"/>
          <w:lang w:val="fr-BE"/>
        </w:rPr>
      </w:pPr>
      <w:r>
        <w:rPr>
          <w:rFonts w:ascii="Arial" w:hAnsi="Arial" w:cs="Arial"/>
          <w:sz w:val="22"/>
          <w:szCs w:val="22"/>
          <w:lang w:val="fr-BE"/>
        </w:rPr>
        <w:t xml:space="preserve">Marie </w:t>
      </w:r>
      <w:proofErr w:type="spellStart"/>
      <w:r>
        <w:rPr>
          <w:rFonts w:ascii="Arial" w:hAnsi="Arial" w:cs="Arial"/>
          <w:sz w:val="22"/>
          <w:szCs w:val="22"/>
          <w:lang w:val="fr-BE"/>
        </w:rPr>
        <w:t>Lamensch</w:t>
      </w:r>
      <w:proofErr w:type="spellEnd"/>
      <w:r>
        <w:rPr>
          <w:rStyle w:val="FootnoteReference"/>
          <w:rFonts w:ascii="Arial" w:hAnsi="Arial" w:cs="Arial"/>
          <w:sz w:val="22"/>
          <w:szCs w:val="22"/>
          <w:lang w:val="fr-BE"/>
        </w:rPr>
        <w:footnoteReference w:id="1"/>
      </w:r>
    </w:p>
    <w:p w14:paraId="2215DE8E" w14:textId="77777777" w:rsidR="00174849" w:rsidRPr="00E33DEA" w:rsidRDefault="00174849" w:rsidP="00694406">
      <w:pPr>
        <w:jc w:val="both"/>
        <w:rPr>
          <w:rFonts w:ascii="Arial" w:hAnsi="Arial" w:cs="Arial"/>
          <w:sz w:val="22"/>
          <w:szCs w:val="22"/>
          <w:lang w:val="fr-BE"/>
        </w:rPr>
      </w:pPr>
    </w:p>
    <w:p w14:paraId="150A976A" w14:textId="0E58A9CE" w:rsidR="00BB09FB" w:rsidRPr="005611B6" w:rsidRDefault="005C1A0C" w:rsidP="00694406">
      <w:pPr>
        <w:jc w:val="both"/>
        <w:rPr>
          <w:rFonts w:ascii="Arial" w:hAnsi="Arial" w:cs="Arial"/>
          <w:sz w:val="22"/>
          <w:szCs w:val="22"/>
          <w:lang w:val="fr-BE"/>
        </w:rPr>
      </w:pPr>
      <w:r w:rsidRPr="00E33DEA">
        <w:rPr>
          <w:rFonts w:ascii="Arial" w:hAnsi="Arial" w:cs="Arial"/>
          <w:sz w:val="22"/>
          <w:szCs w:val="22"/>
          <w:lang w:val="fr-BE"/>
        </w:rPr>
        <w:t>La décision rendue le 6 octobre 2022 par</w:t>
      </w:r>
      <w:r w:rsidR="004A1CB6" w:rsidRPr="00E33DEA">
        <w:rPr>
          <w:rFonts w:ascii="Arial" w:hAnsi="Arial" w:cs="Arial"/>
          <w:sz w:val="22"/>
          <w:szCs w:val="22"/>
          <w:lang w:val="fr-BE"/>
        </w:rPr>
        <w:t xml:space="preserve"> la Cour de Justice de l’Union Européenne </w:t>
      </w:r>
      <w:r w:rsidR="004E49F0" w:rsidRPr="00E33DEA">
        <w:rPr>
          <w:rFonts w:ascii="Arial" w:hAnsi="Arial" w:cs="Arial"/>
          <w:sz w:val="22"/>
          <w:szCs w:val="22"/>
          <w:lang w:val="fr-BE"/>
        </w:rPr>
        <w:t>(</w:t>
      </w:r>
      <w:r w:rsidR="00D17F83" w:rsidRPr="00E33DEA">
        <w:rPr>
          <w:rFonts w:ascii="Arial" w:hAnsi="Arial" w:cs="Arial"/>
          <w:sz w:val="22"/>
          <w:szCs w:val="22"/>
          <w:lang w:val="fr-BE"/>
        </w:rPr>
        <w:t xml:space="preserve">ci-après </w:t>
      </w:r>
      <w:r w:rsidR="004E49F0" w:rsidRPr="00E33DEA">
        <w:rPr>
          <w:rFonts w:ascii="Arial" w:hAnsi="Arial" w:cs="Arial"/>
          <w:sz w:val="22"/>
          <w:szCs w:val="22"/>
          <w:lang w:val="fr-BE"/>
        </w:rPr>
        <w:t>« la Cour »)</w:t>
      </w:r>
      <w:r w:rsidR="004A1CB6" w:rsidRPr="00E33DEA">
        <w:rPr>
          <w:rFonts w:ascii="Arial" w:hAnsi="Arial" w:cs="Arial"/>
          <w:sz w:val="22"/>
          <w:szCs w:val="22"/>
          <w:lang w:val="fr-BE"/>
        </w:rPr>
        <w:t xml:space="preserve"> marque un tournant dans </w:t>
      </w:r>
      <w:r w:rsidR="00D17F83" w:rsidRPr="00E33DEA">
        <w:rPr>
          <w:rFonts w:ascii="Arial" w:hAnsi="Arial" w:cs="Arial"/>
          <w:sz w:val="22"/>
          <w:szCs w:val="22"/>
          <w:lang w:val="fr-BE"/>
        </w:rPr>
        <w:t>s</w:t>
      </w:r>
      <w:r w:rsidR="004A1CB6" w:rsidRPr="00E33DEA">
        <w:rPr>
          <w:rFonts w:ascii="Arial" w:hAnsi="Arial" w:cs="Arial"/>
          <w:sz w:val="22"/>
          <w:szCs w:val="22"/>
          <w:lang w:val="fr-BE"/>
        </w:rPr>
        <w:t>a jurisprudence</w:t>
      </w:r>
      <w:r w:rsidR="00D17F83" w:rsidRPr="00E33DEA">
        <w:rPr>
          <w:rFonts w:ascii="Arial" w:hAnsi="Arial" w:cs="Arial"/>
          <w:sz w:val="22"/>
          <w:szCs w:val="22"/>
          <w:lang w:val="fr-BE"/>
        </w:rPr>
        <w:t xml:space="preserve"> </w:t>
      </w:r>
      <w:r w:rsidR="004A1CB6" w:rsidRPr="00E33DEA">
        <w:rPr>
          <w:rFonts w:ascii="Arial" w:hAnsi="Arial" w:cs="Arial"/>
          <w:sz w:val="22"/>
          <w:szCs w:val="22"/>
          <w:lang w:val="fr-BE"/>
        </w:rPr>
        <w:t>en matière de droit à déduction</w:t>
      </w:r>
      <w:r w:rsidR="0005793A">
        <w:rPr>
          <w:rFonts w:ascii="Arial" w:hAnsi="Arial" w:cs="Arial"/>
          <w:sz w:val="22"/>
          <w:szCs w:val="22"/>
          <w:lang w:val="fr-BE"/>
        </w:rPr>
        <w:t>.</w:t>
      </w:r>
      <w:r w:rsidR="005611B6">
        <w:rPr>
          <w:rFonts w:ascii="Arial" w:hAnsi="Arial" w:cs="Arial"/>
          <w:sz w:val="22"/>
          <w:szCs w:val="22"/>
          <w:lang w:val="fr-BE"/>
        </w:rPr>
        <w:t xml:space="preserve"> </w:t>
      </w:r>
      <w:r w:rsidR="004E49F0" w:rsidRPr="00E33DEA">
        <w:rPr>
          <w:rFonts w:ascii="Arial" w:hAnsi="Arial" w:cs="Arial"/>
          <w:sz w:val="22"/>
          <w:szCs w:val="22"/>
          <w:lang w:val="fr-BE"/>
        </w:rPr>
        <w:t>Depuis l’arrêt I</w:t>
      </w:r>
      <w:r w:rsidR="00213710" w:rsidRPr="00E33DEA">
        <w:rPr>
          <w:rFonts w:ascii="Arial" w:hAnsi="Arial" w:cs="Arial"/>
          <w:sz w:val="22"/>
          <w:szCs w:val="22"/>
          <w:lang w:val="fr-BE"/>
        </w:rPr>
        <w:t>NZO</w:t>
      </w:r>
      <w:r w:rsidR="003A3F78">
        <w:rPr>
          <w:rFonts w:ascii="Arial" w:hAnsi="Arial" w:cs="Arial"/>
          <w:sz w:val="22"/>
          <w:szCs w:val="22"/>
          <w:lang w:val="fr-BE"/>
        </w:rPr>
        <w:t xml:space="preserve"> (arrêt du 29 février 1996)</w:t>
      </w:r>
      <w:r w:rsidR="004E49F0" w:rsidRPr="00E33DEA">
        <w:rPr>
          <w:rFonts w:ascii="Arial" w:hAnsi="Arial" w:cs="Arial"/>
          <w:sz w:val="22"/>
          <w:szCs w:val="22"/>
          <w:lang w:val="fr-BE"/>
        </w:rPr>
        <w:t>,</w:t>
      </w:r>
      <w:r w:rsidRPr="00E33DEA">
        <w:rPr>
          <w:rStyle w:val="FootnoteReference"/>
          <w:rFonts w:ascii="Arial" w:hAnsi="Arial" w:cs="Arial"/>
          <w:sz w:val="22"/>
          <w:szCs w:val="22"/>
          <w:lang w:val="fr-BE"/>
        </w:rPr>
        <w:footnoteReference w:id="2"/>
      </w:r>
      <w:r w:rsidR="004E49F0" w:rsidRPr="00E33DEA">
        <w:rPr>
          <w:rFonts w:ascii="Arial" w:hAnsi="Arial" w:cs="Arial"/>
          <w:sz w:val="22"/>
          <w:szCs w:val="22"/>
          <w:lang w:val="fr-BE"/>
        </w:rPr>
        <w:t xml:space="preserve"> il était acquis </w:t>
      </w:r>
      <w:r w:rsidR="00CC4358" w:rsidRPr="00E33DEA">
        <w:rPr>
          <w:rFonts w:ascii="Arial" w:hAnsi="Arial" w:cs="Arial"/>
          <w:sz w:val="22"/>
          <w:szCs w:val="22"/>
          <w:lang w:val="fr-BE"/>
        </w:rPr>
        <w:t xml:space="preserve">que les déductions effectuées par un assujetti ne peuvent être remises en cause au motif que </w:t>
      </w:r>
      <w:r w:rsidR="00CC4358" w:rsidRPr="00E33DEA">
        <w:rPr>
          <w:rFonts w:ascii="Arial" w:hAnsi="Arial" w:cs="Arial"/>
          <w:sz w:val="22"/>
          <w:szCs w:val="22"/>
        </w:rPr>
        <w:t>l'activité économique envisagée n'a pas donné lieu à des opérations impos</w:t>
      </w:r>
      <w:r w:rsidR="005335CE">
        <w:rPr>
          <w:rFonts w:ascii="Arial" w:hAnsi="Arial" w:cs="Arial"/>
          <w:sz w:val="22"/>
          <w:szCs w:val="22"/>
          <w:lang w:val="fr-BE"/>
        </w:rPr>
        <w:t>abl</w:t>
      </w:r>
      <w:r w:rsidR="005335CE" w:rsidRPr="005335CE">
        <w:rPr>
          <w:rFonts w:ascii="Arial" w:hAnsi="Arial" w:cs="Arial"/>
          <w:sz w:val="22"/>
          <w:szCs w:val="22"/>
          <w:lang w:val="fr-BE"/>
        </w:rPr>
        <w:t>e</w:t>
      </w:r>
      <w:r w:rsidR="00CC4358" w:rsidRPr="00E33DEA">
        <w:rPr>
          <w:rFonts w:ascii="Arial" w:hAnsi="Arial" w:cs="Arial"/>
          <w:sz w:val="22"/>
          <w:szCs w:val="22"/>
        </w:rPr>
        <w:t>s.</w:t>
      </w:r>
      <w:r w:rsidR="00213710" w:rsidRPr="00E33DEA">
        <w:rPr>
          <w:rStyle w:val="FootnoteReference"/>
          <w:rFonts w:ascii="Arial" w:hAnsi="Arial" w:cs="Arial"/>
          <w:sz w:val="22"/>
          <w:szCs w:val="22"/>
        </w:rPr>
        <w:footnoteReference w:id="3"/>
      </w:r>
      <w:r w:rsidR="004E49F0" w:rsidRPr="00E33DEA">
        <w:rPr>
          <w:rFonts w:ascii="Arial" w:hAnsi="Arial" w:cs="Arial"/>
          <w:sz w:val="22"/>
          <w:szCs w:val="22"/>
          <w:lang w:val="fr-BE"/>
        </w:rPr>
        <w:t xml:space="preserve"> </w:t>
      </w:r>
      <w:r w:rsidRPr="00E33DEA">
        <w:rPr>
          <w:rFonts w:ascii="Arial" w:hAnsi="Arial" w:cs="Arial"/>
          <w:sz w:val="22"/>
          <w:szCs w:val="22"/>
          <w:lang w:val="fr-BE"/>
        </w:rPr>
        <w:t>L</w:t>
      </w:r>
      <w:r w:rsidR="00CC4358" w:rsidRPr="00E33DEA">
        <w:rPr>
          <w:rFonts w:ascii="Arial" w:hAnsi="Arial" w:cs="Arial"/>
          <w:sz w:val="22"/>
          <w:szCs w:val="22"/>
          <w:lang w:val="fr-BE"/>
        </w:rPr>
        <w:t>a Cour précis</w:t>
      </w:r>
      <w:r w:rsidRPr="00E33DEA">
        <w:rPr>
          <w:rFonts w:ascii="Arial" w:hAnsi="Arial" w:cs="Arial"/>
          <w:sz w:val="22"/>
          <w:szCs w:val="22"/>
          <w:lang w:val="fr-BE"/>
        </w:rPr>
        <w:t>e aujourd’hui</w:t>
      </w:r>
      <w:r w:rsidR="00CC4358" w:rsidRPr="00E33DEA">
        <w:rPr>
          <w:rFonts w:ascii="Arial" w:hAnsi="Arial" w:cs="Arial"/>
          <w:sz w:val="22"/>
          <w:szCs w:val="22"/>
          <w:lang w:val="fr-BE"/>
        </w:rPr>
        <w:t xml:space="preserve"> que ce principe d</w:t>
      </w:r>
      <w:r w:rsidRPr="00E33DEA">
        <w:rPr>
          <w:rFonts w:ascii="Arial" w:hAnsi="Arial" w:cs="Arial"/>
          <w:sz w:val="22"/>
          <w:szCs w:val="22"/>
          <w:lang w:val="fr-BE"/>
        </w:rPr>
        <w:t>o</w:t>
      </w:r>
      <w:r w:rsidR="00CC4358" w:rsidRPr="00E33DEA">
        <w:rPr>
          <w:rFonts w:ascii="Arial" w:hAnsi="Arial" w:cs="Arial"/>
          <w:sz w:val="22"/>
          <w:szCs w:val="22"/>
          <w:lang w:val="fr-BE"/>
        </w:rPr>
        <w:t xml:space="preserve">it être combiné avec </w:t>
      </w:r>
      <w:r w:rsidR="009B360B" w:rsidRPr="00E33DEA">
        <w:rPr>
          <w:rFonts w:ascii="Arial" w:hAnsi="Arial" w:cs="Arial"/>
          <w:color w:val="000000"/>
          <w:sz w:val="22"/>
          <w:szCs w:val="22"/>
        </w:rPr>
        <w:t xml:space="preserve">les règles relatives </w:t>
      </w:r>
      <w:r w:rsidR="00213710" w:rsidRPr="00E33DEA">
        <w:rPr>
          <w:rFonts w:ascii="Arial" w:hAnsi="Arial" w:cs="Arial"/>
          <w:color w:val="000000"/>
          <w:sz w:val="22"/>
          <w:szCs w:val="22"/>
          <w:lang w:val="fr-BE"/>
        </w:rPr>
        <w:t>aux</w:t>
      </w:r>
      <w:r w:rsidR="009B360B" w:rsidRPr="00E33DEA">
        <w:rPr>
          <w:rFonts w:ascii="Arial" w:hAnsi="Arial" w:cs="Arial"/>
          <w:color w:val="000000"/>
          <w:sz w:val="22"/>
          <w:szCs w:val="22"/>
        </w:rPr>
        <w:t xml:space="preserve"> </w:t>
      </w:r>
      <w:r w:rsidR="00213710" w:rsidRPr="00E33DEA">
        <w:rPr>
          <w:rFonts w:ascii="Arial" w:hAnsi="Arial" w:cs="Arial"/>
          <w:color w:val="000000"/>
          <w:sz w:val="22"/>
          <w:szCs w:val="22"/>
          <w:lang w:val="fr-BE"/>
        </w:rPr>
        <w:t>révisions</w:t>
      </w:r>
      <w:r w:rsidR="00C60D21" w:rsidRPr="00E33DEA">
        <w:rPr>
          <w:rFonts w:ascii="Arial" w:hAnsi="Arial" w:cs="Arial"/>
          <w:color w:val="000000"/>
          <w:sz w:val="22"/>
          <w:szCs w:val="22"/>
          <w:lang w:val="fr-BE"/>
        </w:rPr>
        <w:t>.</w:t>
      </w:r>
    </w:p>
    <w:p w14:paraId="3286E4D5" w14:textId="77777777" w:rsidR="00BB09FB" w:rsidRPr="00E33DEA" w:rsidRDefault="00BB09FB" w:rsidP="00694406">
      <w:pPr>
        <w:jc w:val="both"/>
        <w:rPr>
          <w:rFonts w:ascii="Arial" w:hAnsi="Arial" w:cs="Arial"/>
          <w:color w:val="000000"/>
          <w:sz w:val="22"/>
          <w:szCs w:val="22"/>
          <w:lang w:val="fr-BE"/>
        </w:rPr>
      </w:pPr>
    </w:p>
    <w:p w14:paraId="4403B52D" w14:textId="7A76EBFF" w:rsidR="00213710" w:rsidRPr="00E33DEA" w:rsidRDefault="009B360B" w:rsidP="00213710">
      <w:pPr>
        <w:jc w:val="both"/>
        <w:rPr>
          <w:rFonts w:ascii="Arial" w:hAnsi="Arial" w:cs="Arial"/>
          <w:color w:val="000000"/>
          <w:sz w:val="22"/>
          <w:szCs w:val="22"/>
          <w:lang w:val="fr-BE"/>
        </w:rPr>
      </w:pPr>
      <w:r w:rsidRPr="00E33DEA">
        <w:rPr>
          <w:rFonts w:ascii="Arial" w:hAnsi="Arial" w:cs="Arial"/>
          <w:color w:val="000000"/>
          <w:sz w:val="22"/>
          <w:szCs w:val="22"/>
          <w:lang w:val="fr-BE"/>
        </w:rPr>
        <w:t>Le mécanisme des révisions</w:t>
      </w:r>
      <w:r w:rsidR="00C60D21" w:rsidRPr="00E33DEA">
        <w:rPr>
          <w:rFonts w:ascii="Arial" w:hAnsi="Arial" w:cs="Arial"/>
          <w:color w:val="000000"/>
          <w:sz w:val="22"/>
          <w:szCs w:val="22"/>
          <w:lang w:val="fr-BE"/>
        </w:rPr>
        <w:t xml:space="preserve">, </w:t>
      </w:r>
      <w:r w:rsidR="00C60D21" w:rsidRPr="00E33DEA">
        <w:rPr>
          <w:rFonts w:ascii="Arial" w:hAnsi="Arial" w:cs="Arial"/>
          <w:color w:val="000000"/>
          <w:sz w:val="22"/>
          <w:szCs w:val="22"/>
          <w:lang w:val="fr-BE"/>
        </w:rPr>
        <w:t>régi par les articles 184 à 187 de la Directive TVA</w:t>
      </w:r>
      <w:r w:rsidR="00C60D21" w:rsidRPr="00E33DEA">
        <w:rPr>
          <w:rFonts w:ascii="Arial" w:hAnsi="Arial" w:cs="Arial"/>
          <w:color w:val="000000"/>
          <w:sz w:val="22"/>
          <w:szCs w:val="22"/>
          <w:lang w:val="fr-BE"/>
        </w:rPr>
        <w:t>,</w:t>
      </w:r>
      <w:r w:rsidR="00C60D21" w:rsidRPr="00E33DEA">
        <w:rPr>
          <w:rStyle w:val="FootnoteReference"/>
          <w:rFonts w:ascii="Arial" w:hAnsi="Arial" w:cs="Arial"/>
          <w:color w:val="000000"/>
          <w:sz w:val="22"/>
          <w:szCs w:val="22"/>
          <w:lang w:val="fr-BE"/>
        </w:rPr>
        <w:footnoteReference w:id="4"/>
      </w:r>
      <w:r w:rsidRPr="00E33DEA">
        <w:rPr>
          <w:rFonts w:ascii="Arial" w:hAnsi="Arial" w:cs="Arial"/>
          <w:color w:val="000000"/>
          <w:sz w:val="22"/>
          <w:szCs w:val="22"/>
          <w:lang w:val="fr-BE"/>
        </w:rPr>
        <w:t xml:space="preserve"> est essentiel au bon fonctionnement du système TVA</w:t>
      </w:r>
      <w:r w:rsidR="00C60D21" w:rsidRPr="00E33DEA">
        <w:rPr>
          <w:rFonts w:ascii="Arial" w:hAnsi="Arial" w:cs="Arial"/>
          <w:color w:val="000000"/>
          <w:sz w:val="22"/>
          <w:szCs w:val="22"/>
          <w:lang w:val="fr-BE"/>
        </w:rPr>
        <w:t>. Il permet en effet</w:t>
      </w:r>
      <w:r w:rsidRPr="00E33DEA">
        <w:rPr>
          <w:rFonts w:ascii="Arial" w:hAnsi="Arial" w:cs="Arial"/>
          <w:color w:val="000000"/>
          <w:sz w:val="22"/>
          <w:szCs w:val="22"/>
          <w:lang w:val="fr-BE"/>
        </w:rPr>
        <w:t xml:space="preserve"> de corriger certaines déductions pour des raisons de cohérence. Ainsi, l’assujetti qui déduit la totalité de la TVA grevant des biens et services acquis dans l’intention d</w:t>
      </w:r>
      <w:r w:rsidR="00213710" w:rsidRPr="00E33DEA">
        <w:rPr>
          <w:rFonts w:ascii="Arial" w:hAnsi="Arial" w:cs="Arial"/>
          <w:color w:val="000000"/>
          <w:sz w:val="22"/>
          <w:szCs w:val="22"/>
          <w:lang w:val="fr-BE"/>
        </w:rPr>
        <w:t xml:space="preserve">’effectuer </w:t>
      </w:r>
      <w:r w:rsidRPr="00E33DEA">
        <w:rPr>
          <w:rFonts w:ascii="Arial" w:hAnsi="Arial" w:cs="Arial"/>
          <w:color w:val="000000"/>
          <w:sz w:val="22"/>
          <w:szCs w:val="22"/>
          <w:lang w:val="fr-BE"/>
        </w:rPr>
        <w:t>des opérations taxées, mais qui utilise finalement ces biens et services pour les besoins d’opérations exemptées</w:t>
      </w:r>
      <w:r w:rsidR="009746F6">
        <w:rPr>
          <w:rStyle w:val="FootnoteReference"/>
          <w:rFonts w:ascii="Arial" w:hAnsi="Arial" w:cs="Arial"/>
          <w:color w:val="000000"/>
          <w:sz w:val="22"/>
          <w:szCs w:val="22"/>
          <w:lang w:val="fr-BE"/>
        </w:rPr>
        <w:footnoteReference w:id="5"/>
      </w:r>
      <w:r w:rsidR="009746F6">
        <w:rPr>
          <w:rFonts w:ascii="Arial" w:hAnsi="Arial" w:cs="Arial"/>
          <w:color w:val="000000"/>
          <w:sz w:val="22"/>
          <w:szCs w:val="22"/>
          <w:lang w:val="fr-BE"/>
        </w:rPr>
        <w:t xml:space="preserve"> (</w:t>
      </w:r>
      <w:r w:rsidRPr="00E33DEA">
        <w:rPr>
          <w:rFonts w:ascii="Arial" w:hAnsi="Arial" w:cs="Arial"/>
          <w:color w:val="000000"/>
          <w:sz w:val="22"/>
          <w:szCs w:val="22"/>
          <w:lang w:val="fr-BE"/>
        </w:rPr>
        <w:t>c’est-à-dire d’opérations pour lesquelles le législateur a expressément prévu qu’aucune déduction n’était autorisée</w:t>
      </w:r>
      <w:r w:rsidR="009746F6">
        <w:rPr>
          <w:rFonts w:ascii="Arial" w:hAnsi="Arial" w:cs="Arial"/>
          <w:color w:val="000000"/>
          <w:sz w:val="22"/>
          <w:szCs w:val="22"/>
          <w:lang w:val="fr-BE"/>
        </w:rPr>
        <w:t>)</w:t>
      </w:r>
      <w:r w:rsidRPr="00E33DEA">
        <w:rPr>
          <w:rFonts w:ascii="Arial" w:hAnsi="Arial" w:cs="Arial"/>
          <w:color w:val="000000"/>
          <w:sz w:val="22"/>
          <w:szCs w:val="22"/>
          <w:lang w:val="fr-BE"/>
        </w:rPr>
        <w:t xml:space="preserve"> </w:t>
      </w:r>
      <w:r w:rsidR="009746F6">
        <w:rPr>
          <w:rFonts w:ascii="Arial" w:hAnsi="Arial" w:cs="Arial"/>
          <w:color w:val="000000"/>
          <w:sz w:val="22"/>
          <w:szCs w:val="22"/>
          <w:lang w:val="fr-BE"/>
        </w:rPr>
        <w:t xml:space="preserve">ou hors du champ de la TVA (telle que la gestion d’un patrimoine à titre privé), </w:t>
      </w:r>
      <w:r w:rsidRPr="00E33DEA">
        <w:rPr>
          <w:rFonts w:ascii="Arial" w:hAnsi="Arial" w:cs="Arial"/>
          <w:color w:val="000000"/>
          <w:sz w:val="22"/>
          <w:szCs w:val="22"/>
          <w:lang w:val="fr-BE"/>
        </w:rPr>
        <w:t>doit procéder à une révision de la déduction effectuée</w:t>
      </w:r>
      <w:r w:rsidR="005335CE">
        <w:rPr>
          <w:rFonts w:ascii="Arial" w:hAnsi="Arial" w:cs="Arial"/>
          <w:color w:val="000000"/>
          <w:sz w:val="22"/>
          <w:szCs w:val="22"/>
          <w:lang w:val="fr-BE"/>
        </w:rPr>
        <w:t xml:space="preserve">, </w:t>
      </w:r>
      <w:r w:rsidRPr="00E33DEA">
        <w:rPr>
          <w:rFonts w:ascii="Arial" w:hAnsi="Arial" w:cs="Arial"/>
          <w:color w:val="000000"/>
          <w:sz w:val="22"/>
          <w:szCs w:val="22"/>
          <w:lang w:val="fr-BE"/>
        </w:rPr>
        <w:t>soit sur le tout lorsque le changement d’affectation intervient dès la première utilisation, soit pour partie lorsque les règles de révisions propres aux biens d’investissements s</w:t>
      </w:r>
      <w:r w:rsidR="00D74728">
        <w:rPr>
          <w:rFonts w:ascii="Arial" w:hAnsi="Arial" w:cs="Arial"/>
          <w:color w:val="000000"/>
          <w:sz w:val="22"/>
          <w:szCs w:val="22"/>
          <w:lang w:val="fr-BE"/>
        </w:rPr>
        <w:t>ont applicables</w:t>
      </w:r>
      <w:r w:rsidRPr="00E33DEA">
        <w:rPr>
          <w:rFonts w:ascii="Arial" w:hAnsi="Arial" w:cs="Arial"/>
          <w:color w:val="000000"/>
          <w:sz w:val="22"/>
          <w:szCs w:val="22"/>
          <w:lang w:val="fr-BE"/>
        </w:rPr>
        <w:t>.</w:t>
      </w:r>
      <w:r w:rsidR="009746F6">
        <w:rPr>
          <w:rStyle w:val="FootnoteReference"/>
          <w:rFonts w:ascii="Arial" w:hAnsi="Arial" w:cs="Arial"/>
          <w:color w:val="000000"/>
          <w:sz w:val="22"/>
          <w:szCs w:val="22"/>
          <w:lang w:val="fr-BE"/>
        </w:rPr>
        <w:footnoteReference w:id="6"/>
      </w:r>
      <w:r w:rsidRPr="00E33DEA">
        <w:rPr>
          <w:rFonts w:ascii="Arial" w:hAnsi="Arial" w:cs="Arial"/>
          <w:color w:val="000000"/>
          <w:sz w:val="22"/>
          <w:szCs w:val="22"/>
          <w:lang w:val="fr-BE"/>
        </w:rPr>
        <w:t xml:space="preserve"> </w:t>
      </w:r>
      <w:r w:rsidR="009746F6">
        <w:rPr>
          <w:rFonts w:ascii="Arial" w:hAnsi="Arial" w:cs="Arial"/>
          <w:color w:val="000000"/>
          <w:sz w:val="22"/>
          <w:szCs w:val="22"/>
          <w:lang w:val="fr-BE"/>
        </w:rPr>
        <w:t xml:space="preserve">En cas d’abandon d’un projet, </w:t>
      </w:r>
      <w:r w:rsidR="005335CE">
        <w:rPr>
          <w:rFonts w:ascii="Arial" w:hAnsi="Arial" w:cs="Arial"/>
          <w:color w:val="000000"/>
          <w:sz w:val="22"/>
          <w:szCs w:val="22"/>
          <w:lang w:val="fr-BE"/>
        </w:rPr>
        <w:t xml:space="preserve">en revanche, </w:t>
      </w:r>
      <w:r w:rsidR="009746F6">
        <w:rPr>
          <w:rFonts w:ascii="Arial" w:hAnsi="Arial" w:cs="Arial"/>
          <w:color w:val="000000"/>
          <w:sz w:val="22"/>
          <w:szCs w:val="22"/>
          <w:lang w:val="fr-BE"/>
        </w:rPr>
        <w:t>il semblait acquis que la TVA ayant grevé les dépenses effectuées en vue de sa réalisation demeurait déductible, sans qu’il ne soit nécessaire de procéder à des révisions.</w:t>
      </w:r>
    </w:p>
    <w:p w14:paraId="4032D340" w14:textId="3551ED12" w:rsidR="00E063E5" w:rsidRPr="00E33DEA" w:rsidRDefault="00E063E5" w:rsidP="00213710">
      <w:pPr>
        <w:jc w:val="both"/>
        <w:rPr>
          <w:rFonts w:ascii="Arial" w:hAnsi="Arial" w:cs="Arial"/>
          <w:color w:val="000000"/>
          <w:sz w:val="22"/>
          <w:szCs w:val="22"/>
        </w:rPr>
      </w:pPr>
      <w:r w:rsidRPr="00E33DEA">
        <w:rPr>
          <w:rFonts w:ascii="Arial" w:hAnsi="Arial" w:cs="Arial"/>
          <w:color w:val="000000"/>
          <w:sz w:val="22"/>
          <w:szCs w:val="22"/>
          <w:lang w:val="fr-BE"/>
        </w:rPr>
        <w:br/>
        <w:t xml:space="preserve">Dans son arrêt </w:t>
      </w:r>
      <w:r w:rsidR="00213710" w:rsidRPr="00E33DEA">
        <w:rPr>
          <w:rFonts w:ascii="Arial" w:hAnsi="Arial" w:cs="Arial"/>
          <w:color w:val="000000"/>
          <w:sz w:val="22"/>
          <w:szCs w:val="22"/>
          <w:lang w:val="fr-BE"/>
        </w:rPr>
        <w:t>Ryanair</w:t>
      </w:r>
      <w:r w:rsidR="00CB4885" w:rsidRPr="00E33DEA">
        <w:rPr>
          <w:rStyle w:val="FootnoteReference"/>
          <w:rFonts w:ascii="Arial" w:hAnsi="Arial" w:cs="Arial"/>
          <w:color w:val="000000"/>
          <w:sz w:val="22"/>
          <w:szCs w:val="22"/>
          <w:lang w:val="fr-BE"/>
        </w:rPr>
        <w:footnoteReference w:id="7"/>
      </w:r>
      <w:r w:rsidR="00213710" w:rsidRPr="00E33DEA">
        <w:rPr>
          <w:rFonts w:ascii="Arial" w:hAnsi="Arial" w:cs="Arial"/>
          <w:color w:val="000000"/>
          <w:sz w:val="22"/>
          <w:szCs w:val="22"/>
          <w:lang w:val="fr-BE"/>
        </w:rPr>
        <w:t xml:space="preserve"> du 17 octobre 2018, la Cour a par exemple confirmé qu’une entreprise</w:t>
      </w:r>
      <w:r w:rsidR="00D17F83" w:rsidRPr="00E33DEA">
        <w:rPr>
          <w:rFonts w:ascii="Arial" w:hAnsi="Arial" w:cs="Arial"/>
          <w:color w:val="000000"/>
          <w:sz w:val="22"/>
          <w:szCs w:val="22"/>
          <w:lang w:val="fr-BE"/>
        </w:rPr>
        <w:t xml:space="preserve"> qui a l’intention d’acquérir </w:t>
      </w:r>
      <w:r w:rsidR="00213710" w:rsidRPr="00E33DEA">
        <w:rPr>
          <w:rFonts w:ascii="Arial" w:hAnsi="Arial" w:cs="Arial"/>
          <w:color w:val="000000"/>
          <w:sz w:val="22"/>
          <w:szCs w:val="22"/>
        </w:rPr>
        <w:t>la totalité des actions d’une autre société</w:t>
      </w:r>
      <w:r w:rsidR="00F44FF0" w:rsidRPr="00F44FF0">
        <w:rPr>
          <w:rFonts w:ascii="Arial" w:hAnsi="Arial" w:cs="Arial"/>
          <w:color w:val="000000"/>
          <w:sz w:val="22"/>
          <w:szCs w:val="22"/>
          <w:lang w:val="fr-BE"/>
        </w:rPr>
        <w:t xml:space="preserve">, </w:t>
      </w:r>
      <w:r w:rsidR="00213710" w:rsidRPr="00E33DEA">
        <w:rPr>
          <w:rFonts w:ascii="Arial" w:hAnsi="Arial" w:cs="Arial"/>
          <w:color w:val="000000"/>
          <w:sz w:val="22"/>
          <w:szCs w:val="22"/>
        </w:rPr>
        <w:t xml:space="preserve">en vue d’exercer une activité économique consistant à fournir à cette dernière des prestations de services de gestion soumises à la </w:t>
      </w:r>
      <w:r w:rsidR="00C60D21" w:rsidRPr="00E33DEA">
        <w:rPr>
          <w:rFonts w:ascii="Arial" w:hAnsi="Arial" w:cs="Arial"/>
          <w:color w:val="000000"/>
          <w:sz w:val="22"/>
          <w:szCs w:val="22"/>
          <w:lang w:val="fr-BE"/>
        </w:rPr>
        <w:t>TVA</w:t>
      </w:r>
      <w:r w:rsidR="00213710" w:rsidRPr="00E33DEA">
        <w:rPr>
          <w:rFonts w:ascii="Arial" w:hAnsi="Arial" w:cs="Arial"/>
          <w:color w:val="000000"/>
          <w:sz w:val="22"/>
          <w:szCs w:val="22"/>
        </w:rPr>
        <w:t xml:space="preserve">, </w:t>
      </w:r>
      <w:r w:rsidR="00D17F83" w:rsidRPr="00E33DEA">
        <w:rPr>
          <w:rFonts w:ascii="Arial" w:hAnsi="Arial" w:cs="Arial"/>
          <w:color w:val="000000"/>
          <w:sz w:val="22"/>
          <w:szCs w:val="22"/>
          <w:lang w:val="fr-BE"/>
        </w:rPr>
        <w:t xml:space="preserve">a </w:t>
      </w:r>
      <w:r w:rsidR="00213710" w:rsidRPr="00E33DEA">
        <w:rPr>
          <w:rFonts w:ascii="Arial" w:hAnsi="Arial" w:cs="Arial"/>
          <w:color w:val="000000"/>
          <w:sz w:val="22"/>
          <w:szCs w:val="22"/>
        </w:rPr>
        <w:t>le droit de déduire</w:t>
      </w:r>
      <w:r w:rsidR="00D17F83" w:rsidRPr="00E33DEA">
        <w:rPr>
          <w:rFonts w:ascii="Arial" w:hAnsi="Arial" w:cs="Arial"/>
          <w:color w:val="000000"/>
          <w:sz w:val="22"/>
          <w:szCs w:val="22"/>
          <w:lang w:val="fr-BE"/>
        </w:rPr>
        <w:t xml:space="preserve"> </w:t>
      </w:r>
      <w:r w:rsidR="00213710" w:rsidRPr="00E33DEA">
        <w:rPr>
          <w:rFonts w:ascii="Arial" w:hAnsi="Arial" w:cs="Arial"/>
          <w:color w:val="000000"/>
          <w:sz w:val="22"/>
          <w:szCs w:val="22"/>
        </w:rPr>
        <w:t xml:space="preserve">la TVA </w:t>
      </w:r>
      <w:r w:rsidR="004F6254" w:rsidRPr="004F6254">
        <w:rPr>
          <w:rFonts w:ascii="Arial" w:hAnsi="Arial" w:cs="Arial"/>
          <w:color w:val="000000"/>
          <w:sz w:val="22"/>
          <w:szCs w:val="22"/>
          <w:lang w:val="fr-BE"/>
        </w:rPr>
        <w:t>grevant les</w:t>
      </w:r>
      <w:r w:rsidR="00213710" w:rsidRPr="00E33DEA">
        <w:rPr>
          <w:rFonts w:ascii="Arial" w:hAnsi="Arial" w:cs="Arial"/>
          <w:color w:val="000000"/>
          <w:sz w:val="22"/>
          <w:szCs w:val="22"/>
        </w:rPr>
        <w:t xml:space="preserve"> dépenses exposées dans le cadre d</w:t>
      </w:r>
      <w:r w:rsidR="00D17F83" w:rsidRPr="00E33DEA">
        <w:rPr>
          <w:rFonts w:ascii="Arial" w:hAnsi="Arial" w:cs="Arial"/>
          <w:color w:val="000000"/>
          <w:sz w:val="22"/>
          <w:szCs w:val="22"/>
          <w:lang w:val="fr-BE"/>
        </w:rPr>
        <w:t>e l’</w:t>
      </w:r>
      <w:r w:rsidR="00213710" w:rsidRPr="00E33DEA">
        <w:rPr>
          <w:rFonts w:ascii="Arial" w:hAnsi="Arial" w:cs="Arial"/>
          <w:color w:val="000000"/>
          <w:sz w:val="22"/>
          <w:szCs w:val="22"/>
        </w:rPr>
        <w:t>offre publique d’achat,</w:t>
      </w:r>
      <w:r w:rsidR="00D17F83" w:rsidRPr="00E33DEA">
        <w:rPr>
          <w:rFonts w:ascii="Arial" w:hAnsi="Arial" w:cs="Arial"/>
          <w:color w:val="000000"/>
          <w:sz w:val="22"/>
          <w:szCs w:val="22"/>
          <w:lang w:val="fr-BE"/>
        </w:rPr>
        <w:t xml:space="preserve"> sans que ce droit ne soit remis en question au motif que la vente n’a finalement pas eu lieu</w:t>
      </w:r>
      <w:r w:rsidR="00213710" w:rsidRPr="00E33DEA">
        <w:rPr>
          <w:rFonts w:ascii="Arial" w:hAnsi="Arial" w:cs="Arial"/>
          <w:color w:val="000000"/>
          <w:sz w:val="22"/>
          <w:szCs w:val="22"/>
        </w:rPr>
        <w:t>.</w:t>
      </w:r>
      <w:r w:rsidR="00213710" w:rsidRPr="00E33DEA">
        <w:rPr>
          <w:rFonts w:ascii="Arial" w:hAnsi="Arial" w:cs="Arial"/>
          <w:color w:val="000000"/>
          <w:sz w:val="22"/>
          <w:szCs w:val="22"/>
          <w:lang w:val="fr-BE"/>
        </w:rPr>
        <w:t xml:space="preserve"> Dans cet arrêt la Cour </w:t>
      </w:r>
      <w:r w:rsidR="00D17F83" w:rsidRPr="00E33DEA">
        <w:rPr>
          <w:rFonts w:ascii="Arial" w:hAnsi="Arial" w:cs="Arial"/>
          <w:color w:val="000000"/>
          <w:sz w:val="22"/>
          <w:szCs w:val="22"/>
          <w:lang w:val="fr-BE"/>
        </w:rPr>
        <w:t xml:space="preserve">confirme le droit à déduction et </w:t>
      </w:r>
      <w:r w:rsidR="00213710" w:rsidRPr="00E33DEA">
        <w:rPr>
          <w:rFonts w:ascii="Arial" w:hAnsi="Arial" w:cs="Arial"/>
          <w:color w:val="000000"/>
          <w:sz w:val="22"/>
          <w:szCs w:val="22"/>
          <w:lang w:val="fr-BE"/>
        </w:rPr>
        <w:t xml:space="preserve">ne fait </w:t>
      </w:r>
      <w:r w:rsidR="00F44FF0">
        <w:rPr>
          <w:rFonts w:ascii="Arial" w:hAnsi="Arial" w:cs="Arial"/>
          <w:color w:val="000000"/>
          <w:sz w:val="22"/>
          <w:szCs w:val="22"/>
          <w:lang w:val="fr-BE"/>
        </w:rPr>
        <w:t>pas</w:t>
      </w:r>
      <w:r w:rsidR="004F6254">
        <w:rPr>
          <w:rFonts w:ascii="Arial" w:hAnsi="Arial" w:cs="Arial"/>
          <w:color w:val="000000"/>
          <w:sz w:val="22"/>
          <w:szCs w:val="22"/>
          <w:lang w:val="fr-BE"/>
        </w:rPr>
        <w:t xml:space="preserve"> </w:t>
      </w:r>
      <w:r w:rsidR="00213710" w:rsidRPr="00E33DEA">
        <w:rPr>
          <w:rFonts w:ascii="Arial" w:hAnsi="Arial" w:cs="Arial"/>
          <w:color w:val="000000"/>
          <w:sz w:val="22"/>
          <w:szCs w:val="22"/>
          <w:lang w:val="fr-BE"/>
        </w:rPr>
        <w:t xml:space="preserve">référence </w:t>
      </w:r>
      <w:r w:rsidR="004F6254">
        <w:rPr>
          <w:rFonts w:ascii="Arial" w:hAnsi="Arial" w:cs="Arial"/>
          <w:color w:val="000000"/>
          <w:sz w:val="22"/>
          <w:szCs w:val="22"/>
          <w:lang w:val="fr-BE"/>
        </w:rPr>
        <w:t>à une quelconque obligation de réviser les déductions opérées</w:t>
      </w:r>
      <w:r w:rsidR="00213710" w:rsidRPr="00E33DEA">
        <w:rPr>
          <w:rFonts w:ascii="Arial" w:hAnsi="Arial" w:cs="Arial"/>
          <w:color w:val="000000"/>
          <w:sz w:val="22"/>
          <w:szCs w:val="22"/>
        </w:rPr>
        <w:t>.</w:t>
      </w:r>
    </w:p>
    <w:p w14:paraId="20FC2BC9" w14:textId="05287F36" w:rsidR="00603B38" w:rsidRPr="00E33DEA" w:rsidRDefault="00603B38" w:rsidP="00213710">
      <w:pPr>
        <w:jc w:val="both"/>
        <w:rPr>
          <w:rFonts w:ascii="Arial" w:hAnsi="Arial" w:cs="Arial"/>
          <w:color w:val="000000"/>
          <w:sz w:val="22"/>
          <w:szCs w:val="22"/>
        </w:rPr>
      </w:pPr>
    </w:p>
    <w:p w14:paraId="7DA4EF23" w14:textId="50A6216A" w:rsidR="00603B38" w:rsidRPr="009746F6" w:rsidRDefault="00603B38" w:rsidP="00213710">
      <w:pPr>
        <w:jc w:val="both"/>
        <w:rPr>
          <w:rFonts w:ascii="Arial" w:hAnsi="Arial" w:cs="Arial"/>
          <w:color w:val="000000"/>
          <w:sz w:val="22"/>
          <w:szCs w:val="22"/>
          <w:lang w:val="fr-BE"/>
        </w:rPr>
      </w:pPr>
      <w:r w:rsidRPr="00E33DEA">
        <w:rPr>
          <w:rFonts w:ascii="Arial" w:hAnsi="Arial" w:cs="Arial"/>
          <w:color w:val="000000"/>
          <w:sz w:val="22"/>
          <w:szCs w:val="22"/>
        </w:rPr>
        <w:t xml:space="preserve">A l’inverse, </w:t>
      </w:r>
      <w:r w:rsidRPr="00E33DEA">
        <w:rPr>
          <w:rFonts w:ascii="Arial" w:hAnsi="Arial" w:cs="Arial"/>
          <w:color w:val="000000"/>
          <w:sz w:val="22"/>
          <w:szCs w:val="22"/>
          <w:lang w:val="fr-BE"/>
        </w:rPr>
        <w:t>la</w:t>
      </w:r>
      <w:r w:rsidRPr="00E33DEA">
        <w:rPr>
          <w:rFonts w:ascii="Arial" w:hAnsi="Arial" w:cs="Arial"/>
          <w:color w:val="000000"/>
          <w:sz w:val="22"/>
          <w:szCs w:val="22"/>
        </w:rPr>
        <w:t xml:space="preserve"> Cour </w:t>
      </w:r>
      <w:r w:rsidRPr="00E33DEA">
        <w:rPr>
          <w:rFonts w:ascii="Arial" w:hAnsi="Arial" w:cs="Arial"/>
          <w:color w:val="000000"/>
          <w:sz w:val="22"/>
          <w:szCs w:val="22"/>
          <w:lang w:val="fr-BE"/>
        </w:rPr>
        <w:t>a confirm</w:t>
      </w:r>
      <w:r w:rsidR="00430BC9">
        <w:rPr>
          <w:rFonts w:ascii="Arial" w:hAnsi="Arial" w:cs="Arial"/>
          <w:color w:val="000000"/>
          <w:sz w:val="22"/>
          <w:szCs w:val="22"/>
          <w:lang w:val="fr-BE"/>
        </w:rPr>
        <w:t>é</w:t>
      </w:r>
      <w:r w:rsidRPr="00E33DEA">
        <w:rPr>
          <w:rFonts w:ascii="Arial" w:hAnsi="Arial" w:cs="Arial"/>
          <w:color w:val="000000"/>
          <w:sz w:val="22"/>
          <w:szCs w:val="22"/>
          <w:lang w:val="fr-BE"/>
        </w:rPr>
        <w:t xml:space="preserve"> </w:t>
      </w:r>
      <w:r w:rsidRPr="00E33DEA">
        <w:rPr>
          <w:rFonts w:ascii="Arial" w:hAnsi="Arial" w:cs="Arial"/>
          <w:color w:val="000000"/>
          <w:sz w:val="22"/>
          <w:szCs w:val="22"/>
        </w:rPr>
        <w:t>que de telles révisions sont bel et bien nécessaires si les biens et services servent finalement à effectuer des opérations exemptées</w:t>
      </w:r>
      <w:r w:rsidR="00F44FF0" w:rsidRPr="00F44FF0">
        <w:rPr>
          <w:rFonts w:ascii="Arial" w:hAnsi="Arial" w:cs="Arial"/>
          <w:color w:val="000000"/>
          <w:sz w:val="22"/>
          <w:szCs w:val="22"/>
          <w:lang w:val="fr-BE"/>
        </w:rPr>
        <w:t>.</w:t>
      </w:r>
      <w:r w:rsidRPr="00E33DEA">
        <w:rPr>
          <w:rFonts w:ascii="Arial" w:hAnsi="Arial" w:cs="Arial"/>
          <w:color w:val="000000"/>
          <w:sz w:val="22"/>
          <w:szCs w:val="22"/>
        </w:rPr>
        <w:t xml:space="preserve"> </w:t>
      </w:r>
      <w:r w:rsidR="00F44FF0" w:rsidRPr="00F44FF0">
        <w:rPr>
          <w:rFonts w:ascii="Arial" w:hAnsi="Arial" w:cs="Arial"/>
          <w:color w:val="000000"/>
          <w:sz w:val="22"/>
          <w:szCs w:val="22"/>
          <w:lang w:val="fr-BE"/>
        </w:rPr>
        <w:t xml:space="preserve">C’était le cas dans l’affaire </w:t>
      </w:r>
      <w:proofErr w:type="spellStart"/>
      <w:r w:rsidR="00834294" w:rsidRPr="00E33DEA">
        <w:rPr>
          <w:rFonts w:ascii="Arial" w:hAnsi="Arial" w:cs="Arial"/>
          <w:color w:val="000000"/>
          <w:sz w:val="22"/>
          <w:szCs w:val="22"/>
          <w:lang w:val="fr-BE"/>
        </w:rPr>
        <w:t>Stichting</w:t>
      </w:r>
      <w:proofErr w:type="spellEnd"/>
      <w:r w:rsidR="00834294" w:rsidRPr="00E33DEA">
        <w:rPr>
          <w:rFonts w:ascii="Arial" w:hAnsi="Arial" w:cs="Arial"/>
          <w:color w:val="000000"/>
          <w:sz w:val="22"/>
          <w:szCs w:val="22"/>
          <w:lang w:val="fr-BE"/>
        </w:rPr>
        <w:t xml:space="preserve"> </w:t>
      </w:r>
      <w:proofErr w:type="spellStart"/>
      <w:r w:rsidR="00834294" w:rsidRPr="00E33DEA">
        <w:rPr>
          <w:rFonts w:ascii="Arial" w:hAnsi="Arial" w:cs="Arial"/>
          <w:color w:val="000000"/>
          <w:sz w:val="22"/>
          <w:szCs w:val="22"/>
          <w:lang w:val="fr-BE"/>
        </w:rPr>
        <w:t>Schoonzicht</w:t>
      </w:r>
      <w:proofErr w:type="spellEnd"/>
      <w:r w:rsidR="00F44FF0">
        <w:rPr>
          <w:rFonts w:ascii="Arial" w:hAnsi="Arial" w:cs="Arial"/>
          <w:color w:val="000000"/>
          <w:sz w:val="22"/>
          <w:szCs w:val="22"/>
          <w:lang w:val="fr-BE"/>
        </w:rPr>
        <w:t>,</w:t>
      </w:r>
      <w:r w:rsidR="00834294" w:rsidRPr="00E33DEA">
        <w:rPr>
          <w:rStyle w:val="FootnoteReference"/>
          <w:rFonts w:ascii="Arial" w:hAnsi="Arial" w:cs="Arial"/>
          <w:color w:val="000000"/>
          <w:sz w:val="22"/>
          <w:szCs w:val="22"/>
          <w:lang w:val="fr-BE"/>
        </w:rPr>
        <w:footnoteReference w:id="8"/>
      </w:r>
      <w:r w:rsidRPr="00E33DEA">
        <w:rPr>
          <w:rFonts w:ascii="Arial" w:hAnsi="Arial" w:cs="Arial"/>
          <w:color w:val="000000"/>
          <w:sz w:val="22"/>
          <w:szCs w:val="22"/>
        </w:rPr>
        <w:t xml:space="preserve"> </w:t>
      </w:r>
      <w:r w:rsidR="00834294" w:rsidRPr="00E33DEA">
        <w:rPr>
          <w:rFonts w:ascii="Arial" w:hAnsi="Arial" w:cs="Arial"/>
          <w:color w:val="000000"/>
          <w:sz w:val="22"/>
          <w:szCs w:val="22"/>
          <w:lang w:val="fr-BE"/>
        </w:rPr>
        <w:t>dans laquelle</w:t>
      </w:r>
      <w:r w:rsidRPr="00E33DEA">
        <w:rPr>
          <w:rFonts w:ascii="Arial" w:hAnsi="Arial" w:cs="Arial"/>
          <w:color w:val="000000"/>
          <w:sz w:val="22"/>
          <w:szCs w:val="22"/>
        </w:rPr>
        <w:t xml:space="preserve"> l’assujetti avait </w:t>
      </w:r>
      <w:r w:rsidR="00834294" w:rsidRPr="00E33DEA">
        <w:rPr>
          <w:rFonts w:ascii="Arial" w:hAnsi="Arial" w:cs="Arial"/>
          <w:color w:val="000000"/>
          <w:sz w:val="22"/>
          <w:szCs w:val="22"/>
          <w:lang w:val="fr-BE"/>
        </w:rPr>
        <w:t xml:space="preserve">déduit la TVA grevant les frais </w:t>
      </w:r>
      <w:r w:rsidR="00834294" w:rsidRPr="00E33DEA">
        <w:rPr>
          <w:rFonts w:ascii="Arial" w:hAnsi="Arial" w:cs="Arial"/>
          <w:color w:val="000000"/>
          <w:sz w:val="22"/>
          <w:szCs w:val="22"/>
          <w:lang w:val="fr-BE"/>
        </w:rPr>
        <w:lastRenderedPageBreak/>
        <w:t xml:space="preserve">de construction </w:t>
      </w:r>
      <w:r w:rsidR="00430BC9">
        <w:rPr>
          <w:rFonts w:ascii="Arial" w:hAnsi="Arial" w:cs="Arial"/>
          <w:color w:val="000000"/>
          <w:sz w:val="22"/>
          <w:szCs w:val="22"/>
          <w:lang w:val="fr-BE"/>
        </w:rPr>
        <w:t>de 7 appartements</w:t>
      </w:r>
      <w:r w:rsidR="004F6254">
        <w:rPr>
          <w:rFonts w:ascii="Arial" w:hAnsi="Arial" w:cs="Arial"/>
          <w:color w:val="000000"/>
          <w:sz w:val="22"/>
          <w:szCs w:val="22"/>
          <w:lang w:val="fr-BE"/>
        </w:rPr>
        <w:t>, dont 4</w:t>
      </w:r>
      <w:r w:rsidR="00430BC9">
        <w:rPr>
          <w:rFonts w:ascii="Arial" w:hAnsi="Arial" w:cs="Arial"/>
          <w:color w:val="000000"/>
          <w:sz w:val="22"/>
          <w:szCs w:val="22"/>
          <w:lang w:val="fr-BE"/>
        </w:rPr>
        <w:t xml:space="preserve"> </w:t>
      </w:r>
      <w:r w:rsidR="00834294" w:rsidRPr="00E33DEA">
        <w:rPr>
          <w:rFonts w:ascii="Arial" w:hAnsi="Arial" w:cs="Arial"/>
          <w:color w:val="000000"/>
          <w:sz w:val="22"/>
          <w:szCs w:val="22"/>
          <w:lang w:val="fr-BE"/>
        </w:rPr>
        <w:t xml:space="preserve">avait finalement </w:t>
      </w:r>
      <w:r w:rsidR="004F6254">
        <w:rPr>
          <w:rFonts w:ascii="Arial" w:hAnsi="Arial" w:cs="Arial"/>
          <w:color w:val="000000"/>
          <w:sz w:val="22"/>
          <w:szCs w:val="22"/>
          <w:lang w:val="fr-BE"/>
        </w:rPr>
        <w:t xml:space="preserve">été </w:t>
      </w:r>
      <w:r w:rsidR="00834294" w:rsidRPr="00E33DEA">
        <w:rPr>
          <w:rFonts w:ascii="Arial" w:hAnsi="Arial" w:cs="Arial"/>
          <w:color w:val="000000"/>
          <w:sz w:val="22"/>
          <w:szCs w:val="22"/>
          <w:lang w:val="fr-BE"/>
        </w:rPr>
        <w:t>loué</w:t>
      </w:r>
      <w:r w:rsidR="004F6254">
        <w:rPr>
          <w:rFonts w:ascii="Arial" w:hAnsi="Arial" w:cs="Arial"/>
          <w:color w:val="000000"/>
          <w:sz w:val="22"/>
          <w:szCs w:val="22"/>
          <w:lang w:val="fr-BE"/>
        </w:rPr>
        <w:t>s</w:t>
      </w:r>
      <w:r w:rsidR="00834294" w:rsidRPr="00E33DEA">
        <w:rPr>
          <w:rFonts w:ascii="Arial" w:hAnsi="Arial" w:cs="Arial"/>
          <w:color w:val="000000"/>
          <w:sz w:val="22"/>
          <w:szCs w:val="22"/>
          <w:lang w:val="fr-BE"/>
        </w:rPr>
        <w:t xml:space="preserve"> sans TVA, ou dans l’affaire HF</w:t>
      </w:r>
      <w:r w:rsidR="00834294" w:rsidRPr="00E33DEA">
        <w:rPr>
          <w:rStyle w:val="FootnoteReference"/>
          <w:rFonts w:ascii="Arial" w:hAnsi="Arial" w:cs="Arial"/>
          <w:color w:val="000000"/>
          <w:sz w:val="22"/>
          <w:szCs w:val="22"/>
          <w:lang w:val="fr-BE"/>
        </w:rPr>
        <w:footnoteReference w:id="9"/>
      </w:r>
      <w:r w:rsidRPr="00E33DEA">
        <w:rPr>
          <w:rFonts w:ascii="Arial" w:hAnsi="Arial" w:cs="Arial"/>
          <w:color w:val="000000"/>
          <w:sz w:val="22"/>
          <w:szCs w:val="22"/>
        </w:rPr>
        <w:t xml:space="preserve"> dans laquelle une maison de retraite avait fait construire une caféteria </w:t>
      </w:r>
      <w:r w:rsidR="004F6254" w:rsidRPr="004F6254">
        <w:rPr>
          <w:rFonts w:ascii="Arial" w:hAnsi="Arial" w:cs="Arial"/>
          <w:color w:val="000000"/>
          <w:sz w:val="22"/>
          <w:szCs w:val="22"/>
          <w:lang w:val="fr-BE"/>
        </w:rPr>
        <w:t>publique</w:t>
      </w:r>
      <w:r w:rsidR="00834294" w:rsidRPr="00E33DEA">
        <w:rPr>
          <w:rFonts w:ascii="Arial" w:hAnsi="Arial" w:cs="Arial"/>
          <w:color w:val="000000"/>
          <w:sz w:val="22"/>
          <w:szCs w:val="22"/>
          <w:lang w:val="fr-BE"/>
        </w:rPr>
        <w:t>,</w:t>
      </w:r>
      <w:r w:rsidRPr="00E33DEA">
        <w:rPr>
          <w:rFonts w:ascii="Arial" w:hAnsi="Arial" w:cs="Arial"/>
          <w:color w:val="000000"/>
          <w:sz w:val="22"/>
          <w:szCs w:val="22"/>
        </w:rPr>
        <w:t xml:space="preserve"> mais a</w:t>
      </w:r>
      <w:proofErr w:type="spellStart"/>
      <w:r w:rsidR="004F6254" w:rsidRPr="004F6254">
        <w:rPr>
          <w:rFonts w:ascii="Arial" w:hAnsi="Arial" w:cs="Arial"/>
          <w:color w:val="000000"/>
          <w:sz w:val="22"/>
          <w:szCs w:val="22"/>
          <w:lang w:val="fr-BE"/>
        </w:rPr>
        <w:t>vait</w:t>
      </w:r>
      <w:proofErr w:type="spellEnd"/>
      <w:r w:rsidRPr="00E33DEA">
        <w:rPr>
          <w:rFonts w:ascii="Arial" w:hAnsi="Arial" w:cs="Arial"/>
          <w:color w:val="000000"/>
          <w:sz w:val="22"/>
          <w:szCs w:val="22"/>
        </w:rPr>
        <w:t xml:space="preserve"> finalement </w:t>
      </w:r>
      <w:r w:rsidR="004F6254" w:rsidRPr="004F6254">
        <w:rPr>
          <w:rFonts w:ascii="Arial" w:hAnsi="Arial" w:cs="Arial"/>
          <w:color w:val="000000"/>
          <w:sz w:val="22"/>
          <w:szCs w:val="22"/>
          <w:lang w:val="fr-BE"/>
        </w:rPr>
        <w:t>dû</w:t>
      </w:r>
      <w:r w:rsidR="004F6254">
        <w:rPr>
          <w:rFonts w:ascii="Arial" w:hAnsi="Arial" w:cs="Arial"/>
          <w:color w:val="000000"/>
          <w:sz w:val="22"/>
          <w:szCs w:val="22"/>
          <w:lang w:val="fr-BE"/>
        </w:rPr>
        <w:t xml:space="preserve"> </w:t>
      </w:r>
      <w:r w:rsidRPr="00E33DEA">
        <w:rPr>
          <w:rFonts w:ascii="Arial" w:hAnsi="Arial" w:cs="Arial"/>
          <w:color w:val="000000"/>
          <w:sz w:val="22"/>
          <w:szCs w:val="22"/>
        </w:rPr>
        <w:t xml:space="preserve">se résoudre à en réserver l’accès </w:t>
      </w:r>
      <w:r w:rsidR="004F6254" w:rsidRPr="004F6254">
        <w:rPr>
          <w:rFonts w:ascii="Arial" w:hAnsi="Arial" w:cs="Arial"/>
          <w:color w:val="000000"/>
          <w:sz w:val="22"/>
          <w:szCs w:val="22"/>
          <w:lang w:val="fr-BE"/>
        </w:rPr>
        <w:t>à ses</w:t>
      </w:r>
      <w:r w:rsidRPr="00E33DEA">
        <w:rPr>
          <w:rFonts w:ascii="Arial" w:hAnsi="Arial" w:cs="Arial"/>
          <w:color w:val="000000"/>
          <w:sz w:val="22"/>
          <w:szCs w:val="22"/>
        </w:rPr>
        <w:t xml:space="preserve"> résidents (et dans ce cas les ventes de nourriture et de boisson</w:t>
      </w:r>
      <w:r w:rsidR="003A3F78" w:rsidRPr="003A3F78">
        <w:rPr>
          <w:rFonts w:ascii="Arial" w:hAnsi="Arial" w:cs="Arial"/>
          <w:color w:val="000000"/>
          <w:sz w:val="22"/>
          <w:szCs w:val="22"/>
          <w:lang w:val="fr-BE"/>
        </w:rPr>
        <w:t>s</w:t>
      </w:r>
      <w:r w:rsidRPr="00E33DEA">
        <w:rPr>
          <w:rFonts w:ascii="Arial" w:hAnsi="Arial" w:cs="Arial"/>
          <w:color w:val="000000"/>
          <w:sz w:val="22"/>
          <w:szCs w:val="22"/>
        </w:rPr>
        <w:t xml:space="preserve"> bénéficient d’une exemption)</w:t>
      </w:r>
      <w:r w:rsidRPr="00E33DEA">
        <w:rPr>
          <w:rFonts w:ascii="Arial" w:hAnsi="Arial" w:cs="Arial"/>
          <w:color w:val="000000"/>
          <w:sz w:val="22"/>
          <w:szCs w:val="22"/>
          <w:lang w:val="fr-BE"/>
        </w:rPr>
        <w:t>, ou encore dans l’</w:t>
      </w:r>
      <w:r w:rsidR="00F44FF0">
        <w:rPr>
          <w:rFonts w:ascii="Arial" w:hAnsi="Arial" w:cs="Arial"/>
          <w:color w:val="000000"/>
          <w:sz w:val="22"/>
          <w:szCs w:val="22"/>
          <w:lang w:val="fr-BE"/>
        </w:rPr>
        <w:t>a</w:t>
      </w:r>
      <w:r w:rsidRPr="00E33DEA">
        <w:rPr>
          <w:rFonts w:ascii="Arial" w:hAnsi="Arial" w:cs="Arial"/>
          <w:color w:val="000000"/>
          <w:sz w:val="22"/>
          <w:szCs w:val="22"/>
          <w:lang w:val="fr-BE"/>
        </w:rPr>
        <w:t xml:space="preserve">ffaire </w:t>
      </w:r>
      <w:proofErr w:type="spellStart"/>
      <w:r w:rsidRPr="00E33DEA">
        <w:rPr>
          <w:rFonts w:ascii="Arial" w:hAnsi="Arial" w:cs="Arial"/>
          <w:color w:val="000000"/>
          <w:sz w:val="22"/>
          <w:szCs w:val="22"/>
          <w:lang w:val="fr-BE"/>
        </w:rPr>
        <w:t>Sonaecom</w:t>
      </w:r>
      <w:proofErr w:type="spellEnd"/>
      <w:r w:rsidR="00834294" w:rsidRPr="00E33DEA">
        <w:rPr>
          <w:rStyle w:val="FootnoteReference"/>
          <w:rFonts w:ascii="Arial" w:hAnsi="Arial" w:cs="Arial"/>
          <w:color w:val="000000"/>
          <w:sz w:val="22"/>
          <w:szCs w:val="22"/>
          <w:lang w:val="fr-BE"/>
        </w:rPr>
        <w:footnoteReference w:id="10"/>
      </w:r>
      <w:r w:rsidR="003A3F78">
        <w:rPr>
          <w:rFonts w:ascii="Arial" w:hAnsi="Arial" w:cs="Arial"/>
          <w:color w:val="000000"/>
          <w:sz w:val="22"/>
          <w:szCs w:val="22"/>
          <w:lang w:val="fr-BE"/>
        </w:rPr>
        <w:t>,</w:t>
      </w:r>
      <w:r w:rsidRPr="00E33DEA">
        <w:rPr>
          <w:rFonts w:ascii="Arial" w:hAnsi="Arial" w:cs="Arial"/>
          <w:color w:val="000000"/>
          <w:sz w:val="22"/>
          <w:szCs w:val="22"/>
          <w:lang w:val="fr-BE"/>
        </w:rPr>
        <w:t xml:space="preserve"> </w:t>
      </w:r>
      <w:r w:rsidR="00834294" w:rsidRPr="00E33DEA">
        <w:rPr>
          <w:rFonts w:ascii="Arial" w:hAnsi="Arial" w:cs="Arial"/>
          <w:color w:val="000000"/>
          <w:sz w:val="22"/>
          <w:szCs w:val="22"/>
        </w:rPr>
        <w:t xml:space="preserve">dans laquelle une société avait </w:t>
      </w:r>
      <w:r w:rsidR="00D61570" w:rsidRPr="00E33DEA">
        <w:rPr>
          <w:rFonts w:ascii="Arial" w:hAnsi="Arial" w:cs="Arial"/>
          <w:color w:val="000000"/>
          <w:sz w:val="22"/>
          <w:szCs w:val="22"/>
        </w:rPr>
        <w:t>payé une c</w:t>
      </w:r>
      <w:r w:rsidR="00D61570" w:rsidRPr="00E33DEA">
        <w:rPr>
          <w:rFonts w:ascii="Arial" w:hAnsi="Arial" w:cs="Arial"/>
          <w:color w:val="000000"/>
          <w:sz w:val="22"/>
          <w:szCs w:val="22"/>
        </w:rPr>
        <w:t xml:space="preserve">ommission à un établissement de crédit pour l’organisation et le montage d’un emprunt obligataire destiné à effectuer des investissements dans un secteur </w:t>
      </w:r>
      <w:r w:rsidR="004F6254" w:rsidRPr="004F6254">
        <w:rPr>
          <w:rFonts w:ascii="Arial" w:hAnsi="Arial" w:cs="Arial"/>
          <w:color w:val="000000"/>
          <w:sz w:val="22"/>
          <w:szCs w:val="22"/>
          <w:lang w:val="fr-BE"/>
        </w:rPr>
        <w:t>déterminé</w:t>
      </w:r>
      <w:r w:rsidR="00D61570" w:rsidRPr="00E33DEA">
        <w:rPr>
          <w:rFonts w:ascii="Arial" w:hAnsi="Arial" w:cs="Arial"/>
          <w:color w:val="000000"/>
          <w:sz w:val="22"/>
          <w:szCs w:val="22"/>
        </w:rPr>
        <w:t xml:space="preserve">, </w:t>
      </w:r>
      <w:r w:rsidR="00D61570" w:rsidRPr="00E33DEA">
        <w:rPr>
          <w:rFonts w:ascii="Arial" w:hAnsi="Arial" w:cs="Arial"/>
          <w:color w:val="000000"/>
          <w:sz w:val="22"/>
          <w:szCs w:val="22"/>
        </w:rPr>
        <w:t xml:space="preserve">mais </w:t>
      </w:r>
      <w:r w:rsidR="004F6254" w:rsidRPr="004F6254">
        <w:rPr>
          <w:rFonts w:ascii="Arial" w:hAnsi="Arial" w:cs="Arial"/>
          <w:color w:val="000000"/>
          <w:sz w:val="22"/>
          <w:szCs w:val="22"/>
          <w:lang w:val="fr-BE"/>
        </w:rPr>
        <w:t xml:space="preserve">avait finalement utilisé </w:t>
      </w:r>
      <w:r w:rsidR="00D61570" w:rsidRPr="00E33DEA">
        <w:rPr>
          <w:rFonts w:ascii="Arial" w:hAnsi="Arial" w:cs="Arial"/>
          <w:color w:val="000000"/>
          <w:sz w:val="22"/>
          <w:szCs w:val="22"/>
        </w:rPr>
        <w:t xml:space="preserve">le capital obtenu par le biais de cet emprunt </w:t>
      </w:r>
      <w:r w:rsidR="004F6254" w:rsidRPr="004F6254">
        <w:rPr>
          <w:rFonts w:ascii="Arial" w:hAnsi="Arial" w:cs="Arial"/>
          <w:color w:val="000000"/>
          <w:sz w:val="22"/>
          <w:szCs w:val="22"/>
          <w:lang w:val="fr-BE"/>
        </w:rPr>
        <w:t>pour effectuer un prêt</w:t>
      </w:r>
      <w:r w:rsidR="00D61570" w:rsidRPr="00E33DEA">
        <w:rPr>
          <w:rFonts w:ascii="Arial" w:hAnsi="Arial" w:cs="Arial"/>
          <w:color w:val="000000"/>
          <w:sz w:val="22"/>
          <w:szCs w:val="22"/>
        </w:rPr>
        <w:t xml:space="preserve"> à la société mère du groupe</w:t>
      </w:r>
      <w:r w:rsidR="004F6254" w:rsidRPr="004F6254">
        <w:rPr>
          <w:rFonts w:ascii="Arial" w:hAnsi="Arial" w:cs="Arial"/>
          <w:color w:val="000000"/>
          <w:sz w:val="22"/>
          <w:szCs w:val="22"/>
          <w:lang w:val="fr-BE"/>
        </w:rPr>
        <w:t xml:space="preserve"> (opération financière exemptée)</w:t>
      </w:r>
      <w:r w:rsidR="00D61570" w:rsidRPr="00E33DEA">
        <w:rPr>
          <w:rFonts w:ascii="Arial" w:hAnsi="Arial" w:cs="Arial"/>
          <w:color w:val="000000"/>
          <w:sz w:val="22"/>
          <w:szCs w:val="22"/>
        </w:rPr>
        <w:t>.</w:t>
      </w:r>
      <w:r w:rsidR="009746F6" w:rsidRPr="009746F6">
        <w:rPr>
          <w:rFonts w:ascii="Arial" w:hAnsi="Arial" w:cs="Arial"/>
          <w:color w:val="000000"/>
          <w:sz w:val="22"/>
          <w:szCs w:val="22"/>
          <w:lang w:val="fr-BE"/>
        </w:rPr>
        <w:t xml:space="preserve"> </w:t>
      </w:r>
      <w:r w:rsidR="009746F6">
        <w:rPr>
          <w:rFonts w:ascii="Arial" w:hAnsi="Arial" w:cs="Arial"/>
          <w:color w:val="000000"/>
          <w:sz w:val="22"/>
          <w:szCs w:val="22"/>
          <w:lang w:val="fr-BE"/>
        </w:rPr>
        <w:t xml:space="preserve">Dans ces trois cas, c’est l’utilisation </w:t>
      </w:r>
      <w:r w:rsidR="005335CE">
        <w:rPr>
          <w:rFonts w:ascii="Arial" w:hAnsi="Arial" w:cs="Arial"/>
          <w:color w:val="000000"/>
          <w:sz w:val="22"/>
          <w:szCs w:val="22"/>
          <w:lang w:val="fr-BE"/>
        </w:rPr>
        <w:t xml:space="preserve">(non prévue initialement) </w:t>
      </w:r>
      <w:r w:rsidR="009746F6">
        <w:rPr>
          <w:rFonts w:ascii="Arial" w:hAnsi="Arial" w:cs="Arial"/>
          <w:color w:val="000000"/>
          <w:sz w:val="22"/>
          <w:szCs w:val="22"/>
          <w:lang w:val="fr-BE"/>
        </w:rPr>
        <w:t>des biens et services pour les besoins d’une activité exemptée qui justifiait la révision.</w:t>
      </w:r>
    </w:p>
    <w:p w14:paraId="52BF7C41" w14:textId="170EAA59" w:rsidR="00645691" w:rsidRPr="00E33DEA" w:rsidRDefault="00645691" w:rsidP="00213710">
      <w:pPr>
        <w:jc w:val="both"/>
        <w:rPr>
          <w:rFonts w:ascii="Arial" w:hAnsi="Arial" w:cs="Arial"/>
          <w:color w:val="000000"/>
          <w:sz w:val="22"/>
          <w:szCs w:val="22"/>
        </w:rPr>
      </w:pPr>
    </w:p>
    <w:p w14:paraId="27984B15" w14:textId="414030F8" w:rsidR="00645691" w:rsidRPr="00E33DEA" w:rsidRDefault="00645691" w:rsidP="00D61570">
      <w:pPr>
        <w:jc w:val="both"/>
        <w:rPr>
          <w:rFonts w:ascii="Arial" w:hAnsi="Arial" w:cs="Arial"/>
          <w:color w:val="000000"/>
          <w:sz w:val="22"/>
          <w:szCs w:val="22"/>
          <w:lang w:val="fr-BE"/>
        </w:rPr>
      </w:pPr>
      <w:r w:rsidRPr="00E33DEA">
        <w:rPr>
          <w:rFonts w:ascii="Arial" w:hAnsi="Arial" w:cs="Arial"/>
          <w:color w:val="000000"/>
          <w:sz w:val="22"/>
          <w:szCs w:val="22"/>
          <w:lang w:val="fr-BE"/>
        </w:rPr>
        <w:t xml:space="preserve">Citons également les </w:t>
      </w:r>
      <w:r w:rsidR="00F44FF0">
        <w:rPr>
          <w:rFonts w:ascii="Arial" w:hAnsi="Arial" w:cs="Arial"/>
          <w:color w:val="000000"/>
          <w:sz w:val="22"/>
          <w:szCs w:val="22"/>
          <w:lang w:val="fr-BE"/>
        </w:rPr>
        <w:t>a</w:t>
      </w:r>
      <w:r w:rsidRPr="00E33DEA">
        <w:rPr>
          <w:rFonts w:ascii="Arial" w:hAnsi="Arial" w:cs="Arial"/>
          <w:color w:val="000000"/>
          <w:sz w:val="22"/>
          <w:szCs w:val="22"/>
          <w:lang w:val="fr-BE"/>
        </w:rPr>
        <w:t xml:space="preserve">ffaires </w:t>
      </w:r>
      <w:proofErr w:type="spellStart"/>
      <w:r w:rsidRPr="00E33DEA">
        <w:rPr>
          <w:rFonts w:ascii="Arial" w:hAnsi="Arial" w:cs="Arial"/>
          <w:color w:val="000000"/>
          <w:sz w:val="22"/>
          <w:szCs w:val="22"/>
          <w:lang w:val="fr-BE"/>
        </w:rPr>
        <w:t>Imofloresmira</w:t>
      </w:r>
      <w:proofErr w:type="spellEnd"/>
      <w:r w:rsidR="00F44FF0">
        <w:rPr>
          <w:rStyle w:val="FootnoteReference"/>
          <w:rFonts w:ascii="Arial" w:hAnsi="Arial" w:cs="Arial"/>
          <w:color w:val="000000"/>
          <w:sz w:val="22"/>
          <w:szCs w:val="22"/>
          <w:lang w:val="fr-BE"/>
        </w:rPr>
        <w:footnoteReference w:id="11"/>
      </w:r>
      <w:r w:rsidRPr="00E33DEA">
        <w:rPr>
          <w:rFonts w:ascii="Arial" w:hAnsi="Arial" w:cs="Arial"/>
          <w:color w:val="000000"/>
          <w:sz w:val="22"/>
          <w:szCs w:val="22"/>
          <w:lang w:val="fr-BE"/>
        </w:rPr>
        <w:t xml:space="preserve"> et Fini H.</w:t>
      </w:r>
      <w:r w:rsidR="00F44FF0">
        <w:rPr>
          <w:rStyle w:val="FootnoteReference"/>
          <w:rFonts w:ascii="Arial" w:hAnsi="Arial" w:cs="Arial"/>
          <w:color w:val="000000"/>
          <w:sz w:val="22"/>
          <w:szCs w:val="22"/>
          <w:lang w:val="fr-BE"/>
        </w:rPr>
        <w:footnoteReference w:id="12"/>
      </w:r>
      <w:r w:rsidRPr="00E33DEA">
        <w:rPr>
          <w:rFonts w:ascii="Arial" w:hAnsi="Arial" w:cs="Arial"/>
          <w:color w:val="000000"/>
          <w:sz w:val="22"/>
          <w:szCs w:val="22"/>
          <w:lang w:val="fr-BE"/>
        </w:rPr>
        <w:t xml:space="preserve"> Dans la première affaire </w:t>
      </w:r>
      <w:r w:rsidRPr="00E33DEA">
        <w:rPr>
          <w:rFonts w:ascii="Arial" w:hAnsi="Arial" w:cs="Arial"/>
          <w:color w:val="000000"/>
          <w:sz w:val="22"/>
          <w:szCs w:val="22"/>
          <w:lang w:val="fr-BE"/>
        </w:rPr>
        <w:t>la Cour a</w:t>
      </w:r>
      <w:r w:rsidR="009900E3" w:rsidRPr="00E33DEA">
        <w:rPr>
          <w:rFonts w:ascii="Arial" w:hAnsi="Arial" w:cs="Arial"/>
          <w:color w:val="000000"/>
          <w:sz w:val="22"/>
          <w:szCs w:val="22"/>
          <w:lang w:val="fr-BE"/>
        </w:rPr>
        <w:t>vait</w:t>
      </w:r>
      <w:r w:rsidRPr="00E33DEA">
        <w:rPr>
          <w:rFonts w:ascii="Arial" w:hAnsi="Arial" w:cs="Arial"/>
          <w:color w:val="000000"/>
          <w:sz w:val="22"/>
          <w:szCs w:val="22"/>
          <w:lang w:val="fr-BE"/>
        </w:rPr>
        <w:t xml:space="preserve"> décidé qu’</w:t>
      </w:r>
      <w:r w:rsidR="00C60D21" w:rsidRPr="00E33DEA">
        <w:rPr>
          <w:rFonts w:ascii="Arial" w:hAnsi="Arial" w:cs="Arial"/>
          <w:color w:val="000000"/>
          <w:sz w:val="22"/>
          <w:szCs w:val="22"/>
          <w:lang w:val="fr-BE"/>
        </w:rPr>
        <w:t>aucune révision ne pouvait être imposée à un assujetti ayant déduit de la</w:t>
      </w:r>
      <w:r w:rsidRPr="00E33DEA">
        <w:rPr>
          <w:rFonts w:ascii="Arial" w:hAnsi="Arial" w:cs="Arial"/>
          <w:color w:val="000000"/>
          <w:sz w:val="22"/>
          <w:szCs w:val="22"/>
        </w:rPr>
        <w:t xml:space="preserve"> </w:t>
      </w:r>
      <w:r w:rsidRPr="00E33DEA">
        <w:rPr>
          <w:rFonts w:ascii="Arial" w:hAnsi="Arial" w:cs="Arial"/>
          <w:color w:val="000000"/>
          <w:sz w:val="22"/>
          <w:szCs w:val="22"/>
          <w:lang w:val="fr-BE"/>
        </w:rPr>
        <w:t>TVA</w:t>
      </w:r>
      <w:r w:rsidRPr="00E33DEA">
        <w:rPr>
          <w:rFonts w:ascii="Arial" w:hAnsi="Arial" w:cs="Arial"/>
          <w:color w:val="000000"/>
          <w:sz w:val="22"/>
          <w:szCs w:val="22"/>
        </w:rPr>
        <w:t xml:space="preserve"> </w:t>
      </w:r>
      <w:r w:rsidRPr="00E33DEA">
        <w:rPr>
          <w:rFonts w:ascii="Arial" w:hAnsi="Arial" w:cs="Arial"/>
          <w:color w:val="000000"/>
          <w:sz w:val="22"/>
          <w:szCs w:val="22"/>
          <w:lang w:val="fr-BE"/>
        </w:rPr>
        <w:t xml:space="preserve">sur les travaux de construction d’un immeuble </w:t>
      </w:r>
      <w:r w:rsidR="00C60D21" w:rsidRPr="00E33DEA">
        <w:rPr>
          <w:rFonts w:ascii="Arial" w:hAnsi="Arial" w:cs="Arial"/>
          <w:color w:val="000000"/>
          <w:sz w:val="22"/>
          <w:szCs w:val="22"/>
          <w:lang w:val="fr-BE"/>
        </w:rPr>
        <w:t>qu’il</w:t>
      </w:r>
      <w:r w:rsidRPr="00E33DEA">
        <w:rPr>
          <w:rFonts w:ascii="Arial" w:hAnsi="Arial" w:cs="Arial"/>
          <w:color w:val="000000"/>
          <w:sz w:val="22"/>
          <w:szCs w:val="22"/>
          <w:lang w:val="fr-BE"/>
        </w:rPr>
        <w:t xml:space="preserve"> avait l’intention de louer avec TVA </w:t>
      </w:r>
      <w:r w:rsidRPr="00E33DEA">
        <w:rPr>
          <w:rFonts w:ascii="Arial" w:hAnsi="Arial" w:cs="Arial"/>
          <w:color w:val="000000"/>
          <w:sz w:val="22"/>
          <w:szCs w:val="22"/>
        </w:rPr>
        <w:t xml:space="preserve">au motif </w:t>
      </w:r>
      <w:r w:rsidRPr="00E33DEA">
        <w:rPr>
          <w:rFonts w:ascii="Arial" w:hAnsi="Arial" w:cs="Arial"/>
          <w:color w:val="000000"/>
          <w:sz w:val="22"/>
          <w:szCs w:val="22"/>
          <w:lang w:val="fr-BE"/>
        </w:rPr>
        <w:t>que cet</w:t>
      </w:r>
      <w:r w:rsidRPr="00E33DEA">
        <w:rPr>
          <w:rFonts w:ascii="Arial" w:hAnsi="Arial" w:cs="Arial"/>
          <w:color w:val="000000"/>
          <w:sz w:val="22"/>
          <w:szCs w:val="22"/>
        </w:rPr>
        <w:t xml:space="preserve"> immeuble</w:t>
      </w:r>
      <w:r w:rsidRPr="00E33DEA">
        <w:rPr>
          <w:rFonts w:ascii="Arial" w:hAnsi="Arial" w:cs="Arial"/>
          <w:color w:val="000000"/>
          <w:sz w:val="22"/>
          <w:szCs w:val="22"/>
          <w:lang w:val="fr-BE"/>
        </w:rPr>
        <w:t xml:space="preserve"> </w:t>
      </w:r>
      <w:r w:rsidR="00C60D21" w:rsidRPr="00E33DEA">
        <w:rPr>
          <w:rFonts w:ascii="Arial" w:hAnsi="Arial" w:cs="Arial"/>
          <w:color w:val="000000"/>
          <w:sz w:val="22"/>
          <w:szCs w:val="22"/>
          <w:lang w:val="fr-BE"/>
        </w:rPr>
        <w:t xml:space="preserve">était </w:t>
      </w:r>
      <w:r w:rsidRPr="00E33DEA">
        <w:rPr>
          <w:rFonts w:ascii="Arial" w:hAnsi="Arial" w:cs="Arial"/>
          <w:color w:val="000000"/>
          <w:sz w:val="22"/>
          <w:szCs w:val="22"/>
          <w:lang w:val="fr-BE"/>
        </w:rPr>
        <w:t>demeur</w:t>
      </w:r>
      <w:r w:rsidR="00C60D21" w:rsidRPr="00E33DEA">
        <w:rPr>
          <w:rFonts w:ascii="Arial" w:hAnsi="Arial" w:cs="Arial"/>
          <w:color w:val="000000"/>
          <w:sz w:val="22"/>
          <w:szCs w:val="22"/>
          <w:lang w:val="fr-BE"/>
        </w:rPr>
        <w:t>ait</w:t>
      </w:r>
      <w:r w:rsidRPr="00E33DEA">
        <w:rPr>
          <w:rFonts w:ascii="Arial" w:hAnsi="Arial" w:cs="Arial"/>
          <w:color w:val="000000"/>
          <w:sz w:val="22"/>
          <w:szCs w:val="22"/>
          <w:lang w:val="fr-BE"/>
        </w:rPr>
        <w:t xml:space="preserve"> </w:t>
      </w:r>
      <w:r w:rsidRPr="00E33DEA">
        <w:rPr>
          <w:rFonts w:ascii="Arial" w:hAnsi="Arial" w:cs="Arial"/>
          <w:color w:val="000000"/>
          <w:sz w:val="22"/>
          <w:szCs w:val="22"/>
        </w:rPr>
        <w:t>inoccupé pendant plus</w:t>
      </w:r>
      <w:proofErr w:type="spellStart"/>
      <w:r w:rsidRPr="00E33DEA">
        <w:rPr>
          <w:rFonts w:ascii="Arial" w:hAnsi="Arial" w:cs="Arial"/>
          <w:color w:val="000000"/>
          <w:sz w:val="22"/>
          <w:szCs w:val="22"/>
          <w:lang w:val="fr-BE"/>
        </w:rPr>
        <w:t>ieurs</w:t>
      </w:r>
      <w:proofErr w:type="spellEnd"/>
      <w:r w:rsidRPr="00E33DEA">
        <w:rPr>
          <w:rFonts w:ascii="Arial" w:hAnsi="Arial" w:cs="Arial"/>
          <w:color w:val="000000"/>
          <w:sz w:val="22"/>
          <w:szCs w:val="22"/>
          <w:lang w:val="fr-BE"/>
        </w:rPr>
        <w:t xml:space="preserve"> années</w:t>
      </w:r>
      <w:r w:rsidR="003A3F78">
        <w:rPr>
          <w:rFonts w:ascii="Arial" w:hAnsi="Arial" w:cs="Arial"/>
          <w:color w:val="000000"/>
          <w:sz w:val="22"/>
          <w:szCs w:val="22"/>
          <w:lang w:val="fr-BE"/>
        </w:rPr>
        <w:t>,</w:t>
      </w:r>
      <w:r w:rsidRPr="00E33DEA">
        <w:rPr>
          <w:rFonts w:ascii="Arial" w:hAnsi="Arial" w:cs="Arial"/>
          <w:color w:val="000000"/>
          <w:sz w:val="22"/>
          <w:szCs w:val="22"/>
        </w:rPr>
        <w:t xml:space="preserve"> </w:t>
      </w:r>
      <w:r w:rsidRPr="00E33DEA">
        <w:rPr>
          <w:rFonts w:ascii="Arial" w:hAnsi="Arial" w:cs="Arial"/>
          <w:color w:val="000000"/>
          <w:sz w:val="22"/>
          <w:szCs w:val="22"/>
          <w:lang w:val="fr-BE"/>
        </w:rPr>
        <w:t>malgré les efforts déployés pour le louer</w:t>
      </w:r>
      <w:r w:rsidRPr="00E33DEA">
        <w:rPr>
          <w:rFonts w:ascii="Arial" w:hAnsi="Arial" w:cs="Arial"/>
          <w:color w:val="000000"/>
          <w:sz w:val="22"/>
          <w:szCs w:val="22"/>
        </w:rPr>
        <w:t>.</w:t>
      </w:r>
      <w:r w:rsidRPr="00E33DEA">
        <w:rPr>
          <w:rFonts w:ascii="Arial" w:hAnsi="Arial" w:cs="Arial"/>
          <w:color w:val="000000"/>
          <w:sz w:val="22"/>
          <w:szCs w:val="22"/>
          <w:lang w:val="fr-BE"/>
        </w:rPr>
        <w:t xml:space="preserve"> </w:t>
      </w:r>
      <w:r w:rsidR="00603B38" w:rsidRPr="00E33DEA">
        <w:rPr>
          <w:rFonts w:ascii="Arial" w:hAnsi="Arial" w:cs="Arial"/>
          <w:color w:val="000000"/>
          <w:sz w:val="22"/>
          <w:szCs w:val="22"/>
          <w:lang w:val="fr-BE"/>
        </w:rPr>
        <w:t xml:space="preserve">Dans cette </w:t>
      </w:r>
      <w:r w:rsidR="004F6254">
        <w:rPr>
          <w:rFonts w:ascii="Arial" w:hAnsi="Arial" w:cs="Arial"/>
          <w:color w:val="000000"/>
          <w:sz w:val="22"/>
          <w:szCs w:val="22"/>
          <w:lang w:val="fr-BE"/>
        </w:rPr>
        <w:t>a</w:t>
      </w:r>
      <w:r w:rsidR="00603B38" w:rsidRPr="00E33DEA">
        <w:rPr>
          <w:rFonts w:ascii="Arial" w:hAnsi="Arial" w:cs="Arial"/>
          <w:color w:val="000000"/>
          <w:sz w:val="22"/>
          <w:szCs w:val="22"/>
          <w:lang w:val="fr-BE"/>
        </w:rPr>
        <w:t>ffaire</w:t>
      </w:r>
      <w:r w:rsidR="00C60D21" w:rsidRPr="00E33DEA">
        <w:rPr>
          <w:rFonts w:ascii="Arial" w:hAnsi="Arial" w:cs="Arial"/>
          <w:color w:val="000000"/>
          <w:sz w:val="22"/>
          <w:szCs w:val="22"/>
          <w:lang w:val="fr-BE"/>
        </w:rPr>
        <w:t>,</w:t>
      </w:r>
      <w:r w:rsidR="00603B38" w:rsidRPr="00E33DEA">
        <w:rPr>
          <w:rFonts w:ascii="Arial" w:hAnsi="Arial" w:cs="Arial"/>
          <w:color w:val="000000"/>
          <w:sz w:val="22"/>
          <w:szCs w:val="22"/>
          <w:lang w:val="fr-BE"/>
        </w:rPr>
        <w:t xml:space="preserve"> l’assujetti avait toujours l’intention d’effectuer des opérations tax</w:t>
      </w:r>
      <w:r w:rsidR="0009590D">
        <w:rPr>
          <w:rFonts w:ascii="Arial" w:hAnsi="Arial" w:cs="Arial"/>
          <w:color w:val="000000"/>
          <w:sz w:val="22"/>
          <w:szCs w:val="22"/>
          <w:lang w:val="fr-BE"/>
        </w:rPr>
        <w:t>ée</w:t>
      </w:r>
      <w:r w:rsidR="00603B38" w:rsidRPr="00E33DEA">
        <w:rPr>
          <w:rFonts w:ascii="Arial" w:hAnsi="Arial" w:cs="Arial"/>
          <w:color w:val="000000"/>
          <w:sz w:val="22"/>
          <w:szCs w:val="22"/>
          <w:lang w:val="fr-BE"/>
        </w:rPr>
        <w:t>s.</w:t>
      </w:r>
      <w:r w:rsidR="006D449D">
        <w:rPr>
          <w:rStyle w:val="FootnoteReference"/>
          <w:rFonts w:ascii="Arial" w:hAnsi="Arial" w:cs="Arial"/>
          <w:color w:val="000000"/>
          <w:sz w:val="22"/>
          <w:szCs w:val="22"/>
          <w:lang w:val="fr-BE"/>
        </w:rPr>
        <w:footnoteReference w:id="13"/>
      </w:r>
      <w:r w:rsidR="00603B38" w:rsidRPr="00E33DEA">
        <w:rPr>
          <w:rFonts w:ascii="Arial" w:hAnsi="Arial" w:cs="Arial"/>
          <w:color w:val="000000"/>
          <w:sz w:val="22"/>
          <w:szCs w:val="22"/>
          <w:lang w:val="fr-BE"/>
        </w:rPr>
        <w:t xml:space="preserve"> </w:t>
      </w:r>
      <w:r w:rsidRPr="00E33DEA">
        <w:rPr>
          <w:rFonts w:ascii="Arial" w:hAnsi="Arial" w:cs="Arial"/>
          <w:color w:val="000000"/>
          <w:sz w:val="22"/>
          <w:szCs w:val="22"/>
          <w:lang w:val="fr-BE"/>
        </w:rPr>
        <w:t>Dans la seconde la Cour a</w:t>
      </w:r>
      <w:r w:rsidR="004F6254">
        <w:rPr>
          <w:rFonts w:ascii="Arial" w:hAnsi="Arial" w:cs="Arial"/>
          <w:color w:val="000000"/>
          <w:sz w:val="22"/>
          <w:szCs w:val="22"/>
          <w:lang w:val="fr-BE"/>
        </w:rPr>
        <w:t>vait</w:t>
      </w:r>
      <w:r w:rsidRPr="00E33DEA">
        <w:rPr>
          <w:rFonts w:ascii="Arial" w:hAnsi="Arial" w:cs="Arial"/>
          <w:color w:val="000000"/>
          <w:sz w:val="22"/>
          <w:szCs w:val="22"/>
          <w:lang w:val="fr-BE"/>
        </w:rPr>
        <w:t xml:space="preserve"> décidé </w:t>
      </w:r>
      <w:r w:rsidRPr="00E33DEA">
        <w:rPr>
          <w:rFonts w:ascii="Arial" w:eastAsia="Times New Roman" w:hAnsi="Arial" w:cs="Arial"/>
          <w:color w:val="000000"/>
          <w:sz w:val="22"/>
          <w:szCs w:val="22"/>
          <w:shd w:val="clear" w:color="auto" w:fill="FFFFFF"/>
          <w:lang w:eastAsia="en-GB"/>
        </w:rPr>
        <w:t xml:space="preserve">qu’une personne qui a cessé une activité commerciale, mais qui </w:t>
      </w:r>
      <w:r w:rsidR="004F6254" w:rsidRPr="004F6254">
        <w:rPr>
          <w:rFonts w:ascii="Arial" w:eastAsia="Times New Roman" w:hAnsi="Arial" w:cs="Arial"/>
          <w:color w:val="000000"/>
          <w:sz w:val="22"/>
          <w:szCs w:val="22"/>
          <w:shd w:val="clear" w:color="auto" w:fill="FFFFFF"/>
          <w:lang w:val="fr-BE" w:eastAsia="en-GB"/>
        </w:rPr>
        <w:t>a contin</w:t>
      </w:r>
      <w:r w:rsidR="004F6254">
        <w:rPr>
          <w:rFonts w:ascii="Arial" w:eastAsia="Times New Roman" w:hAnsi="Arial" w:cs="Arial"/>
          <w:color w:val="000000"/>
          <w:sz w:val="22"/>
          <w:szCs w:val="22"/>
          <w:shd w:val="clear" w:color="auto" w:fill="FFFFFF"/>
          <w:lang w:val="fr-BE" w:eastAsia="en-GB"/>
        </w:rPr>
        <w:t>ué</w:t>
      </w:r>
      <w:r w:rsidRPr="00E33DEA">
        <w:rPr>
          <w:rFonts w:ascii="Arial" w:eastAsia="Times New Roman" w:hAnsi="Arial" w:cs="Arial"/>
          <w:color w:val="000000"/>
          <w:sz w:val="22"/>
          <w:szCs w:val="22"/>
          <w:shd w:val="clear" w:color="auto" w:fill="FFFFFF"/>
          <w:lang w:eastAsia="en-GB"/>
        </w:rPr>
        <w:t xml:space="preserve"> </w:t>
      </w:r>
      <w:r w:rsidR="003A3F78" w:rsidRPr="003A3F78">
        <w:rPr>
          <w:rFonts w:ascii="Arial" w:eastAsia="Times New Roman" w:hAnsi="Arial" w:cs="Arial"/>
          <w:color w:val="000000"/>
          <w:sz w:val="22"/>
          <w:szCs w:val="22"/>
          <w:shd w:val="clear" w:color="auto" w:fill="FFFFFF"/>
          <w:lang w:val="fr-BE" w:eastAsia="en-GB"/>
        </w:rPr>
        <w:t>à</w:t>
      </w:r>
      <w:r w:rsidRPr="00E33DEA">
        <w:rPr>
          <w:rFonts w:ascii="Arial" w:eastAsia="Times New Roman" w:hAnsi="Arial" w:cs="Arial"/>
          <w:color w:val="000000"/>
          <w:sz w:val="22"/>
          <w:szCs w:val="22"/>
          <w:shd w:val="clear" w:color="auto" w:fill="FFFFFF"/>
          <w:lang w:eastAsia="en-GB"/>
        </w:rPr>
        <w:t xml:space="preserve"> payer le loyer et les charges afférents au local ayant servi pour cette activité, en raison du fait que le contrat de location conten</w:t>
      </w:r>
      <w:r w:rsidR="003A3F78" w:rsidRPr="003A3F78">
        <w:rPr>
          <w:rFonts w:ascii="Arial" w:eastAsia="Times New Roman" w:hAnsi="Arial" w:cs="Arial"/>
          <w:color w:val="000000"/>
          <w:sz w:val="22"/>
          <w:szCs w:val="22"/>
          <w:shd w:val="clear" w:color="auto" w:fill="FFFFFF"/>
          <w:lang w:val="fr-BE" w:eastAsia="en-GB"/>
        </w:rPr>
        <w:t>ait</w:t>
      </w:r>
      <w:r w:rsidRPr="00E33DEA">
        <w:rPr>
          <w:rFonts w:ascii="Arial" w:eastAsia="Times New Roman" w:hAnsi="Arial" w:cs="Arial"/>
          <w:color w:val="000000"/>
          <w:sz w:val="22"/>
          <w:szCs w:val="22"/>
          <w:shd w:val="clear" w:color="auto" w:fill="FFFFFF"/>
          <w:lang w:eastAsia="en-GB"/>
        </w:rPr>
        <w:t xml:space="preserve"> une clause de non</w:t>
      </w:r>
      <w:r w:rsidRPr="00E33DEA">
        <w:rPr>
          <w:rFonts w:ascii="Arial" w:eastAsia="Times New Roman" w:hAnsi="Arial" w:cs="Arial"/>
          <w:color w:val="000000"/>
          <w:sz w:val="22"/>
          <w:szCs w:val="22"/>
          <w:shd w:val="clear" w:color="auto" w:fill="FFFFFF"/>
          <w:lang w:eastAsia="en-GB"/>
        </w:rPr>
        <w:noBreakHyphen/>
        <w:t>résiliation, p</w:t>
      </w:r>
      <w:r w:rsidR="009900E3" w:rsidRPr="00E33DEA">
        <w:rPr>
          <w:rFonts w:ascii="Arial" w:eastAsia="Times New Roman" w:hAnsi="Arial" w:cs="Arial"/>
          <w:color w:val="000000"/>
          <w:sz w:val="22"/>
          <w:szCs w:val="22"/>
          <w:shd w:val="clear" w:color="auto" w:fill="FFFFFF"/>
          <w:lang w:val="fr-BE" w:eastAsia="en-GB"/>
        </w:rPr>
        <w:t>o</w:t>
      </w:r>
      <w:r w:rsidRPr="00E33DEA">
        <w:rPr>
          <w:rFonts w:ascii="Arial" w:eastAsia="Times New Roman" w:hAnsi="Arial" w:cs="Arial"/>
          <w:color w:val="000000"/>
          <w:sz w:val="22"/>
          <w:szCs w:val="22"/>
          <w:shd w:val="clear" w:color="auto" w:fill="FFFFFF"/>
          <w:lang w:eastAsia="en-GB"/>
        </w:rPr>
        <w:t>u</w:t>
      </w:r>
      <w:proofErr w:type="spellStart"/>
      <w:r w:rsidR="009900E3" w:rsidRPr="00E33DEA">
        <w:rPr>
          <w:rFonts w:ascii="Arial" w:eastAsia="Times New Roman" w:hAnsi="Arial" w:cs="Arial"/>
          <w:color w:val="000000"/>
          <w:sz w:val="22"/>
          <w:szCs w:val="22"/>
          <w:shd w:val="clear" w:color="auto" w:fill="FFFFFF"/>
          <w:lang w:val="fr-BE" w:eastAsia="en-GB"/>
        </w:rPr>
        <w:t>vai</w:t>
      </w:r>
      <w:proofErr w:type="spellEnd"/>
      <w:r w:rsidRPr="00E33DEA">
        <w:rPr>
          <w:rFonts w:ascii="Arial" w:eastAsia="Times New Roman" w:hAnsi="Arial" w:cs="Arial"/>
          <w:color w:val="000000"/>
          <w:sz w:val="22"/>
          <w:szCs w:val="22"/>
          <w:shd w:val="clear" w:color="auto" w:fill="FFFFFF"/>
          <w:lang w:eastAsia="en-GB"/>
        </w:rPr>
        <w:t xml:space="preserve">t </w:t>
      </w:r>
      <w:r w:rsidRPr="00E33DEA">
        <w:rPr>
          <w:rFonts w:ascii="Arial" w:eastAsia="Times New Roman" w:hAnsi="Arial" w:cs="Arial"/>
          <w:color w:val="000000"/>
          <w:sz w:val="22"/>
          <w:szCs w:val="22"/>
          <w:shd w:val="clear" w:color="auto" w:fill="FFFFFF"/>
          <w:lang w:val="fr-BE" w:eastAsia="en-GB"/>
        </w:rPr>
        <w:t xml:space="preserve">valablement </w:t>
      </w:r>
      <w:r w:rsidRPr="00E33DEA">
        <w:rPr>
          <w:rFonts w:ascii="Arial" w:eastAsia="Times New Roman" w:hAnsi="Arial" w:cs="Arial"/>
          <w:color w:val="000000"/>
          <w:sz w:val="22"/>
          <w:szCs w:val="22"/>
          <w:shd w:val="clear" w:color="auto" w:fill="FFFFFF"/>
          <w:lang w:eastAsia="en-GB"/>
        </w:rPr>
        <w:t xml:space="preserve">déduire la TVA sur les montants ainsi acquittés, </w:t>
      </w:r>
      <w:r w:rsidR="00C60D21" w:rsidRPr="00E33DEA">
        <w:rPr>
          <w:rFonts w:ascii="Arial" w:eastAsia="Times New Roman" w:hAnsi="Arial" w:cs="Arial"/>
          <w:color w:val="000000"/>
          <w:sz w:val="22"/>
          <w:szCs w:val="22"/>
          <w:shd w:val="clear" w:color="auto" w:fill="FFFFFF"/>
          <w:lang w:val="fr-BE" w:eastAsia="en-GB"/>
        </w:rPr>
        <w:t>dans la mesure où il</w:t>
      </w:r>
      <w:r w:rsidRPr="00E33DEA">
        <w:rPr>
          <w:rFonts w:ascii="Arial" w:eastAsia="Times New Roman" w:hAnsi="Arial" w:cs="Arial"/>
          <w:color w:val="000000"/>
          <w:sz w:val="22"/>
          <w:szCs w:val="22"/>
          <w:shd w:val="clear" w:color="auto" w:fill="FFFFFF"/>
          <w:lang w:eastAsia="en-GB"/>
        </w:rPr>
        <w:t xml:space="preserve"> exist</w:t>
      </w:r>
      <w:r w:rsidR="00C60D21" w:rsidRPr="00E33DEA">
        <w:rPr>
          <w:rFonts w:ascii="Arial" w:eastAsia="Times New Roman" w:hAnsi="Arial" w:cs="Arial"/>
          <w:color w:val="000000"/>
          <w:sz w:val="22"/>
          <w:szCs w:val="22"/>
          <w:shd w:val="clear" w:color="auto" w:fill="FFFFFF"/>
          <w:lang w:val="fr-BE" w:eastAsia="en-GB"/>
        </w:rPr>
        <w:t>ait</w:t>
      </w:r>
      <w:r w:rsidRPr="00E33DEA">
        <w:rPr>
          <w:rFonts w:ascii="Arial" w:eastAsia="Times New Roman" w:hAnsi="Arial" w:cs="Arial"/>
          <w:color w:val="000000"/>
          <w:sz w:val="22"/>
          <w:szCs w:val="22"/>
          <w:shd w:val="clear" w:color="auto" w:fill="FFFFFF"/>
          <w:lang w:eastAsia="en-GB"/>
        </w:rPr>
        <w:t xml:space="preserve"> un lien direct et immédiat entre les paiements effectués et l’activité commerciale </w:t>
      </w:r>
      <w:r w:rsidRPr="00E33DEA">
        <w:rPr>
          <w:rFonts w:ascii="Arial" w:eastAsia="Times New Roman" w:hAnsi="Arial" w:cs="Arial"/>
          <w:color w:val="000000"/>
          <w:sz w:val="22"/>
          <w:szCs w:val="22"/>
          <w:shd w:val="clear" w:color="auto" w:fill="FFFFFF"/>
          <w:lang w:val="fr-BE" w:eastAsia="en-GB"/>
        </w:rPr>
        <w:t xml:space="preserve">à laquelle </w:t>
      </w:r>
      <w:r w:rsidR="00174849">
        <w:rPr>
          <w:rFonts w:ascii="Arial" w:eastAsia="Times New Roman" w:hAnsi="Arial" w:cs="Arial"/>
          <w:color w:val="000000"/>
          <w:sz w:val="22"/>
          <w:szCs w:val="22"/>
          <w:shd w:val="clear" w:color="auto" w:fill="FFFFFF"/>
          <w:lang w:val="fr-BE" w:eastAsia="en-GB"/>
        </w:rPr>
        <w:t>l’assujetti avait mis</w:t>
      </w:r>
      <w:r w:rsidRPr="00E33DEA">
        <w:rPr>
          <w:rFonts w:ascii="Arial" w:eastAsia="Times New Roman" w:hAnsi="Arial" w:cs="Arial"/>
          <w:color w:val="000000"/>
          <w:sz w:val="22"/>
          <w:szCs w:val="22"/>
          <w:shd w:val="clear" w:color="auto" w:fill="FFFFFF"/>
          <w:lang w:val="fr-BE" w:eastAsia="en-GB"/>
        </w:rPr>
        <w:t xml:space="preserve"> </w:t>
      </w:r>
      <w:r w:rsidR="00174849">
        <w:rPr>
          <w:rFonts w:ascii="Arial" w:eastAsia="Times New Roman" w:hAnsi="Arial" w:cs="Arial"/>
          <w:color w:val="000000"/>
          <w:sz w:val="22"/>
          <w:szCs w:val="22"/>
          <w:shd w:val="clear" w:color="auto" w:fill="FFFFFF"/>
          <w:lang w:val="fr-BE" w:eastAsia="en-GB"/>
        </w:rPr>
        <w:t xml:space="preserve">un </w:t>
      </w:r>
      <w:r w:rsidRPr="00E33DEA">
        <w:rPr>
          <w:rFonts w:ascii="Arial" w:eastAsia="Times New Roman" w:hAnsi="Arial" w:cs="Arial"/>
          <w:color w:val="000000"/>
          <w:sz w:val="22"/>
          <w:szCs w:val="22"/>
          <w:shd w:val="clear" w:color="auto" w:fill="FFFFFF"/>
          <w:lang w:val="fr-BE" w:eastAsia="en-GB"/>
        </w:rPr>
        <w:t>terme</w:t>
      </w:r>
      <w:r w:rsidRPr="00E33DEA">
        <w:rPr>
          <w:rFonts w:ascii="Arial" w:eastAsia="Times New Roman" w:hAnsi="Arial" w:cs="Arial"/>
          <w:color w:val="000000"/>
          <w:sz w:val="22"/>
          <w:szCs w:val="22"/>
          <w:shd w:val="clear" w:color="auto" w:fill="FFFFFF"/>
          <w:lang w:eastAsia="en-GB"/>
        </w:rPr>
        <w:t>.</w:t>
      </w:r>
      <w:r w:rsidR="009900E3" w:rsidRPr="00E33DEA">
        <w:rPr>
          <w:rFonts w:ascii="Arial" w:eastAsia="Times New Roman" w:hAnsi="Arial" w:cs="Arial"/>
          <w:color w:val="000000"/>
          <w:sz w:val="22"/>
          <w:szCs w:val="22"/>
          <w:shd w:val="clear" w:color="auto" w:fill="FFFFFF"/>
          <w:lang w:val="fr-BE" w:eastAsia="en-GB"/>
        </w:rPr>
        <w:t xml:space="preserve"> </w:t>
      </w:r>
      <w:r w:rsidR="00603B38" w:rsidRPr="00E33DEA">
        <w:rPr>
          <w:rFonts w:ascii="Arial" w:eastAsia="Times New Roman" w:hAnsi="Arial" w:cs="Arial"/>
          <w:color w:val="000000"/>
          <w:sz w:val="22"/>
          <w:szCs w:val="22"/>
          <w:shd w:val="clear" w:color="auto" w:fill="FFFFFF"/>
          <w:lang w:val="fr-BE" w:eastAsia="en-GB"/>
        </w:rPr>
        <w:t xml:space="preserve">Dans cette </w:t>
      </w:r>
      <w:r w:rsidR="004F6254" w:rsidRPr="00E33DEA">
        <w:rPr>
          <w:rFonts w:ascii="Arial" w:eastAsia="Times New Roman" w:hAnsi="Arial" w:cs="Arial"/>
          <w:color w:val="000000"/>
          <w:sz w:val="22"/>
          <w:szCs w:val="22"/>
          <w:shd w:val="clear" w:color="auto" w:fill="FFFFFF"/>
          <w:lang w:val="fr-BE" w:eastAsia="en-GB"/>
        </w:rPr>
        <w:t>affaire-</w:t>
      </w:r>
      <w:r w:rsidR="005335CE">
        <w:rPr>
          <w:rFonts w:ascii="Arial" w:eastAsia="Times New Roman" w:hAnsi="Arial" w:cs="Arial"/>
          <w:color w:val="000000"/>
          <w:sz w:val="22"/>
          <w:szCs w:val="22"/>
          <w:shd w:val="clear" w:color="auto" w:fill="FFFFFF"/>
          <w:lang w:val="fr-BE" w:eastAsia="en-GB"/>
        </w:rPr>
        <w:t>ci</w:t>
      </w:r>
      <w:r w:rsidR="00C60D21" w:rsidRPr="00E33DEA">
        <w:rPr>
          <w:rFonts w:ascii="Arial" w:eastAsia="Times New Roman" w:hAnsi="Arial" w:cs="Arial"/>
          <w:color w:val="000000"/>
          <w:sz w:val="22"/>
          <w:szCs w:val="22"/>
          <w:shd w:val="clear" w:color="auto" w:fill="FFFFFF"/>
          <w:lang w:val="fr-BE" w:eastAsia="en-GB"/>
        </w:rPr>
        <w:t>,</w:t>
      </w:r>
      <w:r w:rsidR="00603B38" w:rsidRPr="00E33DEA">
        <w:rPr>
          <w:rFonts w:ascii="Arial" w:eastAsia="Times New Roman" w:hAnsi="Arial" w:cs="Arial"/>
          <w:color w:val="000000"/>
          <w:sz w:val="22"/>
          <w:szCs w:val="22"/>
          <w:shd w:val="clear" w:color="auto" w:fill="FFFFFF"/>
          <w:lang w:val="fr-BE" w:eastAsia="en-GB"/>
        </w:rPr>
        <w:t xml:space="preserve"> il était clairement établi que l’assujetti n’exercerait plus aucune activité taxée dans ces locaux</w:t>
      </w:r>
      <w:r w:rsidR="00430BC9">
        <w:rPr>
          <w:rFonts w:ascii="Arial" w:eastAsia="Times New Roman" w:hAnsi="Arial" w:cs="Arial"/>
          <w:color w:val="000000"/>
          <w:sz w:val="22"/>
          <w:szCs w:val="22"/>
          <w:shd w:val="clear" w:color="auto" w:fill="FFFFFF"/>
          <w:lang w:val="fr-BE" w:eastAsia="en-GB"/>
        </w:rPr>
        <w:t>,</w:t>
      </w:r>
      <w:r w:rsidR="00603B38" w:rsidRPr="00E33DEA">
        <w:rPr>
          <w:rFonts w:ascii="Arial" w:eastAsia="Times New Roman" w:hAnsi="Arial" w:cs="Arial"/>
          <w:color w:val="000000"/>
          <w:sz w:val="22"/>
          <w:szCs w:val="22"/>
          <w:shd w:val="clear" w:color="auto" w:fill="FFFFFF"/>
          <w:lang w:val="fr-BE" w:eastAsia="en-GB"/>
        </w:rPr>
        <w:t xml:space="preserve"> et</w:t>
      </w:r>
      <w:r w:rsidR="00C60D21" w:rsidRPr="00E33DEA">
        <w:rPr>
          <w:rFonts w:ascii="Arial" w:eastAsia="Times New Roman" w:hAnsi="Arial" w:cs="Arial"/>
          <w:color w:val="000000"/>
          <w:sz w:val="22"/>
          <w:szCs w:val="22"/>
          <w:shd w:val="clear" w:color="auto" w:fill="FFFFFF"/>
          <w:lang w:val="fr-BE" w:eastAsia="en-GB"/>
        </w:rPr>
        <w:t xml:space="preserve"> la Cour ne faisait pas référence </w:t>
      </w:r>
      <w:r w:rsidR="009900E3" w:rsidRPr="00E33DEA">
        <w:rPr>
          <w:rFonts w:ascii="Arial" w:eastAsia="Times New Roman" w:hAnsi="Arial" w:cs="Arial"/>
          <w:color w:val="000000"/>
          <w:sz w:val="22"/>
          <w:szCs w:val="22"/>
          <w:shd w:val="clear" w:color="auto" w:fill="FFFFFF"/>
          <w:lang w:val="fr-BE" w:eastAsia="en-GB"/>
        </w:rPr>
        <w:t>à une quelconque obligation de procéder à une révision.</w:t>
      </w:r>
    </w:p>
    <w:p w14:paraId="2A712278" w14:textId="6BF83328" w:rsidR="004E49F0" w:rsidRPr="00E33DEA" w:rsidRDefault="004E49F0" w:rsidP="00694406">
      <w:pPr>
        <w:jc w:val="both"/>
        <w:rPr>
          <w:rFonts w:ascii="Arial" w:hAnsi="Arial" w:cs="Arial"/>
          <w:sz w:val="22"/>
          <w:szCs w:val="22"/>
          <w:lang w:val="fr-BE"/>
        </w:rPr>
      </w:pPr>
    </w:p>
    <w:p w14:paraId="25176457" w14:textId="41DCD430" w:rsidR="00C60D21" w:rsidRPr="00E33DEA" w:rsidRDefault="00E063E5" w:rsidP="00694406">
      <w:pPr>
        <w:jc w:val="both"/>
        <w:rPr>
          <w:rFonts w:ascii="Arial" w:hAnsi="Arial" w:cs="Arial"/>
          <w:sz w:val="22"/>
          <w:szCs w:val="22"/>
          <w:lang w:val="fr-BE"/>
        </w:rPr>
      </w:pPr>
      <w:r w:rsidRPr="00E33DEA">
        <w:rPr>
          <w:rFonts w:ascii="Arial" w:hAnsi="Arial" w:cs="Arial"/>
          <w:sz w:val="22"/>
          <w:szCs w:val="22"/>
          <w:lang w:val="fr-BE"/>
        </w:rPr>
        <w:t>La Cour a</w:t>
      </w:r>
      <w:r w:rsidR="00C60D21" w:rsidRPr="00E33DEA">
        <w:rPr>
          <w:rFonts w:ascii="Arial" w:hAnsi="Arial" w:cs="Arial"/>
          <w:sz w:val="22"/>
          <w:szCs w:val="22"/>
          <w:lang w:val="fr-BE"/>
        </w:rPr>
        <w:t>,</w:t>
      </w:r>
      <w:r w:rsidRPr="00E33DEA">
        <w:rPr>
          <w:rFonts w:ascii="Arial" w:hAnsi="Arial" w:cs="Arial"/>
          <w:sz w:val="22"/>
          <w:szCs w:val="22"/>
          <w:lang w:val="fr-BE"/>
        </w:rPr>
        <w:t xml:space="preserve"> pour la première fois</w:t>
      </w:r>
      <w:r w:rsidR="00C60D21" w:rsidRPr="00E33DEA">
        <w:rPr>
          <w:rFonts w:ascii="Arial" w:hAnsi="Arial" w:cs="Arial"/>
          <w:sz w:val="22"/>
          <w:szCs w:val="22"/>
          <w:lang w:val="fr-BE"/>
        </w:rPr>
        <w:t>,</w:t>
      </w:r>
      <w:r w:rsidRPr="00E33DEA">
        <w:rPr>
          <w:rFonts w:ascii="Arial" w:hAnsi="Arial" w:cs="Arial"/>
          <w:sz w:val="22"/>
          <w:szCs w:val="22"/>
          <w:lang w:val="fr-BE"/>
        </w:rPr>
        <w:t xml:space="preserve"> remis ce principe en cause </w:t>
      </w:r>
      <w:r w:rsidR="00192376">
        <w:rPr>
          <w:rFonts w:ascii="Arial" w:hAnsi="Arial" w:cs="Arial"/>
          <w:sz w:val="22"/>
          <w:szCs w:val="22"/>
          <w:lang w:val="fr-BE"/>
        </w:rPr>
        <w:t>de manière explicite</w:t>
      </w:r>
      <w:r w:rsidR="00F44FF0">
        <w:rPr>
          <w:rStyle w:val="FootnoteReference"/>
          <w:rFonts w:ascii="Arial" w:hAnsi="Arial" w:cs="Arial"/>
          <w:sz w:val="22"/>
          <w:szCs w:val="22"/>
          <w:lang w:val="fr-BE"/>
        </w:rPr>
        <w:footnoteReference w:id="14"/>
      </w:r>
      <w:r w:rsidR="00192376">
        <w:rPr>
          <w:rFonts w:ascii="Arial" w:hAnsi="Arial" w:cs="Arial"/>
          <w:sz w:val="22"/>
          <w:szCs w:val="22"/>
          <w:lang w:val="fr-BE"/>
        </w:rPr>
        <w:t xml:space="preserve"> </w:t>
      </w:r>
      <w:r w:rsidRPr="00E33DEA">
        <w:rPr>
          <w:rFonts w:ascii="Arial" w:hAnsi="Arial" w:cs="Arial"/>
          <w:sz w:val="22"/>
          <w:szCs w:val="22"/>
          <w:lang w:val="fr-BE"/>
        </w:rPr>
        <w:t xml:space="preserve">dans son Ordonnance du </w:t>
      </w:r>
      <w:r w:rsidR="00C60D21" w:rsidRPr="00E33DEA">
        <w:rPr>
          <w:rFonts w:ascii="Arial" w:hAnsi="Arial" w:cs="Arial"/>
          <w:sz w:val="22"/>
          <w:szCs w:val="22"/>
          <w:lang w:val="fr-BE"/>
        </w:rPr>
        <w:t>18 mai 2021 dans l’</w:t>
      </w:r>
      <w:r w:rsidR="0009590D">
        <w:rPr>
          <w:rFonts w:ascii="Arial" w:hAnsi="Arial" w:cs="Arial"/>
          <w:sz w:val="22"/>
          <w:szCs w:val="22"/>
          <w:lang w:val="fr-BE"/>
        </w:rPr>
        <w:t>a</w:t>
      </w:r>
      <w:r w:rsidR="00C60D21" w:rsidRPr="00E33DEA">
        <w:rPr>
          <w:rFonts w:ascii="Arial" w:hAnsi="Arial" w:cs="Arial"/>
          <w:sz w:val="22"/>
          <w:szCs w:val="22"/>
          <w:lang w:val="fr-BE"/>
        </w:rPr>
        <w:t xml:space="preserve">ffaire </w:t>
      </w:r>
      <w:r w:rsidR="00C60D21" w:rsidRPr="00E33DEA">
        <w:rPr>
          <w:rFonts w:ascii="Arial" w:hAnsi="Arial" w:cs="Arial"/>
          <w:sz w:val="22"/>
          <w:szCs w:val="22"/>
          <w:lang w:val="fr-BE"/>
        </w:rPr>
        <w:t xml:space="preserve">Skellefteå </w:t>
      </w:r>
      <w:proofErr w:type="spellStart"/>
      <w:r w:rsidR="00C60D21" w:rsidRPr="00E33DEA">
        <w:rPr>
          <w:rFonts w:ascii="Arial" w:hAnsi="Arial" w:cs="Arial"/>
          <w:sz w:val="22"/>
          <w:szCs w:val="22"/>
          <w:lang w:val="fr-BE"/>
        </w:rPr>
        <w:t>Industrihus</w:t>
      </w:r>
      <w:proofErr w:type="spellEnd"/>
      <w:r w:rsidR="00C60D21" w:rsidRPr="00E33DEA">
        <w:rPr>
          <w:rFonts w:ascii="Arial" w:hAnsi="Arial" w:cs="Arial"/>
          <w:sz w:val="22"/>
          <w:szCs w:val="22"/>
          <w:lang w:val="fr-BE"/>
        </w:rPr>
        <w:t xml:space="preserve"> AB</w:t>
      </w:r>
      <w:r w:rsidRPr="00E33DEA">
        <w:rPr>
          <w:rFonts w:ascii="Arial" w:hAnsi="Arial" w:cs="Arial"/>
          <w:sz w:val="22"/>
          <w:szCs w:val="22"/>
          <w:lang w:val="fr-BE"/>
        </w:rPr>
        <w:t>.</w:t>
      </w:r>
      <w:r w:rsidR="00C60D21" w:rsidRPr="00E33DEA">
        <w:rPr>
          <w:rStyle w:val="FootnoteReference"/>
          <w:rFonts w:ascii="Arial" w:hAnsi="Arial" w:cs="Arial"/>
          <w:sz w:val="22"/>
          <w:szCs w:val="22"/>
          <w:lang w:val="fr-BE"/>
        </w:rPr>
        <w:footnoteReference w:id="15"/>
      </w:r>
      <w:r w:rsidRPr="00E33DEA">
        <w:rPr>
          <w:rFonts w:ascii="Arial" w:hAnsi="Arial" w:cs="Arial"/>
          <w:sz w:val="22"/>
          <w:szCs w:val="22"/>
          <w:lang w:val="fr-BE"/>
        </w:rPr>
        <w:t xml:space="preserve"> </w:t>
      </w:r>
      <w:r w:rsidR="00603B38" w:rsidRPr="00E33DEA">
        <w:rPr>
          <w:rFonts w:ascii="Arial" w:hAnsi="Arial" w:cs="Arial"/>
          <w:sz w:val="22"/>
          <w:szCs w:val="22"/>
          <w:lang w:val="fr-BE"/>
        </w:rPr>
        <w:t xml:space="preserve">Dans cette </w:t>
      </w:r>
      <w:r w:rsidR="005335CE">
        <w:rPr>
          <w:rFonts w:ascii="Arial" w:hAnsi="Arial" w:cs="Arial"/>
          <w:sz w:val="22"/>
          <w:szCs w:val="22"/>
          <w:lang w:val="fr-BE"/>
        </w:rPr>
        <w:t>a</w:t>
      </w:r>
      <w:r w:rsidR="00603B38" w:rsidRPr="00E33DEA">
        <w:rPr>
          <w:rFonts w:ascii="Arial" w:hAnsi="Arial" w:cs="Arial"/>
          <w:sz w:val="22"/>
          <w:szCs w:val="22"/>
          <w:lang w:val="fr-BE"/>
        </w:rPr>
        <w:t>ffaire</w:t>
      </w:r>
      <w:r w:rsidR="00C60D21" w:rsidRPr="00E33DEA">
        <w:rPr>
          <w:rFonts w:ascii="Arial" w:hAnsi="Arial" w:cs="Arial"/>
          <w:sz w:val="22"/>
          <w:szCs w:val="22"/>
          <w:lang w:val="fr-BE"/>
        </w:rPr>
        <w:t>,</w:t>
      </w:r>
      <w:r w:rsidR="00603B38" w:rsidRPr="00E33DEA">
        <w:rPr>
          <w:rFonts w:ascii="Arial" w:hAnsi="Arial" w:cs="Arial"/>
          <w:sz w:val="22"/>
          <w:szCs w:val="22"/>
          <w:lang w:val="fr-BE"/>
        </w:rPr>
        <w:t xml:space="preserve"> </w:t>
      </w:r>
      <w:r w:rsidR="004F6254">
        <w:rPr>
          <w:rFonts w:ascii="Arial" w:hAnsi="Arial" w:cs="Arial"/>
          <w:sz w:val="22"/>
          <w:szCs w:val="22"/>
          <w:lang w:val="fr-BE"/>
        </w:rPr>
        <w:t xml:space="preserve">un </w:t>
      </w:r>
      <w:r w:rsidR="00603B38" w:rsidRPr="00E33DEA">
        <w:rPr>
          <w:rFonts w:ascii="Arial" w:hAnsi="Arial" w:cs="Arial"/>
          <w:sz w:val="22"/>
          <w:szCs w:val="22"/>
          <w:lang w:val="fr-BE"/>
        </w:rPr>
        <w:t xml:space="preserve">entrepreneur avait l’intention de faire bâtir des immeubles destinés à être revendus avec TVA. Le projet est tombé à l’eau et la Cour a confirmé la position de l’administration suédoise selon laquelle l’assujetti devait réviser les déductions de </w:t>
      </w:r>
      <w:r w:rsidR="004F6254">
        <w:rPr>
          <w:rFonts w:ascii="Arial" w:hAnsi="Arial" w:cs="Arial"/>
          <w:sz w:val="22"/>
          <w:szCs w:val="22"/>
          <w:lang w:val="fr-BE"/>
        </w:rPr>
        <w:t xml:space="preserve">la </w:t>
      </w:r>
      <w:r w:rsidR="00603B38" w:rsidRPr="00E33DEA">
        <w:rPr>
          <w:rFonts w:ascii="Arial" w:hAnsi="Arial" w:cs="Arial"/>
          <w:sz w:val="22"/>
          <w:szCs w:val="22"/>
          <w:lang w:val="fr-BE"/>
        </w:rPr>
        <w:t xml:space="preserve">TVA ayant grevé les </w:t>
      </w:r>
      <w:r w:rsidR="00B87472" w:rsidRPr="00E33DEA">
        <w:rPr>
          <w:rFonts w:ascii="Arial" w:hAnsi="Arial" w:cs="Arial"/>
          <w:sz w:val="22"/>
          <w:szCs w:val="22"/>
          <w:lang w:val="fr-BE"/>
        </w:rPr>
        <w:t xml:space="preserve">achats effectués en lien avec ce projet, c’est-à-dire principalement des </w:t>
      </w:r>
      <w:r w:rsidR="00603B38" w:rsidRPr="00E33DEA">
        <w:rPr>
          <w:rFonts w:ascii="Arial" w:hAnsi="Arial" w:cs="Arial"/>
          <w:sz w:val="22"/>
          <w:szCs w:val="22"/>
          <w:lang w:val="fr-BE"/>
        </w:rPr>
        <w:t>honoraires d’architecte</w:t>
      </w:r>
      <w:r w:rsidR="00B87472" w:rsidRPr="00E33DEA">
        <w:rPr>
          <w:rStyle w:val="FootnoteReference"/>
          <w:rFonts w:ascii="Arial" w:hAnsi="Arial" w:cs="Arial"/>
          <w:sz w:val="22"/>
          <w:szCs w:val="22"/>
          <w:lang w:val="fr-BE"/>
        </w:rPr>
        <w:footnoteReference w:id="16"/>
      </w:r>
      <w:r w:rsidR="00603B38" w:rsidRPr="00E33DEA">
        <w:rPr>
          <w:rFonts w:ascii="Arial" w:hAnsi="Arial" w:cs="Arial"/>
          <w:sz w:val="22"/>
          <w:szCs w:val="22"/>
          <w:lang w:val="fr-BE"/>
        </w:rPr>
        <w:t xml:space="preserve">. </w:t>
      </w:r>
    </w:p>
    <w:p w14:paraId="4946BAA8" w14:textId="77777777" w:rsidR="00C60D21" w:rsidRPr="00E33DEA" w:rsidRDefault="00C60D21" w:rsidP="00694406">
      <w:pPr>
        <w:jc w:val="both"/>
        <w:rPr>
          <w:rFonts w:ascii="Arial" w:hAnsi="Arial" w:cs="Arial"/>
          <w:sz w:val="22"/>
          <w:szCs w:val="22"/>
          <w:lang w:val="fr-BE"/>
        </w:rPr>
      </w:pPr>
    </w:p>
    <w:p w14:paraId="7C4E3D20" w14:textId="593017A6" w:rsidR="009E5D37" w:rsidRDefault="00603B38" w:rsidP="00694406">
      <w:pPr>
        <w:jc w:val="both"/>
        <w:rPr>
          <w:rFonts w:ascii="Arial" w:hAnsi="Arial" w:cs="Arial"/>
          <w:sz w:val="22"/>
          <w:szCs w:val="22"/>
          <w:lang w:val="fr-BE"/>
        </w:rPr>
      </w:pPr>
      <w:r w:rsidRPr="00E33DEA">
        <w:rPr>
          <w:rFonts w:ascii="Arial" w:hAnsi="Arial" w:cs="Arial"/>
          <w:sz w:val="22"/>
          <w:szCs w:val="22"/>
          <w:lang w:val="fr-BE"/>
        </w:rPr>
        <w:t>Les Ordonnances de la Cour, en ce qu’elle ne font en principe que se référer à une jurisprudence bien établie,</w:t>
      </w:r>
      <w:r w:rsidRPr="00E33DEA">
        <w:rPr>
          <w:rStyle w:val="FootnoteReference"/>
          <w:rFonts w:ascii="Arial" w:hAnsi="Arial" w:cs="Arial"/>
          <w:sz w:val="22"/>
          <w:szCs w:val="22"/>
          <w:lang w:val="fr-BE"/>
        </w:rPr>
        <w:footnoteReference w:id="17"/>
      </w:r>
      <w:r w:rsidRPr="00E33DEA">
        <w:rPr>
          <w:rFonts w:ascii="Arial" w:hAnsi="Arial" w:cs="Arial"/>
          <w:sz w:val="22"/>
          <w:szCs w:val="22"/>
          <w:lang w:val="fr-BE"/>
        </w:rPr>
        <w:t xml:space="preserve"> n’attire</w:t>
      </w:r>
      <w:r w:rsidR="00174849">
        <w:rPr>
          <w:rFonts w:ascii="Arial" w:hAnsi="Arial" w:cs="Arial"/>
          <w:sz w:val="22"/>
          <w:szCs w:val="22"/>
          <w:lang w:val="fr-BE"/>
        </w:rPr>
        <w:t>nt</w:t>
      </w:r>
      <w:r w:rsidRPr="00E33DEA">
        <w:rPr>
          <w:rFonts w:ascii="Arial" w:hAnsi="Arial" w:cs="Arial"/>
          <w:sz w:val="22"/>
          <w:szCs w:val="22"/>
          <w:lang w:val="fr-BE"/>
        </w:rPr>
        <w:t xml:space="preserve"> en général pas grande attention</w:t>
      </w:r>
      <w:r w:rsidR="00B87472" w:rsidRPr="00E33DEA">
        <w:rPr>
          <w:rFonts w:ascii="Arial" w:hAnsi="Arial" w:cs="Arial"/>
          <w:sz w:val="22"/>
          <w:szCs w:val="22"/>
          <w:lang w:val="fr-BE"/>
        </w:rPr>
        <w:t xml:space="preserve"> </w:t>
      </w:r>
      <w:r w:rsidR="00624368" w:rsidRPr="00E33DEA">
        <w:rPr>
          <w:rFonts w:ascii="Arial" w:hAnsi="Arial" w:cs="Arial"/>
          <w:sz w:val="22"/>
          <w:szCs w:val="22"/>
          <w:lang w:val="fr-BE"/>
        </w:rPr>
        <w:t xml:space="preserve">et l’on aurait pu espérer </w:t>
      </w:r>
      <w:r w:rsidR="00624368" w:rsidRPr="00E33DEA">
        <w:rPr>
          <w:rFonts w:ascii="Arial" w:hAnsi="Arial" w:cs="Arial"/>
          <w:sz w:val="22"/>
          <w:szCs w:val="22"/>
          <w:lang w:val="fr-BE"/>
        </w:rPr>
        <w:lastRenderedPageBreak/>
        <w:t>que cette ligne de jurisprudence reste lettre morte</w:t>
      </w:r>
      <w:r w:rsidR="00BB09FB" w:rsidRPr="00E33DEA">
        <w:rPr>
          <w:rFonts w:ascii="Arial" w:hAnsi="Arial" w:cs="Arial"/>
          <w:sz w:val="22"/>
          <w:szCs w:val="22"/>
          <w:lang w:val="fr-BE"/>
        </w:rPr>
        <w:t xml:space="preserve">. </w:t>
      </w:r>
      <w:r w:rsidR="00624368" w:rsidRPr="00E33DEA">
        <w:rPr>
          <w:rFonts w:ascii="Arial" w:hAnsi="Arial" w:cs="Arial"/>
          <w:sz w:val="22"/>
          <w:szCs w:val="22"/>
          <w:lang w:val="fr-BE"/>
        </w:rPr>
        <w:t xml:space="preserve">Malheureusement la Cour persiste et signe avec </w:t>
      </w:r>
      <w:r w:rsidR="00BB09FB" w:rsidRPr="00E33DEA">
        <w:rPr>
          <w:rFonts w:ascii="Arial" w:hAnsi="Arial" w:cs="Arial"/>
          <w:sz w:val="22"/>
          <w:szCs w:val="22"/>
          <w:lang w:val="fr-BE"/>
        </w:rPr>
        <w:t xml:space="preserve">son arrêt </w:t>
      </w:r>
      <w:r w:rsidR="00624368" w:rsidRPr="00E33DEA">
        <w:rPr>
          <w:rFonts w:ascii="Arial" w:hAnsi="Arial" w:cs="Arial"/>
          <w:sz w:val="22"/>
          <w:szCs w:val="22"/>
          <w:lang w:val="fr-BE"/>
        </w:rPr>
        <w:t xml:space="preserve">dans l’Affaire </w:t>
      </w:r>
      <w:proofErr w:type="spellStart"/>
      <w:r w:rsidR="00BB09FB" w:rsidRPr="00E33DEA">
        <w:rPr>
          <w:rFonts w:ascii="Arial" w:hAnsi="Arial" w:cs="Arial"/>
          <w:sz w:val="22"/>
          <w:szCs w:val="22"/>
          <w:lang w:val="fr-BE"/>
        </w:rPr>
        <w:t>Vittamed</w:t>
      </w:r>
      <w:proofErr w:type="spellEnd"/>
      <w:r w:rsidR="00624368" w:rsidRPr="00E33DEA">
        <w:rPr>
          <w:rFonts w:ascii="Arial" w:hAnsi="Arial" w:cs="Arial"/>
          <w:sz w:val="22"/>
          <w:szCs w:val="22"/>
          <w:lang w:val="fr-BE"/>
        </w:rPr>
        <w:t xml:space="preserve"> (</w:t>
      </w:r>
      <w:r w:rsidR="00E33DEA" w:rsidRPr="00E33DEA">
        <w:rPr>
          <w:rFonts w:ascii="Arial" w:hAnsi="Arial" w:cs="Arial"/>
          <w:sz w:val="22"/>
          <w:szCs w:val="22"/>
          <w:lang w:val="fr-BE"/>
        </w:rPr>
        <w:t xml:space="preserve">arrêt </w:t>
      </w:r>
      <w:r w:rsidR="00624368" w:rsidRPr="00E33DEA">
        <w:rPr>
          <w:rFonts w:ascii="Arial" w:hAnsi="Arial" w:cs="Arial"/>
          <w:sz w:val="22"/>
          <w:szCs w:val="22"/>
          <w:lang w:val="fr-BE"/>
        </w:rPr>
        <w:t>rendu par trois juges et sans l’opinion d’un Avoca</w:t>
      </w:r>
      <w:r w:rsidR="00C60D21" w:rsidRPr="00E33DEA">
        <w:rPr>
          <w:rFonts w:ascii="Arial" w:hAnsi="Arial" w:cs="Arial"/>
          <w:sz w:val="22"/>
          <w:szCs w:val="22"/>
          <w:lang w:val="fr-BE"/>
        </w:rPr>
        <w:t>t</w:t>
      </w:r>
      <w:r w:rsidR="00624368" w:rsidRPr="00E33DEA">
        <w:rPr>
          <w:rFonts w:ascii="Arial" w:hAnsi="Arial" w:cs="Arial"/>
          <w:sz w:val="22"/>
          <w:szCs w:val="22"/>
          <w:lang w:val="fr-BE"/>
        </w:rPr>
        <w:t xml:space="preserve"> Général)</w:t>
      </w:r>
      <w:r w:rsidR="00BB09FB" w:rsidRPr="00E33DEA">
        <w:rPr>
          <w:rFonts w:ascii="Arial" w:hAnsi="Arial" w:cs="Arial"/>
          <w:sz w:val="22"/>
          <w:szCs w:val="22"/>
          <w:lang w:val="fr-BE"/>
        </w:rPr>
        <w:t>.</w:t>
      </w:r>
      <w:r w:rsidR="00B04873" w:rsidRPr="00E33DEA">
        <w:rPr>
          <w:rFonts w:ascii="Arial" w:hAnsi="Arial" w:cs="Arial"/>
          <w:sz w:val="22"/>
          <w:szCs w:val="22"/>
          <w:lang w:val="fr-BE"/>
        </w:rPr>
        <w:t xml:space="preserve"> </w:t>
      </w:r>
    </w:p>
    <w:p w14:paraId="724DD101" w14:textId="77777777" w:rsidR="009E5D37" w:rsidRDefault="009E5D37" w:rsidP="00694406">
      <w:pPr>
        <w:jc w:val="both"/>
        <w:rPr>
          <w:rFonts w:ascii="Arial" w:hAnsi="Arial" w:cs="Arial"/>
          <w:sz w:val="22"/>
          <w:szCs w:val="22"/>
          <w:lang w:val="fr-BE"/>
        </w:rPr>
      </w:pPr>
    </w:p>
    <w:p w14:paraId="36953946" w14:textId="03327B51" w:rsidR="00B36246" w:rsidRPr="00E33DEA" w:rsidRDefault="00DA311A" w:rsidP="00694406">
      <w:pPr>
        <w:jc w:val="both"/>
        <w:rPr>
          <w:rFonts w:ascii="Arial" w:hAnsi="Arial" w:cs="Arial"/>
          <w:sz w:val="22"/>
          <w:szCs w:val="22"/>
          <w:lang w:val="fr-BE"/>
        </w:rPr>
      </w:pPr>
      <w:r>
        <w:rPr>
          <w:rFonts w:ascii="Arial" w:hAnsi="Arial" w:cs="Arial"/>
          <w:sz w:val="22"/>
          <w:szCs w:val="22"/>
          <w:lang w:val="fr-BE"/>
        </w:rPr>
        <w:t xml:space="preserve">L’affaire </w:t>
      </w:r>
      <w:proofErr w:type="spellStart"/>
      <w:r>
        <w:rPr>
          <w:rFonts w:ascii="Arial" w:hAnsi="Arial" w:cs="Arial"/>
          <w:sz w:val="22"/>
          <w:szCs w:val="22"/>
          <w:lang w:val="fr-BE"/>
        </w:rPr>
        <w:t>Vittamed</w:t>
      </w:r>
      <w:proofErr w:type="spellEnd"/>
      <w:r w:rsidR="004F6254">
        <w:rPr>
          <w:rFonts w:ascii="Arial" w:hAnsi="Arial" w:cs="Arial"/>
          <w:sz w:val="22"/>
          <w:szCs w:val="22"/>
          <w:lang w:val="fr-BE"/>
        </w:rPr>
        <w:t xml:space="preserve"> affaire concerne </w:t>
      </w:r>
      <w:r w:rsidR="00B04873" w:rsidRPr="00E33DEA">
        <w:rPr>
          <w:rFonts w:ascii="Arial" w:hAnsi="Arial" w:cs="Arial"/>
          <w:sz w:val="22"/>
          <w:szCs w:val="22"/>
          <w:lang w:val="fr-BE"/>
        </w:rPr>
        <w:t xml:space="preserve">une société </w:t>
      </w:r>
      <w:r w:rsidR="00C60D21" w:rsidRPr="00E33DEA">
        <w:rPr>
          <w:rFonts w:ascii="Arial" w:hAnsi="Arial" w:cs="Arial"/>
          <w:sz w:val="22"/>
          <w:szCs w:val="22"/>
          <w:lang w:val="fr-BE"/>
        </w:rPr>
        <w:t xml:space="preserve">lithuanienne </w:t>
      </w:r>
      <w:r w:rsidR="00B04873" w:rsidRPr="00E33DEA">
        <w:rPr>
          <w:rFonts w:ascii="Arial" w:hAnsi="Arial" w:cs="Arial"/>
          <w:sz w:val="22"/>
          <w:szCs w:val="22"/>
          <w:lang w:val="fr-BE"/>
        </w:rPr>
        <w:t>active dans le domaine de la recherche médicale</w:t>
      </w:r>
      <w:r w:rsidR="004F6254">
        <w:rPr>
          <w:rFonts w:ascii="Arial" w:hAnsi="Arial" w:cs="Arial"/>
          <w:sz w:val="22"/>
          <w:szCs w:val="22"/>
          <w:lang w:val="fr-BE"/>
        </w:rPr>
        <w:t xml:space="preserve"> qui </w:t>
      </w:r>
      <w:r w:rsidR="00B04873" w:rsidRPr="00E33DEA">
        <w:rPr>
          <w:rFonts w:ascii="Arial" w:hAnsi="Arial" w:cs="Arial"/>
          <w:sz w:val="22"/>
          <w:szCs w:val="22"/>
          <w:lang w:val="fr-BE"/>
        </w:rPr>
        <w:t xml:space="preserve">avait obtenu un financement européen </w:t>
      </w:r>
      <w:r w:rsidR="00B87472" w:rsidRPr="00E33DEA">
        <w:rPr>
          <w:rFonts w:ascii="Arial" w:hAnsi="Arial" w:cs="Arial"/>
          <w:sz w:val="22"/>
          <w:szCs w:val="22"/>
          <w:lang w:val="fr-BE"/>
        </w:rPr>
        <w:t>pour</w:t>
      </w:r>
      <w:r w:rsidR="00B04873" w:rsidRPr="00E33DEA">
        <w:rPr>
          <w:rFonts w:ascii="Arial" w:hAnsi="Arial" w:cs="Arial"/>
          <w:sz w:val="22"/>
          <w:szCs w:val="22"/>
          <w:lang w:val="fr-BE"/>
        </w:rPr>
        <w:t xml:space="preserve"> </w:t>
      </w:r>
      <w:r w:rsidR="004F6254">
        <w:rPr>
          <w:rFonts w:ascii="Arial" w:hAnsi="Arial" w:cs="Arial"/>
          <w:sz w:val="22"/>
          <w:szCs w:val="22"/>
          <w:lang w:val="fr-BE"/>
        </w:rPr>
        <w:t>le développement</w:t>
      </w:r>
      <w:r w:rsidR="00B04873" w:rsidRPr="00E33DEA">
        <w:rPr>
          <w:rFonts w:ascii="Arial" w:hAnsi="Arial" w:cs="Arial"/>
          <w:sz w:val="22"/>
          <w:szCs w:val="22"/>
          <w:lang w:val="fr-BE"/>
        </w:rPr>
        <w:t xml:space="preserve"> d</w:t>
      </w:r>
      <w:r w:rsidR="004F6254">
        <w:rPr>
          <w:rFonts w:ascii="Arial" w:hAnsi="Arial" w:cs="Arial"/>
          <w:sz w:val="22"/>
          <w:szCs w:val="22"/>
          <w:lang w:val="fr-BE"/>
        </w:rPr>
        <w:t>’</w:t>
      </w:r>
      <w:r w:rsidR="00B04873" w:rsidRPr="00E33DEA">
        <w:rPr>
          <w:rFonts w:ascii="Arial" w:hAnsi="Arial" w:cs="Arial"/>
          <w:sz w:val="22"/>
          <w:szCs w:val="22"/>
          <w:lang w:val="fr-BE"/>
        </w:rPr>
        <w:t>outils de diagnostic. La société avait exposé une série de frais en 2012 et 2013 en vue de produire</w:t>
      </w:r>
      <w:r w:rsidR="00D74728">
        <w:rPr>
          <w:rFonts w:ascii="Arial" w:hAnsi="Arial" w:cs="Arial"/>
          <w:sz w:val="22"/>
          <w:szCs w:val="22"/>
          <w:lang w:val="fr-BE"/>
        </w:rPr>
        <w:t>,</w:t>
      </w:r>
      <w:r w:rsidR="00B04873" w:rsidRPr="00E33DEA">
        <w:rPr>
          <w:rFonts w:ascii="Arial" w:hAnsi="Arial" w:cs="Arial"/>
          <w:sz w:val="22"/>
          <w:szCs w:val="22"/>
          <w:lang w:val="fr-BE"/>
        </w:rPr>
        <w:t xml:space="preserve"> dans un premier temps</w:t>
      </w:r>
      <w:r w:rsidR="00D74728">
        <w:rPr>
          <w:rFonts w:ascii="Arial" w:hAnsi="Arial" w:cs="Arial"/>
          <w:sz w:val="22"/>
          <w:szCs w:val="22"/>
          <w:lang w:val="fr-BE"/>
        </w:rPr>
        <w:t>,</w:t>
      </w:r>
      <w:r w:rsidR="00B04873" w:rsidRPr="00E33DEA">
        <w:rPr>
          <w:rFonts w:ascii="Arial" w:hAnsi="Arial" w:cs="Arial"/>
          <w:sz w:val="22"/>
          <w:szCs w:val="22"/>
          <w:lang w:val="fr-BE"/>
        </w:rPr>
        <w:t xml:space="preserve"> des prototypes et d’obtenir des brevets. Dès 2014</w:t>
      </w:r>
      <w:r w:rsidR="00D74728">
        <w:rPr>
          <w:rFonts w:ascii="Arial" w:hAnsi="Arial" w:cs="Arial"/>
          <w:sz w:val="22"/>
          <w:szCs w:val="22"/>
          <w:lang w:val="fr-BE"/>
        </w:rPr>
        <w:t>,</w:t>
      </w:r>
      <w:r w:rsidR="00B04873" w:rsidRPr="00E33DEA">
        <w:rPr>
          <w:rFonts w:ascii="Arial" w:hAnsi="Arial" w:cs="Arial"/>
          <w:sz w:val="22"/>
          <w:szCs w:val="22"/>
          <w:lang w:val="fr-BE"/>
        </w:rPr>
        <w:t xml:space="preserve"> la société était en déficit et en 2015 </w:t>
      </w:r>
      <w:r w:rsidR="0009590D">
        <w:rPr>
          <w:rFonts w:ascii="Arial" w:hAnsi="Arial" w:cs="Arial"/>
          <w:sz w:val="22"/>
          <w:szCs w:val="22"/>
          <w:lang w:val="fr-BE"/>
        </w:rPr>
        <w:t xml:space="preserve">son </w:t>
      </w:r>
      <w:r w:rsidR="00B04873" w:rsidRPr="00E33DEA">
        <w:rPr>
          <w:rFonts w:ascii="Arial" w:hAnsi="Arial" w:cs="Arial"/>
          <w:sz w:val="22"/>
          <w:szCs w:val="22"/>
          <w:lang w:val="fr-BE"/>
        </w:rPr>
        <w:t xml:space="preserve">actionnaire </w:t>
      </w:r>
      <w:r w:rsidR="0009590D">
        <w:rPr>
          <w:rFonts w:ascii="Arial" w:hAnsi="Arial" w:cs="Arial"/>
          <w:sz w:val="22"/>
          <w:szCs w:val="22"/>
          <w:lang w:val="fr-BE"/>
        </w:rPr>
        <w:t xml:space="preserve">unique </w:t>
      </w:r>
      <w:r w:rsidR="00B04873" w:rsidRPr="00E33DEA">
        <w:rPr>
          <w:rFonts w:ascii="Arial" w:hAnsi="Arial" w:cs="Arial"/>
          <w:sz w:val="22"/>
          <w:szCs w:val="22"/>
          <w:lang w:val="fr-BE"/>
        </w:rPr>
        <w:t>a</w:t>
      </w:r>
      <w:r w:rsidR="00B87472" w:rsidRPr="00E33DEA">
        <w:rPr>
          <w:rFonts w:ascii="Arial" w:hAnsi="Arial" w:cs="Arial"/>
          <w:sz w:val="22"/>
          <w:szCs w:val="22"/>
          <w:lang w:val="fr-BE"/>
        </w:rPr>
        <w:t>vait</w:t>
      </w:r>
      <w:r w:rsidR="00B04873" w:rsidRPr="00E33DEA">
        <w:rPr>
          <w:rFonts w:ascii="Arial" w:hAnsi="Arial" w:cs="Arial"/>
          <w:sz w:val="22"/>
          <w:szCs w:val="22"/>
          <w:lang w:val="fr-BE"/>
        </w:rPr>
        <w:t xml:space="preserve"> décidé de mettre la société en liquidatio</w:t>
      </w:r>
      <w:r w:rsidR="005335CE">
        <w:rPr>
          <w:rFonts w:ascii="Arial" w:hAnsi="Arial" w:cs="Arial"/>
          <w:sz w:val="22"/>
          <w:szCs w:val="22"/>
          <w:lang w:val="fr-BE"/>
        </w:rPr>
        <w:t>n</w:t>
      </w:r>
      <w:r w:rsidR="00B04873" w:rsidRPr="00E33DEA">
        <w:rPr>
          <w:rFonts w:ascii="Arial" w:hAnsi="Arial" w:cs="Arial"/>
          <w:sz w:val="22"/>
          <w:szCs w:val="22"/>
          <w:lang w:val="fr-BE"/>
        </w:rPr>
        <w:t xml:space="preserve">. En 2019, </w:t>
      </w:r>
      <w:r w:rsidR="00B36246" w:rsidRPr="00E33DEA">
        <w:rPr>
          <w:rFonts w:ascii="Arial" w:hAnsi="Arial" w:cs="Arial"/>
          <w:sz w:val="22"/>
          <w:szCs w:val="22"/>
          <w:lang w:val="fr-BE"/>
        </w:rPr>
        <w:t xml:space="preserve">l’administration </w:t>
      </w:r>
      <w:r w:rsidR="00D74728">
        <w:rPr>
          <w:rFonts w:ascii="Arial" w:hAnsi="Arial" w:cs="Arial"/>
          <w:sz w:val="22"/>
          <w:szCs w:val="22"/>
          <w:lang w:val="fr-BE"/>
        </w:rPr>
        <w:t>lithuanienne</w:t>
      </w:r>
      <w:r w:rsidR="00B36246" w:rsidRPr="00E33DEA">
        <w:rPr>
          <w:rFonts w:ascii="Arial" w:hAnsi="Arial" w:cs="Arial"/>
          <w:sz w:val="22"/>
          <w:szCs w:val="22"/>
          <w:lang w:val="fr-BE"/>
        </w:rPr>
        <w:t xml:space="preserve"> a décidé que la société aurait dû procéder à des révisions de la TVA déduite en 2012 et 2013 dans la mesure où elle n’avait jamais pu utiliser </w:t>
      </w:r>
      <w:r w:rsidR="00624368" w:rsidRPr="00E33DEA">
        <w:rPr>
          <w:rFonts w:ascii="Arial" w:hAnsi="Arial" w:cs="Arial"/>
          <w:sz w:val="22"/>
          <w:szCs w:val="22"/>
          <w:lang w:val="fr-BE"/>
        </w:rPr>
        <w:t xml:space="preserve">les </w:t>
      </w:r>
      <w:r w:rsidR="002073C3" w:rsidRPr="00E33DEA">
        <w:rPr>
          <w:rFonts w:ascii="Arial" w:hAnsi="Arial" w:cs="Arial"/>
          <w:sz w:val="22"/>
          <w:szCs w:val="22"/>
          <w:lang w:val="fr-BE"/>
        </w:rPr>
        <w:t xml:space="preserve">biens et services obtenus </w:t>
      </w:r>
      <w:r w:rsidR="00B36246" w:rsidRPr="00E33DEA">
        <w:rPr>
          <w:rFonts w:ascii="Arial" w:hAnsi="Arial" w:cs="Arial"/>
          <w:sz w:val="22"/>
          <w:szCs w:val="22"/>
          <w:lang w:val="fr-BE"/>
        </w:rPr>
        <w:t>pour effectuer des opérations taxées</w:t>
      </w:r>
      <w:r w:rsidR="00624368" w:rsidRPr="00E33DEA">
        <w:rPr>
          <w:rFonts w:ascii="Arial" w:hAnsi="Arial" w:cs="Arial"/>
          <w:sz w:val="22"/>
          <w:szCs w:val="22"/>
          <w:lang w:val="fr-BE"/>
        </w:rPr>
        <w:t>,</w:t>
      </w:r>
      <w:r w:rsidR="00B36246" w:rsidRPr="00E33DEA">
        <w:rPr>
          <w:rFonts w:ascii="Arial" w:hAnsi="Arial" w:cs="Arial"/>
          <w:sz w:val="22"/>
          <w:szCs w:val="22"/>
          <w:lang w:val="fr-BE"/>
        </w:rPr>
        <w:t xml:space="preserve"> et </w:t>
      </w:r>
      <w:r w:rsidR="00624368" w:rsidRPr="00E33DEA">
        <w:rPr>
          <w:rFonts w:ascii="Arial" w:hAnsi="Arial" w:cs="Arial"/>
          <w:sz w:val="22"/>
          <w:szCs w:val="22"/>
          <w:lang w:val="fr-BE"/>
        </w:rPr>
        <w:t xml:space="preserve">qu’elle </w:t>
      </w:r>
      <w:r w:rsidR="00B36246" w:rsidRPr="00E33DEA">
        <w:rPr>
          <w:rFonts w:ascii="Arial" w:hAnsi="Arial" w:cs="Arial"/>
          <w:sz w:val="22"/>
          <w:szCs w:val="22"/>
          <w:lang w:val="fr-BE"/>
        </w:rPr>
        <w:t>ne serait jamais plus en mesure de le faire au vu de sa liquidation.</w:t>
      </w:r>
    </w:p>
    <w:p w14:paraId="774A3E45" w14:textId="77777777" w:rsidR="00B36246" w:rsidRPr="00E33DEA" w:rsidRDefault="00B36246" w:rsidP="00694406">
      <w:pPr>
        <w:jc w:val="both"/>
        <w:rPr>
          <w:rFonts w:ascii="Arial" w:hAnsi="Arial" w:cs="Arial"/>
          <w:sz w:val="22"/>
          <w:szCs w:val="22"/>
          <w:lang w:val="fr-BE"/>
        </w:rPr>
      </w:pPr>
    </w:p>
    <w:p w14:paraId="61C57248" w14:textId="0BF219D4" w:rsidR="006B63BF" w:rsidRPr="008C4B99" w:rsidRDefault="00B36246" w:rsidP="00694406">
      <w:pPr>
        <w:jc w:val="both"/>
        <w:rPr>
          <w:rFonts w:ascii="Arial" w:hAnsi="Arial" w:cs="Arial"/>
          <w:sz w:val="22"/>
          <w:szCs w:val="22"/>
          <w:lang w:val="fr-BE"/>
        </w:rPr>
      </w:pPr>
      <w:r w:rsidRPr="00E33DEA">
        <w:rPr>
          <w:rFonts w:ascii="Arial" w:hAnsi="Arial" w:cs="Arial"/>
          <w:sz w:val="22"/>
          <w:szCs w:val="22"/>
          <w:lang w:val="fr-BE"/>
        </w:rPr>
        <w:t>La Cour a donné raison à l’</w:t>
      </w:r>
      <w:r w:rsidR="00906B01" w:rsidRPr="00E33DEA">
        <w:rPr>
          <w:rFonts w:ascii="Arial" w:hAnsi="Arial" w:cs="Arial"/>
          <w:sz w:val="22"/>
          <w:szCs w:val="22"/>
          <w:lang w:val="fr-BE"/>
        </w:rPr>
        <w:t>administration</w:t>
      </w:r>
      <w:r w:rsidR="00FC5DAF" w:rsidRPr="00E33DEA">
        <w:rPr>
          <w:rFonts w:ascii="Arial" w:hAnsi="Arial" w:cs="Arial"/>
          <w:sz w:val="22"/>
          <w:szCs w:val="22"/>
          <w:lang w:val="fr-BE"/>
        </w:rPr>
        <w:t xml:space="preserve"> </w:t>
      </w:r>
      <w:r w:rsidR="00D74728">
        <w:rPr>
          <w:rFonts w:ascii="Arial" w:hAnsi="Arial" w:cs="Arial"/>
          <w:sz w:val="22"/>
          <w:szCs w:val="22"/>
          <w:lang w:val="fr-BE"/>
        </w:rPr>
        <w:t>lithuanienne</w:t>
      </w:r>
      <w:r w:rsidR="003A3F78">
        <w:rPr>
          <w:rFonts w:ascii="Arial" w:hAnsi="Arial" w:cs="Arial"/>
          <w:sz w:val="22"/>
          <w:szCs w:val="22"/>
          <w:lang w:val="fr-BE"/>
        </w:rPr>
        <w:t>. Elle</w:t>
      </w:r>
      <w:r w:rsidR="00D74728" w:rsidRPr="00E33DEA">
        <w:rPr>
          <w:rFonts w:ascii="Arial" w:hAnsi="Arial" w:cs="Arial"/>
          <w:sz w:val="22"/>
          <w:szCs w:val="22"/>
          <w:lang w:val="fr-BE"/>
        </w:rPr>
        <w:t xml:space="preserve"> </w:t>
      </w:r>
      <w:r w:rsidR="003A3F78">
        <w:rPr>
          <w:rFonts w:ascii="Arial" w:hAnsi="Arial" w:cs="Arial"/>
          <w:sz w:val="22"/>
          <w:szCs w:val="22"/>
          <w:lang w:val="fr-BE"/>
        </w:rPr>
        <w:t>a estimé</w:t>
      </w:r>
      <w:r w:rsidR="00FC5DAF" w:rsidRPr="00E33DEA">
        <w:rPr>
          <w:rFonts w:ascii="Arial" w:hAnsi="Arial" w:cs="Arial"/>
          <w:sz w:val="22"/>
          <w:szCs w:val="22"/>
          <w:lang w:val="fr-BE"/>
        </w:rPr>
        <w:t xml:space="preserve"> que dans la mesure où il était établi que l’assujetti n’effectuerait plus d’opérations taxées, « </w:t>
      </w:r>
      <w:r w:rsidR="00FC5DAF" w:rsidRPr="00DA311A">
        <w:rPr>
          <w:rFonts w:ascii="Arial" w:hAnsi="Arial" w:cs="Arial"/>
          <w:i/>
          <w:iCs/>
          <w:color w:val="000000"/>
          <w:sz w:val="22"/>
          <w:szCs w:val="22"/>
        </w:rPr>
        <w:t>la relation étroite et directe devant exister entre le droit à déduction de la TVA payée en amont et la réalisation d’opérations taxées envisagées est rompue, et elle doit donner lieu à l’application du mécanisme de régularisation</w:t>
      </w:r>
      <w:r w:rsidR="00FC5DAF" w:rsidRPr="00E33DEA">
        <w:rPr>
          <w:rFonts w:ascii="Arial" w:hAnsi="Arial" w:cs="Arial"/>
          <w:color w:val="000000"/>
          <w:sz w:val="22"/>
          <w:szCs w:val="22"/>
          <w:lang w:val="fr-BE"/>
        </w:rPr>
        <w:t>”</w:t>
      </w:r>
      <w:r w:rsidRPr="00E33DEA">
        <w:rPr>
          <w:rFonts w:ascii="Arial" w:hAnsi="Arial" w:cs="Arial"/>
          <w:sz w:val="22"/>
          <w:szCs w:val="22"/>
          <w:lang w:val="fr-BE"/>
        </w:rPr>
        <w:t>.</w:t>
      </w:r>
      <w:r w:rsidR="00FC5DAF" w:rsidRPr="00E33DEA">
        <w:rPr>
          <w:rStyle w:val="FootnoteReference"/>
          <w:rFonts w:ascii="Arial" w:hAnsi="Arial" w:cs="Arial"/>
          <w:sz w:val="22"/>
          <w:szCs w:val="22"/>
          <w:lang w:val="fr-BE"/>
        </w:rPr>
        <w:footnoteReference w:id="18"/>
      </w:r>
      <w:r w:rsidRPr="00E33DEA">
        <w:rPr>
          <w:rFonts w:ascii="Arial" w:hAnsi="Arial" w:cs="Arial"/>
          <w:sz w:val="22"/>
          <w:szCs w:val="22"/>
          <w:lang w:val="fr-BE"/>
        </w:rPr>
        <w:t xml:space="preserve"> Elle a précisé qu</w:t>
      </w:r>
      <w:r w:rsidR="00EC4CA2" w:rsidRPr="00E33DEA">
        <w:rPr>
          <w:rFonts w:ascii="Arial" w:hAnsi="Arial" w:cs="Arial"/>
          <w:sz w:val="22"/>
          <w:szCs w:val="22"/>
          <w:lang w:val="fr-BE"/>
        </w:rPr>
        <w:t>’il n’y aurait pas eu d</w:t>
      </w:r>
      <w:r w:rsidRPr="00E33DEA">
        <w:rPr>
          <w:rFonts w:ascii="Arial" w:hAnsi="Arial" w:cs="Arial"/>
          <w:sz w:val="22"/>
          <w:szCs w:val="22"/>
          <w:lang w:val="fr-BE"/>
        </w:rPr>
        <w:t>’obligation de procéder à des révisions si la société avait revendu les biens d’investissements constitu</w:t>
      </w:r>
      <w:r w:rsidR="00EC4CA2" w:rsidRPr="00E33DEA">
        <w:rPr>
          <w:rFonts w:ascii="Arial" w:hAnsi="Arial" w:cs="Arial"/>
          <w:sz w:val="22"/>
          <w:szCs w:val="22"/>
          <w:lang w:val="fr-BE"/>
        </w:rPr>
        <w:t>é</w:t>
      </w:r>
      <w:r w:rsidRPr="00E33DEA">
        <w:rPr>
          <w:rFonts w:ascii="Arial" w:hAnsi="Arial" w:cs="Arial"/>
          <w:sz w:val="22"/>
          <w:szCs w:val="22"/>
          <w:lang w:val="fr-BE"/>
        </w:rPr>
        <w:t xml:space="preserve"> (à savoir les quelques prototypes développés et les brevets). Cette précision constitue une maigre consolation. On parle pas ici de stocks de matériel</w:t>
      </w:r>
      <w:r w:rsidR="00D74728">
        <w:rPr>
          <w:rFonts w:ascii="Arial" w:hAnsi="Arial" w:cs="Arial"/>
          <w:sz w:val="22"/>
          <w:szCs w:val="22"/>
          <w:lang w:val="fr-BE"/>
        </w:rPr>
        <w:t>,</w:t>
      </w:r>
      <w:r w:rsidRPr="00E33DEA">
        <w:rPr>
          <w:rFonts w:ascii="Arial" w:hAnsi="Arial" w:cs="Arial"/>
          <w:sz w:val="22"/>
          <w:szCs w:val="22"/>
          <w:lang w:val="fr-BE"/>
        </w:rPr>
        <w:t xml:space="preserve"> mais bien de prototypes n’ayant jamais donné lieu à la fabrication de matériel vendable et d’un brevet </w:t>
      </w:r>
      <w:r w:rsidR="00D74728">
        <w:rPr>
          <w:rFonts w:ascii="Arial" w:hAnsi="Arial" w:cs="Arial"/>
          <w:sz w:val="22"/>
          <w:szCs w:val="22"/>
          <w:lang w:val="fr-BE"/>
        </w:rPr>
        <w:t xml:space="preserve">relatif à ces prototypes </w:t>
      </w:r>
      <w:r w:rsidRPr="00E33DEA">
        <w:rPr>
          <w:rFonts w:ascii="Arial" w:hAnsi="Arial" w:cs="Arial"/>
          <w:sz w:val="22"/>
          <w:szCs w:val="22"/>
          <w:lang w:val="fr-BE"/>
        </w:rPr>
        <w:t xml:space="preserve">(dont </w:t>
      </w:r>
      <w:r w:rsidR="00D74728">
        <w:rPr>
          <w:rFonts w:ascii="Arial" w:hAnsi="Arial" w:cs="Arial"/>
          <w:sz w:val="22"/>
          <w:szCs w:val="22"/>
          <w:lang w:val="fr-BE"/>
        </w:rPr>
        <w:t>la possibilité de</w:t>
      </w:r>
      <w:r w:rsidRPr="00E33DEA">
        <w:rPr>
          <w:rFonts w:ascii="Arial" w:hAnsi="Arial" w:cs="Arial"/>
          <w:sz w:val="22"/>
          <w:szCs w:val="22"/>
          <w:lang w:val="fr-BE"/>
        </w:rPr>
        <w:t xml:space="preserve"> reven</w:t>
      </w:r>
      <w:r w:rsidR="00D74728">
        <w:rPr>
          <w:rFonts w:ascii="Arial" w:hAnsi="Arial" w:cs="Arial"/>
          <w:sz w:val="22"/>
          <w:szCs w:val="22"/>
          <w:lang w:val="fr-BE"/>
        </w:rPr>
        <w:t>t</w:t>
      </w:r>
      <w:r w:rsidRPr="00E33DEA">
        <w:rPr>
          <w:rFonts w:ascii="Arial" w:hAnsi="Arial" w:cs="Arial"/>
          <w:sz w:val="22"/>
          <w:szCs w:val="22"/>
          <w:lang w:val="fr-BE"/>
        </w:rPr>
        <w:t>e</w:t>
      </w:r>
      <w:r w:rsidR="00D74728">
        <w:rPr>
          <w:rFonts w:ascii="Arial" w:hAnsi="Arial" w:cs="Arial"/>
          <w:sz w:val="22"/>
          <w:szCs w:val="22"/>
          <w:lang w:val="fr-BE"/>
        </w:rPr>
        <w:t xml:space="preserve"> était donc quasiment nulle</w:t>
      </w:r>
      <w:r w:rsidRPr="00E33DEA">
        <w:rPr>
          <w:rFonts w:ascii="Arial" w:hAnsi="Arial" w:cs="Arial"/>
          <w:sz w:val="22"/>
          <w:szCs w:val="22"/>
          <w:lang w:val="fr-BE"/>
        </w:rPr>
        <w:t xml:space="preserve">). </w:t>
      </w:r>
      <w:r w:rsidR="0009590D">
        <w:rPr>
          <w:rFonts w:ascii="Arial" w:hAnsi="Arial" w:cs="Arial"/>
          <w:sz w:val="22"/>
          <w:szCs w:val="22"/>
          <w:lang w:val="fr-BE"/>
        </w:rPr>
        <w:t xml:space="preserve">Rappelons également que dans la précédente affaire </w:t>
      </w:r>
      <w:r w:rsidR="0009590D" w:rsidRPr="00E33DEA">
        <w:rPr>
          <w:rFonts w:ascii="Arial" w:hAnsi="Arial" w:cs="Arial"/>
          <w:sz w:val="22"/>
          <w:szCs w:val="22"/>
          <w:lang w:val="fr-BE"/>
        </w:rPr>
        <w:t xml:space="preserve">Skellefteå </w:t>
      </w:r>
      <w:proofErr w:type="spellStart"/>
      <w:r w:rsidR="0009590D" w:rsidRPr="00E33DEA">
        <w:rPr>
          <w:rFonts w:ascii="Arial" w:hAnsi="Arial" w:cs="Arial"/>
          <w:sz w:val="22"/>
          <w:szCs w:val="22"/>
          <w:lang w:val="fr-BE"/>
        </w:rPr>
        <w:t>Industrihus</w:t>
      </w:r>
      <w:proofErr w:type="spellEnd"/>
      <w:r w:rsidR="0009590D" w:rsidRPr="00E33DEA">
        <w:rPr>
          <w:rFonts w:ascii="Arial" w:hAnsi="Arial" w:cs="Arial"/>
          <w:sz w:val="22"/>
          <w:szCs w:val="22"/>
          <w:lang w:val="fr-BE"/>
        </w:rPr>
        <w:t xml:space="preserve"> AB</w:t>
      </w:r>
      <w:r w:rsidR="0009590D">
        <w:rPr>
          <w:rFonts w:ascii="Arial" w:hAnsi="Arial" w:cs="Arial"/>
          <w:sz w:val="22"/>
          <w:szCs w:val="22"/>
          <w:lang w:val="fr-BE"/>
        </w:rPr>
        <w:t>, l</w:t>
      </w:r>
      <w:r w:rsidR="00DA311A">
        <w:rPr>
          <w:rFonts w:ascii="Arial" w:hAnsi="Arial" w:cs="Arial"/>
          <w:sz w:val="22"/>
          <w:szCs w:val="22"/>
          <w:lang w:val="fr-BE"/>
        </w:rPr>
        <w:t>’exigence de</w:t>
      </w:r>
      <w:r w:rsidR="0009590D">
        <w:rPr>
          <w:rFonts w:ascii="Arial" w:hAnsi="Arial" w:cs="Arial"/>
          <w:sz w:val="22"/>
          <w:szCs w:val="22"/>
          <w:lang w:val="fr-BE"/>
        </w:rPr>
        <w:t xml:space="preserve"> </w:t>
      </w:r>
      <w:r w:rsidR="005335CE">
        <w:rPr>
          <w:rFonts w:ascii="Arial" w:hAnsi="Arial" w:cs="Arial"/>
          <w:sz w:val="22"/>
          <w:szCs w:val="22"/>
          <w:lang w:val="fr-BE"/>
        </w:rPr>
        <w:t xml:space="preserve">révision </w:t>
      </w:r>
      <w:r w:rsidR="0009590D">
        <w:rPr>
          <w:rFonts w:ascii="Arial" w:hAnsi="Arial" w:cs="Arial"/>
          <w:sz w:val="22"/>
          <w:szCs w:val="22"/>
          <w:lang w:val="fr-BE"/>
        </w:rPr>
        <w:t>port</w:t>
      </w:r>
      <w:r w:rsidR="00DA311A">
        <w:rPr>
          <w:rFonts w:ascii="Arial" w:hAnsi="Arial" w:cs="Arial"/>
          <w:sz w:val="22"/>
          <w:szCs w:val="22"/>
          <w:lang w:val="fr-BE"/>
        </w:rPr>
        <w:t>ait</w:t>
      </w:r>
      <w:r w:rsidR="0009590D">
        <w:rPr>
          <w:rFonts w:ascii="Arial" w:hAnsi="Arial" w:cs="Arial"/>
          <w:sz w:val="22"/>
          <w:szCs w:val="22"/>
          <w:lang w:val="fr-BE"/>
        </w:rPr>
        <w:t xml:space="preserve"> sur des honoraires d’architecte (dont on n’aperçoit pas comment ils pourraient être « revendus »).</w:t>
      </w:r>
      <w:r w:rsidR="00A02390">
        <w:rPr>
          <w:rFonts w:ascii="Arial" w:hAnsi="Arial" w:cs="Arial"/>
          <w:sz w:val="22"/>
          <w:szCs w:val="22"/>
          <w:lang w:val="fr-BE"/>
        </w:rPr>
        <w:t xml:space="preserve"> </w:t>
      </w:r>
    </w:p>
    <w:p w14:paraId="76C022F6" w14:textId="77777777" w:rsidR="00B36246" w:rsidRPr="00E33DEA" w:rsidRDefault="00B36246" w:rsidP="00694406">
      <w:pPr>
        <w:jc w:val="both"/>
        <w:rPr>
          <w:rFonts w:ascii="Arial" w:hAnsi="Arial" w:cs="Arial"/>
          <w:sz w:val="22"/>
          <w:szCs w:val="22"/>
          <w:lang w:val="fr-BE"/>
        </w:rPr>
      </w:pPr>
    </w:p>
    <w:p w14:paraId="375B7B18" w14:textId="3E422974" w:rsidR="00B87472" w:rsidRPr="00E33DEA" w:rsidRDefault="00440785" w:rsidP="00694406">
      <w:pPr>
        <w:jc w:val="both"/>
        <w:rPr>
          <w:rFonts w:ascii="Arial" w:hAnsi="Arial" w:cs="Arial"/>
          <w:sz w:val="22"/>
          <w:szCs w:val="22"/>
          <w:lang w:val="fr-BE"/>
        </w:rPr>
      </w:pPr>
      <w:r>
        <w:rPr>
          <w:rFonts w:ascii="Arial" w:hAnsi="Arial" w:cs="Arial"/>
          <w:sz w:val="22"/>
          <w:szCs w:val="22"/>
          <w:lang w:val="fr-BE"/>
        </w:rPr>
        <w:t>Pour résumer</w:t>
      </w:r>
      <w:r w:rsidR="00B36246" w:rsidRPr="00E33DEA">
        <w:rPr>
          <w:rFonts w:ascii="Arial" w:hAnsi="Arial" w:cs="Arial"/>
          <w:sz w:val="22"/>
          <w:szCs w:val="22"/>
          <w:lang w:val="fr-BE"/>
        </w:rPr>
        <w:t xml:space="preserve">, une société ayant tenté de développer un produit innovant se voit </w:t>
      </w:r>
      <w:r>
        <w:rPr>
          <w:rFonts w:ascii="Arial" w:hAnsi="Arial" w:cs="Arial"/>
          <w:sz w:val="22"/>
          <w:szCs w:val="22"/>
          <w:lang w:val="fr-BE"/>
        </w:rPr>
        <w:t xml:space="preserve">donc </w:t>
      </w:r>
      <w:r w:rsidR="00B36246" w:rsidRPr="00E33DEA">
        <w:rPr>
          <w:rFonts w:ascii="Arial" w:hAnsi="Arial" w:cs="Arial"/>
          <w:sz w:val="22"/>
          <w:szCs w:val="22"/>
          <w:lang w:val="fr-BE"/>
        </w:rPr>
        <w:t>imposer une charge d'impôt définitive</w:t>
      </w:r>
      <w:r w:rsidR="00951441" w:rsidRPr="00E33DEA">
        <w:rPr>
          <w:rFonts w:ascii="Arial" w:hAnsi="Arial" w:cs="Arial"/>
          <w:sz w:val="22"/>
          <w:szCs w:val="22"/>
          <w:lang w:val="fr-BE"/>
        </w:rPr>
        <w:t xml:space="preserve"> </w:t>
      </w:r>
      <w:r w:rsidR="00951441" w:rsidRPr="00E33DEA">
        <w:rPr>
          <w:rFonts w:ascii="Arial" w:hAnsi="Arial" w:cs="Arial"/>
          <w:sz w:val="22"/>
          <w:szCs w:val="22"/>
          <w:lang w:val="fr-BE"/>
        </w:rPr>
        <w:t xml:space="preserve">sans que la moindre consommation finale </w:t>
      </w:r>
      <w:r w:rsidR="009746F6">
        <w:rPr>
          <w:rFonts w:ascii="Arial" w:hAnsi="Arial" w:cs="Arial"/>
          <w:sz w:val="22"/>
          <w:szCs w:val="22"/>
          <w:lang w:val="fr-BE"/>
        </w:rPr>
        <w:t xml:space="preserve">(ou quelconque utilisation hors du champ de la TVA) </w:t>
      </w:r>
      <w:r w:rsidR="00951441" w:rsidRPr="00E33DEA">
        <w:rPr>
          <w:rFonts w:ascii="Arial" w:hAnsi="Arial" w:cs="Arial"/>
          <w:sz w:val="22"/>
          <w:szCs w:val="22"/>
          <w:lang w:val="fr-BE"/>
        </w:rPr>
        <w:t xml:space="preserve">ne </w:t>
      </w:r>
      <w:r w:rsidR="00951441" w:rsidRPr="00E33DEA">
        <w:rPr>
          <w:rFonts w:ascii="Arial" w:hAnsi="Arial" w:cs="Arial"/>
          <w:sz w:val="22"/>
          <w:szCs w:val="22"/>
          <w:lang w:val="fr-BE"/>
        </w:rPr>
        <w:t>se soit produit</w:t>
      </w:r>
      <w:r w:rsidR="001265AA" w:rsidRPr="00E33DEA">
        <w:rPr>
          <w:rFonts w:ascii="Arial" w:hAnsi="Arial" w:cs="Arial"/>
          <w:sz w:val="22"/>
          <w:szCs w:val="22"/>
          <w:lang w:val="fr-BE"/>
        </w:rPr>
        <w:t>e</w:t>
      </w:r>
      <w:r w:rsidR="005611B6">
        <w:rPr>
          <w:rFonts w:ascii="Arial" w:hAnsi="Arial" w:cs="Arial"/>
          <w:sz w:val="22"/>
          <w:szCs w:val="22"/>
          <w:lang w:val="fr-BE"/>
        </w:rPr>
        <w:t>, portant ainsi un coup sévère au principe de neutralité du système TVA</w:t>
      </w:r>
      <w:r w:rsidR="00B36246" w:rsidRPr="00E33DEA">
        <w:rPr>
          <w:rFonts w:ascii="Arial" w:hAnsi="Arial" w:cs="Arial"/>
          <w:sz w:val="22"/>
          <w:szCs w:val="22"/>
          <w:lang w:val="fr-BE"/>
        </w:rPr>
        <w:t>.</w:t>
      </w:r>
      <w:r w:rsidR="00951441" w:rsidRPr="00E33DEA">
        <w:rPr>
          <w:rFonts w:ascii="Arial" w:hAnsi="Arial" w:cs="Arial"/>
          <w:sz w:val="22"/>
          <w:szCs w:val="22"/>
          <w:lang w:val="fr-BE"/>
        </w:rPr>
        <w:t xml:space="preserve"> </w:t>
      </w:r>
      <w:r w:rsidR="00B36246" w:rsidRPr="00E33DEA">
        <w:rPr>
          <w:rFonts w:ascii="Arial" w:hAnsi="Arial" w:cs="Arial"/>
          <w:sz w:val="22"/>
          <w:szCs w:val="22"/>
          <w:lang w:val="fr-BE"/>
        </w:rPr>
        <w:t xml:space="preserve">Dans </w:t>
      </w:r>
      <w:r w:rsidR="0009590D">
        <w:rPr>
          <w:rFonts w:ascii="Arial" w:hAnsi="Arial" w:cs="Arial"/>
          <w:sz w:val="22"/>
          <w:szCs w:val="22"/>
          <w:lang w:val="fr-BE"/>
        </w:rPr>
        <w:t>l</w:t>
      </w:r>
      <w:r w:rsidR="00B36246" w:rsidRPr="00E33DEA">
        <w:rPr>
          <w:rFonts w:ascii="Arial" w:hAnsi="Arial" w:cs="Arial"/>
          <w:sz w:val="22"/>
          <w:szCs w:val="22"/>
          <w:lang w:val="fr-BE"/>
        </w:rPr>
        <w:t xml:space="preserve">e cas </w:t>
      </w:r>
      <w:r w:rsidR="0009590D">
        <w:rPr>
          <w:rFonts w:ascii="Arial" w:hAnsi="Arial" w:cs="Arial"/>
          <w:sz w:val="22"/>
          <w:szCs w:val="22"/>
          <w:lang w:val="fr-BE"/>
        </w:rPr>
        <w:t xml:space="preserve">de </w:t>
      </w:r>
      <w:proofErr w:type="spellStart"/>
      <w:r w:rsidR="0009590D">
        <w:rPr>
          <w:rFonts w:ascii="Arial" w:hAnsi="Arial" w:cs="Arial"/>
          <w:sz w:val="22"/>
          <w:szCs w:val="22"/>
          <w:lang w:val="fr-BE"/>
        </w:rPr>
        <w:t>Vittamed</w:t>
      </w:r>
      <w:proofErr w:type="spellEnd"/>
      <w:r w:rsidR="005335CE">
        <w:rPr>
          <w:rFonts w:ascii="Arial" w:hAnsi="Arial" w:cs="Arial"/>
          <w:sz w:val="22"/>
          <w:szCs w:val="22"/>
          <w:lang w:val="fr-BE"/>
        </w:rPr>
        <w:t>,</w:t>
      </w:r>
      <w:r w:rsidR="0009590D">
        <w:rPr>
          <w:rFonts w:ascii="Arial" w:hAnsi="Arial" w:cs="Arial"/>
          <w:sz w:val="22"/>
          <w:szCs w:val="22"/>
          <w:lang w:val="fr-BE"/>
        </w:rPr>
        <w:t xml:space="preserve"> </w:t>
      </w:r>
      <w:r w:rsidR="00B36246" w:rsidRPr="00E33DEA">
        <w:rPr>
          <w:rFonts w:ascii="Arial" w:hAnsi="Arial" w:cs="Arial"/>
          <w:sz w:val="22"/>
          <w:szCs w:val="22"/>
          <w:lang w:val="fr-BE"/>
        </w:rPr>
        <w:t xml:space="preserve">la société </w:t>
      </w:r>
      <w:r w:rsidR="0009590D">
        <w:rPr>
          <w:rFonts w:ascii="Arial" w:hAnsi="Arial" w:cs="Arial"/>
          <w:sz w:val="22"/>
          <w:szCs w:val="22"/>
          <w:lang w:val="fr-BE"/>
        </w:rPr>
        <w:t>était déjà en</w:t>
      </w:r>
      <w:r w:rsidR="00B36246" w:rsidRPr="00E33DEA">
        <w:rPr>
          <w:rFonts w:ascii="Arial" w:hAnsi="Arial" w:cs="Arial"/>
          <w:sz w:val="22"/>
          <w:szCs w:val="22"/>
          <w:lang w:val="fr-BE"/>
        </w:rPr>
        <w:t xml:space="preserve"> liqui</w:t>
      </w:r>
      <w:r w:rsidR="0009590D">
        <w:rPr>
          <w:rFonts w:ascii="Arial" w:hAnsi="Arial" w:cs="Arial"/>
          <w:sz w:val="22"/>
          <w:szCs w:val="22"/>
          <w:lang w:val="fr-BE"/>
        </w:rPr>
        <w:t>dation</w:t>
      </w:r>
      <w:r w:rsidR="00B36246" w:rsidRPr="00E33DEA">
        <w:rPr>
          <w:rFonts w:ascii="Arial" w:hAnsi="Arial" w:cs="Arial"/>
          <w:sz w:val="22"/>
          <w:szCs w:val="22"/>
          <w:lang w:val="fr-BE"/>
        </w:rPr>
        <w:t xml:space="preserve">, mais des conclusions analogues </w:t>
      </w:r>
      <w:r w:rsidR="00174849">
        <w:rPr>
          <w:rFonts w:ascii="Arial" w:hAnsi="Arial" w:cs="Arial"/>
          <w:sz w:val="22"/>
          <w:szCs w:val="22"/>
          <w:lang w:val="fr-BE"/>
        </w:rPr>
        <w:t xml:space="preserve">s’appliquent </w:t>
      </w:r>
      <w:r w:rsidR="00B36246" w:rsidRPr="00E33DEA">
        <w:rPr>
          <w:rFonts w:ascii="Arial" w:hAnsi="Arial" w:cs="Arial"/>
          <w:sz w:val="22"/>
          <w:szCs w:val="22"/>
          <w:lang w:val="fr-BE"/>
        </w:rPr>
        <w:t xml:space="preserve">sans doute </w:t>
      </w:r>
      <w:r w:rsidR="00174849">
        <w:rPr>
          <w:rFonts w:ascii="Arial" w:hAnsi="Arial" w:cs="Arial"/>
          <w:sz w:val="22"/>
          <w:szCs w:val="22"/>
          <w:lang w:val="fr-BE"/>
        </w:rPr>
        <w:t xml:space="preserve">également </w:t>
      </w:r>
      <w:r w:rsidR="00B36246" w:rsidRPr="00E33DEA">
        <w:rPr>
          <w:rFonts w:ascii="Arial" w:hAnsi="Arial" w:cs="Arial"/>
          <w:sz w:val="22"/>
          <w:szCs w:val="22"/>
          <w:lang w:val="fr-BE"/>
        </w:rPr>
        <w:t>au cas d’une société qui a abandonné un de ses projets mais continue une activité</w:t>
      </w:r>
      <w:r w:rsidR="009746F6">
        <w:rPr>
          <w:rFonts w:ascii="Arial" w:hAnsi="Arial" w:cs="Arial"/>
          <w:sz w:val="22"/>
          <w:szCs w:val="22"/>
          <w:lang w:val="fr-BE"/>
        </w:rPr>
        <w:t>, g</w:t>
      </w:r>
      <w:r w:rsidR="00B36246" w:rsidRPr="00E33DEA">
        <w:rPr>
          <w:rFonts w:ascii="Arial" w:hAnsi="Arial" w:cs="Arial"/>
          <w:sz w:val="22"/>
          <w:szCs w:val="22"/>
          <w:lang w:val="fr-BE"/>
        </w:rPr>
        <w:t>râce à d’autres projets plus prometteurs</w:t>
      </w:r>
      <w:r w:rsidR="009746F6">
        <w:rPr>
          <w:rFonts w:ascii="Arial" w:hAnsi="Arial" w:cs="Arial"/>
          <w:sz w:val="22"/>
          <w:szCs w:val="22"/>
          <w:lang w:val="fr-BE"/>
        </w:rPr>
        <w:t>,</w:t>
      </w:r>
      <w:r w:rsidR="00951441" w:rsidRPr="00E33DEA">
        <w:rPr>
          <w:rFonts w:ascii="Arial" w:hAnsi="Arial" w:cs="Arial"/>
          <w:sz w:val="22"/>
          <w:szCs w:val="22"/>
          <w:lang w:val="fr-BE"/>
        </w:rPr>
        <w:t xml:space="preserve"> et dont l’équilibre financier peut s’en trouver </w:t>
      </w:r>
      <w:r w:rsidR="00D74728">
        <w:rPr>
          <w:rFonts w:ascii="Arial" w:hAnsi="Arial" w:cs="Arial"/>
          <w:sz w:val="22"/>
          <w:szCs w:val="22"/>
          <w:lang w:val="fr-BE"/>
        </w:rPr>
        <w:t xml:space="preserve">gravement </w:t>
      </w:r>
      <w:r w:rsidR="00951441" w:rsidRPr="00E33DEA">
        <w:rPr>
          <w:rFonts w:ascii="Arial" w:hAnsi="Arial" w:cs="Arial"/>
          <w:sz w:val="22"/>
          <w:szCs w:val="22"/>
          <w:lang w:val="fr-BE"/>
        </w:rPr>
        <w:t>ébranl</w:t>
      </w:r>
      <w:r w:rsidR="002073C3" w:rsidRPr="00E33DEA">
        <w:rPr>
          <w:rFonts w:ascii="Arial" w:hAnsi="Arial" w:cs="Arial"/>
          <w:sz w:val="22"/>
          <w:szCs w:val="22"/>
          <w:lang w:val="fr-BE"/>
        </w:rPr>
        <w:t>é</w:t>
      </w:r>
      <w:r w:rsidR="00951441" w:rsidRPr="00E33DEA">
        <w:rPr>
          <w:rFonts w:ascii="Arial" w:hAnsi="Arial" w:cs="Arial"/>
          <w:sz w:val="22"/>
          <w:szCs w:val="22"/>
          <w:lang w:val="fr-BE"/>
        </w:rPr>
        <w:t>.</w:t>
      </w:r>
      <w:r w:rsidR="001265AA" w:rsidRPr="00E33DEA">
        <w:rPr>
          <w:rFonts w:ascii="Arial" w:hAnsi="Arial" w:cs="Arial"/>
          <w:sz w:val="22"/>
          <w:szCs w:val="22"/>
          <w:lang w:val="fr-BE"/>
        </w:rPr>
        <w:t xml:space="preserve"> </w:t>
      </w:r>
      <w:r w:rsidR="00CE5422">
        <w:rPr>
          <w:rFonts w:ascii="Arial" w:hAnsi="Arial" w:cs="Arial"/>
          <w:sz w:val="22"/>
          <w:szCs w:val="22"/>
          <w:lang w:val="fr-BE"/>
        </w:rPr>
        <w:t>Précisons</w:t>
      </w:r>
      <w:r w:rsidR="00B87472" w:rsidRPr="00E33DEA">
        <w:rPr>
          <w:rFonts w:ascii="Arial" w:hAnsi="Arial" w:cs="Arial"/>
          <w:sz w:val="22"/>
          <w:szCs w:val="22"/>
          <w:lang w:val="fr-BE"/>
        </w:rPr>
        <w:t xml:space="preserve"> </w:t>
      </w:r>
      <w:r w:rsidR="009E5D37">
        <w:rPr>
          <w:rFonts w:ascii="Arial" w:hAnsi="Arial" w:cs="Arial"/>
          <w:sz w:val="22"/>
          <w:szCs w:val="22"/>
          <w:lang w:val="fr-BE"/>
        </w:rPr>
        <w:t xml:space="preserve">ici </w:t>
      </w:r>
      <w:r w:rsidR="00B87472" w:rsidRPr="00E33DEA">
        <w:rPr>
          <w:rFonts w:ascii="Arial" w:hAnsi="Arial" w:cs="Arial"/>
          <w:sz w:val="22"/>
          <w:szCs w:val="22"/>
          <w:lang w:val="fr-BE"/>
        </w:rPr>
        <w:t>que l</w:t>
      </w:r>
      <w:r w:rsidR="001265AA" w:rsidRPr="00E33DEA">
        <w:rPr>
          <w:rFonts w:ascii="Arial" w:hAnsi="Arial" w:cs="Arial"/>
          <w:sz w:val="22"/>
          <w:szCs w:val="22"/>
          <w:lang w:val="fr-BE"/>
        </w:rPr>
        <w:t>’</w:t>
      </w:r>
      <w:r w:rsidR="00B87472" w:rsidRPr="00E33DEA">
        <w:rPr>
          <w:rFonts w:ascii="Arial" w:hAnsi="Arial" w:cs="Arial"/>
          <w:sz w:val="22"/>
          <w:szCs w:val="22"/>
          <w:lang w:val="fr-BE"/>
        </w:rPr>
        <w:t xml:space="preserve">impact réel de cette </w:t>
      </w:r>
      <w:r>
        <w:rPr>
          <w:rFonts w:ascii="Arial" w:hAnsi="Arial" w:cs="Arial"/>
          <w:sz w:val="22"/>
          <w:szCs w:val="22"/>
          <w:lang w:val="fr-BE"/>
        </w:rPr>
        <w:t>nouvelle ligne de jurisprudence</w:t>
      </w:r>
      <w:r w:rsidR="00B87472" w:rsidRPr="00E33DEA">
        <w:rPr>
          <w:rFonts w:ascii="Arial" w:hAnsi="Arial" w:cs="Arial"/>
          <w:sz w:val="22"/>
          <w:szCs w:val="22"/>
          <w:lang w:val="fr-BE"/>
        </w:rPr>
        <w:t xml:space="preserve"> </w:t>
      </w:r>
      <w:r w:rsidR="00FD5051" w:rsidRPr="00E33DEA">
        <w:rPr>
          <w:rFonts w:ascii="Arial" w:hAnsi="Arial" w:cs="Arial"/>
          <w:sz w:val="22"/>
          <w:szCs w:val="22"/>
          <w:lang w:val="fr-BE"/>
        </w:rPr>
        <w:t>n’est pas entièrement clair à ce stade, dans la mesure où si la Cour a décidé que des révisions devaient être effectuées, elle n'a pas précisé comment celle</w:t>
      </w:r>
      <w:r w:rsidR="003A3F78">
        <w:rPr>
          <w:rFonts w:ascii="Arial" w:hAnsi="Arial" w:cs="Arial"/>
          <w:sz w:val="22"/>
          <w:szCs w:val="22"/>
          <w:lang w:val="fr-BE"/>
        </w:rPr>
        <w:t>s</w:t>
      </w:r>
      <w:r w:rsidR="00FD5051" w:rsidRPr="00E33DEA">
        <w:rPr>
          <w:rFonts w:ascii="Arial" w:hAnsi="Arial" w:cs="Arial"/>
          <w:sz w:val="22"/>
          <w:szCs w:val="22"/>
          <w:lang w:val="fr-BE"/>
        </w:rPr>
        <w:t>-ci devaient être comptabilisées</w:t>
      </w:r>
      <w:r w:rsidR="002073C3" w:rsidRPr="00E33DEA">
        <w:rPr>
          <w:rFonts w:ascii="Arial" w:hAnsi="Arial" w:cs="Arial"/>
          <w:sz w:val="22"/>
          <w:szCs w:val="22"/>
          <w:lang w:val="fr-BE"/>
        </w:rPr>
        <w:t xml:space="preserve"> (la révision doit-elle être intégrale ou partielle </w:t>
      </w:r>
      <w:r w:rsidR="00B87472" w:rsidRPr="00E33DEA">
        <w:rPr>
          <w:rFonts w:ascii="Arial" w:hAnsi="Arial" w:cs="Arial"/>
          <w:sz w:val="22"/>
          <w:szCs w:val="22"/>
          <w:lang w:val="fr-BE"/>
        </w:rPr>
        <w:t>s’agissant de biens d’investissement</w:t>
      </w:r>
      <w:r w:rsidR="002073C3" w:rsidRPr="00E33DEA">
        <w:rPr>
          <w:rFonts w:ascii="Arial" w:hAnsi="Arial" w:cs="Arial"/>
          <w:sz w:val="22"/>
          <w:szCs w:val="22"/>
          <w:lang w:val="fr-BE"/>
        </w:rPr>
        <w:t>?)</w:t>
      </w:r>
      <w:r w:rsidR="00FD5051" w:rsidRPr="00E33DEA">
        <w:rPr>
          <w:rFonts w:ascii="Arial" w:hAnsi="Arial" w:cs="Arial"/>
          <w:sz w:val="22"/>
          <w:szCs w:val="22"/>
          <w:lang w:val="fr-BE"/>
        </w:rPr>
        <w:t xml:space="preserve">. </w:t>
      </w:r>
    </w:p>
    <w:p w14:paraId="23DB9CF4" w14:textId="77777777" w:rsidR="00B87472" w:rsidRPr="00E33DEA" w:rsidRDefault="00B87472" w:rsidP="00694406">
      <w:pPr>
        <w:jc w:val="both"/>
        <w:rPr>
          <w:rFonts w:ascii="Arial" w:hAnsi="Arial" w:cs="Arial"/>
          <w:sz w:val="22"/>
          <w:szCs w:val="22"/>
          <w:lang w:val="fr-BE"/>
        </w:rPr>
      </w:pPr>
    </w:p>
    <w:p w14:paraId="273845E2" w14:textId="4546566A" w:rsidR="004E49F0" w:rsidRPr="00DA311A" w:rsidRDefault="00FD5051" w:rsidP="00694406">
      <w:pPr>
        <w:jc w:val="both"/>
        <w:rPr>
          <w:rFonts w:ascii="Arial" w:hAnsi="Arial" w:cs="Arial"/>
          <w:color w:val="000000"/>
          <w:sz w:val="22"/>
          <w:szCs w:val="22"/>
          <w:lang w:val="fr-BE"/>
        </w:rPr>
      </w:pPr>
      <w:r w:rsidRPr="00E33DEA">
        <w:rPr>
          <w:rFonts w:ascii="Arial" w:hAnsi="Arial" w:cs="Arial"/>
          <w:sz w:val="22"/>
          <w:szCs w:val="22"/>
          <w:lang w:val="fr-BE"/>
        </w:rPr>
        <w:t>Quoi qu’il en soit, o</w:t>
      </w:r>
      <w:r w:rsidR="00B36246" w:rsidRPr="00E33DEA">
        <w:rPr>
          <w:rFonts w:ascii="Arial" w:hAnsi="Arial" w:cs="Arial"/>
          <w:sz w:val="22"/>
          <w:szCs w:val="22"/>
          <w:lang w:val="fr-BE"/>
        </w:rPr>
        <w:t xml:space="preserve">n perçoit mal comment </w:t>
      </w:r>
      <w:r w:rsidR="004E49F0" w:rsidRPr="00E33DEA">
        <w:rPr>
          <w:rFonts w:ascii="Arial" w:hAnsi="Arial" w:cs="Arial"/>
          <w:sz w:val="22"/>
          <w:szCs w:val="22"/>
          <w:lang w:val="fr-BE"/>
        </w:rPr>
        <w:t>réconcilier cette décision avec le</w:t>
      </w:r>
      <w:r w:rsidR="00B36246" w:rsidRPr="00E33DEA">
        <w:rPr>
          <w:rFonts w:ascii="Arial" w:hAnsi="Arial" w:cs="Arial"/>
          <w:sz w:val="22"/>
          <w:szCs w:val="22"/>
          <w:lang w:val="fr-BE"/>
        </w:rPr>
        <w:t>s</w:t>
      </w:r>
      <w:r w:rsidR="004E49F0" w:rsidRPr="00E33DEA">
        <w:rPr>
          <w:rFonts w:ascii="Arial" w:hAnsi="Arial" w:cs="Arial"/>
          <w:sz w:val="22"/>
          <w:szCs w:val="22"/>
          <w:lang w:val="fr-BE"/>
        </w:rPr>
        <w:t xml:space="preserve"> principe</w:t>
      </w:r>
      <w:r w:rsidR="00B36246" w:rsidRPr="00E33DEA">
        <w:rPr>
          <w:rFonts w:ascii="Arial" w:hAnsi="Arial" w:cs="Arial"/>
          <w:sz w:val="22"/>
          <w:szCs w:val="22"/>
          <w:lang w:val="fr-BE"/>
        </w:rPr>
        <w:t>s</w:t>
      </w:r>
      <w:r w:rsidR="008C4B99">
        <w:rPr>
          <w:rFonts w:ascii="Arial" w:hAnsi="Arial" w:cs="Arial"/>
          <w:sz w:val="22"/>
          <w:szCs w:val="22"/>
          <w:lang w:val="fr-BE"/>
        </w:rPr>
        <w:t xml:space="preserve"> </w:t>
      </w:r>
      <w:r w:rsidR="00B36246" w:rsidRPr="00E33DEA">
        <w:rPr>
          <w:rFonts w:ascii="Arial" w:hAnsi="Arial" w:cs="Arial"/>
          <w:sz w:val="22"/>
          <w:szCs w:val="22"/>
          <w:lang w:val="fr-BE"/>
        </w:rPr>
        <w:t xml:space="preserve">fondamentaux </w:t>
      </w:r>
      <w:r w:rsidR="00B579B0" w:rsidRPr="00E33DEA">
        <w:rPr>
          <w:rFonts w:ascii="Arial" w:hAnsi="Arial" w:cs="Arial"/>
          <w:sz w:val="22"/>
          <w:szCs w:val="22"/>
          <w:lang w:val="fr-BE"/>
        </w:rPr>
        <w:t>qui sous-tendent le</w:t>
      </w:r>
      <w:r w:rsidR="00B36246" w:rsidRPr="00E33DEA">
        <w:rPr>
          <w:rFonts w:ascii="Arial" w:hAnsi="Arial" w:cs="Arial"/>
          <w:sz w:val="22"/>
          <w:szCs w:val="22"/>
          <w:lang w:val="fr-BE"/>
        </w:rPr>
        <w:t xml:space="preserve"> système TVA</w:t>
      </w:r>
      <w:r w:rsidR="002073C3" w:rsidRPr="00E33DEA">
        <w:rPr>
          <w:rFonts w:ascii="Arial" w:hAnsi="Arial" w:cs="Arial"/>
          <w:sz w:val="22"/>
          <w:szCs w:val="22"/>
          <w:lang w:val="fr-BE"/>
        </w:rPr>
        <w:t>. Celui-ci</w:t>
      </w:r>
      <w:r w:rsidR="00624368" w:rsidRPr="00E33DEA">
        <w:rPr>
          <w:rFonts w:ascii="Arial" w:hAnsi="Arial" w:cs="Arial"/>
          <w:sz w:val="22"/>
          <w:szCs w:val="22"/>
          <w:lang w:val="fr-BE"/>
        </w:rPr>
        <w:t xml:space="preserve"> vise en </w:t>
      </w:r>
      <w:r w:rsidR="002073C3" w:rsidRPr="00E33DEA">
        <w:rPr>
          <w:rFonts w:ascii="Arial" w:hAnsi="Arial" w:cs="Arial"/>
          <w:sz w:val="22"/>
          <w:szCs w:val="22"/>
          <w:lang w:val="fr-BE"/>
        </w:rPr>
        <w:t>effet</w:t>
      </w:r>
      <w:r w:rsidR="00624368" w:rsidRPr="00E33DEA">
        <w:rPr>
          <w:rFonts w:ascii="Arial" w:hAnsi="Arial" w:cs="Arial"/>
          <w:sz w:val="22"/>
          <w:szCs w:val="22"/>
          <w:lang w:val="fr-BE"/>
        </w:rPr>
        <w:t xml:space="preserve"> à taxer les dépenses de </w:t>
      </w:r>
      <w:r w:rsidR="00624368" w:rsidRPr="008C4B99">
        <w:rPr>
          <w:rFonts w:ascii="Arial" w:hAnsi="Arial" w:cs="Arial"/>
          <w:sz w:val="22"/>
          <w:szCs w:val="22"/>
          <w:lang w:val="fr-BE"/>
        </w:rPr>
        <w:t>consommation, et non les dépenses réalisées dans le but de réaliser une activité économique taxable</w:t>
      </w:r>
      <w:r w:rsidR="006B63BF" w:rsidRPr="008C4B99">
        <w:rPr>
          <w:rFonts w:ascii="Arial" w:hAnsi="Arial" w:cs="Arial"/>
          <w:sz w:val="22"/>
          <w:szCs w:val="22"/>
          <w:lang w:val="fr-BE"/>
        </w:rPr>
        <w:t xml:space="preserve">, </w:t>
      </w:r>
      <w:r w:rsidR="00FC5DAF" w:rsidRPr="008C4B99">
        <w:rPr>
          <w:rFonts w:ascii="Arial" w:hAnsi="Arial" w:cs="Arial"/>
          <w:sz w:val="22"/>
          <w:szCs w:val="22"/>
          <w:lang w:val="fr-BE"/>
        </w:rPr>
        <w:t>que ce but soit atteint ou pas</w:t>
      </w:r>
      <w:r w:rsidR="00B36246" w:rsidRPr="008C4B99">
        <w:rPr>
          <w:rFonts w:ascii="Arial" w:hAnsi="Arial" w:cs="Arial"/>
          <w:sz w:val="22"/>
          <w:szCs w:val="22"/>
          <w:lang w:val="fr-BE"/>
        </w:rPr>
        <w:t>.</w:t>
      </w:r>
      <w:r w:rsidR="004E49F0" w:rsidRPr="008C4B99">
        <w:rPr>
          <w:rFonts w:ascii="Arial" w:hAnsi="Arial" w:cs="Arial"/>
          <w:sz w:val="22"/>
          <w:szCs w:val="22"/>
          <w:lang w:val="fr-BE"/>
        </w:rPr>
        <w:t xml:space="preserve"> </w:t>
      </w:r>
      <w:r w:rsidR="006B63BF" w:rsidRPr="008C4B99">
        <w:rPr>
          <w:rFonts w:ascii="Arial" w:hAnsi="Arial" w:cs="Arial"/>
          <w:sz w:val="22"/>
          <w:szCs w:val="22"/>
          <w:lang w:val="fr-BE"/>
        </w:rPr>
        <w:t>A cet égard soulignons qu’avant de décider que des révisions s’impos</w:t>
      </w:r>
      <w:r w:rsidR="003A3F78">
        <w:rPr>
          <w:rFonts w:ascii="Arial" w:hAnsi="Arial" w:cs="Arial"/>
          <w:sz w:val="22"/>
          <w:szCs w:val="22"/>
          <w:lang w:val="fr-BE"/>
        </w:rPr>
        <w:t>ai</w:t>
      </w:r>
      <w:r w:rsidR="006B63BF" w:rsidRPr="008C4B99">
        <w:rPr>
          <w:rFonts w:ascii="Arial" w:hAnsi="Arial" w:cs="Arial"/>
          <w:sz w:val="22"/>
          <w:szCs w:val="22"/>
          <w:lang w:val="fr-BE"/>
        </w:rPr>
        <w:t xml:space="preserve">ent </w:t>
      </w:r>
      <w:r w:rsidR="00D74728">
        <w:rPr>
          <w:rFonts w:ascii="Arial" w:hAnsi="Arial" w:cs="Arial"/>
          <w:sz w:val="22"/>
          <w:szCs w:val="22"/>
          <w:lang w:val="fr-BE"/>
        </w:rPr>
        <w:t xml:space="preserve">dans le cas de </w:t>
      </w:r>
      <w:proofErr w:type="spellStart"/>
      <w:r w:rsidR="00D74728">
        <w:rPr>
          <w:rFonts w:ascii="Arial" w:hAnsi="Arial" w:cs="Arial"/>
          <w:sz w:val="22"/>
          <w:szCs w:val="22"/>
          <w:lang w:val="fr-BE"/>
        </w:rPr>
        <w:t>Vittamed</w:t>
      </w:r>
      <w:proofErr w:type="spellEnd"/>
      <w:r w:rsidR="006B63BF" w:rsidRPr="008C4B99">
        <w:rPr>
          <w:rFonts w:ascii="Arial" w:hAnsi="Arial" w:cs="Arial"/>
          <w:sz w:val="22"/>
          <w:szCs w:val="22"/>
          <w:lang w:val="fr-BE"/>
        </w:rPr>
        <w:t>, la Cour avait commencé par rappeler que la jurisprudence INZO selon laquelle</w:t>
      </w:r>
      <w:r w:rsidR="006B63BF" w:rsidRPr="008C4B99">
        <w:rPr>
          <w:rFonts w:ascii="Arial" w:hAnsi="Arial" w:cs="Arial"/>
          <w:color w:val="000000"/>
          <w:sz w:val="22"/>
          <w:szCs w:val="22"/>
        </w:rPr>
        <w:t xml:space="preserve"> le droit à déduction, une fois né, reste acquis même si, ultérieurement, l’activité économique envisagée n’a pas été réalisée</w:t>
      </w:r>
      <w:r w:rsidR="003A3F78" w:rsidRPr="003A3F78">
        <w:rPr>
          <w:rFonts w:ascii="Arial" w:hAnsi="Arial" w:cs="Arial"/>
          <w:color w:val="000000"/>
          <w:sz w:val="22"/>
          <w:szCs w:val="22"/>
          <w:lang w:val="fr-BE"/>
        </w:rPr>
        <w:t>,</w:t>
      </w:r>
      <w:r w:rsidR="006B63BF" w:rsidRPr="008C4B99">
        <w:rPr>
          <w:rFonts w:ascii="Arial" w:hAnsi="Arial" w:cs="Arial"/>
          <w:color w:val="000000"/>
          <w:sz w:val="22"/>
          <w:szCs w:val="22"/>
        </w:rPr>
        <w:t xml:space="preserve"> </w:t>
      </w:r>
      <w:r w:rsidR="00CF3E45" w:rsidRPr="008C4B99">
        <w:rPr>
          <w:rFonts w:ascii="Arial" w:hAnsi="Arial" w:cs="Arial"/>
          <w:color w:val="000000"/>
          <w:sz w:val="22"/>
          <w:szCs w:val="22"/>
          <w:lang w:val="fr-BE"/>
        </w:rPr>
        <w:t>permet de garantir la neutralité du système TVA</w:t>
      </w:r>
      <w:r w:rsidR="005335CE">
        <w:rPr>
          <w:rFonts w:ascii="Arial" w:hAnsi="Arial" w:cs="Arial"/>
          <w:color w:val="000000"/>
          <w:sz w:val="22"/>
          <w:szCs w:val="22"/>
          <w:lang w:val="fr-BE"/>
        </w:rPr>
        <w:t>, et que</w:t>
      </w:r>
      <w:r w:rsidR="00CF3E45" w:rsidRPr="008C4B99">
        <w:rPr>
          <w:rFonts w:ascii="Arial" w:hAnsi="Arial" w:cs="Arial"/>
          <w:color w:val="000000"/>
          <w:sz w:val="22"/>
          <w:szCs w:val="22"/>
          <w:lang w:val="fr-BE"/>
        </w:rPr>
        <w:t> : « </w:t>
      </w:r>
      <w:r w:rsidR="006B63BF" w:rsidRPr="006B63BF">
        <w:rPr>
          <w:rFonts w:ascii="Arial" w:eastAsia="Times New Roman" w:hAnsi="Arial" w:cs="Arial"/>
          <w:i/>
          <w:iCs/>
          <w:color w:val="000000"/>
          <w:sz w:val="22"/>
          <w:szCs w:val="22"/>
          <w:lang w:eastAsia="en-GB"/>
        </w:rPr>
        <w:t xml:space="preserve">Une autre interprétation serait contraire au principe de la neutralité de la TVA quant à la charge fiscale de l’entreprise. Elle serait susceptible de créer, lors du traitement fiscal de mêmes activités d’investissements, des différences non justifiées </w:t>
      </w:r>
      <w:r w:rsidR="006B63BF" w:rsidRPr="006B63BF">
        <w:rPr>
          <w:rFonts w:ascii="Arial" w:eastAsia="Times New Roman" w:hAnsi="Arial" w:cs="Arial"/>
          <w:i/>
          <w:iCs/>
          <w:color w:val="000000"/>
          <w:sz w:val="22"/>
          <w:szCs w:val="22"/>
          <w:lang w:eastAsia="en-GB"/>
        </w:rPr>
        <w:lastRenderedPageBreak/>
        <w:t>entre des entreprises réalisant déjà des opérations imposables et d’autres qui cherchent, par des investissements, à commencer des activités qui seront source d’opérations taxables. De même, des différences arbitraires seraient établies entre ces dernières entreprises en ce que l’acceptation définitive des déductions dépendrait de la question de savoir si de tels investissements aboutissent ou non à des opérations taxées</w:t>
      </w:r>
      <w:r w:rsidR="008C4B99" w:rsidRPr="008C4B99">
        <w:rPr>
          <w:rFonts w:ascii="Arial" w:eastAsia="Times New Roman" w:hAnsi="Arial" w:cs="Arial"/>
          <w:i/>
          <w:iCs/>
          <w:color w:val="000000"/>
          <w:sz w:val="22"/>
          <w:szCs w:val="22"/>
          <w:lang w:val="fr-BE" w:eastAsia="en-GB"/>
        </w:rPr>
        <w:t>”</w:t>
      </w:r>
      <w:r w:rsidR="006B63BF" w:rsidRPr="006B63BF">
        <w:rPr>
          <w:rFonts w:ascii="Arial" w:eastAsia="Times New Roman" w:hAnsi="Arial" w:cs="Arial"/>
          <w:color w:val="000000"/>
          <w:sz w:val="22"/>
          <w:szCs w:val="22"/>
          <w:lang w:eastAsia="en-GB"/>
        </w:rPr>
        <w:t>.</w:t>
      </w:r>
      <w:r w:rsidR="00CF3E45" w:rsidRPr="008C4B99">
        <w:rPr>
          <w:rStyle w:val="FootnoteReference"/>
          <w:rFonts w:ascii="Arial" w:hAnsi="Arial" w:cs="Arial"/>
          <w:color w:val="000000"/>
          <w:sz w:val="22"/>
          <w:szCs w:val="22"/>
        </w:rPr>
        <w:footnoteReference w:id="19"/>
      </w:r>
      <w:r w:rsidR="00CF3E45" w:rsidRPr="008C4B99">
        <w:rPr>
          <w:rFonts w:ascii="Arial" w:hAnsi="Arial" w:cs="Arial"/>
          <w:color w:val="000000"/>
          <w:sz w:val="22"/>
          <w:szCs w:val="22"/>
          <w:lang w:val="fr-BE"/>
        </w:rPr>
        <w:t xml:space="preserve"> Selon la Cour, remettre en question le droit à déduction de l’assujetti n’ayant pas pu réaliser d’opérations taxées serait </w:t>
      </w:r>
      <w:r w:rsidR="008C4B99">
        <w:rPr>
          <w:rFonts w:ascii="Arial" w:hAnsi="Arial" w:cs="Arial"/>
          <w:color w:val="000000"/>
          <w:sz w:val="22"/>
          <w:szCs w:val="22"/>
          <w:lang w:val="fr-BE"/>
        </w:rPr>
        <w:t xml:space="preserve">donc </w:t>
      </w:r>
      <w:r w:rsidR="00CF3E45" w:rsidRPr="008C4B99">
        <w:rPr>
          <w:rFonts w:ascii="Arial" w:hAnsi="Arial" w:cs="Arial"/>
          <w:color w:val="000000"/>
          <w:sz w:val="22"/>
          <w:szCs w:val="22"/>
          <w:lang w:val="fr-BE"/>
        </w:rPr>
        <w:t xml:space="preserve">contraire au principe de neutralité, </w:t>
      </w:r>
      <w:r w:rsidR="008C4B99">
        <w:rPr>
          <w:rFonts w:ascii="Arial" w:hAnsi="Arial" w:cs="Arial"/>
          <w:color w:val="000000"/>
          <w:sz w:val="22"/>
          <w:szCs w:val="22"/>
          <w:lang w:val="fr-BE"/>
        </w:rPr>
        <w:t>alors qu’</w:t>
      </w:r>
      <w:r w:rsidR="00CF3E45" w:rsidRPr="008C4B99">
        <w:rPr>
          <w:rFonts w:ascii="Arial" w:hAnsi="Arial" w:cs="Arial"/>
          <w:color w:val="000000"/>
          <w:sz w:val="22"/>
          <w:szCs w:val="22"/>
          <w:lang w:val="fr-BE"/>
        </w:rPr>
        <w:t>imposer des révisions (le cas échéant totales) aux même assujettis ne le serait pas</w:t>
      </w:r>
      <w:r w:rsidR="005335CE">
        <w:rPr>
          <w:rFonts w:ascii="Arial" w:hAnsi="Arial" w:cs="Arial"/>
          <w:color w:val="000000"/>
          <w:sz w:val="22"/>
          <w:szCs w:val="22"/>
          <w:lang w:val="fr-BE"/>
        </w:rPr>
        <w:t>…</w:t>
      </w:r>
      <w:r w:rsidR="00DA311A" w:rsidRPr="00DA311A">
        <w:rPr>
          <w:rFonts w:ascii="Arial" w:hAnsi="Arial" w:cs="Arial"/>
          <w:color w:val="000000"/>
          <w:sz w:val="22"/>
          <w:szCs w:val="22"/>
          <w:lang w:val="fr-BE"/>
        </w:rPr>
        <w:t xml:space="preserve"> Certes, le rejet de </w:t>
      </w:r>
      <w:r w:rsidR="003A3F78">
        <w:rPr>
          <w:rFonts w:ascii="Arial" w:hAnsi="Arial" w:cs="Arial"/>
          <w:color w:val="000000"/>
          <w:sz w:val="22"/>
          <w:szCs w:val="22"/>
          <w:lang w:val="fr-BE"/>
        </w:rPr>
        <w:t xml:space="preserve">la </w:t>
      </w:r>
      <w:r w:rsidR="00DA311A" w:rsidRPr="00DA311A">
        <w:rPr>
          <w:rFonts w:ascii="Arial" w:hAnsi="Arial" w:cs="Arial"/>
          <w:color w:val="000000"/>
          <w:sz w:val="22"/>
          <w:szCs w:val="22"/>
          <w:lang w:val="fr-BE"/>
        </w:rPr>
        <w:t xml:space="preserve">déduction </w:t>
      </w:r>
      <w:r w:rsidR="003A3F78" w:rsidRPr="00DA311A">
        <w:rPr>
          <w:rFonts w:ascii="Arial" w:hAnsi="Arial" w:cs="Arial"/>
          <w:color w:val="000000"/>
          <w:sz w:val="22"/>
          <w:szCs w:val="22"/>
          <w:lang w:val="fr-BE"/>
        </w:rPr>
        <w:t xml:space="preserve">n’a pas </w:t>
      </w:r>
      <w:r w:rsidR="003A3F78">
        <w:rPr>
          <w:rFonts w:ascii="Arial" w:hAnsi="Arial" w:cs="Arial"/>
          <w:color w:val="000000"/>
          <w:sz w:val="22"/>
          <w:szCs w:val="22"/>
          <w:lang w:val="fr-BE"/>
        </w:rPr>
        <w:t>exactement</w:t>
      </w:r>
      <w:r w:rsidR="003A3F78" w:rsidRPr="00DA311A">
        <w:rPr>
          <w:rFonts w:ascii="Arial" w:hAnsi="Arial" w:cs="Arial"/>
          <w:color w:val="000000"/>
          <w:sz w:val="22"/>
          <w:szCs w:val="22"/>
          <w:lang w:val="fr-BE"/>
        </w:rPr>
        <w:t xml:space="preserve"> le même résultat</w:t>
      </w:r>
      <w:r w:rsidR="003A3F78" w:rsidRPr="00DA311A">
        <w:rPr>
          <w:rFonts w:ascii="Arial" w:hAnsi="Arial" w:cs="Arial"/>
          <w:color w:val="000000"/>
          <w:sz w:val="22"/>
          <w:szCs w:val="22"/>
          <w:lang w:val="fr-BE"/>
        </w:rPr>
        <w:t xml:space="preserve"> </w:t>
      </w:r>
      <w:r w:rsidR="003A3F78">
        <w:rPr>
          <w:rFonts w:ascii="Arial" w:hAnsi="Arial" w:cs="Arial"/>
          <w:color w:val="000000"/>
          <w:sz w:val="22"/>
          <w:szCs w:val="22"/>
          <w:lang w:val="fr-BE"/>
        </w:rPr>
        <w:t>que</w:t>
      </w:r>
      <w:r w:rsidR="00DA311A" w:rsidRPr="00DA311A">
        <w:rPr>
          <w:rFonts w:ascii="Arial" w:hAnsi="Arial" w:cs="Arial"/>
          <w:color w:val="000000"/>
          <w:sz w:val="22"/>
          <w:szCs w:val="22"/>
          <w:lang w:val="fr-BE"/>
        </w:rPr>
        <w:t xml:space="preserve"> l’obligation de procéder à une révision, m</w:t>
      </w:r>
      <w:r w:rsidR="005335CE">
        <w:rPr>
          <w:rFonts w:ascii="Arial" w:hAnsi="Arial" w:cs="Arial"/>
          <w:color w:val="000000"/>
          <w:sz w:val="22"/>
          <w:szCs w:val="22"/>
          <w:lang w:val="fr-BE"/>
        </w:rPr>
        <w:t>ême totale</w:t>
      </w:r>
      <w:r w:rsidR="00DA311A" w:rsidRPr="00DA311A">
        <w:rPr>
          <w:rFonts w:ascii="Arial" w:hAnsi="Arial" w:cs="Arial"/>
          <w:color w:val="000000"/>
          <w:sz w:val="22"/>
          <w:szCs w:val="22"/>
          <w:lang w:val="fr-BE"/>
        </w:rPr>
        <w:t>, dans la mesure où</w:t>
      </w:r>
      <w:r w:rsidR="00DA311A">
        <w:rPr>
          <w:rFonts w:ascii="Arial" w:hAnsi="Arial" w:cs="Arial"/>
          <w:color w:val="000000"/>
          <w:sz w:val="22"/>
          <w:szCs w:val="22"/>
          <w:lang w:val="fr-BE"/>
        </w:rPr>
        <w:t>,</w:t>
      </w:r>
      <w:r w:rsidR="00DA311A" w:rsidRPr="00DA311A">
        <w:rPr>
          <w:rFonts w:ascii="Arial" w:hAnsi="Arial" w:cs="Arial"/>
          <w:color w:val="000000"/>
          <w:sz w:val="22"/>
          <w:szCs w:val="22"/>
          <w:lang w:val="fr-BE"/>
        </w:rPr>
        <w:t xml:space="preserve"> e</w:t>
      </w:r>
      <w:r w:rsidR="00DA311A" w:rsidRPr="00DA311A">
        <w:rPr>
          <w:rFonts w:ascii="Arial" w:hAnsi="Arial" w:cs="Arial"/>
          <w:color w:val="000000"/>
          <w:sz w:val="22"/>
          <w:szCs w:val="22"/>
          <w:lang w:val="fr-BE"/>
        </w:rPr>
        <w:t>n cas de rejet de la déduction, des amendes et intérêts de retard sont en principe applicables alors que ce n’est pas le cas lorsqu’il y a révision</w:t>
      </w:r>
      <w:r w:rsidR="00DA311A" w:rsidRPr="00DA311A">
        <w:rPr>
          <w:rFonts w:ascii="Arial" w:hAnsi="Arial" w:cs="Arial"/>
          <w:color w:val="000000"/>
          <w:sz w:val="22"/>
          <w:szCs w:val="22"/>
          <w:lang w:val="fr-BE"/>
        </w:rPr>
        <w:t>.</w:t>
      </w:r>
      <w:r w:rsidR="00DA311A" w:rsidRPr="00DA311A">
        <w:rPr>
          <w:rFonts w:ascii="Arial" w:hAnsi="Arial" w:cs="Arial"/>
          <w:color w:val="000000"/>
          <w:sz w:val="22"/>
          <w:szCs w:val="22"/>
          <w:lang w:val="fr-BE"/>
        </w:rPr>
        <w:t xml:space="preserve"> </w:t>
      </w:r>
      <w:r w:rsidR="00DA311A" w:rsidRPr="00DA311A">
        <w:rPr>
          <w:rFonts w:ascii="Arial" w:hAnsi="Arial" w:cs="Arial"/>
          <w:color w:val="000000"/>
          <w:sz w:val="22"/>
          <w:szCs w:val="22"/>
          <w:lang w:val="fr-BE"/>
        </w:rPr>
        <w:t xml:space="preserve">L’obligation de révision </w:t>
      </w:r>
      <w:r w:rsidR="00DA311A" w:rsidRPr="00DA311A">
        <w:rPr>
          <w:rFonts w:ascii="Arial" w:hAnsi="Arial" w:cs="Arial"/>
          <w:color w:val="000000"/>
          <w:sz w:val="22"/>
          <w:szCs w:val="22"/>
          <w:lang w:val="fr-BE"/>
        </w:rPr>
        <w:t xml:space="preserve">résulte </w:t>
      </w:r>
      <w:r w:rsidR="00DA311A" w:rsidRPr="00DA311A">
        <w:rPr>
          <w:rFonts w:ascii="Arial" w:hAnsi="Arial" w:cs="Arial"/>
          <w:color w:val="000000"/>
          <w:sz w:val="22"/>
          <w:szCs w:val="22"/>
          <w:lang w:val="fr-BE"/>
        </w:rPr>
        <w:t xml:space="preserve">néanmoins en </w:t>
      </w:r>
      <w:r w:rsidR="00DA311A" w:rsidRPr="00DA311A">
        <w:rPr>
          <w:rFonts w:ascii="Arial" w:hAnsi="Arial" w:cs="Arial"/>
          <w:color w:val="000000"/>
          <w:sz w:val="22"/>
          <w:szCs w:val="22"/>
          <w:lang w:val="fr-BE"/>
        </w:rPr>
        <w:t>une charge d’impôt définitive</w:t>
      </w:r>
      <w:r w:rsidR="00D74728">
        <w:rPr>
          <w:rFonts w:ascii="Arial" w:hAnsi="Arial" w:cs="Arial"/>
          <w:color w:val="000000"/>
          <w:sz w:val="22"/>
          <w:szCs w:val="22"/>
          <w:lang w:val="fr-BE"/>
        </w:rPr>
        <w:t>,</w:t>
      </w:r>
      <w:r w:rsidR="00DA311A" w:rsidRPr="00DA311A">
        <w:rPr>
          <w:rFonts w:ascii="Arial" w:hAnsi="Arial" w:cs="Arial"/>
          <w:color w:val="000000"/>
          <w:sz w:val="22"/>
          <w:szCs w:val="22"/>
          <w:lang w:val="fr-BE"/>
        </w:rPr>
        <w:t xml:space="preserve"> et donc en une différence de traitement entre les entreprises qui réussissent et celles qui échouent</w:t>
      </w:r>
      <w:r w:rsidR="00DA311A">
        <w:rPr>
          <w:rFonts w:ascii="Arial" w:hAnsi="Arial" w:cs="Arial"/>
          <w:color w:val="000000"/>
          <w:sz w:val="22"/>
          <w:szCs w:val="22"/>
          <w:lang w:val="fr-BE"/>
        </w:rPr>
        <w:t>.</w:t>
      </w:r>
    </w:p>
    <w:p w14:paraId="222D0DA6" w14:textId="3571564C" w:rsidR="004E49F0" w:rsidRPr="008C4B99" w:rsidRDefault="004E49F0" w:rsidP="00694406">
      <w:pPr>
        <w:jc w:val="both"/>
        <w:rPr>
          <w:rFonts w:ascii="Arial" w:hAnsi="Arial" w:cs="Arial"/>
          <w:sz w:val="22"/>
          <w:szCs w:val="22"/>
          <w:lang w:val="fr-BE"/>
        </w:rPr>
      </w:pPr>
    </w:p>
    <w:p w14:paraId="7E8248B3" w14:textId="77777777" w:rsidR="00B87472" w:rsidRPr="00E33DEA" w:rsidRDefault="00624368" w:rsidP="00694406">
      <w:pPr>
        <w:jc w:val="both"/>
        <w:rPr>
          <w:rFonts w:ascii="Arial" w:hAnsi="Arial" w:cs="Arial"/>
          <w:sz w:val="22"/>
          <w:szCs w:val="22"/>
          <w:lang w:val="fr-BE"/>
        </w:rPr>
      </w:pPr>
      <w:r w:rsidRPr="00E33DEA">
        <w:rPr>
          <w:rFonts w:ascii="Arial" w:hAnsi="Arial" w:cs="Arial"/>
          <w:sz w:val="22"/>
          <w:szCs w:val="22"/>
          <w:lang w:val="fr-BE"/>
        </w:rPr>
        <w:t xml:space="preserve">Deux questions concrètes se posent désormais : </w:t>
      </w:r>
    </w:p>
    <w:p w14:paraId="1AEAB3DC" w14:textId="77777777" w:rsidR="00B87472" w:rsidRPr="00E33DEA" w:rsidRDefault="00B87472" w:rsidP="00694406">
      <w:pPr>
        <w:jc w:val="both"/>
        <w:rPr>
          <w:rFonts w:ascii="Arial" w:hAnsi="Arial" w:cs="Arial"/>
          <w:sz w:val="22"/>
          <w:szCs w:val="22"/>
          <w:lang w:val="fr-BE"/>
        </w:rPr>
      </w:pPr>
    </w:p>
    <w:p w14:paraId="386B9A40" w14:textId="39FC3F87" w:rsidR="00B87472" w:rsidRDefault="00624368" w:rsidP="00FC5DAF">
      <w:pPr>
        <w:pStyle w:val="ListParagraph"/>
        <w:numPr>
          <w:ilvl w:val="0"/>
          <w:numId w:val="1"/>
        </w:numPr>
        <w:jc w:val="both"/>
        <w:rPr>
          <w:rFonts w:ascii="Arial" w:hAnsi="Arial" w:cs="Arial"/>
          <w:sz w:val="22"/>
          <w:szCs w:val="22"/>
          <w:lang w:val="fr-BE"/>
        </w:rPr>
      </w:pPr>
      <w:r w:rsidRPr="00E33DEA">
        <w:rPr>
          <w:rFonts w:ascii="Arial" w:hAnsi="Arial" w:cs="Arial"/>
          <w:sz w:val="22"/>
          <w:szCs w:val="22"/>
          <w:lang w:val="fr-BE"/>
        </w:rPr>
        <w:t xml:space="preserve">Doit-on </w:t>
      </w:r>
      <w:r w:rsidR="009E5D37">
        <w:rPr>
          <w:rFonts w:ascii="Arial" w:hAnsi="Arial" w:cs="Arial"/>
          <w:sz w:val="22"/>
          <w:szCs w:val="22"/>
          <w:lang w:val="fr-BE"/>
        </w:rPr>
        <w:t>mettre à jour</w:t>
      </w:r>
      <w:r w:rsidRPr="00E33DEA">
        <w:rPr>
          <w:rFonts w:ascii="Arial" w:hAnsi="Arial" w:cs="Arial"/>
          <w:sz w:val="22"/>
          <w:szCs w:val="22"/>
          <w:lang w:val="fr-BE"/>
        </w:rPr>
        <w:t xml:space="preserve"> nos manuels TVA et préciser que même </w:t>
      </w:r>
      <w:r w:rsidR="00D74728">
        <w:rPr>
          <w:rFonts w:ascii="Arial" w:hAnsi="Arial" w:cs="Arial"/>
          <w:sz w:val="22"/>
          <w:szCs w:val="22"/>
          <w:lang w:val="fr-BE"/>
        </w:rPr>
        <w:t>si</w:t>
      </w:r>
      <w:r w:rsidRPr="00E33DEA">
        <w:rPr>
          <w:rFonts w:ascii="Arial" w:hAnsi="Arial" w:cs="Arial"/>
          <w:sz w:val="22"/>
          <w:szCs w:val="22"/>
          <w:lang w:val="fr-BE"/>
        </w:rPr>
        <w:t xml:space="preserve"> le droit à déduction est acquis à l’entrepreneur malheureux, celui-ci peut être rattrapé par le mécanisme des révisions</w:t>
      </w:r>
      <w:r w:rsidR="00FC5DAF" w:rsidRPr="00E33DEA">
        <w:rPr>
          <w:rFonts w:ascii="Arial" w:hAnsi="Arial" w:cs="Arial"/>
          <w:sz w:val="22"/>
          <w:szCs w:val="22"/>
          <w:lang w:val="fr-BE"/>
        </w:rPr>
        <w:t> (et que les conclusions que l’on avaient tiré d’arrêts fondateurs tels que INZO et Fini H doivent donc être nuancées)?</w:t>
      </w:r>
    </w:p>
    <w:p w14:paraId="49367CD5" w14:textId="77777777" w:rsidR="00430BC9" w:rsidRPr="00E33DEA" w:rsidRDefault="00430BC9" w:rsidP="00430BC9">
      <w:pPr>
        <w:pStyle w:val="ListParagraph"/>
        <w:jc w:val="both"/>
        <w:rPr>
          <w:rFonts w:ascii="Arial" w:hAnsi="Arial" w:cs="Arial"/>
          <w:sz w:val="22"/>
          <w:szCs w:val="22"/>
          <w:lang w:val="fr-BE"/>
        </w:rPr>
      </w:pPr>
    </w:p>
    <w:p w14:paraId="1B20EC4A" w14:textId="532A1A7F" w:rsidR="004E49F0" w:rsidRPr="00E33DEA" w:rsidRDefault="00B87472" w:rsidP="00694406">
      <w:pPr>
        <w:pStyle w:val="ListParagraph"/>
        <w:numPr>
          <w:ilvl w:val="0"/>
          <w:numId w:val="1"/>
        </w:numPr>
        <w:jc w:val="both"/>
        <w:rPr>
          <w:rFonts w:ascii="Arial" w:hAnsi="Arial" w:cs="Arial"/>
          <w:sz w:val="22"/>
          <w:szCs w:val="22"/>
          <w:lang w:val="fr-BE"/>
        </w:rPr>
      </w:pPr>
      <w:r w:rsidRPr="00E33DEA">
        <w:rPr>
          <w:rFonts w:ascii="Arial" w:hAnsi="Arial" w:cs="Arial"/>
          <w:sz w:val="22"/>
          <w:szCs w:val="22"/>
          <w:lang w:val="fr-BE"/>
        </w:rPr>
        <w:t>D</w:t>
      </w:r>
      <w:r w:rsidR="00624368" w:rsidRPr="00E33DEA">
        <w:rPr>
          <w:rFonts w:ascii="Arial" w:hAnsi="Arial" w:cs="Arial"/>
          <w:sz w:val="22"/>
          <w:szCs w:val="22"/>
          <w:lang w:val="fr-BE"/>
        </w:rPr>
        <w:t>oit-on mettre en garde toutes les entreprises innovantes contre le poids potentiel d’une TVA qui pourrait devoir être reversée au Trésor en cas d’abandon d’un projet ?</w:t>
      </w:r>
    </w:p>
    <w:p w14:paraId="76C2E8ED" w14:textId="2E6ED1FF" w:rsidR="00C60D21" w:rsidRPr="00E33DEA" w:rsidRDefault="00C60D21" w:rsidP="00694406">
      <w:pPr>
        <w:jc w:val="both"/>
        <w:rPr>
          <w:rFonts w:ascii="Arial" w:hAnsi="Arial" w:cs="Arial"/>
          <w:sz w:val="22"/>
          <w:szCs w:val="22"/>
          <w:lang w:val="fr-BE"/>
        </w:rPr>
      </w:pPr>
    </w:p>
    <w:p w14:paraId="6C7AEDE3" w14:textId="395B820F" w:rsidR="00C60D21" w:rsidRDefault="00FC5DAF" w:rsidP="00694406">
      <w:pPr>
        <w:jc w:val="both"/>
        <w:rPr>
          <w:rFonts w:ascii="Arial" w:hAnsi="Arial" w:cs="Arial"/>
          <w:sz w:val="22"/>
          <w:szCs w:val="22"/>
          <w:lang w:val="fr-BE"/>
        </w:rPr>
      </w:pPr>
      <w:r w:rsidRPr="00E33DEA">
        <w:rPr>
          <w:rFonts w:ascii="Arial" w:hAnsi="Arial" w:cs="Arial"/>
          <w:sz w:val="22"/>
          <w:szCs w:val="22"/>
          <w:lang w:val="fr-BE"/>
        </w:rPr>
        <w:t>Terminons sur une 3</w:t>
      </w:r>
      <w:r w:rsidRPr="00E33DEA">
        <w:rPr>
          <w:rFonts w:ascii="Arial" w:hAnsi="Arial" w:cs="Arial"/>
          <w:sz w:val="22"/>
          <w:szCs w:val="22"/>
          <w:vertAlign w:val="superscript"/>
          <w:lang w:val="fr-BE"/>
        </w:rPr>
        <w:t>ème</w:t>
      </w:r>
      <w:r w:rsidRPr="00E33DEA">
        <w:rPr>
          <w:rFonts w:ascii="Arial" w:hAnsi="Arial" w:cs="Arial"/>
          <w:sz w:val="22"/>
          <w:szCs w:val="22"/>
          <w:lang w:val="fr-BE"/>
        </w:rPr>
        <w:t xml:space="preserve"> question plus positive : Peut-on espérer que la Cour clarifie dans un arrêt ultérieur que des révisions ne peuvent en réalité </w:t>
      </w:r>
      <w:r w:rsidR="009E5D37">
        <w:rPr>
          <w:rFonts w:ascii="Arial" w:hAnsi="Arial" w:cs="Arial"/>
          <w:sz w:val="22"/>
          <w:szCs w:val="22"/>
          <w:lang w:val="fr-BE"/>
        </w:rPr>
        <w:t xml:space="preserve">uniquement </w:t>
      </w:r>
      <w:r w:rsidRPr="00E33DEA">
        <w:rPr>
          <w:rFonts w:ascii="Arial" w:hAnsi="Arial" w:cs="Arial"/>
          <w:sz w:val="22"/>
          <w:szCs w:val="22"/>
          <w:lang w:val="fr-BE"/>
        </w:rPr>
        <w:t xml:space="preserve">être exigées que lorsque le risque d’une utilisation personnelle des biens et services acquis dans le cadre d’un projet </w:t>
      </w:r>
      <w:r w:rsidR="00A006EF">
        <w:rPr>
          <w:rFonts w:ascii="Arial" w:hAnsi="Arial" w:cs="Arial"/>
          <w:sz w:val="22"/>
          <w:szCs w:val="22"/>
          <w:lang w:val="fr-BE"/>
        </w:rPr>
        <w:t xml:space="preserve">finalement avorté </w:t>
      </w:r>
      <w:r w:rsidRPr="00E33DEA">
        <w:rPr>
          <w:rFonts w:ascii="Arial" w:hAnsi="Arial" w:cs="Arial"/>
          <w:sz w:val="22"/>
          <w:szCs w:val="22"/>
          <w:lang w:val="fr-BE"/>
        </w:rPr>
        <w:t xml:space="preserve">ne peut être écarté ? </w:t>
      </w:r>
      <w:r w:rsidR="009E5D37">
        <w:rPr>
          <w:rFonts w:ascii="Arial" w:hAnsi="Arial" w:cs="Arial"/>
          <w:sz w:val="22"/>
          <w:szCs w:val="22"/>
          <w:lang w:val="fr-BE"/>
        </w:rPr>
        <w:t xml:space="preserve">Une telle précision permettrait de remettre les pendules de la neutralité du système TVA </w:t>
      </w:r>
      <w:r w:rsidR="00D74728">
        <w:rPr>
          <w:rFonts w:ascii="Arial" w:hAnsi="Arial" w:cs="Arial"/>
          <w:sz w:val="22"/>
          <w:szCs w:val="22"/>
          <w:lang w:val="fr-BE"/>
        </w:rPr>
        <w:t xml:space="preserve">quelque </w:t>
      </w:r>
      <w:r w:rsidR="009E5D37">
        <w:rPr>
          <w:rFonts w:ascii="Arial" w:hAnsi="Arial" w:cs="Arial"/>
          <w:sz w:val="22"/>
          <w:szCs w:val="22"/>
          <w:lang w:val="fr-BE"/>
        </w:rPr>
        <w:t>peu plus à l’heure.</w:t>
      </w:r>
    </w:p>
    <w:p w14:paraId="24CA505B" w14:textId="77777777" w:rsidR="00440785" w:rsidRPr="00E33DEA" w:rsidRDefault="00440785" w:rsidP="00694406">
      <w:pPr>
        <w:jc w:val="both"/>
        <w:rPr>
          <w:rFonts w:ascii="Arial" w:hAnsi="Arial" w:cs="Arial"/>
          <w:sz w:val="22"/>
          <w:szCs w:val="22"/>
          <w:lang w:val="fr-BE"/>
        </w:rPr>
      </w:pPr>
    </w:p>
    <w:sectPr w:rsidR="00440785" w:rsidRPr="00E33DEA">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DE3D" w14:textId="77777777" w:rsidR="00DE4D75" w:rsidRDefault="00DE4D75" w:rsidP="004A1CB6">
      <w:r>
        <w:separator/>
      </w:r>
    </w:p>
  </w:endnote>
  <w:endnote w:type="continuationSeparator" w:id="0">
    <w:p w14:paraId="1DE63C5D" w14:textId="77777777" w:rsidR="00DE4D75" w:rsidRDefault="00DE4D75" w:rsidP="004A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eGothic">
    <w:altName w:val="Cambri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1267313"/>
      <w:docPartObj>
        <w:docPartGallery w:val="Page Numbers (Bottom of Page)"/>
        <w:docPartUnique/>
      </w:docPartObj>
    </w:sdtPr>
    <w:sdtContent>
      <w:p w14:paraId="7A0236FA" w14:textId="3111DFA7" w:rsidR="001265AA" w:rsidRDefault="001265AA" w:rsidP="000A2E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34DCAB" w14:textId="77777777" w:rsidR="001265AA" w:rsidRDefault="001265AA" w:rsidP="001265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6892069"/>
      <w:docPartObj>
        <w:docPartGallery w:val="Page Numbers (Bottom of Page)"/>
        <w:docPartUnique/>
      </w:docPartObj>
    </w:sdtPr>
    <w:sdtContent>
      <w:p w14:paraId="64849A8D" w14:textId="04AA80D1" w:rsidR="001265AA" w:rsidRDefault="001265AA" w:rsidP="000A2E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8FF3B1" w14:textId="77777777" w:rsidR="001265AA" w:rsidRDefault="001265AA" w:rsidP="00126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E8FF" w14:textId="77777777" w:rsidR="00DE4D75" w:rsidRDefault="00DE4D75" w:rsidP="004A1CB6">
      <w:r>
        <w:separator/>
      </w:r>
    </w:p>
  </w:footnote>
  <w:footnote w:type="continuationSeparator" w:id="0">
    <w:p w14:paraId="1259AB58" w14:textId="77777777" w:rsidR="00DE4D75" w:rsidRDefault="00DE4D75" w:rsidP="004A1CB6">
      <w:r>
        <w:continuationSeparator/>
      </w:r>
    </w:p>
  </w:footnote>
  <w:footnote w:id="1">
    <w:p w14:paraId="107A9DC8" w14:textId="0481C3B0" w:rsidR="00174849" w:rsidRPr="00174849" w:rsidRDefault="00174849">
      <w:pPr>
        <w:pStyle w:val="FootnoteText"/>
        <w:rPr>
          <w:lang w:val="fr-BE"/>
        </w:rPr>
      </w:pPr>
      <w:r>
        <w:rPr>
          <w:rStyle w:val="FootnoteReference"/>
        </w:rPr>
        <w:footnoteRef/>
      </w:r>
      <w:r>
        <w:t xml:space="preserve"> </w:t>
      </w:r>
      <w:r w:rsidRPr="00174849">
        <w:rPr>
          <w:lang w:val="fr-BE"/>
        </w:rPr>
        <w:t>Professeure à l’</w:t>
      </w:r>
      <w:proofErr w:type="spellStart"/>
      <w:r w:rsidRPr="00174849">
        <w:rPr>
          <w:lang w:val="fr-BE"/>
        </w:rPr>
        <w:t>UCLouvain</w:t>
      </w:r>
      <w:proofErr w:type="spellEnd"/>
      <w:r w:rsidRPr="00174849">
        <w:rPr>
          <w:lang w:val="fr-BE"/>
        </w:rPr>
        <w:t xml:space="preserve">, Membre du </w:t>
      </w:r>
      <w:r>
        <w:rPr>
          <w:lang w:val="fr-BE"/>
        </w:rPr>
        <w:t xml:space="preserve">Groupe d’Experts TVA de la Commission européenne, et </w:t>
      </w:r>
      <w:proofErr w:type="spellStart"/>
      <w:r>
        <w:rPr>
          <w:lang w:val="fr-BE"/>
        </w:rPr>
        <w:t>Counsel</w:t>
      </w:r>
      <w:proofErr w:type="spellEnd"/>
      <w:r>
        <w:rPr>
          <w:lang w:val="fr-BE"/>
        </w:rPr>
        <w:t xml:space="preserve"> au sein du cabinet ARTEO.</w:t>
      </w:r>
    </w:p>
  </w:footnote>
  <w:footnote w:id="2">
    <w:p w14:paraId="11349757" w14:textId="687C30AE" w:rsidR="005C1A0C" w:rsidRPr="005335CE" w:rsidRDefault="005C1A0C"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 xml:space="preserve">Cour de Justice de l’Union européenne, Arrêt du 29 février 1996, Aff. </w:t>
      </w:r>
      <w:r w:rsidR="00F77C52" w:rsidRPr="005335CE">
        <w:rPr>
          <w:rFonts w:ascii="Arial" w:hAnsi="Arial" w:cs="Arial"/>
          <w:color w:val="000000" w:themeColor="text1"/>
          <w:sz w:val="18"/>
          <w:szCs w:val="18"/>
          <w:lang w:val="fr-BE"/>
        </w:rPr>
        <w:t xml:space="preserve">INZO </w:t>
      </w:r>
      <w:r w:rsidRPr="005335CE">
        <w:rPr>
          <w:rFonts w:ascii="Arial" w:hAnsi="Arial" w:cs="Arial"/>
          <w:color w:val="000000" w:themeColor="text1"/>
          <w:sz w:val="18"/>
          <w:szCs w:val="18"/>
          <w:lang w:val="fr-BE"/>
        </w:rPr>
        <w:t xml:space="preserve">C-110/94, </w:t>
      </w:r>
      <w:r w:rsidRPr="005335CE">
        <w:rPr>
          <w:rFonts w:ascii="Arial" w:hAnsi="Arial" w:cs="Arial"/>
          <w:color w:val="000000" w:themeColor="text1"/>
          <w:sz w:val="18"/>
          <w:szCs w:val="18"/>
        </w:rPr>
        <w:t>ECLI:EU:C:1996:67</w:t>
      </w:r>
      <w:r w:rsidRPr="005335CE">
        <w:rPr>
          <w:rFonts w:ascii="Arial" w:hAnsi="Arial" w:cs="Arial"/>
          <w:color w:val="000000" w:themeColor="text1"/>
          <w:sz w:val="18"/>
          <w:szCs w:val="18"/>
          <w:lang w:val="fr-BE"/>
        </w:rPr>
        <w:t>.</w:t>
      </w:r>
    </w:p>
  </w:footnote>
  <w:footnote w:id="3">
    <w:p w14:paraId="346FD92C" w14:textId="14501007" w:rsidR="00213710" w:rsidRPr="005335CE" w:rsidRDefault="00213710"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 xml:space="preserve">Dans cette célèbre affaire, </w:t>
      </w:r>
      <w:r w:rsidR="00EE41DA" w:rsidRPr="005335CE">
        <w:rPr>
          <w:rFonts w:ascii="Arial" w:hAnsi="Arial" w:cs="Arial"/>
          <w:color w:val="000000" w:themeColor="text1"/>
          <w:sz w:val="18"/>
          <w:szCs w:val="18"/>
          <w:lang w:val="fr-BE"/>
        </w:rPr>
        <w:t>l’</w:t>
      </w:r>
      <w:r w:rsidRPr="005335CE">
        <w:rPr>
          <w:rFonts w:ascii="Arial" w:hAnsi="Arial" w:cs="Arial"/>
          <w:color w:val="000000" w:themeColor="text1"/>
          <w:sz w:val="18"/>
          <w:szCs w:val="18"/>
          <w:lang w:val="fr-BE"/>
        </w:rPr>
        <w:t xml:space="preserve">entreprise </w:t>
      </w:r>
      <w:r w:rsidR="00F77C52" w:rsidRPr="005335CE">
        <w:rPr>
          <w:rFonts w:ascii="Arial" w:hAnsi="Arial" w:cs="Arial"/>
          <w:color w:val="000000" w:themeColor="text1"/>
          <w:sz w:val="18"/>
          <w:szCs w:val="18"/>
          <w:lang w:val="fr-BE"/>
        </w:rPr>
        <w:t xml:space="preserve">belge </w:t>
      </w:r>
      <w:r w:rsidR="00EE41DA" w:rsidRPr="005335CE">
        <w:rPr>
          <w:rFonts w:ascii="Arial" w:hAnsi="Arial" w:cs="Arial"/>
          <w:color w:val="000000" w:themeColor="text1"/>
          <w:sz w:val="18"/>
          <w:szCs w:val="18"/>
          <w:lang w:val="fr-BE"/>
        </w:rPr>
        <w:t xml:space="preserve">INZO </w:t>
      </w:r>
      <w:r w:rsidR="0008089C">
        <w:rPr>
          <w:rFonts w:ascii="Arial" w:hAnsi="Arial" w:cs="Arial"/>
          <w:color w:val="000000" w:themeColor="text1"/>
          <w:sz w:val="18"/>
          <w:szCs w:val="18"/>
          <w:lang w:val="fr-BE"/>
        </w:rPr>
        <w:t>envisageait</w:t>
      </w:r>
      <w:r w:rsidR="00EE41DA" w:rsidRPr="005335CE">
        <w:rPr>
          <w:rFonts w:ascii="Arial" w:hAnsi="Arial" w:cs="Arial"/>
          <w:color w:val="000000" w:themeColor="text1"/>
          <w:sz w:val="18"/>
          <w:szCs w:val="18"/>
          <w:lang w:val="fr-BE"/>
        </w:rPr>
        <w:t xml:space="preserve"> de désaliniser de l’eau de mer. Elle avait </w:t>
      </w:r>
      <w:r w:rsidR="00F77C52" w:rsidRPr="005335CE">
        <w:rPr>
          <w:rFonts w:ascii="Arial" w:hAnsi="Arial" w:cs="Arial"/>
          <w:sz w:val="18"/>
          <w:szCs w:val="18"/>
        </w:rPr>
        <w:t xml:space="preserve">fait réaliser une étude </w:t>
      </w:r>
      <w:r w:rsidR="00F77C52" w:rsidRPr="005335CE">
        <w:rPr>
          <w:rFonts w:ascii="Arial" w:hAnsi="Arial" w:cs="Arial"/>
          <w:sz w:val="18"/>
          <w:szCs w:val="18"/>
          <w:lang w:val="fr-BE"/>
        </w:rPr>
        <w:t>de</w:t>
      </w:r>
      <w:r w:rsidR="00F77C52" w:rsidRPr="005335CE">
        <w:rPr>
          <w:rFonts w:ascii="Arial" w:hAnsi="Arial" w:cs="Arial"/>
          <w:sz w:val="18"/>
          <w:szCs w:val="18"/>
        </w:rPr>
        <w:t xml:space="preserve"> </w:t>
      </w:r>
      <w:r w:rsidR="00EE41DA" w:rsidRPr="005335CE">
        <w:rPr>
          <w:rFonts w:ascii="Arial" w:hAnsi="Arial" w:cs="Arial"/>
          <w:sz w:val="18"/>
          <w:szCs w:val="18"/>
          <w:lang w:val="fr-BE"/>
        </w:rPr>
        <w:t>faisabilité</w:t>
      </w:r>
      <w:r w:rsidR="00F77C52" w:rsidRPr="005335CE">
        <w:rPr>
          <w:rFonts w:ascii="Arial" w:hAnsi="Arial" w:cs="Arial"/>
          <w:sz w:val="18"/>
          <w:szCs w:val="18"/>
        </w:rPr>
        <w:t xml:space="preserve"> </w:t>
      </w:r>
      <w:r w:rsidR="00EE41DA" w:rsidRPr="005335CE">
        <w:rPr>
          <w:rFonts w:ascii="Arial" w:hAnsi="Arial" w:cs="Arial"/>
          <w:sz w:val="18"/>
          <w:szCs w:val="18"/>
          <w:lang w:val="fr-BE"/>
        </w:rPr>
        <w:t xml:space="preserve">qui avait </w:t>
      </w:r>
      <w:r w:rsidR="00EE41DA" w:rsidRPr="005335CE">
        <w:rPr>
          <w:rFonts w:ascii="Arial" w:hAnsi="Arial" w:cs="Arial"/>
          <w:sz w:val="18"/>
          <w:szCs w:val="18"/>
        </w:rPr>
        <w:t>révélé de nombreux problèmes de rentabilité et quelques investisseurs s'étant retirés, le projet a été abandonné</w:t>
      </w:r>
      <w:r w:rsidR="00EE41DA" w:rsidRPr="005335CE">
        <w:rPr>
          <w:rFonts w:ascii="Arial" w:hAnsi="Arial" w:cs="Arial"/>
          <w:sz w:val="18"/>
          <w:szCs w:val="18"/>
          <w:lang w:val="fr-BE"/>
        </w:rPr>
        <w:t>.</w:t>
      </w:r>
      <w:r w:rsidR="00EE41DA" w:rsidRPr="005335CE">
        <w:rPr>
          <w:rFonts w:ascii="Arial" w:hAnsi="Arial" w:cs="Arial"/>
          <w:sz w:val="18"/>
          <w:szCs w:val="18"/>
        </w:rPr>
        <w:t xml:space="preserve"> l'INZO a </w:t>
      </w:r>
      <w:r w:rsidR="00EE41DA" w:rsidRPr="005335CE">
        <w:rPr>
          <w:rFonts w:ascii="Arial" w:hAnsi="Arial" w:cs="Arial"/>
          <w:sz w:val="18"/>
          <w:szCs w:val="18"/>
          <w:lang w:val="fr-BE"/>
        </w:rPr>
        <w:t xml:space="preserve">ensuite </w:t>
      </w:r>
      <w:r w:rsidR="00EE41DA" w:rsidRPr="005335CE">
        <w:rPr>
          <w:rFonts w:ascii="Arial" w:hAnsi="Arial" w:cs="Arial"/>
          <w:sz w:val="18"/>
          <w:szCs w:val="18"/>
        </w:rPr>
        <w:t>été mise en liquidation</w:t>
      </w:r>
      <w:r w:rsidR="00EE41DA" w:rsidRPr="005335CE">
        <w:rPr>
          <w:rFonts w:ascii="Arial" w:hAnsi="Arial" w:cs="Arial"/>
          <w:sz w:val="18"/>
          <w:szCs w:val="18"/>
          <w:lang w:val="fr-BE"/>
        </w:rPr>
        <w:t>.</w:t>
      </w:r>
      <w:r w:rsidR="00EE41DA" w:rsidRPr="005335CE">
        <w:rPr>
          <w:rFonts w:ascii="Arial" w:hAnsi="Arial" w:cs="Arial"/>
          <w:sz w:val="18"/>
          <w:szCs w:val="18"/>
        </w:rPr>
        <w:t xml:space="preserve"> Elle n'a, par conséquent, jamais commencé l'activité envisagée.</w:t>
      </w:r>
    </w:p>
  </w:footnote>
  <w:footnote w:id="4">
    <w:p w14:paraId="5E787C5F" w14:textId="2E86801A" w:rsidR="00C60D21" w:rsidRPr="005335CE" w:rsidRDefault="00C60D21"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00EE41DA" w:rsidRPr="005335CE">
        <w:rPr>
          <w:rFonts w:ascii="Arial" w:hAnsi="Arial" w:cs="Arial"/>
          <w:color w:val="000000" w:themeColor="text1"/>
          <w:sz w:val="18"/>
          <w:szCs w:val="18"/>
          <w:lang w:val="fr-BE"/>
        </w:rPr>
        <w:t xml:space="preserve">Transposés en droit belge par les articles </w:t>
      </w:r>
      <w:r w:rsidR="005335CE" w:rsidRPr="005335CE">
        <w:rPr>
          <w:rFonts w:ascii="Arial" w:hAnsi="Arial" w:cs="Arial"/>
          <w:color w:val="000000" w:themeColor="text1"/>
          <w:sz w:val="18"/>
          <w:szCs w:val="18"/>
          <w:lang w:val="fr-BE"/>
        </w:rPr>
        <w:t>48 et 49</w:t>
      </w:r>
      <w:r w:rsidR="00EE41DA" w:rsidRPr="005335CE">
        <w:rPr>
          <w:rFonts w:ascii="Arial" w:hAnsi="Arial" w:cs="Arial"/>
          <w:color w:val="000000" w:themeColor="text1"/>
          <w:sz w:val="18"/>
          <w:szCs w:val="18"/>
          <w:lang w:val="fr-BE"/>
        </w:rPr>
        <w:t xml:space="preserve"> du Code de la TVA</w:t>
      </w:r>
      <w:r w:rsidR="005335CE" w:rsidRPr="005335CE">
        <w:rPr>
          <w:rFonts w:ascii="Arial" w:hAnsi="Arial" w:cs="Arial"/>
          <w:color w:val="000000" w:themeColor="text1"/>
          <w:sz w:val="18"/>
          <w:szCs w:val="18"/>
          <w:lang w:val="fr-BE"/>
        </w:rPr>
        <w:t xml:space="preserve"> et par les articles 5 à 11 de l’AR n°3 relatif aux déductions pour l’application de la taxe sur la valeur ajoutée (MB, 12 décembre 1969)</w:t>
      </w:r>
      <w:r w:rsidR="00EE41DA" w:rsidRPr="005335CE">
        <w:rPr>
          <w:rFonts w:ascii="Arial" w:hAnsi="Arial" w:cs="Arial"/>
          <w:color w:val="000000" w:themeColor="text1"/>
          <w:sz w:val="18"/>
          <w:szCs w:val="18"/>
          <w:lang w:val="fr-BE"/>
        </w:rPr>
        <w:t>.</w:t>
      </w:r>
    </w:p>
  </w:footnote>
  <w:footnote w:id="5">
    <w:p w14:paraId="201F6E0D" w14:textId="70692223" w:rsidR="009746F6" w:rsidRPr="005335CE" w:rsidRDefault="009746F6" w:rsidP="005335CE">
      <w:pPr>
        <w:pStyle w:val="FootnoteText"/>
        <w:jc w:val="both"/>
        <w:rPr>
          <w:rFonts w:ascii="Arial" w:hAnsi="Arial" w:cs="Arial"/>
          <w:sz w:val="18"/>
          <w:szCs w:val="18"/>
        </w:rPr>
      </w:pPr>
      <w:r w:rsidRPr="005335CE">
        <w:rPr>
          <w:rStyle w:val="FootnoteReference"/>
          <w:rFonts w:ascii="Arial" w:hAnsi="Arial" w:cs="Arial"/>
          <w:sz w:val="18"/>
          <w:szCs w:val="18"/>
        </w:rPr>
        <w:footnoteRef/>
      </w:r>
      <w:r w:rsidRPr="005335CE">
        <w:rPr>
          <w:rFonts w:ascii="Arial" w:hAnsi="Arial" w:cs="Arial"/>
          <w:sz w:val="18"/>
          <w:szCs w:val="18"/>
        </w:rPr>
        <w:t xml:space="preserve"> </w:t>
      </w:r>
      <w:r w:rsidRPr="005335CE">
        <w:rPr>
          <w:rFonts w:ascii="Arial" w:hAnsi="Arial" w:cs="Arial"/>
          <w:color w:val="000000" w:themeColor="text1"/>
          <w:sz w:val="18"/>
          <w:szCs w:val="18"/>
          <w:lang w:val="fr-BE"/>
        </w:rPr>
        <w:t>S</w:t>
      </w:r>
      <w:r w:rsidRPr="005335CE">
        <w:rPr>
          <w:rFonts w:ascii="Arial" w:hAnsi="Arial" w:cs="Arial"/>
          <w:color w:val="000000" w:themeColor="text1"/>
          <w:sz w:val="18"/>
          <w:szCs w:val="18"/>
          <w:lang w:val="fr-BE"/>
        </w:rPr>
        <w:t>ur pied des articles 132 à 137 de la Directive TVA</w:t>
      </w:r>
      <w:r w:rsidRPr="005335CE">
        <w:rPr>
          <w:rFonts w:ascii="Arial" w:hAnsi="Arial" w:cs="Arial"/>
          <w:color w:val="000000" w:themeColor="text1"/>
          <w:sz w:val="18"/>
          <w:szCs w:val="18"/>
          <w:lang w:val="fr-BE"/>
        </w:rPr>
        <w:t>.</w:t>
      </w:r>
    </w:p>
  </w:footnote>
  <w:footnote w:id="6">
    <w:p w14:paraId="7116A1E3" w14:textId="4EE1BD49" w:rsidR="009746F6" w:rsidRPr="005335CE" w:rsidRDefault="009746F6" w:rsidP="005335CE">
      <w:pPr>
        <w:pStyle w:val="FootnoteText"/>
        <w:jc w:val="both"/>
        <w:rPr>
          <w:rFonts w:ascii="Arial" w:hAnsi="Arial" w:cs="Arial"/>
          <w:sz w:val="18"/>
          <w:szCs w:val="18"/>
          <w:lang w:val="fr-BE"/>
        </w:rPr>
      </w:pPr>
      <w:r w:rsidRPr="005335CE">
        <w:rPr>
          <w:rStyle w:val="FootnoteReference"/>
          <w:rFonts w:ascii="Arial" w:hAnsi="Arial" w:cs="Arial"/>
          <w:sz w:val="18"/>
          <w:szCs w:val="18"/>
        </w:rPr>
        <w:footnoteRef/>
      </w:r>
      <w:r w:rsidRPr="005335CE">
        <w:rPr>
          <w:rFonts w:ascii="Arial" w:hAnsi="Arial" w:cs="Arial"/>
          <w:sz w:val="18"/>
          <w:szCs w:val="18"/>
        </w:rPr>
        <w:t xml:space="preserve"> </w:t>
      </w:r>
      <w:r w:rsidRPr="005335CE">
        <w:rPr>
          <w:rFonts w:ascii="Arial" w:hAnsi="Arial" w:cs="Arial"/>
          <w:sz w:val="18"/>
          <w:szCs w:val="18"/>
          <w:lang w:val="fr-BE"/>
        </w:rPr>
        <w:t xml:space="preserve">Notons que lorsque l’assujetti utilise les biens et services acquis pour ses besoins privés ou les besoins privés de tiers, c’est en priorité </w:t>
      </w:r>
      <w:r w:rsidRPr="005335CE">
        <w:rPr>
          <w:rFonts w:ascii="Arial" w:hAnsi="Arial" w:cs="Arial"/>
          <w:color w:val="000000"/>
          <w:sz w:val="18"/>
          <w:szCs w:val="18"/>
          <w:lang w:val="fr-BE"/>
        </w:rPr>
        <w:t>les règles régissant les prélèvements</w:t>
      </w:r>
      <w:r w:rsidRPr="005335CE">
        <w:rPr>
          <w:rFonts w:ascii="Arial" w:hAnsi="Arial" w:cs="Arial"/>
          <w:color w:val="000000"/>
          <w:sz w:val="18"/>
          <w:szCs w:val="18"/>
          <w:lang w:val="fr-BE"/>
        </w:rPr>
        <w:t xml:space="preserve"> </w:t>
      </w:r>
      <w:r w:rsidRPr="005335CE">
        <w:rPr>
          <w:rFonts w:ascii="Arial" w:hAnsi="Arial" w:cs="Arial"/>
          <w:color w:val="000000"/>
          <w:sz w:val="18"/>
          <w:szCs w:val="18"/>
          <w:lang w:val="fr-BE"/>
        </w:rPr>
        <w:t>qui trouveront à s’appliquer</w:t>
      </w:r>
      <w:r w:rsidRPr="005335CE">
        <w:rPr>
          <w:rFonts w:ascii="Arial" w:hAnsi="Arial" w:cs="Arial"/>
          <w:color w:val="000000"/>
          <w:sz w:val="18"/>
          <w:szCs w:val="18"/>
          <w:lang w:val="fr-BE"/>
        </w:rPr>
        <w:t xml:space="preserve"> en droit belge</w:t>
      </w:r>
      <w:r w:rsidRPr="005335CE">
        <w:rPr>
          <w:rFonts w:ascii="Arial" w:hAnsi="Arial" w:cs="Arial"/>
          <w:color w:val="000000"/>
          <w:sz w:val="18"/>
          <w:szCs w:val="18"/>
          <w:lang w:val="fr-BE"/>
        </w:rPr>
        <w:t xml:space="preserve"> (en vertu desquelles l’assujetti doit déclarer une livraison ou une prestations de service sur ces prélèvements et donc déclarer de la TVA y correspondant).</w:t>
      </w:r>
      <w:r w:rsidRPr="005335CE">
        <w:rPr>
          <w:rFonts w:ascii="Arial" w:hAnsi="Arial" w:cs="Arial"/>
          <w:sz w:val="18"/>
          <w:szCs w:val="18"/>
          <w:lang w:val="fr-BE"/>
        </w:rPr>
        <w:t xml:space="preserve"> Les prélèvements sont régis par les </w:t>
      </w:r>
      <w:r w:rsidRPr="005335CE">
        <w:rPr>
          <w:rFonts w:ascii="Arial" w:hAnsi="Arial" w:cs="Arial"/>
          <w:color w:val="000000"/>
          <w:sz w:val="18"/>
          <w:szCs w:val="18"/>
          <w:lang w:val="fr-BE"/>
        </w:rPr>
        <w:t>articles 16 et 26 de la Directive TVA,</w:t>
      </w:r>
      <w:r w:rsidRPr="005335CE">
        <w:rPr>
          <w:rFonts w:ascii="Arial" w:hAnsi="Arial" w:cs="Arial"/>
          <w:color w:val="000000"/>
          <w:sz w:val="18"/>
          <w:szCs w:val="18"/>
          <w:lang w:val="fr-BE"/>
        </w:rPr>
        <w:t xml:space="preserve"> </w:t>
      </w:r>
      <w:r w:rsidRPr="005335CE">
        <w:rPr>
          <w:rFonts w:ascii="Arial" w:hAnsi="Arial" w:cs="Arial"/>
          <w:sz w:val="18"/>
          <w:szCs w:val="18"/>
          <w:lang w:val="fr-BE"/>
        </w:rPr>
        <w:t xml:space="preserve">transposés aux articles </w:t>
      </w:r>
      <w:r w:rsidR="005335CE" w:rsidRPr="005335CE">
        <w:rPr>
          <w:rFonts w:ascii="Arial" w:hAnsi="Arial" w:cs="Arial"/>
          <w:sz w:val="18"/>
          <w:szCs w:val="18"/>
          <w:lang w:val="fr-BE"/>
        </w:rPr>
        <w:t>12</w:t>
      </w:r>
      <w:r w:rsidRPr="005335CE">
        <w:rPr>
          <w:rFonts w:ascii="Arial" w:hAnsi="Arial" w:cs="Arial"/>
          <w:sz w:val="18"/>
          <w:szCs w:val="18"/>
          <w:lang w:val="fr-BE"/>
        </w:rPr>
        <w:t xml:space="preserve"> et </w:t>
      </w:r>
      <w:r w:rsidR="005335CE" w:rsidRPr="005335CE">
        <w:rPr>
          <w:rFonts w:ascii="Arial" w:hAnsi="Arial" w:cs="Arial"/>
          <w:sz w:val="18"/>
          <w:szCs w:val="18"/>
          <w:lang w:val="fr-BE"/>
        </w:rPr>
        <w:t>19</w:t>
      </w:r>
      <w:r w:rsidRPr="005335CE">
        <w:rPr>
          <w:rFonts w:ascii="Arial" w:hAnsi="Arial" w:cs="Arial"/>
          <w:sz w:val="18"/>
          <w:szCs w:val="18"/>
          <w:lang w:val="fr-BE"/>
        </w:rPr>
        <w:t xml:space="preserve"> du Code de la TVA.</w:t>
      </w:r>
    </w:p>
  </w:footnote>
  <w:footnote w:id="7">
    <w:p w14:paraId="7E65580F" w14:textId="7C19BD52" w:rsidR="00CB4885" w:rsidRPr="005335CE" w:rsidRDefault="00CB4885" w:rsidP="005335CE">
      <w:pPr>
        <w:pStyle w:val="FootnoteText"/>
        <w:jc w:val="both"/>
        <w:rPr>
          <w:rFonts w:ascii="Arial" w:hAnsi="Arial" w:cs="Arial"/>
          <w:sz w:val="18"/>
          <w:szCs w:val="18"/>
          <w:lang w:val="fr-BE"/>
        </w:rPr>
      </w:pPr>
      <w:r w:rsidRPr="005335CE">
        <w:rPr>
          <w:rStyle w:val="FootnoteReference"/>
          <w:rFonts w:ascii="Arial" w:hAnsi="Arial" w:cs="Arial"/>
          <w:sz w:val="18"/>
          <w:szCs w:val="18"/>
        </w:rPr>
        <w:footnoteRef/>
      </w:r>
      <w:r w:rsidRPr="005335CE">
        <w:rPr>
          <w:rFonts w:ascii="Arial" w:hAnsi="Arial" w:cs="Arial"/>
          <w:sz w:val="18"/>
          <w:szCs w:val="18"/>
        </w:rPr>
        <w:t xml:space="preserve"> </w:t>
      </w:r>
      <w:r w:rsidR="00EE41DA" w:rsidRPr="005335CE">
        <w:rPr>
          <w:rFonts w:ascii="Arial" w:hAnsi="Arial" w:cs="Arial"/>
          <w:sz w:val="18"/>
          <w:szCs w:val="18"/>
          <w:lang w:val="fr-BE"/>
        </w:rPr>
        <w:t xml:space="preserve">Cour de Justice de l’Union Européenne, arrêt du </w:t>
      </w:r>
      <w:r w:rsidR="00EE41DA" w:rsidRPr="005335CE">
        <w:rPr>
          <w:rFonts w:ascii="Arial" w:hAnsi="Arial" w:cs="Arial"/>
          <w:color w:val="000000"/>
          <w:sz w:val="18"/>
          <w:szCs w:val="18"/>
        </w:rPr>
        <w:t xml:space="preserve">17 octobre 2018, </w:t>
      </w:r>
      <w:r w:rsidR="00EE41DA" w:rsidRPr="005335CE">
        <w:rPr>
          <w:rFonts w:ascii="Arial" w:hAnsi="Arial" w:cs="Arial"/>
          <w:color w:val="000000"/>
          <w:sz w:val="18"/>
          <w:szCs w:val="18"/>
          <w:lang w:val="fr-BE"/>
        </w:rPr>
        <w:t xml:space="preserve">Aff. </w:t>
      </w:r>
      <w:r w:rsidR="00EE41DA" w:rsidRPr="005335CE">
        <w:rPr>
          <w:rFonts w:ascii="Arial" w:hAnsi="Arial" w:cs="Arial"/>
          <w:color w:val="000000"/>
          <w:sz w:val="18"/>
          <w:szCs w:val="18"/>
        </w:rPr>
        <w:t>Ryanair, C</w:t>
      </w:r>
      <w:r w:rsidR="00EE41DA" w:rsidRPr="005335CE">
        <w:rPr>
          <w:rFonts w:ascii="Arial" w:hAnsi="Arial" w:cs="Arial"/>
          <w:color w:val="000000"/>
          <w:sz w:val="18"/>
          <w:szCs w:val="18"/>
        </w:rPr>
        <w:noBreakHyphen/>
        <w:t>249/17, EU:C:2018:834</w:t>
      </w:r>
      <w:r w:rsidR="00EE41DA" w:rsidRPr="005335CE">
        <w:rPr>
          <w:rFonts w:ascii="Arial" w:hAnsi="Arial" w:cs="Arial"/>
          <w:color w:val="000000"/>
          <w:sz w:val="18"/>
          <w:szCs w:val="18"/>
          <w:lang w:val="fr-BE"/>
        </w:rPr>
        <w:t xml:space="preserve">. </w:t>
      </w:r>
      <w:r w:rsidRPr="005335CE">
        <w:rPr>
          <w:rFonts w:ascii="Arial" w:hAnsi="Arial" w:cs="Arial"/>
          <w:sz w:val="18"/>
          <w:szCs w:val="18"/>
          <w:lang w:val="fr-BE"/>
        </w:rPr>
        <w:t xml:space="preserve">Dans le même sens, </w:t>
      </w:r>
      <w:proofErr w:type="spellStart"/>
      <w:r w:rsidRPr="005335CE">
        <w:rPr>
          <w:rFonts w:ascii="Arial" w:hAnsi="Arial" w:cs="Arial"/>
          <w:sz w:val="18"/>
          <w:szCs w:val="18"/>
          <w:lang w:val="fr-BE"/>
        </w:rPr>
        <w:t>voy</w:t>
      </w:r>
      <w:proofErr w:type="spellEnd"/>
      <w:r w:rsidRPr="005335CE">
        <w:rPr>
          <w:rFonts w:ascii="Arial" w:hAnsi="Arial" w:cs="Arial"/>
          <w:sz w:val="18"/>
          <w:szCs w:val="18"/>
          <w:lang w:val="fr-BE"/>
        </w:rPr>
        <w:t xml:space="preserve">. </w:t>
      </w:r>
      <w:r w:rsidR="00EE41DA" w:rsidRPr="005335CE">
        <w:rPr>
          <w:rFonts w:ascii="Arial" w:hAnsi="Arial" w:cs="Arial"/>
          <w:sz w:val="18"/>
          <w:szCs w:val="18"/>
          <w:lang w:val="fr-BE"/>
        </w:rPr>
        <w:t>é</w:t>
      </w:r>
      <w:r w:rsidRPr="005335CE">
        <w:rPr>
          <w:rFonts w:ascii="Arial" w:hAnsi="Arial" w:cs="Arial"/>
          <w:sz w:val="18"/>
          <w:szCs w:val="18"/>
          <w:lang w:val="fr-BE"/>
        </w:rPr>
        <w:t xml:space="preserve">galement la réponse à la première question posée à la Cour dans l’arrêt </w:t>
      </w:r>
      <w:r w:rsidRPr="005335CE">
        <w:rPr>
          <w:rFonts w:ascii="Arial" w:hAnsi="Arial" w:cs="Arial"/>
          <w:color w:val="000000" w:themeColor="text1"/>
          <w:sz w:val="18"/>
          <w:szCs w:val="18"/>
          <w:lang w:val="fr-BE"/>
        </w:rPr>
        <w:t xml:space="preserve">du 12 novembre 2020, Aff. </w:t>
      </w:r>
      <w:proofErr w:type="spellStart"/>
      <w:r w:rsidRPr="005335CE">
        <w:rPr>
          <w:rFonts w:ascii="Arial" w:hAnsi="Arial" w:cs="Arial"/>
          <w:color w:val="000000" w:themeColor="text1"/>
          <w:sz w:val="18"/>
          <w:szCs w:val="18"/>
          <w:lang w:val="fr-BE"/>
        </w:rPr>
        <w:t>Sonaecom</w:t>
      </w:r>
      <w:proofErr w:type="spellEnd"/>
      <w:r w:rsidRPr="005335CE">
        <w:rPr>
          <w:rFonts w:ascii="Arial" w:hAnsi="Arial" w:cs="Arial"/>
          <w:color w:val="000000" w:themeColor="text1"/>
          <w:sz w:val="18"/>
          <w:szCs w:val="18"/>
          <w:lang w:val="fr-BE"/>
        </w:rPr>
        <w:t xml:space="preserve"> SGPS SA contre </w:t>
      </w:r>
      <w:proofErr w:type="spellStart"/>
      <w:r w:rsidRPr="005335CE">
        <w:rPr>
          <w:rFonts w:ascii="Arial" w:hAnsi="Arial" w:cs="Arial"/>
          <w:color w:val="000000" w:themeColor="text1"/>
          <w:sz w:val="18"/>
          <w:szCs w:val="18"/>
          <w:lang w:val="fr-BE"/>
        </w:rPr>
        <w:t>Autoridade</w:t>
      </w:r>
      <w:proofErr w:type="spellEnd"/>
      <w:r w:rsidRPr="005335CE">
        <w:rPr>
          <w:rFonts w:ascii="Arial" w:hAnsi="Arial" w:cs="Arial"/>
          <w:color w:val="000000" w:themeColor="text1"/>
          <w:sz w:val="18"/>
          <w:szCs w:val="18"/>
          <w:lang w:val="fr-BE"/>
        </w:rPr>
        <w:t xml:space="preserve"> </w:t>
      </w:r>
      <w:proofErr w:type="spellStart"/>
      <w:r w:rsidRPr="005335CE">
        <w:rPr>
          <w:rFonts w:ascii="Arial" w:hAnsi="Arial" w:cs="Arial"/>
          <w:color w:val="000000" w:themeColor="text1"/>
          <w:sz w:val="18"/>
          <w:szCs w:val="18"/>
          <w:lang w:val="fr-BE"/>
        </w:rPr>
        <w:t>Tributária</w:t>
      </w:r>
      <w:proofErr w:type="spellEnd"/>
      <w:r w:rsidRPr="005335CE">
        <w:rPr>
          <w:rFonts w:ascii="Arial" w:hAnsi="Arial" w:cs="Arial"/>
          <w:color w:val="000000" w:themeColor="text1"/>
          <w:sz w:val="18"/>
          <w:szCs w:val="18"/>
          <w:lang w:val="fr-BE"/>
        </w:rPr>
        <w:t xml:space="preserve"> e </w:t>
      </w:r>
      <w:proofErr w:type="spellStart"/>
      <w:r w:rsidRPr="005335CE">
        <w:rPr>
          <w:rFonts w:ascii="Arial" w:hAnsi="Arial" w:cs="Arial"/>
          <w:color w:val="000000" w:themeColor="text1"/>
          <w:sz w:val="18"/>
          <w:szCs w:val="18"/>
          <w:lang w:val="fr-BE"/>
        </w:rPr>
        <w:t>Aduaneira</w:t>
      </w:r>
      <w:proofErr w:type="spellEnd"/>
      <w:r w:rsidRPr="005335CE">
        <w:rPr>
          <w:rFonts w:ascii="Arial" w:hAnsi="Arial" w:cs="Arial"/>
          <w:color w:val="000000" w:themeColor="text1"/>
          <w:sz w:val="18"/>
          <w:szCs w:val="18"/>
          <w:lang w:val="fr-BE"/>
        </w:rPr>
        <w:t>, C-42/19, ECLI:EU:C:2020:913.</w:t>
      </w:r>
    </w:p>
  </w:footnote>
  <w:footnote w:id="8">
    <w:p w14:paraId="68AA1634" w14:textId="109A71AF" w:rsidR="00834294" w:rsidRPr="005335CE" w:rsidRDefault="00834294"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sz w:val="18"/>
          <w:szCs w:val="18"/>
        </w:rPr>
        <w:footnoteRef/>
      </w:r>
      <w:r w:rsidRPr="005335CE">
        <w:rPr>
          <w:rFonts w:ascii="Arial" w:hAnsi="Arial" w:cs="Arial"/>
          <w:sz w:val="18"/>
          <w:szCs w:val="18"/>
          <w:lang w:val="fr-BE"/>
        </w:rPr>
        <w:t xml:space="preserve"> </w:t>
      </w:r>
      <w:r w:rsidRPr="005335CE">
        <w:rPr>
          <w:rFonts w:ascii="Arial" w:hAnsi="Arial" w:cs="Arial"/>
          <w:color w:val="000000" w:themeColor="text1"/>
          <w:sz w:val="18"/>
          <w:szCs w:val="18"/>
          <w:lang w:val="fr-BE"/>
        </w:rPr>
        <w:t xml:space="preserve">Cour de Justice de l’Union européenne, Arrêt du </w:t>
      </w:r>
      <w:r w:rsidRPr="005335CE">
        <w:rPr>
          <w:rFonts w:ascii="Arial" w:hAnsi="Arial" w:cs="Arial"/>
          <w:color w:val="000000" w:themeColor="text1"/>
          <w:sz w:val="18"/>
          <w:szCs w:val="18"/>
          <w:lang w:val="fr-BE"/>
        </w:rPr>
        <w:t xml:space="preserve">17 septembre 2020, Aff. </w:t>
      </w:r>
      <w:r w:rsidRPr="005335CE">
        <w:rPr>
          <w:rFonts w:ascii="Arial" w:hAnsi="Arial" w:cs="Arial"/>
          <w:color w:val="000000" w:themeColor="text1"/>
          <w:sz w:val="18"/>
          <w:szCs w:val="18"/>
          <w:lang w:val="fr-BE"/>
        </w:rPr>
        <w:t>Stichting Schoonzicht</w:t>
      </w:r>
      <w:r w:rsidRPr="005335CE">
        <w:rPr>
          <w:rFonts w:ascii="Arial" w:hAnsi="Arial" w:cs="Arial"/>
          <w:color w:val="000000" w:themeColor="text1"/>
          <w:sz w:val="18"/>
          <w:szCs w:val="18"/>
          <w:lang w:val="fr-BE"/>
        </w:rPr>
        <w:t xml:space="preserve"> </w:t>
      </w:r>
      <w:r w:rsidRPr="005335CE">
        <w:rPr>
          <w:rFonts w:ascii="Arial" w:hAnsi="Arial" w:cs="Arial"/>
          <w:color w:val="000000" w:themeColor="text1"/>
          <w:sz w:val="18"/>
          <w:szCs w:val="18"/>
          <w:lang w:val="fr-BE"/>
        </w:rPr>
        <w:t>contre</w:t>
      </w:r>
      <w:r w:rsidRPr="005335CE">
        <w:rPr>
          <w:rFonts w:ascii="Arial" w:hAnsi="Arial" w:cs="Arial"/>
          <w:color w:val="000000" w:themeColor="text1"/>
          <w:sz w:val="18"/>
          <w:szCs w:val="18"/>
          <w:lang w:val="fr-BE"/>
        </w:rPr>
        <w:t xml:space="preserve"> </w:t>
      </w:r>
      <w:proofErr w:type="spellStart"/>
      <w:r w:rsidRPr="005335CE">
        <w:rPr>
          <w:rFonts w:ascii="Arial" w:hAnsi="Arial" w:cs="Arial"/>
          <w:color w:val="000000" w:themeColor="text1"/>
          <w:sz w:val="18"/>
          <w:szCs w:val="18"/>
          <w:lang w:val="fr-BE"/>
        </w:rPr>
        <w:t>Staatssecretaris</w:t>
      </w:r>
      <w:proofErr w:type="spellEnd"/>
      <w:r w:rsidRPr="005335CE">
        <w:rPr>
          <w:rFonts w:ascii="Arial" w:hAnsi="Arial" w:cs="Arial"/>
          <w:color w:val="000000" w:themeColor="text1"/>
          <w:sz w:val="18"/>
          <w:szCs w:val="18"/>
          <w:lang w:val="fr-BE"/>
        </w:rPr>
        <w:t xml:space="preserve"> van </w:t>
      </w:r>
      <w:proofErr w:type="spellStart"/>
      <w:r w:rsidRPr="005335CE">
        <w:rPr>
          <w:rFonts w:ascii="Arial" w:hAnsi="Arial" w:cs="Arial"/>
          <w:color w:val="000000" w:themeColor="text1"/>
          <w:sz w:val="18"/>
          <w:szCs w:val="18"/>
          <w:lang w:val="fr-BE"/>
        </w:rPr>
        <w:t>Financiën</w:t>
      </w:r>
      <w:proofErr w:type="spellEnd"/>
      <w:r w:rsidRPr="005335CE">
        <w:rPr>
          <w:rFonts w:ascii="Arial" w:hAnsi="Arial" w:cs="Arial"/>
          <w:color w:val="000000" w:themeColor="text1"/>
          <w:sz w:val="18"/>
          <w:szCs w:val="18"/>
          <w:lang w:val="fr-BE"/>
        </w:rPr>
        <w:t>,</w:t>
      </w:r>
      <w:r w:rsidRPr="005335CE">
        <w:rPr>
          <w:rFonts w:ascii="Arial" w:hAnsi="Arial" w:cs="Arial"/>
          <w:color w:val="000000" w:themeColor="text1"/>
          <w:sz w:val="18"/>
          <w:szCs w:val="18"/>
          <w:lang w:val="fr-BE"/>
        </w:rPr>
        <w:t xml:space="preserve"> </w:t>
      </w:r>
      <w:r w:rsidRPr="005335CE">
        <w:rPr>
          <w:rFonts w:ascii="Arial" w:hAnsi="Arial" w:cs="Arial"/>
          <w:color w:val="000000" w:themeColor="text1"/>
          <w:sz w:val="18"/>
          <w:szCs w:val="18"/>
          <w:lang w:val="fr-BE"/>
        </w:rPr>
        <w:t>ECLI:EU:C:2020:73</w:t>
      </w:r>
      <w:r w:rsidRPr="005335CE">
        <w:rPr>
          <w:rFonts w:ascii="Arial" w:hAnsi="Arial" w:cs="Arial"/>
          <w:color w:val="000000" w:themeColor="text1"/>
          <w:sz w:val="18"/>
          <w:szCs w:val="18"/>
          <w:lang w:val="fr-BE"/>
        </w:rPr>
        <w:t>.</w:t>
      </w:r>
    </w:p>
  </w:footnote>
  <w:footnote w:id="9">
    <w:p w14:paraId="64198733" w14:textId="0CC1F5AB" w:rsidR="00834294" w:rsidRPr="005335CE" w:rsidRDefault="00834294"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 xml:space="preserve">Cour de Justice de l’Union européenne, Arrêt du </w:t>
      </w:r>
      <w:r w:rsidRPr="005335CE">
        <w:rPr>
          <w:rFonts w:ascii="Arial" w:hAnsi="Arial" w:cs="Arial"/>
          <w:color w:val="000000" w:themeColor="text1"/>
          <w:sz w:val="18"/>
          <w:szCs w:val="18"/>
          <w:lang w:val="fr-BE"/>
        </w:rPr>
        <w:t xml:space="preserve">9 juillet 2020, Aff. </w:t>
      </w:r>
      <w:r w:rsidRPr="005335CE">
        <w:rPr>
          <w:rFonts w:ascii="Arial" w:hAnsi="Arial" w:cs="Arial"/>
          <w:color w:val="000000" w:themeColor="text1"/>
          <w:sz w:val="18"/>
          <w:szCs w:val="18"/>
          <w:lang w:val="fr-BE"/>
        </w:rPr>
        <w:t>HF</w:t>
      </w:r>
      <w:r w:rsidRPr="005335CE">
        <w:rPr>
          <w:rFonts w:ascii="Arial" w:hAnsi="Arial" w:cs="Arial"/>
          <w:color w:val="000000" w:themeColor="text1"/>
          <w:sz w:val="18"/>
          <w:szCs w:val="18"/>
          <w:lang w:val="fr-BE"/>
        </w:rPr>
        <w:t xml:space="preserve"> </w:t>
      </w:r>
      <w:r w:rsidRPr="005335CE">
        <w:rPr>
          <w:rFonts w:ascii="Arial" w:hAnsi="Arial" w:cs="Arial"/>
          <w:color w:val="000000" w:themeColor="text1"/>
          <w:sz w:val="18"/>
          <w:szCs w:val="18"/>
          <w:lang w:val="fr-BE"/>
        </w:rPr>
        <w:t>contre</w:t>
      </w:r>
      <w:r w:rsidRPr="005335CE">
        <w:rPr>
          <w:rFonts w:ascii="Arial" w:hAnsi="Arial" w:cs="Arial"/>
          <w:color w:val="000000" w:themeColor="text1"/>
          <w:sz w:val="18"/>
          <w:szCs w:val="18"/>
          <w:lang w:val="fr-BE"/>
        </w:rPr>
        <w:t xml:space="preserve"> </w:t>
      </w:r>
      <w:proofErr w:type="spellStart"/>
      <w:r w:rsidRPr="005335CE">
        <w:rPr>
          <w:rFonts w:ascii="Arial" w:hAnsi="Arial" w:cs="Arial"/>
          <w:color w:val="000000" w:themeColor="text1"/>
          <w:sz w:val="18"/>
          <w:szCs w:val="18"/>
          <w:lang w:val="fr-BE"/>
        </w:rPr>
        <w:t>Finanzamt</w:t>
      </w:r>
      <w:proofErr w:type="spellEnd"/>
      <w:r w:rsidRPr="005335CE">
        <w:rPr>
          <w:rFonts w:ascii="Arial" w:hAnsi="Arial" w:cs="Arial"/>
          <w:color w:val="000000" w:themeColor="text1"/>
          <w:sz w:val="18"/>
          <w:szCs w:val="18"/>
          <w:lang w:val="fr-BE"/>
        </w:rPr>
        <w:t xml:space="preserve"> Bad </w:t>
      </w:r>
      <w:proofErr w:type="spellStart"/>
      <w:r w:rsidRPr="005335CE">
        <w:rPr>
          <w:rFonts w:ascii="Arial" w:hAnsi="Arial" w:cs="Arial"/>
          <w:color w:val="000000" w:themeColor="text1"/>
          <w:sz w:val="18"/>
          <w:szCs w:val="18"/>
          <w:lang w:val="fr-BE"/>
        </w:rPr>
        <w:t>Neuenahr-Ahrweiler</w:t>
      </w:r>
      <w:proofErr w:type="spellEnd"/>
      <w:r w:rsidRPr="005335CE">
        <w:rPr>
          <w:rFonts w:ascii="Arial" w:hAnsi="Arial" w:cs="Arial"/>
          <w:color w:val="000000" w:themeColor="text1"/>
          <w:sz w:val="18"/>
          <w:szCs w:val="18"/>
          <w:lang w:val="fr-BE"/>
        </w:rPr>
        <w:t xml:space="preserve">, </w:t>
      </w:r>
      <w:r w:rsidRPr="005335CE">
        <w:rPr>
          <w:rFonts w:ascii="Arial" w:hAnsi="Arial" w:cs="Arial"/>
          <w:color w:val="000000" w:themeColor="text1"/>
          <w:sz w:val="18"/>
          <w:szCs w:val="18"/>
          <w:lang w:val="fr-BE"/>
        </w:rPr>
        <w:t>ECLI:EU:C:2020:546</w:t>
      </w:r>
      <w:r w:rsidRPr="005335CE">
        <w:rPr>
          <w:rFonts w:ascii="Arial" w:hAnsi="Arial" w:cs="Arial"/>
          <w:color w:val="000000" w:themeColor="text1"/>
          <w:sz w:val="18"/>
          <w:szCs w:val="18"/>
          <w:lang w:val="fr-BE"/>
        </w:rPr>
        <w:t>.</w:t>
      </w:r>
    </w:p>
  </w:footnote>
  <w:footnote w:id="10">
    <w:p w14:paraId="063787F9" w14:textId="4D88FFA3" w:rsidR="00834294" w:rsidRPr="005335CE" w:rsidRDefault="00834294"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Cour de Justice de l’Union européenne, Arrêt du</w:t>
      </w:r>
      <w:r w:rsidRPr="005335CE">
        <w:rPr>
          <w:rFonts w:ascii="Arial" w:hAnsi="Arial" w:cs="Arial"/>
          <w:color w:val="000000" w:themeColor="text1"/>
          <w:sz w:val="18"/>
          <w:szCs w:val="18"/>
          <w:lang w:val="fr-BE"/>
        </w:rPr>
        <w:t xml:space="preserve"> 12 novembre 2020, Aff. </w:t>
      </w:r>
      <w:r w:rsidR="00CB4885" w:rsidRPr="005335CE">
        <w:rPr>
          <w:rFonts w:ascii="Arial" w:hAnsi="Arial" w:cs="Arial"/>
          <w:color w:val="000000" w:themeColor="text1"/>
          <w:sz w:val="18"/>
          <w:szCs w:val="18"/>
          <w:lang w:val="fr-BE"/>
        </w:rPr>
        <w:t>Sonaecom SGPS SA</w:t>
      </w:r>
      <w:r w:rsidR="00CB4885" w:rsidRPr="005335CE">
        <w:rPr>
          <w:rFonts w:ascii="Arial" w:hAnsi="Arial" w:cs="Arial"/>
          <w:color w:val="000000" w:themeColor="text1"/>
          <w:sz w:val="18"/>
          <w:szCs w:val="18"/>
          <w:lang w:val="fr-BE"/>
        </w:rPr>
        <w:t xml:space="preserve"> </w:t>
      </w:r>
      <w:r w:rsidR="00CB4885" w:rsidRPr="005335CE">
        <w:rPr>
          <w:rFonts w:ascii="Arial" w:hAnsi="Arial" w:cs="Arial"/>
          <w:color w:val="000000" w:themeColor="text1"/>
          <w:sz w:val="18"/>
          <w:szCs w:val="18"/>
          <w:lang w:val="fr-BE"/>
        </w:rPr>
        <w:t>contre</w:t>
      </w:r>
      <w:r w:rsidR="00CB4885" w:rsidRPr="005335CE">
        <w:rPr>
          <w:rFonts w:ascii="Arial" w:hAnsi="Arial" w:cs="Arial"/>
          <w:color w:val="000000" w:themeColor="text1"/>
          <w:sz w:val="18"/>
          <w:szCs w:val="18"/>
          <w:lang w:val="fr-BE"/>
        </w:rPr>
        <w:t xml:space="preserve"> </w:t>
      </w:r>
      <w:r w:rsidR="00CB4885" w:rsidRPr="005335CE">
        <w:rPr>
          <w:rFonts w:ascii="Arial" w:hAnsi="Arial" w:cs="Arial"/>
          <w:color w:val="000000" w:themeColor="text1"/>
          <w:sz w:val="18"/>
          <w:szCs w:val="18"/>
          <w:lang w:val="fr-BE"/>
        </w:rPr>
        <w:t>Autoridade Tributária e Aduaneira</w:t>
      </w:r>
      <w:r w:rsidR="00CB4885" w:rsidRPr="005335CE">
        <w:rPr>
          <w:rFonts w:ascii="Arial" w:hAnsi="Arial" w:cs="Arial"/>
          <w:color w:val="000000" w:themeColor="text1"/>
          <w:sz w:val="18"/>
          <w:szCs w:val="18"/>
          <w:lang w:val="fr-BE"/>
        </w:rPr>
        <w:t xml:space="preserve">, C-42/19, </w:t>
      </w:r>
      <w:r w:rsidR="00CB4885" w:rsidRPr="005335CE">
        <w:rPr>
          <w:rFonts w:ascii="Arial" w:hAnsi="Arial" w:cs="Arial"/>
          <w:color w:val="000000" w:themeColor="text1"/>
          <w:sz w:val="18"/>
          <w:szCs w:val="18"/>
          <w:lang w:val="fr-BE"/>
        </w:rPr>
        <w:t>ECLI:EU:C:2020:913</w:t>
      </w:r>
      <w:r w:rsidR="00CB4885" w:rsidRPr="005335CE">
        <w:rPr>
          <w:rFonts w:ascii="Arial" w:hAnsi="Arial" w:cs="Arial"/>
          <w:color w:val="000000" w:themeColor="text1"/>
          <w:sz w:val="18"/>
          <w:szCs w:val="18"/>
          <w:lang w:val="fr-BE"/>
        </w:rPr>
        <w:t>.</w:t>
      </w:r>
    </w:p>
  </w:footnote>
  <w:footnote w:id="11">
    <w:p w14:paraId="400BCE86" w14:textId="15952444" w:rsidR="00F44FF0" w:rsidRPr="005335CE" w:rsidRDefault="00F44FF0"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00EE41DA" w:rsidRPr="005335CE">
        <w:rPr>
          <w:rFonts w:ascii="Arial" w:hAnsi="Arial" w:cs="Arial"/>
          <w:color w:val="000000" w:themeColor="text1"/>
          <w:sz w:val="18"/>
          <w:szCs w:val="18"/>
          <w:lang w:val="fr-BE"/>
        </w:rPr>
        <w:t xml:space="preserve">Cour de Justice de l’Union Européenne, arrêt du 28 février 2018, Aff. </w:t>
      </w:r>
      <w:r w:rsidR="00EE41DA" w:rsidRPr="005335CE">
        <w:rPr>
          <w:rFonts w:ascii="Arial" w:hAnsi="Arial" w:cs="Arial"/>
          <w:color w:val="000000" w:themeColor="text1"/>
          <w:sz w:val="18"/>
          <w:szCs w:val="18"/>
        </w:rPr>
        <w:t>Imofloresmira — Investimentos Imobiliários SA</w:t>
      </w:r>
      <w:r w:rsidR="00EE41DA" w:rsidRPr="005335CE">
        <w:rPr>
          <w:rFonts w:ascii="Arial" w:hAnsi="Arial" w:cs="Arial"/>
          <w:color w:val="000000" w:themeColor="text1"/>
          <w:sz w:val="18"/>
          <w:szCs w:val="18"/>
          <w:lang w:val="fr-BE"/>
        </w:rPr>
        <w:t xml:space="preserve"> contre </w:t>
      </w:r>
      <w:r w:rsidR="00EE41DA" w:rsidRPr="005335CE">
        <w:rPr>
          <w:rFonts w:ascii="Arial" w:hAnsi="Arial" w:cs="Arial"/>
          <w:color w:val="000000" w:themeColor="text1"/>
          <w:sz w:val="18"/>
          <w:szCs w:val="18"/>
        </w:rPr>
        <w:t>Autoridade Tributária e Aduaneira</w:t>
      </w:r>
      <w:r w:rsidR="00EE41DA" w:rsidRPr="005335CE">
        <w:rPr>
          <w:rFonts w:ascii="Arial" w:hAnsi="Arial" w:cs="Arial"/>
          <w:color w:val="000000" w:themeColor="text1"/>
          <w:sz w:val="18"/>
          <w:szCs w:val="18"/>
          <w:lang w:val="fr-BE"/>
        </w:rPr>
        <w:t xml:space="preserve">, C-672/16, </w:t>
      </w:r>
      <w:r w:rsidR="00EE41DA" w:rsidRPr="005335CE">
        <w:rPr>
          <w:rFonts w:ascii="Arial" w:hAnsi="Arial" w:cs="Arial"/>
          <w:color w:val="000000" w:themeColor="text1"/>
          <w:sz w:val="18"/>
          <w:szCs w:val="18"/>
        </w:rPr>
        <w:t>ECLI:EU:C:2018:134</w:t>
      </w:r>
      <w:r w:rsidR="00EE41DA" w:rsidRPr="005335CE">
        <w:rPr>
          <w:rFonts w:ascii="Arial" w:hAnsi="Arial" w:cs="Arial"/>
          <w:color w:val="000000" w:themeColor="text1"/>
          <w:sz w:val="18"/>
          <w:szCs w:val="18"/>
          <w:lang w:val="fr-BE"/>
        </w:rPr>
        <w:t>.</w:t>
      </w:r>
    </w:p>
  </w:footnote>
  <w:footnote w:id="12">
    <w:p w14:paraId="318CAAC0" w14:textId="7A5DE056" w:rsidR="00F44FF0" w:rsidRPr="00D05F2F" w:rsidRDefault="00F44FF0" w:rsidP="005335CE">
      <w:pPr>
        <w:pStyle w:val="FootnoteText"/>
        <w:jc w:val="both"/>
        <w:rPr>
          <w:rFonts w:ascii="Arial" w:eastAsia="Times New Roman" w:hAnsi="Arial" w:cs="Arial"/>
          <w:color w:val="000000" w:themeColor="text1"/>
          <w:sz w:val="18"/>
          <w:szCs w:val="18"/>
          <w:lang w:eastAsia="en-GB"/>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00EE41DA" w:rsidRPr="005335CE">
        <w:rPr>
          <w:rFonts w:ascii="Arial" w:hAnsi="Arial" w:cs="Arial"/>
          <w:color w:val="000000" w:themeColor="text1"/>
          <w:sz w:val="18"/>
          <w:szCs w:val="18"/>
          <w:lang w:val="fr-BE"/>
        </w:rPr>
        <w:t xml:space="preserve">Cour de Justice de l’Union Européenne, arrêt du 3 mars 2005, Aff. </w:t>
      </w:r>
      <w:r w:rsidR="00EE41DA" w:rsidRPr="005335CE">
        <w:rPr>
          <w:rFonts w:ascii="Arial" w:eastAsia="Times New Roman" w:hAnsi="Arial" w:cs="Arial"/>
          <w:color w:val="000000" w:themeColor="text1"/>
          <w:sz w:val="18"/>
          <w:szCs w:val="18"/>
          <w:shd w:val="clear" w:color="auto" w:fill="FFFFFF"/>
          <w:lang w:eastAsia="en-GB"/>
        </w:rPr>
        <w:t>I/S Fini H</w:t>
      </w:r>
      <w:r w:rsidR="00EE41DA" w:rsidRPr="005335CE">
        <w:rPr>
          <w:rFonts w:ascii="Arial" w:eastAsia="Times New Roman" w:hAnsi="Arial" w:cs="Arial"/>
          <w:color w:val="000000" w:themeColor="text1"/>
          <w:sz w:val="18"/>
          <w:szCs w:val="18"/>
          <w:lang w:val="nl-NL" w:eastAsia="en-GB"/>
        </w:rPr>
        <w:t xml:space="preserve"> </w:t>
      </w:r>
      <w:r w:rsidR="00EE41DA" w:rsidRPr="00EE41DA">
        <w:rPr>
          <w:rFonts w:ascii="Arial" w:eastAsia="Times New Roman" w:hAnsi="Arial" w:cs="Arial"/>
          <w:color w:val="000000" w:themeColor="text1"/>
          <w:sz w:val="18"/>
          <w:szCs w:val="18"/>
          <w:lang w:eastAsia="en-GB"/>
        </w:rPr>
        <w:t>contre</w:t>
      </w:r>
      <w:r w:rsidR="00D05F2F">
        <w:rPr>
          <w:rFonts w:ascii="Arial" w:eastAsia="Times New Roman" w:hAnsi="Arial" w:cs="Arial"/>
          <w:color w:val="000000" w:themeColor="text1"/>
          <w:sz w:val="18"/>
          <w:szCs w:val="18"/>
          <w:lang w:val="nl-NL" w:eastAsia="en-GB"/>
        </w:rPr>
        <w:t xml:space="preserve"> </w:t>
      </w:r>
      <w:r w:rsidR="00EE41DA" w:rsidRPr="005335CE">
        <w:rPr>
          <w:rFonts w:ascii="Arial" w:eastAsia="Times New Roman" w:hAnsi="Arial" w:cs="Arial"/>
          <w:color w:val="000000" w:themeColor="text1"/>
          <w:sz w:val="18"/>
          <w:szCs w:val="18"/>
          <w:shd w:val="clear" w:color="auto" w:fill="FFFFFF"/>
          <w:lang w:eastAsia="en-GB"/>
        </w:rPr>
        <w:t>Skatteministeriet,</w:t>
      </w:r>
      <w:r w:rsidR="00EE41DA" w:rsidRPr="005335CE">
        <w:rPr>
          <w:rFonts w:ascii="Arial" w:eastAsia="Times New Roman" w:hAnsi="Arial" w:cs="Arial"/>
          <w:color w:val="000000" w:themeColor="text1"/>
          <w:sz w:val="18"/>
          <w:szCs w:val="18"/>
          <w:shd w:val="clear" w:color="auto" w:fill="FFFFFF"/>
          <w:lang w:val="nl-NL" w:eastAsia="en-GB"/>
        </w:rPr>
        <w:t xml:space="preserve"> </w:t>
      </w:r>
      <w:r w:rsidR="00D05F2F">
        <w:rPr>
          <w:rFonts w:ascii="Arial" w:eastAsia="Times New Roman" w:hAnsi="Arial" w:cs="Arial"/>
          <w:color w:val="000000" w:themeColor="text1"/>
          <w:sz w:val="18"/>
          <w:szCs w:val="18"/>
          <w:shd w:val="clear" w:color="auto" w:fill="FFFFFF"/>
          <w:lang w:val="nl-NL" w:eastAsia="en-GB"/>
        </w:rPr>
        <w:t xml:space="preserve">C-32/03, </w:t>
      </w:r>
      <w:r w:rsidR="00EE41DA" w:rsidRPr="005335CE">
        <w:rPr>
          <w:rFonts w:ascii="Arial" w:hAnsi="Arial" w:cs="Arial"/>
          <w:color w:val="000000" w:themeColor="text1"/>
          <w:sz w:val="18"/>
          <w:szCs w:val="18"/>
          <w:shd w:val="clear" w:color="auto" w:fill="FFFFFF"/>
        </w:rPr>
        <w:t>ECLI:EU:C:2005:128</w:t>
      </w:r>
      <w:r w:rsidR="00EE41DA" w:rsidRPr="005335CE">
        <w:rPr>
          <w:rFonts w:ascii="Arial" w:hAnsi="Arial" w:cs="Arial"/>
          <w:color w:val="000000" w:themeColor="text1"/>
          <w:sz w:val="18"/>
          <w:szCs w:val="18"/>
          <w:shd w:val="clear" w:color="auto" w:fill="FFFFFF"/>
          <w:lang w:val="nl-NL"/>
        </w:rPr>
        <w:t>.</w:t>
      </w:r>
    </w:p>
  </w:footnote>
  <w:footnote w:id="13">
    <w:p w14:paraId="10A99B3D" w14:textId="222A928B" w:rsidR="006D449D" w:rsidRPr="005335CE" w:rsidRDefault="006D449D" w:rsidP="005335CE">
      <w:pPr>
        <w:pStyle w:val="FootnoteText"/>
        <w:jc w:val="both"/>
        <w:rPr>
          <w:rFonts w:ascii="Arial" w:hAnsi="Arial" w:cs="Arial"/>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 xml:space="preserve">Pour un autre cas où l’assujetti avait toujours l’intention d’effectuer des activités taxées, </w:t>
      </w:r>
      <w:proofErr w:type="spellStart"/>
      <w:r w:rsidRPr="005335CE">
        <w:rPr>
          <w:rFonts w:ascii="Arial" w:hAnsi="Arial" w:cs="Arial"/>
          <w:color w:val="000000" w:themeColor="text1"/>
          <w:sz w:val="18"/>
          <w:szCs w:val="18"/>
          <w:lang w:val="fr-BE"/>
        </w:rPr>
        <w:t>voy</w:t>
      </w:r>
      <w:proofErr w:type="spellEnd"/>
      <w:r w:rsidRPr="005335CE">
        <w:rPr>
          <w:rFonts w:ascii="Arial" w:hAnsi="Arial" w:cs="Arial"/>
          <w:color w:val="000000" w:themeColor="text1"/>
          <w:sz w:val="18"/>
          <w:szCs w:val="18"/>
          <w:lang w:val="fr-BE"/>
        </w:rPr>
        <w:t xml:space="preserve">. </w:t>
      </w:r>
      <w:r w:rsidRPr="005335CE">
        <w:rPr>
          <w:rFonts w:ascii="Arial" w:hAnsi="Arial" w:cs="Arial"/>
          <w:color w:val="000000" w:themeColor="text1"/>
          <w:sz w:val="18"/>
          <w:szCs w:val="18"/>
          <w:lang w:val="fr-BE"/>
        </w:rPr>
        <w:t xml:space="preserve">Cour de Justice de l’Union européenne, </w:t>
      </w:r>
      <w:r w:rsidR="00EE41DA" w:rsidRPr="005335CE">
        <w:rPr>
          <w:rFonts w:ascii="Arial" w:hAnsi="Arial" w:cs="Arial"/>
          <w:color w:val="000000" w:themeColor="text1"/>
          <w:sz w:val="18"/>
          <w:szCs w:val="18"/>
          <w:lang w:val="fr-BE"/>
        </w:rPr>
        <w:t>a</w:t>
      </w:r>
      <w:r w:rsidRPr="005335CE">
        <w:rPr>
          <w:rFonts w:ascii="Arial" w:hAnsi="Arial" w:cs="Arial"/>
          <w:color w:val="000000" w:themeColor="text1"/>
          <w:sz w:val="18"/>
          <w:szCs w:val="18"/>
          <w:lang w:val="fr-BE"/>
        </w:rPr>
        <w:t>rrêt du 12 novembre</w:t>
      </w:r>
      <w:r w:rsidR="00EE41DA" w:rsidRPr="005335CE">
        <w:rPr>
          <w:rFonts w:ascii="Arial" w:hAnsi="Arial" w:cs="Arial"/>
          <w:color w:val="000000" w:themeColor="text1"/>
          <w:sz w:val="18"/>
          <w:szCs w:val="18"/>
          <w:lang w:val="fr-BE"/>
        </w:rPr>
        <w:t xml:space="preserve"> 2020, Aff.</w:t>
      </w:r>
      <w:r w:rsidRPr="005335CE">
        <w:rPr>
          <w:rFonts w:ascii="Arial" w:hAnsi="Arial" w:cs="Arial"/>
          <w:color w:val="000000" w:themeColor="text1"/>
          <w:sz w:val="18"/>
          <w:szCs w:val="18"/>
          <w:lang w:val="fr-BE"/>
        </w:rPr>
        <w:t xml:space="preserve"> ITH </w:t>
      </w:r>
      <w:proofErr w:type="spellStart"/>
      <w:r w:rsidRPr="005335CE">
        <w:rPr>
          <w:rFonts w:ascii="Arial" w:hAnsi="Arial" w:cs="Arial"/>
          <w:color w:val="000000" w:themeColor="text1"/>
          <w:sz w:val="18"/>
          <w:szCs w:val="18"/>
          <w:lang w:val="fr-BE"/>
        </w:rPr>
        <w:t>Comercial</w:t>
      </w:r>
      <w:proofErr w:type="spellEnd"/>
      <w:r w:rsidRPr="005335CE">
        <w:rPr>
          <w:rFonts w:ascii="Arial" w:hAnsi="Arial" w:cs="Arial"/>
          <w:color w:val="000000" w:themeColor="text1"/>
          <w:sz w:val="18"/>
          <w:szCs w:val="18"/>
          <w:lang w:val="fr-BE"/>
        </w:rPr>
        <w:t xml:space="preserve"> Timișoara SRL</w:t>
      </w:r>
      <w:r w:rsidRPr="005335CE">
        <w:rPr>
          <w:rFonts w:ascii="Arial" w:hAnsi="Arial" w:cs="Arial"/>
          <w:color w:val="000000" w:themeColor="text1"/>
          <w:sz w:val="18"/>
          <w:szCs w:val="18"/>
          <w:lang w:val="fr-BE"/>
        </w:rPr>
        <w:t xml:space="preserve"> C-734/19, </w:t>
      </w:r>
      <w:r w:rsidRPr="005335CE">
        <w:rPr>
          <w:rFonts w:ascii="Arial" w:hAnsi="Arial" w:cs="Arial"/>
          <w:color w:val="000000" w:themeColor="text1"/>
          <w:sz w:val="18"/>
          <w:szCs w:val="18"/>
          <w:lang w:val="fr-BE"/>
        </w:rPr>
        <w:t>ECLI:EU:C:2020:919</w:t>
      </w:r>
      <w:r w:rsidRPr="005335CE">
        <w:rPr>
          <w:rFonts w:ascii="Arial" w:hAnsi="Arial" w:cs="Arial"/>
          <w:color w:val="000000" w:themeColor="text1"/>
          <w:sz w:val="18"/>
          <w:szCs w:val="18"/>
          <w:lang w:val="fr-BE"/>
        </w:rPr>
        <w:t>.</w:t>
      </w:r>
    </w:p>
  </w:footnote>
  <w:footnote w:id="14">
    <w:p w14:paraId="1245A776" w14:textId="02CAD1BA" w:rsidR="00F44FF0" w:rsidRPr="005335CE" w:rsidRDefault="00F44FF0" w:rsidP="005335CE">
      <w:pPr>
        <w:pStyle w:val="FootnoteText"/>
        <w:jc w:val="both"/>
        <w:rPr>
          <w:rFonts w:ascii="Arial" w:hAnsi="Arial" w:cs="Arial"/>
          <w:sz w:val="18"/>
          <w:szCs w:val="18"/>
          <w:lang w:val="fr-BE"/>
        </w:rPr>
      </w:pPr>
      <w:r w:rsidRPr="005335CE">
        <w:rPr>
          <w:rStyle w:val="FootnoteReference"/>
          <w:rFonts w:ascii="Arial" w:hAnsi="Arial" w:cs="Arial"/>
          <w:sz w:val="18"/>
          <w:szCs w:val="18"/>
        </w:rPr>
        <w:footnoteRef/>
      </w:r>
      <w:r w:rsidRPr="005335CE">
        <w:rPr>
          <w:rFonts w:ascii="Arial" w:hAnsi="Arial" w:cs="Arial"/>
          <w:sz w:val="18"/>
          <w:szCs w:val="18"/>
        </w:rPr>
        <w:t xml:space="preserve"> </w:t>
      </w:r>
      <w:r w:rsidR="009E5D37" w:rsidRPr="005335CE">
        <w:rPr>
          <w:rFonts w:ascii="Arial" w:hAnsi="Arial" w:cs="Arial"/>
          <w:sz w:val="18"/>
          <w:szCs w:val="18"/>
          <w:lang w:val="fr-BE"/>
        </w:rPr>
        <w:t xml:space="preserve">Une référence implicite peut déjà être retracée dans </w:t>
      </w:r>
      <w:r w:rsidR="00EE41DA" w:rsidRPr="005335CE">
        <w:rPr>
          <w:rFonts w:ascii="Arial" w:hAnsi="Arial" w:cs="Arial"/>
          <w:sz w:val="18"/>
          <w:szCs w:val="18"/>
          <w:lang w:val="fr-BE"/>
        </w:rPr>
        <w:t>l’</w:t>
      </w:r>
      <w:r w:rsidR="00EE41DA" w:rsidRPr="005335CE">
        <w:rPr>
          <w:rFonts w:ascii="Arial" w:hAnsi="Arial" w:cs="Arial"/>
          <w:color w:val="000000" w:themeColor="text1"/>
          <w:sz w:val="18"/>
          <w:szCs w:val="18"/>
          <w:lang w:val="fr-BE"/>
        </w:rPr>
        <w:t xml:space="preserve">arrêt du 12 novembre 2020, Aff. ITH </w:t>
      </w:r>
      <w:proofErr w:type="spellStart"/>
      <w:r w:rsidR="00EE41DA" w:rsidRPr="005335CE">
        <w:rPr>
          <w:rFonts w:ascii="Arial" w:hAnsi="Arial" w:cs="Arial"/>
          <w:color w:val="000000" w:themeColor="text1"/>
          <w:sz w:val="18"/>
          <w:szCs w:val="18"/>
          <w:lang w:val="fr-BE"/>
        </w:rPr>
        <w:t>Comercial</w:t>
      </w:r>
      <w:proofErr w:type="spellEnd"/>
      <w:r w:rsidR="00EE41DA" w:rsidRPr="005335CE">
        <w:rPr>
          <w:rFonts w:ascii="Arial" w:hAnsi="Arial" w:cs="Arial"/>
          <w:color w:val="000000" w:themeColor="text1"/>
          <w:sz w:val="18"/>
          <w:szCs w:val="18"/>
          <w:lang w:val="fr-BE"/>
        </w:rPr>
        <w:t xml:space="preserve"> </w:t>
      </w:r>
      <w:proofErr w:type="spellStart"/>
      <w:r w:rsidR="00EE41DA" w:rsidRPr="005335CE">
        <w:rPr>
          <w:rFonts w:ascii="Arial" w:hAnsi="Arial" w:cs="Arial"/>
          <w:color w:val="000000" w:themeColor="text1"/>
          <w:sz w:val="18"/>
          <w:szCs w:val="18"/>
          <w:lang w:val="fr-BE"/>
        </w:rPr>
        <w:t>Timișoara</w:t>
      </w:r>
      <w:proofErr w:type="spellEnd"/>
      <w:r w:rsidR="00EE41DA" w:rsidRPr="005335CE">
        <w:rPr>
          <w:rFonts w:ascii="Arial" w:hAnsi="Arial" w:cs="Arial"/>
          <w:color w:val="000000" w:themeColor="text1"/>
          <w:sz w:val="18"/>
          <w:szCs w:val="18"/>
          <w:lang w:val="fr-BE"/>
        </w:rPr>
        <w:t xml:space="preserve"> SRL C-734/19, ECLI:EU:C:2020:919</w:t>
      </w:r>
      <w:r w:rsidR="00EE41DA" w:rsidRPr="005335CE">
        <w:rPr>
          <w:rFonts w:ascii="Arial" w:hAnsi="Arial" w:cs="Arial"/>
          <w:color w:val="000000" w:themeColor="text1"/>
          <w:sz w:val="18"/>
          <w:szCs w:val="18"/>
          <w:lang w:val="fr-BE"/>
        </w:rPr>
        <w:t xml:space="preserve">, paragraphe </w:t>
      </w:r>
      <w:r w:rsidR="009529AD" w:rsidRPr="005335CE">
        <w:rPr>
          <w:rFonts w:ascii="Arial" w:hAnsi="Arial" w:cs="Arial"/>
          <w:color w:val="000000" w:themeColor="text1"/>
          <w:sz w:val="18"/>
          <w:szCs w:val="18"/>
          <w:lang w:val="fr-BE"/>
        </w:rPr>
        <w:t>45</w:t>
      </w:r>
      <w:r w:rsidR="00CE5422" w:rsidRPr="005335CE">
        <w:rPr>
          <w:rFonts w:ascii="Arial" w:hAnsi="Arial" w:cs="Arial"/>
          <w:sz w:val="18"/>
          <w:szCs w:val="18"/>
          <w:lang w:val="fr-BE"/>
        </w:rPr>
        <w:t>.</w:t>
      </w:r>
      <w:r w:rsidR="009E5D37" w:rsidRPr="005335CE">
        <w:rPr>
          <w:rFonts w:ascii="Arial" w:hAnsi="Arial" w:cs="Arial"/>
          <w:sz w:val="18"/>
          <w:szCs w:val="18"/>
          <w:lang w:val="fr-BE"/>
        </w:rPr>
        <w:t xml:space="preserve"> </w:t>
      </w:r>
      <w:r w:rsidR="00D74728">
        <w:rPr>
          <w:rFonts w:ascii="Arial" w:hAnsi="Arial" w:cs="Arial"/>
          <w:sz w:val="18"/>
          <w:szCs w:val="18"/>
          <w:lang w:val="fr-BE"/>
        </w:rPr>
        <w:t xml:space="preserve">Dans cet arrêt la Cour avait décidé que l’assujetti ne pouvait pas être forcé à procéder à des révisions s’il était établi que, comme il </w:t>
      </w:r>
      <w:r w:rsidR="00174849">
        <w:rPr>
          <w:rFonts w:ascii="Arial" w:hAnsi="Arial" w:cs="Arial"/>
          <w:sz w:val="18"/>
          <w:szCs w:val="18"/>
          <w:lang w:val="fr-BE"/>
        </w:rPr>
        <w:t>l</w:t>
      </w:r>
      <w:r w:rsidR="00D74728">
        <w:rPr>
          <w:rFonts w:ascii="Arial" w:hAnsi="Arial" w:cs="Arial"/>
          <w:sz w:val="18"/>
          <w:szCs w:val="18"/>
          <w:lang w:val="fr-BE"/>
        </w:rPr>
        <w:t xml:space="preserve">e prétendait, il avait toujours l’intention d’effectuer des opérations taxées à l’avenir. La réponse à la question de savoir si des révisions s’imposaient en cas d’abandon pur et simple de son activité ne ressortait pas clairement de cette décision, dans la mesure où la Cour pouvait </w:t>
      </w:r>
      <w:r w:rsidR="00174849">
        <w:rPr>
          <w:rFonts w:ascii="Arial" w:hAnsi="Arial" w:cs="Arial"/>
          <w:sz w:val="18"/>
          <w:szCs w:val="18"/>
          <w:lang w:val="fr-BE"/>
        </w:rPr>
        <w:t xml:space="preserve">aussi </w:t>
      </w:r>
      <w:r w:rsidR="00D74728">
        <w:rPr>
          <w:rFonts w:ascii="Arial" w:hAnsi="Arial" w:cs="Arial"/>
          <w:sz w:val="18"/>
          <w:szCs w:val="18"/>
          <w:lang w:val="fr-BE"/>
        </w:rPr>
        <w:t xml:space="preserve">viser des opérations </w:t>
      </w:r>
      <w:r w:rsidR="00D74728" w:rsidRPr="00D74728">
        <w:rPr>
          <w:rFonts w:ascii="Arial" w:hAnsi="Arial" w:cs="Arial"/>
          <w:i/>
          <w:iCs/>
          <w:sz w:val="18"/>
          <w:szCs w:val="18"/>
          <w:lang w:val="fr-BE"/>
        </w:rPr>
        <w:t>taxées</w:t>
      </w:r>
      <w:r w:rsidR="00D74728">
        <w:rPr>
          <w:rFonts w:ascii="Arial" w:hAnsi="Arial" w:cs="Arial"/>
          <w:sz w:val="18"/>
          <w:szCs w:val="18"/>
          <w:lang w:val="fr-BE"/>
        </w:rPr>
        <w:t xml:space="preserve"> par opposition à des opérations </w:t>
      </w:r>
      <w:r w:rsidR="00D74728" w:rsidRPr="00D74728">
        <w:rPr>
          <w:rFonts w:ascii="Arial" w:hAnsi="Arial" w:cs="Arial"/>
          <w:i/>
          <w:iCs/>
          <w:sz w:val="18"/>
          <w:szCs w:val="18"/>
          <w:lang w:val="fr-BE"/>
        </w:rPr>
        <w:t>exemptées</w:t>
      </w:r>
      <w:r w:rsidR="00D74728">
        <w:rPr>
          <w:rFonts w:ascii="Arial" w:hAnsi="Arial" w:cs="Arial"/>
          <w:sz w:val="18"/>
          <w:szCs w:val="18"/>
          <w:lang w:val="fr-BE"/>
        </w:rPr>
        <w:t>.</w:t>
      </w:r>
    </w:p>
  </w:footnote>
  <w:footnote w:id="15">
    <w:p w14:paraId="4BCDB75D" w14:textId="476BD1E3" w:rsidR="00C60D21" w:rsidRPr="005335CE" w:rsidRDefault="00C60D21" w:rsidP="005335CE">
      <w:pPr>
        <w:pStyle w:val="FootnoteText"/>
        <w:jc w:val="both"/>
        <w:rPr>
          <w:rFonts w:ascii="Arial" w:hAnsi="Arial" w:cs="Arial"/>
          <w:color w:val="000000" w:themeColor="text1"/>
          <w:sz w:val="18"/>
          <w:szCs w:val="18"/>
          <w:lang w:val="fr-BE"/>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 xml:space="preserve">Cour de Justice de l’Union européenne, Arrêt du 18 mai 2021, Aff. </w:t>
      </w:r>
      <w:r w:rsidRPr="005335CE">
        <w:rPr>
          <w:rFonts w:ascii="Arial" w:hAnsi="Arial" w:cs="Arial"/>
          <w:color w:val="000000" w:themeColor="text1"/>
          <w:sz w:val="18"/>
          <w:szCs w:val="18"/>
        </w:rPr>
        <w:t>Skatteverket</w:t>
      </w:r>
      <w:r w:rsidRPr="005335CE">
        <w:rPr>
          <w:rFonts w:ascii="Arial" w:hAnsi="Arial" w:cs="Arial"/>
          <w:color w:val="000000" w:themeColor="text1"/>
          <w:sz w:val="18"/>
          <w:szCs w:val="18"/>
          <w:lang w:val="fr-BE"/>
        </w:rPr>
        <w:t xml:space="preserve"> v. </w:t>
      </w:r>
      <w:r w:rsidRPr="005335CE">
        <w:rPr>
          <w:rFonts w:ascii="Arial" w:hAnsi="Arial" w:cs="Arial"/>
          <w:color w:val="000000" w:themeColor="text1"/>
          <w:sz w:val="18"/>
          <w:szCs w:val="18"/>
        </w:rPr>
        <w:t>Skellefteå Industrihus AB</w:t>
      </w:r>
      <w:r w:rsidRPr="005335CE">
        <w:rPr>
          <w:rFonts w:ascii="Arial" w:hAnsi="Arial" w:cs="Arial"/>
          <w:color w:val="000000" w:themeColor="text1"/>
          <w:sz w:val="18"/>
          <w:szCs w:val="18"/>
          <w:lang w:val="fr-BE"/>
        </w:rPr>
        <w:t xml:space="preserve">, C-248/20, </w:t>
      </w:r>
      <w:r w:rsidRPr="005335CE">
        <w:rPr>
          <w:rFonts w:ascii="Arial" w:hAnsi="Arial" w:cs="Arial"/>
          <w:color w:val="000000" w:themeColor="text1"/>
          <w:sz w:val="18"/>
          <w:szCs w:val="18"/>
        </w:rPr>
        <w:t>ECLI:EU:C:2021:394</w:t>
      </w:r>
      <w:r w:rsidRPr="005335CE">
        <w:rPr>
          <w:rFonts w:ascii="Arial" w:hAnsi="Arial" w:cs="Arial"/>
          <w:color w:val="000000" w:themeColor="text1"/>
          <w:sz w:val="18"/>
          <w:szCs w:val="18"/>
          <w:lang w:val="fr-BE"/>
        </w:rPr>
        <w:t>.</w:t>
      </w:r>
    </w:p>
  </w:footnote>
  <w:footnote w:id="16">
    <w:p w14:paraId="01935F01" w14:textId="4B7A931C" w:rsidR="00B87472" w:rsidRPr="00D05F2F" w:rsidRDefault="00B87472" w:rsidP="00D05F2F">
      <w:pPr>
        <w:pStyle w:val="Title"/>
        <w:tabs>
          <w:tab w:val="left" w:pos="0"/>
        </w:tabs>
        <w:jc w:val="both"/>
        <w:rPr>
          <w:rFonts w:ascii="Arial" w:hAnsi="Arial" w:cs="Arial"/>
          <w:b w:val="0"/>
          <w:bCs w:val="0"/>
          <w:i/>
          <w:iCs/>
          <w:sz w:val="18"/>
          <w:szCs w:val="18"/>
        </w:rPr>
      </w:pPr>
      <w:r w:rsidRPr="005335CE">
        <w:rPr>
          <w:rStyle w:val="FootnoteReference"/>
          <w:rFonts w:ascii="Arial" w:hAnsi="Arial" w:cs="Arial"/>
          <w:b w:val="0"/>
          <w:bCs w:val="0"/>
          <w:sz w:val="18"/>
          <w:szCs w:val="18"/>
        </w:rPr>
        <w:footnoteRef/>
      </w:r>
      <w:r w:rsidRPr="005335CE">
        <w:rPr>
          <w:rFonts w:ascii="Arial" w:hAnsi="Arial" w:cs="Arial"/>
          <w:b w:val="0"/>
          <w:bCs w:val="0"/>
          <w:sz w:val="18"/>
          <w:szCs w:val="18"/>
        </w:rPr>
        <w:t xml:space="preserve"> </w:t>
      </w:r>
      <w:r w:rsidRPr="005335CE">
        <w:rPr>
          <w:rFonts w:ascii="Arial" w:hAnsi="Arial" w:cs="Arial"/>
          <w:b w:val="0"/>
          <w:bCs w:val="0"/>
          <w:sz w:val="18"/>
          <w:szCs w:val="18"/>
          <w:lang w:val="fr-BE"/>
        </w:rPr>
        <w:t>Cet élément ressort du texte complet de la demande introduite auprès de la Cour.</w:t>
      </w:r>
      <w:r w:rsidR="00192376" w:rsidRPr="005335CE">
        <w:rPr>
          <w:rFonts w:ascii="Arial" w:hAnsi="Arial" w:cs="Arial"/>
          <w:b w:val="0"/>
          <w:bCs w:val="0"/>
          <w:sz w:val="18"/>
          <w:szCs w:val="18"/>
          <w:lang w:val="fr-BE"/>
        </w:rPr>
        <w:t xml:space="preserve"> Pour une analyse de cette Ordonnance, </w:t>
      </w:r>
      <w:proofErr w:type="spellStart"/>
      <w:r w:rsidR="00192376" w:rsidRPr="005335CE">
        <w:rPr>
          <w:rFonts w:ascii="Arial" w:hAnsi="Arial" w:cs="Arial"/>
          <w:b w:val="0"/>
          <w:bCs w:val="0"/>
          <w:sz w:val="18"/>
          <w:szCs w:val="18"/>
          <w:lang w:val="fr-BE"/>
        </w:rPr>
        <w:t>voy</w:t>
      </w:r>
      <w:proofErr w:type="spellEnd"/>
      <w:r w:rsidR="00192376" w:rsidRPr="005335CE">
        <w:rPr>
          <w:rFonts w:ascii="Arial" w:hAnsi="Arial" w:cs="Arial"/>
          <w:b w:val="0"/>
          <w:bCs w:val="0"/>
          <w:sz w:val="18"/>
          <w:szCs w:val="18"/>
          <w:lang w:val="fr-BE"/>
        </w:rPr>
        <w:t xml:space="preserve">. </w:t>
      </w:r>
      <w:r w:rsidR="00192376" w:rsidRPr="005335CE">
        <w:rPr>
          <w:rFonts w:ascii="Arial" w:hAnsi="Arial" w:cs="Arial"/>
          <w:b w:val="0"/>
          <w:bCs w:val="0"/>
          <w:color w:val="000000" w:themeColor="text1"/>
          <w:sz w:val="18"/>
          <w:szCs w:val="18"/>
          <w:lang w:val="en-US"/>
        </w:rPr>
        <w:t xml:space="preserve">M. </w:t>
      </w:r>
      <w:proofErr w:type="spellStart"/>
      <w:r w:rsidR="00192376" w:rsidRPr="005335CE">
        <w:rPr>
          <w:rFonts w:ascii="Arial" w:hAnsi="Arial" w:cs="Arial"/>
          <w:b w:val="0"/>
          <w:bCs w:val="0"/>
          <w:color w:val="000000" w:themeColor="text1"/>
          <w:sz w:val="18"/>
          <w:szCs w:val="18"/>
          <w:lang w:val="en-US"/>
        </w:rPr>
        <w:t>Lamensch</w:t>
      </w:r>
      <w:proofErr w:type="spellEnd"/>
      <w:r w:rsidR="00192376" w:rsidRPr="005335CE">
        <w:rPr>
          <w:rFonts w:ascii="Arial" w:hAnsi="Arial" w:cs="Arial"/>
          <w:b w:val="0"/>
          <w:bCs w:val="0"/>
          <w:color w:val="000000" w:themeColor="text1"/>
          <w:sz w:val="18"/>
          <w:szCs w:val="18"/>
          <w:lang w:val="en-US"/>
        </w:rPr>
        <w:t xml:space="preserve">, </w:t>
      </w:r>
      <w:r w:rsidR="00CE5422" w:rsidRPr="005335CE">
        <w:rPr>
          <w:rFonts w:ascii="Arial" w:hAnsi="Arial" w:cs="Arial"/>
          <w:b w:val="0"/>
          <w:bCs w:val="0"/>
          <w:i/>
          <w:iCs/>
          <w:sz w:val="18"/>
          <w:szCs w:val="18"/>
        </w:rPr>
        <w:t xml:space="preserve">Order in </w:t>
      </w:r>
      <w:proofErr w:type="spellStart"/>
      <w:r w:rsidR="00CE5422" w:rsidRPr="005335CE">
        <w:rPr>
          <w:rFonts w:ascii="Arial" w:hAnsi="Arial" w:cs="Arial"/>
          <w:b w:val="0"/>
          <w:bCs w:val="0"/>
          <w:i/>
          <w:iCs/>
          <w:sz w:val="18"/>
          <w:szCs w:val="18"/>
        </w:rPr>
        <w:t>Skellefteå</w:t>
      </w:r>
      <w:proofErr w:type="spellEnd"/>
      <w:r w:rsidR="00CE5422" w:rsidRPr="005335CE">
        <w:rPr>
          <w:rFonts w:ascii="Arial" w:hAnsi="Arial" w:cs="Arial"/>
          <w:b w:val="0"/>
          <w:bCs w:val="0"/>
          <w:i/>
          <w:iCs/>
          <w:sz w:val="18"/>
          <w:szCs w:val="18"/>
        </w:rPr>
        <w:t xml:space="preserve"> </w:t>
      </w:r>
      <w:proofErr w:type="spellStart"/>
      <w:r w:rsidR="00CE5422" w:rsidRPr="005335CE">
        <w:rPr>
          <w:rFonts w:ascii="Arial" w:hAnsi="Arial" w:cs="Arial"/>
          <w:b w:val="0"/>
          <w:bCs w:val="0"/>
          <w:i/>
          <w:iCs/>
          <w:sz w:val="18"/>
          <w:szCs w:val="18"/>
        </w:rPr>
        <w:t>Industrihus</w:t>
      </w:r>
      <w:proofErr w:type="spellEnd"/>
      <w:r w:rsidR="00CE5422" w:rsidRPr="005335CE">
        <w:rPr>
          <w:rFonts w:ascii="Arial" w:hAnsi="Arial" w:cs="Arial"/>
          <w:b w:val="0"/>
          <w:bCs w:val="0"/>
          <w:i/>
          <w:iCs/>
          <w:sz w:val="18"/>
          <w:szCs w:val="18"/>
        </w:rPr>
        <w:t xml:space="preserve"> AB: A reversal of the INZO, Ghent Coal Terminal and </w:t>
      </w:r>
      <w:proofErr w:type="spellStart"/>
      <w:r w:rsidR="00CE5422" w:rsidRPr="005335CE">
        <w:rPr>
          <w:rFonts w:ascii="Arial" w:hAnsi="Arial" w:cs="Arial"/>
          <w:b w:val="0"/>
          <w:bCs w:val="0"/>
          <w:i/>
          <w:iCs/>
          <w:sz w:val="18"/>
          <w:szCs w:val="18"/>
        </w:rPr>
        <w:t>Breitsohl</w:t>
      </w:r>
      <w:proofErr w:type="spellEnd"/>
      <w:r w:rsidR="00CE5422" w:rsidRPr="005335CE">
        <w:rPr>
          <w:rFonts w:ascii="Arial" w:hAnsi="Arial" w:cs="Arial"/>
          <w:b w:val="0"/>
          <w:bCs w:val="0"/>
          <w:i/>
          <w:iCs/>
          <w:sz w:val="18"/>
          <w:szCs w:val="18"/>
        </w:rPr>
        <w:t xml:space="preserve"> jurisprudence? </w:t>
      </w:r>
      <w:r w:rsidR="00CE5422" w:rsidRPr="005335CE">
        <w:rPr>
          <w:rFonts w:ascii="Arial" w:hAnsi="Arial" w:cs="Arial"/>
          <w:b w:val="0"/>
          <w:bCs w:val="0"/>
          <w:sz w:val="18"/>
          <w:szCs w:val="18"/>
        </w:rPr>
        <w:t>EC Tax Review, Vol. 31 (2022), Issue 3, Kluwer.</w:t>
      </w:r>
    </w:p>
  </w:footnote>
  <w:footnote w:id="17">
    <w:p w14:paraId="3E1259FA" w14:textId="30565E53" w:rsidR="00603B38" w:rsidRPr="005335CE" w:rsidRDefault="00603B38" w:rsidP="005335CE">
      <w:pPr>
        <w:pStyle w:val="FootnoteText"/>
        <w:jc w:val="both"/>
        <w:rPr>
          <w:rFonts w:ascii="Arial" w:hAnsi="Arial" w:cs="Arial"/>
          <w:color w:val="000000" w:themeColor="text1"/>
          <w:sz w:val="18"/>
          <w:szCs w:val="18"/>
        </w:rPr>
      </w:pPr>
      <w:r w:rsidRPr="005335CE">
        <w:rPr>
          <w:rStyle w:val="FootnoteReference"/>
          <w:rFonts w:ascii="Arial" w:hAnsi="Arial" w:cs="Arial"/>
          <w:color w:val="000000" w:themeColor="text1"/>
          <w:sz w:val="18"/>
          <w:szCs w:val="18"/>
        </w:rPr>
        <w:footnoteRef/>
      </w:r>
      <w:r w:rsidRPr="005335CE">
        <w:rPr>
          <w:rFonts w:ascii="Arial" w:hAnsi="Arial" w:cs="Arial"/>
          <w:color w:val="000000" w:themeColor="text1"/>
          <w:sz w:val="18"/>
          <w:szCs w:val="18"/>
        </w:rPr>
        <w:t xml:space="preserve"> </w:t>
      </w:r>
      <w:r w:rsidRPr="005335CE">
        <w:rPr>
          <w:rFonts w:ascii="Arial" w:hAnsi="Arial" w:cs="Arial"/>
          <w:color w:val="000000" w:themeColor="text1"/>
          <w:sz w:val="18"/>
          <w:szCs w:val="18"/>
          <w:lang w:val="fr-BE"/>
        </w:rPr>
        <w:t>L</w:t>
      </w:r>
      <w:r w:rsidRPr="005335CE">
        <w:rPr>
          <w:rFonts w:ascii="Arial" w:hAnsi="Arial" w:cs="Arial"/>
          <w:color w:val="000000" w:themeColor="text1"/>
          <w:sz w:val="18"/>
          <w:szCs w:val="18"/>
          <w:lang w:val="fr-BE"/>
        </w:rPr>
        <w:t xml:space="preserve">a </w:t>
      </w:r>
      <w:r w:rsidRPr="005335CE">
        <w:rPr>
          <w:rFonts w:ascii="Arial" w:hAnsi="Arial" w:cs="Arial"/>
          <w:color w:val="000000" w:themeColor="text1"/>
          <w:sz w:val="18"/>
          <w:szCs w:val="18"/>
          <w:lang w:val="fr-BE"/>
        </w:rPr>
        <w:t xml:space="preserve">Cour n’a recours </w:t>
      </w:r>
      <w:r w:rsidRPr="005335CE">
        <w:rPr>
          <w:rFonts w:ascii="Arial" w:hAnsi="Arial" w:cs="Arial"/>
          <w:color w:val="000000" w:themeColor="text1"/>
          <w:sz w:val="18"/>
          <w:szCs w:val="18"/>
          <w:lang w:val="fr-BE"/>
        </w:rPr>
        <w:t xml:space="preserve">à cette procédure simplifiée </w:t>
      </w:r>
      <w:r w:rsidRPr="005335CE">
        <w:rPr>
          <w:rFonts w:ascii="Arial" w:hAnsi="Arial" w:cs="Arial"/>
          <w:color w:val="000000" w:themeColor="text1"/>
          <w:sz w:val="18"/>
          <w:szCs w:val="18"/>
          <w:lang w:val="fr-BE"/>
        </w:rPr>
        <w:t xml:space="preserve">que </w:t>
      </w:r>
      <w:r w:rsidRPr="005335CE">
        <w:rPr>
          <w:rFonts w:ascii="Arial" w:hAnsi="Arial" w:cs="Arial"/>
          <w:color w:val="000000" w:themeColor="text1"/>
          <w:sz w:val="18"/>
          <w:szCs w:val="18"/>
          <w:shd w:val="clear" w:color="auto" w:fill="FFFFFF"/>
          <w:lang w:val="fr-BE"/>
        </w:rPr>
        <w:t>l</w:t>
      </w:r>
      <w:r w:rsidRPr="005335CE">
        <w:rPr>
          <w:rFonts w:ascii="Arial" w:hAnsi="Arial" w:cs="Arial"/>
          <w:color w:val="000000" w:themeColor="text1"/>
          <w:sz w:val="18"/>
          <w:szCs w:val="18"/>
          <w:shd w:val="clear" w:color="auto" w:fill="FFFFFF"/>
        </w:rPr>
        <w:t xml:space="preserve">orsqu'une question préjudicielle est identique à une question sur laquelle </w:t>
      </w:r>
      <w:r w:rsidRPr="005335CE">
        <w:rPr>
          <w:rFonts w:ascii="Arial" w:hAnsi="Arial" w:cs="Arial"/>
          <w:color w:val="000000" w:themeColor="text1"/>
          <w:sz w:val="18"/>
          <w:szCs w:val="18"/>
          <w:shd w:val="clear" w:color="auto" w:fill="FFFFFF"/>
          <w:lang w:val="fr-BE"/>
        </w:rPr>
        <w:t>elle</w:t>
      </w:r>
      <w:r w:rsidRPr="005335CE">
        <w:rPr>
          <w:rFonts w:ascii="Arial" w:hAnsi="Arial" w:cs="Arial"/>
          <w:color w:val="000000" w:themeColor="text1"/>
          <w:sz w:val="18"/>
          <w:szCs w:val="18"/>
          <w:shd w:val="clear" w:color="auto" w:fill="FFFFFF"/>
        </w:rPr>
        <w:t xml:space="preserve"> a déjà été amenée à se prononcer ou lorsque la réponse à cette question ne laisse place à aucun doute raisonnable ou peut être clairement déduite de la jurisprudence</w:t>
      </w:r>
      <w:r w:rsidRPr="005335CE">
        <w:rPr>
          <w:rFonts w:ascii="Arial" w:hAnsi="Arial" w:cs="Arial"/>
          <w:color w:val="000000" w:themeColor="text1"/>
          <w:sz w:val="18"/>
          <w:szCs w:val="18"/>
          <w:shd w:val="clear" w:color="auto" w:fill="FFFFFF"/>
          <w:lang w:val="fr-BE"/>
        </w:rPr>
        <w:t>. Dans ce cas</w:t>
      </w:r>
      <w:r w:rsidRPr="005335CE">
        <w:rPr>
          <w:rFonts w:ascii="Arial" w:hAnsi="Arial" w:cs="Arial"/>
          <w:color w:val="000000" w:themeColor="text1"/>
          <w:sz w:val="18"/>
          <w:szCs w:val="18"/>
          <w:shd w:val="clear" w:color="auto" w:fill="FFFFFF"/>
        </w:rPr>
        <w:t xml:space="preserve"> la Cour peut, après avoir entendu l'avocat général, statuer par voie d'ordonnance motivée, en faisant notamment référence à l'arrêt déjà rendu sur cette question ou à la jurisprudence pertinente</w:t>
      </w:r>
      <w:r w:rsidRPr="005335CE">
        <w:rPr>
          <w:rFonts w:ascii="Arial" w:hAnsi="Arial" w:cs="Arial"/>
          <w:color w:val="000000" w:themeColor="text1"/>
          <w:sz w:val="18"/>
          <w:szCs w:val="18"/>
          <w:lang w:val="fr-BE"/>
        </w:rPr>
        <w:t xml:space="preserve">. </w:t>
      </w:r>
    </w:p>
  </w:footnote>
  <w:footnote w:id="18">
    <w:p w14:paraId="37D69049" w14:textId="0769F631" w:rsidR="00FC5DAF" w:rsidRPr="00D05F2F" w:rsidRDefault="00FC5DAF" w:rsidP="005335CE">
      <w:pPr>
        <w:pStyle w:val="FootnoteText"/>
        <w:jc w:val="both"/>
        <w:rPr>
          <w:rFonts w:ascii="Arial" w:hAnsi="Arial" w:cs="Arial"/>
          <w:sz w:val="18"/>
          <w:szCs w:val="18"/>
          <w:lang w:val="fr-BE"/>
        </w:rPr>
      </w:pPr>
      <w:r w:rsidRPr="00D05F2F">
        <w:rPr>
          <w:rStyle w:val="FootnoteReference"/>
          <w:rFonts w:ascii="Arial" w:hAnsi="Arial" w:cs="Arial"/>
          <w:color w:val="000000" w:themeColor="text1"/>
          <w:sz w:val="18"/>
          <w:szCs w:val="18"/>
        </w:rPr>
        <w:footnoteRef/>
      </w:r>
      <w:r w:rsidRPr="00D05F2F">
        <w:rPr>
          <w:rFonts w:ascii="Arial" w:hAnsi="Arial" w:cs="Arial"/>
          <w:color w:val="000000" w:themeColor="text1"/>
          <w:sz w:val="18"/>
          <w:szCs w:val="18"/>
        </w:rPr>
        <w:t xml:space="preserve"> </w:t>
      </w:r>
      <w:r w:rsidR="00D05F2F" w:rsidRPr="00D05F2F">
        <w:rPr>
          <w:rFonts w:ascii="Arial" w:hAnsi="Arial" w:cs="Arial"/>
          <w:color w:val="000000" w:themeColor="text1"/>
          <w:sz w:val="18"/>
          <w:szCs w:val="18"/>
          <w:lang w:val="fr-BE"/>
        </w:rPr>
        <w:t xml:space="preserve">Cour de Justice de l’Union européenne, Arrêt du 6 octobre 2022, Aff. </w:t>
      </w:r>
      <w:r w:rsidR="00D05F2F" w:rsidRPr="00D05F2F">
        <w:rPr>
          <w:rFonts w:ascii="Arial" w:hAnsi="Arial" w:cs="Arial"/>
          <w:color w:val="000000" w:themeColor="text1"/>
          <w:sz w:val="18"/>
          <w:szCs w:val="18"/>
        </w:rPr>
        <w:t>UAB « Vittamed technologijos</w:t>
      </w:r>
      <w:r w:rsidR="00D05F2F" w:rsidRPr="00D05F2F">
        <w:rPr>
          <w:rFonts w:ascii="Arial" w:hAnsi="Arial" w:cs="Arial"/>
          <w:color w:val="000000" w:themeColor="text1"/>
          <w:sz w:val="18"/>
          <w:szCs w:val="18"/>
          <w:lang w:val="fr-BE"/>
        </w:rPr>
        <w:t xml:space="preserve">, C-293/21, </w:t>
      </w:r>
      <w:r w:rsidR="00D05F2F" w:rsidRPr="00D05F2F">
        <w:rPr>
          <w:rFonts w:ascii="Arial" w:hAnsi="Arial" w:cs="Arial"/>
          <w:color w:val="000000" w:themeColor="text1"/>
          <w:sz w:val="18"/>
          <w:szCs w:val="18"/>
        </w:rPr>
        <w:t>ECLI:EU:C:2022:763</w:t>
      </w:r>
      <w:r w:rsidR="00D05F2F" w:rsidRPr="00D05F2F">
        <w:rPr>
          <w:rFonts w:ascii="Arial" w:hAnsi="Arial" w:cs="Arial"/>
          <w:color w:val="000000" w:themeColor="text1"/>
          <w:sz w:val="18"/>
          <w:szCs w:val="18"/>
          <w:lang w:val="fr-BE"/>
        </w:rPr>
        <w:t xml:space="preserve">, </w:t>
      </w:r>
      <w:r w:rsidRPr="00D05F2F">
        <w:rPr>
          <w:rFonts w:ascii="Arial" w:hAnsi="Arial" w:cs="Arial"/>
          <w:color w:val="000000" w:themeColor="text1"/>
          <w:sz w:val="18"/>
          <w:szCs w:val="18"/>
          <w:lang w:val="fr-BE"/>
        </w:rPr>
        <w:t>Para 48.</w:t>
      </w:r>
    </w:p>
  </w:footnote>
  <w:footnote w:id="19">
    <w:p w14:paraId="20E9265F" w14:textId="5D660401" w:rsidR="00CF3E45" w:rsidRPr="005335CE" w:rsidRDefault="00CF3E45" w:rsidP="005335CE">
      <w:pPr>
        <w:jc w:val="both"/>
        <w:rPr>
          <w:rFonts w:ascii="Arial" w:hAnsi="Arial" w:cs="Arial"/>
          <w:sz w:val="18"/>
          <w:szCs w:val="18"/>
          <w:lang w:val="fr-BE"/>
        </w:rPr>
      </w:pPr>
      <w:r w:rsidRPr="005335CE">
        <w:rPr>
          <w:rStyle w:val="FootnoteReference"/>
          <w:rFonts w:ascii="Arial" w:hAnsi="Arial" w:cs="Arial"/>
          <w:sz w:val="18"/>
          <w:szCs w:val="18"/>
        </w:rPr>
        <w:footnoteRef/>
      </w:r>
      <w:r w:rsidRPr="005335CE">
        <w:rPr>
          <w:rFonts w:ascii="Arial" w:hAnsi="Arial" w:cs="Arial"/>
          <w:sz w:val="18"/>
          <w:szCs w:val="18"/>
        </w:rPr>
        <w:t xml:space="preserve"> </w:t>
      </w:r>
      <w:r w:rsidR="00D05F2F" w:rsidRPr="00D05F2F">
        <w:rPr>
          <w:rFonts w:ascii="Arial" w:hAnsi="Arial" w:cs="Arial"/>
          <w:color w:val="000000" w:themeColor="text1"/>
          <w:sz w:val="18"/>
          <w:szCs w:val="18"/>
          <w:lang w:val="fr-BE"/>
        </w:rPr>
        <w:t xml:space="preserve">Cour de Justice de l’Union européenne, Arrêt du 6 octobre 2022, Aff. </w:t>
      </w:r>
      <w:r w:rsidR="00D05F2F" w:rsidRPr="00D05F2F">
        <w:rPr>
          <w:rFonts w:ascii="Arial" w:hAnsi="Arial" w:cs="Arial"/>
          <w:color w:val="000000" w:themeColor="text1"/>
          <w:sz w:val="18"/>
          <w:szCs w:val="18"/>
        </w:rPr>
        <w:t>UAB « Vittamed technologijos</w:t>
      </w:r>
      <w:r w:rsidR="00D05F2F" w:rsidRPr="00D05F2F">
        <w:rPr>
          <w:rFonts w:ascii="Arial" w:hAnsi="Arial" w:cs="Arial"/>
          <w:color w:val="000000" w:themeColor="text1"/>
          <w:sz w:val="18"/>
          <w:szCs w:val="18"/>
          <w:lang w:val="fr-BE"/>
        </w:rPr>
        <w:t xml:space="preserve">, C-293/21, </w:t>
      </w:r>
      <w:r w:rsidR="00D05F2F" w:rsidRPr="00D05F2F">
        <w:rPr>
          <w:rFonts w:ascii="Arial" w:hAnsi="Arial" w:cs="Arial"/>
          <w:color w:val="000000" w:themeColor="text1"/>
          <w:sz w:val="18"/>
          <w:szCs w:val="18"/>
        </w:rPr>
        <w:t>ECLI:EU:C:2022:763</w:t>
      </w:r>
      <w:r w:rsidR="00D05F2F" w:rsidRPr="00D05F2F">
        <w:rPr>
          <w:rFonts w:ascii="Arial" w:hAnsi="Arial" w:cs="Arial"/>
          <w:color w:val="000000" w:themeColor="text1"/>
          <w:sz w:val="18"/>
          <w:szCs w:val="18"/>
          <w:lang w:val="fr-BE"/>
        </w:rPr>
        <w:t>,</w:t>
      </w:r>
      <w:r w:rsidR="00D05F2F">
        <w:rPr>
          <w:rFonts w:ascii="Arial" w:hAnsi="Arial" w:cs="Arial"/>
          <w:color w:val="000000" w:themeColor="text1"/>
          <w:sz w:val="18"/>
          <w:szCs w:val="18"/>
          <w:lang w:val="fr-BE"/>
        </w:rPr>
        <w:t xml:space="preserve"> </w:t>
      </w:r>
      <w:r w:rsidR="00D05F2F">
        <w:rPr>
          <w:rFonts w:ascii="Arial" w:hAnsi="Arial" w:cs="Arial"/>
          <w:sz w:val="18"/>
          <w:szCs w:val="18"/>
          <w:lang w:val="fr-BE"/>
        </w:rPr>
        <w:t>p</w:t>
      </w:r>
      <w:r w:rsidR="008C4B99" w:rsidRPr="005335CE">
        <w:rPr>
          <w:rFonts w:ascii="Arial" w:hAnsi="Arial" w:cs="Arial"/>
          <w:sz w:val="18"/>
          <w:szCs w:val="18"/>
          <w:lang w:val="fr-BE"/>
        </w:rPr>
        <w:t xml:space="preserve">aragraphe 44 avec références aux arrêts suivants: </w:t>
      </w:r>
      <w:r w:rsidR="008C4B99" w:rsidRPr="005335CE">
        <w:rPr>
          <w:rFonts w:ascii="Arial" w:hAnsi="Arial" w:cs="Arial"/>
          <w:color w:val="000000"/>
          <w:sz w:val="18"/>
          <w:szCs w:val="18"/>
        </w:rPr>
        <w:t>arrêts du 29 février 1996, INZO, C</w:t>
      </w:r>
      <w:r w:rsidR="008C4B99" w:rsidRPr="005335CE">
        <w:rPr>
          <w:rFonts w:ascii="Arial" w:hAnsi="Arial" w:cs="Arial"/>
          <w:color w:val="000000"/>
          <w:sz w:val="18"/>
          <w:szCs w:val="18"/>
        </w:rPr>
        <w:noBreakHyphen/>
        <w:t>110/94, EU:C:1996:67, point 22, ainsi que du 17 octobre 2018, Ryanair, C</w:t>
      </w:r>
      <w:r w:rsidR="008C4B99" w:rsidRPr="005335CE">
        <w:rPr>
          <w:rFonts w:ascii="Arial" w:hAnsi="Arial" w:cs="Arial"/>
          <w:color w:val="000000"/>
          <w:sz w:val="18"/>
          <w:szCs w:val="18"/>
        </w:rPr>
        <w:noBreakHyphen/>
        <w:t>249/17, EU:C:2018:834, point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02782"/>
    <w:multiLevelType w:val="hybridMultilevel"/>
    <w:tmpl w:val="B80C43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5419B6"/>
    <w:multiLevelType w:val="hybridMultilevel"/>
    <w:tmpl w:val="4DAACA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3311821">
    <w:abstractNumId w:val="0"/>
  </w:num>
  <w:num w:numId="2" w16cid:durableId="12073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B6"/>
    <w:rsid w:val="0005793A"/>
    <w:rsid w:val="0008089C"/>
    <w:rsid w:val="0009590D"/>
    <w:rsid w:val="001265AA"/>
    <w:rsid w:val="00174849"/>
    <w:rsid w:val="00192376"/>
    <w:rsid w:val="001F06C0"/>
    <w:rsid w:val="002073C3"/>
    <w:rsid w:val="00213710"/>
    <w:rsid w:val="003A3F78"/>
    <w:rsid w:val="00430BC9"/>
    <w:rsid w:val="00440785"/>
    <w:rsid w:val="004A1CB6"/>
    <w:rsid w:val="004E49F0"/>
    <w:rsid w:val="004F6254"/>
    <w:rsid w:val="00506D47"/>
    <w:rsid w:val="005335CE"/>
    <w:rsid w:val="005611B6"/>
    <w:rsid w:val="005C1A0C"/>
    <w:rsid w:val="00603B38"/>
    <w:rsid w:val="00624368"/>
    <w:rsid w:val="00645691"/>
    <w:rsid w:val="006509AE"/>
    <w:rsid w:val="00694406"/>
    <w:rsid w:val="006B63BF"/>
    <w:rsid w:val="006D449D"/>
    <w:rsid w:val="00834294"/>
    <w:rsid w:val="008C4B99"/>
    <w:rsid w:val="00906B01"/>
    <w:rsid w:val="00951441"/>
    <w:rsid w:val="009529AD"/>
    <w:rsid w:val="009746F6"/>
    <w:rsid w:val="009900E3"/>
    <w:rsid w:val="009B360B"/>
    <w:rsid w:val="009E5D37"/>
    <w:rsid w:val="00A006EF"/>
    <w:rsid w:val="00A02390"/>
    <w:rsid w:val="00B04873"/>
    <w:rsid w:val="00B36246"/>
    <w:rsid w:val="00B579B0"/>
    <w:rsid w:val="00B87472"/>
    <w:rsid w:val="00BB09FB"/>
    <w:rsid w:val="00C0325F"/>
    <w:rsid w:val="00C60D21"/>
    <w:rsid w:val="00CB4885"/>
    <w:rsid w:val="00CC4358"/>
    <w:rsid w:val="00CE5422"/>
    <w:rsid w:val="00CF3E45"/>
    <w:rsid w:val="00D05F2F"/>
    <w:rsid w:val="00D17F83"/>
    <w:rsid w:val="00D61570"/>
    <w:rsid w:val="00D74728"/>
    <w:rsid w:val="00DA311A"/>
    <w:rsid w:val="00DE4D75"/>
    <w:rsid w:val="00E063E5"/>
    <w:rsid w:val="00E33DEA"/>
    <w:rsid w:val="00EC4CA2"/>
    <w:rsid w:val="00EE41DA"/>
    <w:rsid w:val="00F44FF0"/>
    <w:rsid w:val="00F72CBB"/>
    <w:rsid w:val="00F77C52"/>
    <w:rsid w:val="00FC5DAF"/>
    <w:rsid w:val="00FD505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5028808B"/>
  <w15:chartTrackingRefBased/>
  <w15:docId w15:val="{62F61A5F-E21F-9140-A7DD-CFE45961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A1CB6"/>
    <w:rPr>
      <w:sz w:val="20"/>
      <w:szCs w:val="20"/>
    </w:rPr>
  </w:style>
  <w:style w:type="character" w:customStyle="1" w:styleId="FootnoteTextChar">
    <w:name w:val="Footnote Text Char"/>
    <w:basedOn w:val="DefaultParagraphFont"/>
    <w:link w:val="FootnoteText"/>
    <w:uiPriority w:val="99"/>
    <w:semiHidden/>
    <w:rsid w:val="004A1CB6"/>
    <w:rPr>
      <w:sz w:val="20"/>
      <w:szCs w:val="20"/>
    </w:rPr>
  </w:style>
  <w:style w:type="character" w:styleId="FootnoteReference">
    <w:name w:val="footnote reference"/>
    <w:basedOn w:val="DefaultParagraphFont"/>
    <w:uiPriority w:val="99"/>
    <w:semiHidden/>
    <w:unhideWhenUsed/>
    <w:rsid w:val="004A1CB6"/>
    <w:rPr>
      <w:vertAlign w:val="superscript"/>
    </w:rPr>
  </w:style>
  <w:style w:type="paragraph" w:styleId="Footer">
    <w:name w:val="footer"/>
    <w:basedOn w:val="Normal"/>
    <w:link w:val="FooterChar"/>
    <w:uiPriority w:val="99"/>
    <w:unhideWhenUsed/>
    <w:rsid w:val="001265AA"/>
    <w:pPr>
      <w:tabs>
        <w:tab w:val="center" w:pos="4513"/>
        <w:tab w:val="right" w:pos="9026"/>
      </w:tabs>
    </w:pPr>
  </w:style>
  <w:style w:type="character" w:customStyle="1" w:styleId="FooterChar">
    <w:name w:val="Footer Char"/>
    <w:basedOn w:val="DefaultParagraphFont"/>
    <w:link w:val="Footer"/>
    <w:uiPriority w:val="99"/>
    <w:rsid w:val="001265AA"/>
  </w:style>
  <w:style w:type="character" w:styleId="PageNumber">
    <w:name w:val="page number"/>
    <w:basedOn w:val="DefaultParagraphFont"/>
    <w:uiPriority w:val="99"/>
    <w:semiHidden/>
    <w:unhideWhenUsed/>
    <w:rsid w:val="001265AA"/>
  </w:style>
  <w:style w:type="paragraph" w:customStyle="1" w:styleId="c30dispositifalinea">
    <w:name w:val="c30dispositifalinea"/>
    <w:basedOn w:val="Normal"/>
    <w:rsid w:val="00213710"/>
    <w:pPr>
      <w:spacing w:before="100" w:beforeAutospacing="1" w:after="100" w:afterAutospacing="1"/>
    </w:pPr>
    <w:rPr>
      <w:rFonts w:ascii="Times New Roman" w:eastAsia="Times New Roman" w:hAnsi="Times New Roman" w:cs="Times New Roman"/>
      <w:lang w:eastAsia="en-GB"/>
    </w:rPr>
  </w:style>
  <w:style w:type="paragraph" w:customStyle="1" w:styleId="c02alineaalta">
    <w:name w:val="c02alineaalta"/>
    <w:basedOn w:val="Normal"/>
    <w:rsid w:val="00834294"/>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FC5DAF"/>
    <w:pPr>
      <w:ind w:left="720"/>
      <w:contextualSpacing/>
    </w:pPr>
  </w:style>
  <w:style w:type="paragraph" w:customStyle="1" w:styleId="c01pointnumerotealtn">
    <w:name w:val="c01pointnumerotealtn"/>
    <w:basedOn w:val="Normal"/>
    <w:rsid w:val="006B63BF"/>
    <w:pPr>
      <w:spacing w:before="100" w:beforeAutospacing="1" w:after="100" w:afterAutospacing="1"/>
    </w:pPr>
    <w:rPr>
      <w:rFonts w:ascii="Times New Roman" w:eastAsia="Times New Roman" w:hAnsi="Times New Roman" w:cs="Times New Roman"/>
      <w:lang w:eastAsia="en-GB"/>
    </w:rPr>
  </w:style>
  <w:style w:type="paragraph" w:customStyle="1" w:styleId="c19centre">
    <w:name w:val="c19centre"/>
    <w:basedOn w:val="Normal"/>
    <w:rsid w:val="00EE41DA"/>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EE41DA"/>
    <w:pPr>
      <w:spacing w:before="100" w:beforeAutospacing="1" w:after="100" w:afterAutospacing="1"/>
    </w:pPr>
    <w:rPr>
      <w:rFonts w:ascii="Times New Roman" w:eastAsia="Times New Roman" w:hAnsi="Times New Roman" w:cs="Times New Roman"/>
      <w:lang w:eastAsia="en-GB"/>
    </w:rPr>
  </w:style>
  <w:style w:type="paragraph" w:styleId="Title">
    <w:name w:val="Title"/>
    <w:basedOn w:val="Normal"/>
    <w:link w:val="TitleChar"/>
    <w:qFormat/>
    <w:rsid w:val="00CE5422"/>
    <w:pPr>
      <w:jc w:val="center"/>
    </w:pPr>
    <w:rPr>
      <w:rFonts w:ascii="TradeGothic" w:eastAsia="Times New Roman" w:hAnsi="TradeGothic" w:cs="Times New Roman"/>
      <w:b/>
      <w:bCs/>
      <w:sz w:val="22"/>
      <w:szCs w:val="20"/>
      <w:lang w:val="en-GB" w:eastAsia="x-none"/>
    </w:rPr>
  </w:style>
  <w:style w:type="character" w:customStyle="1" w:styleId="TitleChar">
    <w:name w:val="Title Char"/>
    <w:basedOn w:val="DefaultParagraphFont"/>
    <w:link w:val="Title"/>
    <w:rsid w:val="00CE5422"/>
    <w:rPr>
      <w:rFonts w:ascii="TradeGothic" w:eastAsia="Times New Roman" w:hAnsi="TradeGothic" w:cs="Times New Roman"/>
      <w:b/>
      <w:bCs/>
      <w:sz w:val="22"/>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03062">
      <w:bodyDiv w:val="1"/>
      <w:marLeft w:val="0"/>
      <w:marRight w:val="0"/>
      <w:marTop w:val="0"/>
      <w:marBottom w:val="0"/>
      <w:divBdr>
        <w:top w:val="none" w:sz="0" w:space="0" w:color="auto"/>
        <w:left w:val="none" w:sz="0" w:space="0" w:color="auto"/>
        <w:bottom w:val="none" w:sz="0" w:space="0" w:color="auto"/>
        <w:right w:val="none" w:sz="0" w:space="0" w:color="auto"/>
      </w:divBdr>
    </w:div>
    <w:div w:id="228658201">
      <w:bodyDiv w:val="1"/>
      <w:marLeft w:val="0"/>
      <w:marRight w:val="0"/>
      <w:marTop w:val="0"/>
      <w:marBottom w:val="0"/>
      <w:divBdr>
        <w:top w:val="none" w:sz="0" w:space="0" w:color="auto"/>
        <w:left w:val="none" w:sz="0" w:space="0" w:color="auto"/>
        <w:bottom w:val="none" w:sz="0" w:space="0" w:color="auto"/>
        <w:right w:val="none" w:sz="0" w:space="0" w:color="auto"/>
      </w:divBdr>
    </w:div>
    <w:div w:id="340670078">
      <w:bodyDiv w:val="1"/>
      <w:marLeft w:val="0"/>
      <w:marRight w:val="0"/>
      <w:marTop w:val="0"/>
      <w:marBottom w:val="0"/>
      <w:divBdr>
        <w:top w:val="none" w:sz="0" w:space="0" w:color="auto"/>
        <w:left w:val="none" w:sz="0" w:space="0" w:color="auto"/>
        <w:bottom w:val="none" w:sz="0" w:space="0" w:color="auto"/>
        <w:right w:val="none" w:sz="0" w:space="0" w:color="auto"/>
      </w:divBdr>
    </w:div>
    <w:div w:id="1039821980">
      <w:bodyDiv w:val="1"/>
      <w:marLeft w:val="0"/>
      <w:marRight w:val="0"/>
      <w:marTop w:val="0"/>
      <w:marBottom w:val="0"/>
      <w:divBdr>
        <w:top w:val="none" w:sz="0" w:space="0" w:color="auto"/>
        <w:left w:val="none" w:sz="0" w:space="0" w:color="auto"/>
        <w:bottom w:val="none" w:sz="0" w:space="0" w:color="auto"/>
        <w:right w:val="none" w:sz="0" w:space="0" w:color="auto"/>
      </w:divBdr>
    </w:div>
    <w:div w:id="1604997226">
      <w:bodyDiv w:val="1"/>
      <w:marLeft w:val="0"/>
      <w:marRight w:val="0"/>
      <w:marTop w:val="0"/>
      <w:marBottom w:val="0"/>
      <w:divBdr>
        <w:top w:val="none" w:sz="0" w:space="0" w:color="auto"/>
        <w:left w:val="none" w:sz="0" w:space="0" w:color="auto"/>
        <w:bottom w:val="none" w:sz="0" w:space="0" w:color="auto"/>
        <w:right w:val="none" w:sz="0" w:space="0" w:color="auto"/>
      </w:divBdr>
    </w:div>
    <w:div w:id="1647279768">
      <w:bodyDiv w:val="1"/>
      <w:marLeft w:val="0"/>
      <w:marRight w:val="0"/>
      <w:marTop w:val="0"/>
      <w:marBottom w:val="0"/>
      <w:divBdr>
        <w:top w:val="none" w:sz="0" w:space="0" w:color="auto"/>
        <w:left w:val="none" w:sz="0" w:space="0" w:color="auto"/>
        <w:bottom w:val="none" w:sz="0" w:space="0" w:color="auto"/>
        <w:right w:val="none" w:sz="0" w:space="0" w:color="auto"/>
      </w:divBdr>
    </w:div>
    <w:div w:id="1718429208">
      <w:bodyDiv w:val="1"/>
      <w:marLeft w:val="0"/>
      <w:marRight w:val="0"/>
      <w:marTop w:val="0"/>
      <w:marBottom w:val="0"/>
      <w:divBdr>
        <w:top w:val="none" w:sz="0" w:space="0" w:color="auto"/>
        <w:left w:val="none" w:sz="0" w:space="0" w:color="auto"/>
        <w:bottom w:val="none" w:sz="0" w:space="0" w:color="auto"/>
        <w:right w:val="none" w:sz="0" w:space="0" w:color="auto"/>
      </w:divBdr>
    </w:div>
    <w:div w:id="1957639666">
      <w:bodyDiv w:val="1"/>
      <w:marLeft w:val="0"/>
      <w:marRight w:val="0"/>
      <w:marTop w:val="0"/>
      <w:marBottom w:val="0"/>
      <w:divBdr>
        <w:top w:val="none" w:sz="0" w:space="0" w:color="auto"/>
        <w:left w:val="none" w:sz="0" w:space="0" w:color="auto"/>
        <w:bottom w:val="none" w:sz="0" w:space="0" w:color="auto"/>
        <w:right w:val="none" w:sz="0" w:space="0" w:color="auto"/>
      </w:divBdr>
    </w:div>
    <w:div w:id="196545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DD60-4F17-BF40-94A4-576AEB0A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4</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Lamensch</dc:creator>
  <cp:keywords/>
  <dc:description/>
  <cp:lastModifiedBy>Marie Lamensch</cp:lastModifiedBy>
  <cp:revision>38</cp:revision>
  <dcterms:created xsi:type="dcterms:W3CDTF">2023-01-25T08:00:00Z</dcterms:created>
  <dcterms:modified xsi:type="dcterms:W3CDTF">2023-02-22T09:58:00Z</dcterms:modified>
</cp:coreProperties>
</file>