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1F7B" w:rsidRDefault="00441F7B" w:rsidP="00441F7B">
      <w:pPr>
        <w:pStyle w:val="TitreEntreeDico"/>
        <w:tabs>
          <w:tab w:val="left" w:pos="709"/>
        </w:tabs>
      </w:pPr>
      <w:r>
        <w:t xml:space="preserve">Christianisme </w:t>
      </w:r>
      <w:r>
        <w:rPr>
          <w:smallCaps w:val="0"/>
        </w:rPr>
        <w:t>(fêtes d’obligation)</w:t>
      </w:r>
    </w:p>
    <w:p w:rsidR="00441F7B" w:rsidRDefault="00441F7B" w:rsidP="00441F7B">
      <w:pPr>
        <w:pStyle w:val="CorpsDico"/>
        <w:tabs>
          <w:tab w:val="left" w:pos="709"/>
        </w:tabs>
        <w:ind w:right="0"/>
      </w:pPr>
      <w:r>
        <w:rPr>
          <w:rFonts w:cs="Times New Roman"/>
        </w:rPr>
        <w:t>À l’image des religions antiques préexistantes, le christianisme s’organisa rapidement autour d’un certain nombre de fêtes en souvenir d’événements ou de personnes. En premier lieu, on pense bien entendu au dimanche*. Tout au long du IV</w:t>
      </w:r>
      <w:r>
        <w:rPr>
          <w:rFonts w:cs="Times New Roman"/>
          <w:vertAlign w:val="superscript"/>
        </w:rPr>
        <w:t>e</w:t>
      </w:r>
      <w:r>
        <w:rPr>
          <w:rFonts w:cs="Times New Roman"/>
        </w:rPr>
        <w:t xml:space="preserve"> siècle, différents textes impériaux attestent du caractère chômé, notamment pour les activités judiciaires, de ce jour que l’on dénomme désormais </w:t>
      </w:r>
      <w:r>
        <w:rPr>
          <w:rFonts w:cs="Times New Roman"/>
          <w:i/>
        </w:rPr>
        <w:t xml:space="preserve">dies </w:t>
      </w:r>
      <w:proofErr w:type="spellStart"/>
      <w:r>
        <w:rPr>
          <w:rFonts w:cs="Times New Roman"/>
          <w:i/>
        </w:rPr>
        <w:t>dominicus</w:t>
      </w:r>
      <w:proofErr w:type="spellEnd"/>
      <w:r>
        <w:rPr>
          <w:rFonts w:cs="Times New Roman"/>
        </w:rPr>
        <w:t xml:space="preserve">, plutôt que </w:t>
      </w:r>
      <w:r>
        <w:rPr>
          <w:rFonts w:cs="Times New Roman"/>
          <w:i/>
        </w:rPr>
        <w:t xml:space="preserve">dies </w:t>
      </w:r>
      <w:proofErr w:type="spellStart"/>
      <w:r>
        <w:rPr>
          <w:rFonts w:cs="Times New Roman"/>
          <w:i/>
        </w:rPr>
        <w:t>solis</w:t>
      </w:r>
      <w:proofErr w:type="spellEnd"/>
      <w:r>
        <w:rPr>
          <w:rFonts w:cs="Times New Roman"/>
        </w:rPr>
        <w:t>. Les réjouissances publiques sont également proscrites. Le clergé ne demeure pas en reste qui insiste sur la solennité de ce qu’il considère comme le premier jour de la semaine, avec pour conséquence l’obligation d’assister à la messe et, progressivement, sur les attitudes morales à respecter et la proscription du travail.</w:t>
      </w:r>
    </w:p>
    <w:p w:rsidR="00441F7B" w:rsidRDefault="00441F7B" w:rsidP="00441F7B">
      <w:pPr>
        <w:pStyle w:val="CorpsDico"/>
        <w:tabs>
          <w:tab w:val="left" w:pos="709"/>
        </w:tabs>
        <w:ind w:right="0"/>
      </w:pPr>
      <w:r>
        <w:rPr>
          <w:rFonts w:cs="Times New Roman"/>
        </w:rPr>
        <w:t>En parallèle, avec de nombreuses variations régionales, d’autres jours fériés émergent. Et cela dès le II</w:t>
      </w:r>
      <w:r>
        <w:rPr>
          <w:rFonts w:cs="Times New Roman"/>
          <w:vertAlign w:val="superscript"/>
        </w:rPr>
        <w:t>e</w:t>
      </w:r>
      <w:r>
        <w:rPr>
          <w:rFonts w:cs="Times New Roman"/>
        </w:rPr>
        <w:t xml:space="preserve"> siècle, voire plus tôt déjà. Le processus ne cessera pas de prendre de l’ampleur dans les siècles suivants. Ces fêtes sont liées au Temporal (Pâques* et Pentecôte*), aux martyrs ou encore aux saints bibliques. La Vierge fait également l’objet d’une attention particulière, surtout à partir du IV</w:t>
      </w:r>
      <w:r>
        <w:rPr>
          <w:rFonts w:cs="Times New Roman"/>
          <w:vertAlign w:val="superscript"/>
        </w:rPr>
        <w:t>e</w:t>
      </w:r>
      <w:r>
        <w:rPr>
          <w:rFonts w:cs="Times New Roman"/>
        </w:rPr>
        <w:t xml:space="preserve"> siècle. Ce phénomène s’inscrit dans un contexte d’affirmation du christianisme face aux subsistances de pratiques païennes. De nombreux textes de l’époque carolingienne évoquent les exigences en la matière : le respect par les fidèles de l’obligation d’assistance aux offices et le chômage, mais aussi une attitude digne, incluant notamment des interdits sexuels. Progressivement, à ces fêtes universelles – précisées notamment par le décret de Gratien et les décrétales de Grégoire IX –, s’en ajoutent d’autres, liées au sanctoral, en fonction des spécificités diocésaines. Les calendriers vont ainsi connaître un accroissement des fêtes d’obligation. Au bas Moyen Âge, on peut estimer qu’outre les dimanches, une cinquantaine d’autres jours se révèlent également de précepte.</w:t>
      </w:r>
    </w:p>
    <w:p w:rsidR="00441F7B" w:rsidRDefault="00441F7B" w:rsidP="00441F7B">
      <w:pPr>
        <w:pStyle w:val="CorpsDico"/>
        <w:tabs>
          <w:tab w:val="left" w:pos="709"/>
        </w:tabs>
        <w:ind w:right="0"/>
      </w:pPr>
      <w:r>
        <w:t>Le nombre de ces fêtes et les contraintes y liées (obligation d’entendre la messe et interdiction du travail, soit totalement, soit jusqu’à midi (demi-fêtes) n’étaient pas sans conséquences. Les pertes économiques pour les fidèles pouvaient être considérables. Les rappels à l’ordre se firent récurrents de la part des autorités, tant ecclésiastiques que civiles, sanctions financières à la clé. Celles-ci dénonçaient par ailleurs des comportements festifs et irrespectueux liés à ces jours d’oisiveté. C’est ainsi qu’au fil du temps, et surtout à partir de la</w:t>
      </w:r>
      <w:bookmarkStart w:id="0" w:name="_GoBack14"/>
      <w:bookmarkEnd w:id="0"/>
      <w:r>
        <w:t xml:space="preserve"> fin du moyen âge, des voix se firent entendre pour encourager une réduction du nombre de fêtes. Citons pour exemples le petit traité contre l’instauration de nouvelles fêtes rédigé par Nicolas de Clamanges en 1413 ou les discussions sur le sujet lors des conciles de Constance et de Bâle. Mais peu de choses évoluèrent dans l’immédiat.</w:t>
      </w:r>
    </w:p>
    <w:p w:rsidR="00441F7B" w:rsidRDefault="00441F7B" w:rsidP="00441F7B">
      <w:pPr>
        <w:pStyle w:val="CorpsDico"/>
        <w:tabs>
          <w:tab w:val="left" w:pos="709"/>
        </w:tabs>
        <w:ind w:right="0"/>
      </w:pPr>
      <w:r>
        <w:rPr>
          <w:rFonts w:cs="Times New Roman"/>
        </w:rPr>
        <w:t xml:space="preserve">En 1642, l’initiative d’une réforme viendra du souverain pontife, Urbain VIII au travers de la bulle </w:t>
      </w:r>
      <w:proofErr w:type="spellStart"/>
      <w:r>
        <w:rPr>
          <w:rFonts w:cs="Times New Roman"/>
          <w:i/>
        </w:rPr>
        <w:t>Universa</w:t>
      </w:r>
      <w:proofErr w:type="spellEnd"/>
      <w:r>
        <w:rPr>
          <w:rFonts w:cs="Times New Roman"/>
          <w:i/>
        </w:rPr>
        <w:t xml:space="preserve"> per </w:t>
      </w:r>
      <w:proofErr w:type="spellStart"/>
      <w:r>
        <w:rPr>
          <w:rFonts w:cs="Times New Roman"/>
          <w:i/>
        </w:rPr>
        <w:t>orbem</w:t>
      </w:r>
      <w:proofErr w:type="spellEnd"/>
      <w:r>
        <w:rPr>
          <w:rFonts w:cs="Times New Roman"/>
        </w:rPr>
        <w:t xml:space="preserve">. Entendant réaffirmer l’autorité et le centralisme pontifical en matière de culte des saints, il encourage les évêques à ne plus multiplier les fêtes et fixe la norme romaine à trente-huit, arguant notamment du poids économique pesant sur les fidèles. Demeurent privilégiées les fêtes christiques, les fêtes mariales* et celles des saints des origines, les apôtres notamment. Un recentrage est donc opéré vers les personnalités et les fêtes centrales du christianisme. L’accueil de cette mesure fut variable selon les régions. En France, l’esprit gallican en réduisit singulièrement la portée. Par contre, à l’initiative du pouvoir royal, les prélats du royaume furent engagés en 1666 à procéder à une réduction des jours fériés, avec ici </w:t>
      </w:r>
      <w:r>
        <w:rPr>
          <w:rFonts w:cs="Times New Roman"/>
        </w:rPr>
        <w:lastRenderedPageBreak/>
        <w:t>aussi des résultats assez mitigés, en raison du poids de la tradition. En d’autres termes, la situation si elle évolue au fil du XVII</w:t>
      </w:r>
      <w:r>
        <w:rPr>
          <w:rFonts w:cs="Times New Roman"/>
          <w:vertAlign w:val="superscript"/>
        </w:rPr>
        <w:t>e</w:t>
      </w:r>
      <w:r>
        <w:rPr>
          <w:rFonts w:cs="Times New Roman"/>
        </w:rPr>
        <w:t xml:space="preserve"> siècle ne connaît pas un changement radical.</w:t>
      </w:r>
    </w:p>
    <w:p w:rsidR="00441F7B" w:rsidRDefault="00441F7B" w:rsidP="00441F7B">
      <w:pPr>
        <w:pStyle w:val="CorpsDico"/>
        <w:tabs>
          <w:tab w:val="left" w:pos="709"/>
        </w:tabs>
        <w:ind w:right="0"/>
      </w:pPr>
      <w:r>
        <w:rPr>
          <w:rFonts w:cs="Times New Roman"/>
        </w:rPr>
        <w:t xml:space="preserve">Dès les années 1740, les réformes effectives vont se multiplier dans de nombreuses régions d’Europe, souvent menées de pair par les autorités politiques et le Saint-Siège : 1748 (diocèses italiens), 1751 et 1771 (Pays-Bas autrichiens), 1754 (États héréditaires de la maison d’Autriche), 1775 (Pologne et Prusse), etc. Les réductions sont maintenant drastiques. Derrière cela, on notera une volonté étatique de protection de l’économie et des finances publiques, notamment face à la plus grande liberté de travail dont bénéficiaient les régions protestantes. Ce souci de l’économie se retrouve ainsi chez </w:t>
      </w:r>
      <w:proofErr w:type="spellStart"/>
      <w:r>
        <w:rPr>
          <w:rFonts w:cs="Times New Roman"/>
        </w:rPr>
        <w:t>Faiguet</w:t>
      </w:r>
      <w:proofErr w:type="spellEnd"/>
      <w:r>
        <w:rPr>
          <w:rFonts w:cs="Times New Roman"/>
        </w:rPr>
        <w:t xml:space="preserve"> de Villeneuve, notamment dans son article </w:t>
      </w:r>
      <w:r>
        <w:rPr>
          <w:rFonts w:cs="Times New Roman"/>
          <w:i/>
        </w:rPr>
        <w:t>Fêtes des chrétiens</w:t>
      </w:r>
      <w:r>
        <w:rPr>
          <w:rFonts w:cs="Times New Roman"/>
        </w:rPr>
        <w:t xml:space="preserve"> de l’</w:t>
      </w:r>
      <w:r>
        <w:rPr>
          <w:rFonts w:cs="Times New Roman"/>
          <w:i/>
        </w:rPr>
        <w:t>Encyclopédie</w:t>
      </w:r>
      <w:r>
        <w:rPr>
          <w:rFonts w:cs="Times New Roman"/>
        </w:rPr>
        <w:t xml:space="preserve">. Mais on doit y voir également – dans certains cas du moins – une volonté de rationalisation des pratiques de piété et d’une sanctification accrue d’un nombre restreint de jours fériés face aux excès indignes trop souvent constatés. On pense ici à des tenants de l’Aufklärung catholique, tels que Muratori et son </w:t>
      </w:r>
      <w:r>
        <w:rPr>
          <w:rFonts w:cs="Times New Roman"/>
          <w:i/>
        </w:rPr>
        <w:t>Della</w:t>
      </w:r>
      <w:r>
        <w:rPr>
          <w:rFonts w:cs="Times New Roman"/>
        </w:rPr>
        <w:t xml:space="preserve"> </w:t>
      </w:r>
      <w:proofErr w:type="spellStart"/>
      <w:r>
        <w:rPr>
          <w:rFonts w:cs="Times New Roman"/>
          <w:i/>
        </w:rPr>
        <w:t>regolata</w:t>
      </w:r>
      <w:proofErr w:type="spellEnd"/>
      <w:r>
        <w:rPr>
          <w:rFonts w:cs="Times New Roman"/>
          <w:i/>
        </w:rPr>
        <w:t xml:space="preserve"> </w:t>
      </w:r>
      <w:proofErr w:type="spellStart"/>
      <w:r>
        <w:rPr>
          <w:rFonts w:cs="Times New Roman"/>
          <w:i/>
        </w:rPr>
        <w:t>divozion</w:t>
      </w:r>
      <w:proofErr w:type="spellEnd"/>
      <w:r>
        <w:rPr>
          <w:rFonts w:cs="Times New Roman"/>
          <w:i/>
        </w:rPr>
        <w:t xml:space="preserve"> de’ </w:t>
      </w:r>
      <w:proofErr w:type="spellStart"/>
      <w:r>
        <w:rPr>
          <w:rFonts w:cs="Times New Roman"/>
          <w:i/>
        </w:rPr>
        <w:t>cristiani</w:t>
      </w:r>
      <w:proofErr w:type="spellEnd"/>
      <w:r>
        <w:rPr>
          <w:rFonts w:cs="Times New Roman"/>
          <w:i/>
        </w:rPr>
        <w:t xml:space="preserve"> </w:t>
      </w:r>
      <w:proofErr w:type="spellStart"/>
      <w:r>
        <w:rPr>
          <w:rFonts w:cs="Times New Roman"/>
          <w:i/>
        </w:rPr>
        <w:t>trattato</w:t>
      </w:r>
      <w:proofErr w:type="spellEnd"/>
      <w:r>
        <w:rPr>
          <w:rFonts w:cs="Times New Roman"/>
          <w:i/>
        </w:rPr>
        <w:t xml:space="preserve"> </w:t>
      </w:r>
      <w:r>
        <w:rPr>
          <w:rFonts w:cs="Times New Roman"/>
        </w:rPr>
        <w:t>(1747), qui néanmoins milite par ailleurs en faveur d’un christianisme plus attentif aux besoins de la société et dénonce le coût de ces fêtes. Un point de vue défendu également par un certain nombre d’auteurs et de prélats jansénistes.</w:t>
      </w:r>
    </w:p>
    <w:p w:rsidR="00441F7B" w:rsidRDefault="00441F7B" w:rsidP="00441F7B">
      <w:pPr>
        <w:pStyle w:val="CorpsDico"/>
        <w:tabs>
          <w:tab w:val="left" w:pos="709"/>
        </w:tabs>
        <w:ind w:right="0"/>
      </w:pPr>
      <w:r>
        <w:rPr>
          <w:rFonts w:cs="Times New Roman"/>
        </w:rPr>
        <w:t>Un phénomène semble clair quant à ces fêtes. De tous temps, elles virent intervenir à la fois le pouvoir temporel et le pouvoir spirituel. Qu’il s’agisse de les faire respecter ou de les réduire, les deux sphères interviennent constamment, avec des points de vue qui par moment peuvent s’identifier et à d’autres s’éloigner. Quant aux critiques, elles purent obéir à des préoccupations extrêmement variables au fil du temps et la seconde moitié du XVIII</w:t>
      </w:r>
      <w:r>
        <w:rPr>
          <w:rFonts w:cs="Times New Roman"/>
          <w:vertAlign w:val="superscript"/>
        </w:rPr>
        <w:t>e</w:t>
      </w:r>
      <w:r>
        <w:rPr>
          <w:rFonts w:cs="Times New Roman"/>
        </w:rPr>
        <w:t xml:space="preserve"> siècle fut en cela particulièrement révélatrice.</w:t>
      </w:r>
    </w:p>
    <w:p w:rsidR="00441F7B" w:rsidRDefault="00441F7B" w:rsidP="00441F7B">
      <w:pPr>
        <w:pStyle w:val="Aut"/>
        <w:tabs>
          <w:tab w:val="left" w:pos="709"/>
        </w:tabs>
      </w:pPr>
      <w:r>
        <w:rPr>
          <w:smallCaps w:val="0"/>
        </w:rPr>
        <w:t xml:space="preserve">Philippe </w:t>
      </w:r>
      <w:proofErr w:type="spellStart"/>
      <w:r>
        <w:t>Desmette</w:t>
      </w:r>
      <w:proofErr w:type="spellEnd"/>
    </w:p>
    <w:p w:rsidR="00441F7B" w:rsidRDefault="00441F7B" w:rsidP="00441F7B">
      <w:pPr>
        <w:pStyle w:val="Biblio-dico-in"/>
        <w:tabs>
          <w:tab w:val="left" w:pos="709"/>
        </w:tabs>
        <w:ind w:left="0" w:firstLine="0"/>
      </w:pPr>
      <w:r>
        <w:t>Bibliographie : (</w:t>
      </w:r>
      <w:proofErr w:type="spellStart"/>
      <w:r>
        <w:t>Cabantous</w:t>
      </w:r>
      <w:proofErr w:type="spellEnd"/>
      <w:r>
        <w:t>, 2013), (</w:t>
      </w:r>
      <w:proofErr w:type="spellStart"/>
      <w:r>
        <w:t>Desmette</w:t>
      </w:r>
      <w:proofErr w:type="spellEnd"/>
      <w:r>
        <w:t xml:space="preserve"> et Martin, 2017), (Grenier, 2012), (</w:t>
      </w:r>
      <w:proofErr w:type="spellStart"/>
      <w:r>
        <w:t>Shusterman</w:t>
      </w:r>
      <w:proofErr w:type="spellEnd"/>
      <w:r>
        <w:t>, 2010)</w:t>
      </w:r>
    </w:p>
    <w:p w:rsidR="002F488F" w:rsidRDefault="002F488F">
      <w:bookmarkStart w:id="1" w:name="_GoBack"/>
      <w:bookmarkEnd w:id="1"/>
    </w:p>
    <w:sectPr w:rsidR="002F48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20603050405020304"/>
    <w:charset w:val="01"/>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F7B"/>
    <w:rsid w:val="002F488F"/>
    <w:rsid w:val="00441F7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94B6B2-2456-418D-975D-C90663B29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EntreeDico">
    <w:name w:val="Titre Entree Dico"/>
    <w:basedOn w:val="Normal"/>
    <w:next w:val="CorpsDico"/>
    <w:qFormat/>
    <w:rsid w:val="00441F7B"/>
    <w:pPr>
      <w:keepNext/>
      <w:suppressAutoHyphens/>
      <w:spacing w:before="425" w:after="170" w:line="276" w:lineRule="auto"/>
      <w:jc w:val="right"/>
    </w:pPr>
    <w:rPr>
      <w:rFonts w:ascii="Liberation Serif" w:eastAsia="Noto Serif CJK SC" w:hAnsi="Liberation Serif" w:cs="Lohit Devanagari"/>
      <w:b/>
      <w:smallCaps/>
      <w:kern w:val="2"/>
      <w:sz w:val="40"/>
      <w:szCs w:val="24"/>
      <w:lang w:eastAsia="zh-CN" w:bidi="hi-IN"/>
    </w:rPr>
  </w:style>
  <w:style w:type="paragraph" w:customStyle="1" w:styleId="Aut">
    <w:name w:val="Aut."/>
    <w:basedOn w:val="Normal"/>
    <w:qFormat/>
    <w:rsid w:val="00441F7B"/>
    <w:pPr>
      <w:suppressAutoHyphens/>
      <w:spacing w:before="255" w:after="170" w:line="276" w:lineRule="auto"/>
      <w:jc w:val="right"/>
    </w:pPr>
    <w:rPr>
      <w:rFonts w:ascii="Liberation Serif" w:eastAsia="Noto Serif CJK SC" w:hAnsi="Liberation Serif" w:cs="Lohit Devanagari"/>
      <w:smallCaps/>
      <w:kern w:val="2"/>
      <w:sz w:val="24"/>
      <w:szCs w:val="24"/>
      <w:lang w:eastAsia="zh-CN" w:bidi="hi-IN"/>
    </w:rPr>
  </w:style>
  <w:style w:type="paragraph" w:customStyle="1" w:styleId="Biblio-dico-in">
    <w:name w:val="Biblio-dico - in"/>
    <w:basedOn w:val="CorpsDico"/>
    <w:qFormat/>
    <w:rsid w:val="00441F7B"/>
    <w:pPr>
      <w:spacing w:before="0" w:after="170"/>
      <w:ind w:left="340" w:right="0" w:hanging="340"/>
    </w:pPr>
    <w:rPr>
      <w:lang w:eastAsia="en-US"/>
    </w:rPr>
  </w:style>
  <w:style w:type="paragraph" w:customStyle="1" w:styleId="CorpsDico">
    <w:name w:val="Corps Dico"/>
    <w:next w:val="TitreEntreeDico"/>
    <w:qFormat/>
    <w:rsid w:val="00441F7B"/>
    <w:pPr>
      <w:suppressAutoHyphens/>
      <w:spacing w:before="57" w:after="0" w:line="276" w:lineRule="auto"/>
      <w:ind w:right="57"/>
      <w:jc w:val="both"/>
    </w:pPr>
    <w:rPr>
      <w:rFonts w:ascii="Liberation Serif" w:eastAsia="Noto Serif CJK SC" w:hAnsi="Liberation Serif" w:cs="Lohit Devanagari"/>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894</Words>
  <Characters>4917</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Université Lumière Lyon 2</Company>
  <LinksUpToDate>false</LinksUpToDate>
  <CharactersWithSpaces>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Philippe Martin</dc:creator>
  <cp:keywords/>
  <dc:description/>
  <cp:lastModifiedBy>Philippe Martin</cp:lastModifiedBy>
  <cp:revision>1</cp:revision>
  <dcterms:created xsi:type="dcterms:W3CDTF">2022-08-02T20:07:00Z</dcterms:created>
  <dcterms:modified xsi:type="dcterms:W3CDTF">2022-08-02T20:07:00Z</dcterms:modified>
</cp:coreProperties>
</file>