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27695E" w14:textId="437E58B3" w:rsidR="00D46FF0" w:rsidRPr="00D46FF0" w:rsidRDefault="00D46FF0" w:rsidP="00D46FF0">
      <w:pPr>
        <w:jc w:val="center"/>
        <w:rPr>
          <w:rFonts w:ascii="Garamond" w:hAnsi="Garamond"/>
          <w:b/>
          <w:bCs/>
          <w:lang w:val="en-US"/>
        </w:rPr>
      </w:pPr>
      <w:r w:rsidRPr="00D46FF0">
        <w:rPr>
          <w:rFonts w:ascii="Garamond" w:hAnsi="Garamond"/>
          <w:b/>
          <w:bCs/>
          <w:lang w:val="en-US"/>
        </w:rPr>
        <w:t>“Synodality</w:t>
      </w:r>
      <w:r w:rsidR="00284BE4">
        <w:rPr>
          <w:rFonts w:ascii="Garamond" w:hAnsi="Garamond"/>
          <w:b/>
          <w:bCs/>
          <w:lang w:val="en-US"/>
        </w:rPr>
        <w:t xml:space="preserve"> and Eucharistic Hospitality: </w:t>
      </w:r>
      <w:r w:rsidR="005C3630">
        <w:rPr>
          <w:rFonts w:ascii="Garamond" w:hAnsi="Garamond"/>
          <w:b/>
          <w:bCs/>
          <w:lang w:val="en-US"/>
        </w:rPr>
        <w:t>Stirring up Palaver</w:t>
      </w:r>
      <w:r w:rsidR="00284BE4">
        <w:rPr>
          <w:rFonts w:ascii="Garamond" w:hAnsi="Garamond"/>
          <w:b/>
          <w:bCs/>
          <w:lang w:val="en-US"/>
        </w:rPr>
        <w:t xml:space="preserve"> on</w:t>
      </w:r>
      <w:r w:rsidRPr="00D46FF0">
        <w:rPr>
          <w:rFonts w:ascii="Garamond" w:hAnsi="Garamond"/>
          <w:b/>
          <w:bCs/>
          <w:lang w:val="en-US"/>
        </w:rPr>
        <w:t xml:space="preserve"> Sacramental and Ecclesial Communion in African Christianity”</w:t>
      </w:r>
    </w:p>
    <w:p w14:paraId="524FFCFF" w14:textId="77777777" w:rsidR="00D46FF0" w:rsidRPr="00D46FF0" w:rsidRDefault="00D46FF0" w:rsidP="00D46FF0">
      <w:pPr>
        <w:jc w:val="center"/>
        <w:rPr>
          <w:rFonts w:ascii="Garamond" w:hAnsi="Garamond"/>
          <w:lang w:val="en-US"/>
        </w:rPr>
      </w:pPr>
    </w:p>
    <w:p w14:paraId="5D1419C4" w14:textId="17A5ECF3" w:rsidR="00803626" w:rsidRPr="00D46FF0" w:rsidRDefault="000620CA" w:rsidP="00D46FF0">
      <w:pPr>
        <w:jc w:val="center"/>
        <w:rPr>
          <w:rFonts w:ascii="Garamond" w:hAnsi="Garamond"/>
          <w:sz w:val="20"/>
          <w:szCs w:val="20"/>
          <w:lang w:val="en-US"/>
        </w:rPr>
      </w:pPr>
      <w:r w:rsidRPr="00D46FF0">
        <w:rPr>
          <w:rFonts w:ascii="Garamond" w:hAnsi="Garamond"/>
          <w:sz w:val="20"/>
          <w:szCs w:val="20"/>
          <w:lang w:val="en-US"/>
        </w:rPr>
        <w:t>PACTPAN Palaver Series</w:t>
      </w:r>
      <w:r w:rsidR="001879EC" w:rsidRPr="00D46FF0">
        <w:rPr>
          <w:rFonts w:ascii="Garamond" w:hAnsi="Garamond"/>
          <w:sz w:val="20"/>
          <w:szCs w:val="20"/>
          <w:lang w:val="en-US"/>
        </w:rPr>
        <w:t xml:space="preserve"> </w:t>
      </w:r>
    </w:p>
    <w:p w14:paraId="2314C6FC" w14:textId="030576B9" w:rsidR="001879EC" w:rsidRPr="00D46FF0" w:rsidRDefault="001879EC" w:rsidP="00D46FF0">
      <w:pPr>
        <w:jc w:val="center"/>
        <w:rPr>
          <w:rFonts w:ascii="Garamond" w:hAnsi="Garamond"/>
          <w:sz w:val="20"/>
          <w:szCs w:val="20"/>
          <w:lang w:val="en-US"/>
        </w:rPr>
      </w:pPr>
      <w:r w:rsidRPr="00D46FF0">
        <w:rPr>
          <w:rFonts w:ascii="Garamond" w:hAnsi="Garamond"/>
          <w:sz w:val="20"/>
          <w:szCs w:val="20"/>
          <w:lang w:val="en-US"/>
        </w:rPr>
        <w:t>Ikenna Paschal Okpaleke</w:t>
      </w:r>
      <w:r w:rsidR="00A76E74" w:rsidRPr="00D46FF0">
        <w:rPr>
          <w:rFonts w:ascii="Garamond" w:hAnsi="Garamond"/>
          <w:sz w:val="20"/>
          <w:szCs w:val="20"/>
          <w:lang w:val="en-US"/>
        </w:rPr>
        <w:t xml:space="preserve">, </w:t>
      </w:r>
      <w:proofErr w:type="spellStart"/>
      <w:r w:rsidR="00A76E74" w:rsidRPr="00D46FF0">
        <w:rPr>
          <w:rFonts w:ascii="Garamond" w:hAnsi="Garamond"/>
          <w:sz w:val="20"/>
          <w:szCs w:val="20"/>
          <w:lang w:val="en-US"/>
        </w:rPr>
        <w:t>UCLouvain</w:t>
      </w:r>
      <w:proofErr w:type="spellEnd"/>
    </w:p>
    <w:p w14:paraId="60F14608" w14:textId="1F58469A" w:rsidR="000620CA" w:rsidRPr="00D46FF0" w:rsidRDefault="000620CA" w:rsidP="00D46FF0">
      <w:pPr>
        <w:jc w:val="center"/>
        <w:rPr>
          <w:rFonts w:ascii="Garamond" w:hAnsi="Garamond"/>
          <w:sz w:val="20"/>
          <w:szCs w:val="20"/>
          <w:lang w:val="en-US"/>
        </w:rPr>
      </w:pPr>
      <w:r w:rsidRPr="00D46FF0">
        <w:rPr>
          <w:rFonts w:ascii="Garamond" w:hAnsi="Garamond"/>
          <w:sz w:val="20"/>
          <w:szCs w:val="20"/>
          <w:lang w:val="en-US"/>
        </w:rPr>
        <w:t>06 September 2024</w:t>
      </w:r>
    </w:p>
    <w:p w14:paraId="39DBEDE1" w14:textId="77777777" w:rsidR="000620CA" w:rsidRPr="00D46FF0" w:rsidRDefault="000620CA">
      <w:pPr>
        <w:rPr>
          <w:rFonts w:ascii="Garamond" w:hAnsi="Garamond"/>
          <w:lang w:val="en-US"/>
        </w:rPr>
      </w:pPr>
    </w:p>
    <w:p w14:paraId="00963FD5" w14:textId="1D1406C7" w:rsidR="000620CA" w:rsidRPr="00D46FF0" w:rsidRDefault="000620CA" w:rsidP="00D46FF0">
      <w:pPr>
        <w:jc w:val="both"/>
        <w:rPr>
          <w:rFonts w:ascii="Garamond" w:hAnsi="Garamond"/>
          <w:lang w:val="en-US"/>
        </w:rPr>
      </w:pPr>
      <w:r w:rsidRPr="00D46FF0">
        <w:rPr>
          <w:rFonts w:ascii="Garamond" w:hAnsi="Garamond"/>
          <w:lang w:val="en-US"/>
        </w:rPr>
        <w:t>I would like to thank the leadership of PACTPAN, especially the humble servant</w:t>
      </w:r>
      <w:r w:rsidR="0073354E">
        <w:rPr>
          <w:rFonts w:ascii="Garamond" w:hAnsi="Garamond"/>
          <w:lang w:val="en-US"/>
        </w:rPr>
        <w:t>,</w:t>
      </w:r>
      <w:r w:rsidRPr="00D46FF0">
        <w:rPr>
          <w:rFonts w:ascii="Garamond" w:hAnsi="Garamond"/>
          <w:lang w:val="en-US"/>
        </w:rPr>
        <w:t xml:space="preserve"> Fr. Stan </w:t>
      </w:r>
      <w:proofErr w:type="spellStart"/>
      <w:r w:rsidRPr="00D46FF0">
        <w:rPr>
          <w:rFonts w:ascii="Garamond" w:hAnsi="Garamond"/>
          <w:lang w:val="en-US"/>
        </w:rPr>
        <w:t>Ilo</w:t>
      </w:r>
      <w:proofErr w:type="spellEnd"/>
      <w:r w:rsidRPr="00D46FF0">
        <w:rPr>
          <w:rFonts w:ascii="Garamond" w:hAnsi="Garamond"/>
          <w:lang w:val="en-US"/>
        </w:rPr>
        <w:t>, and the organizers of this palaver series. A real synodal conversation couldn’t have been better organized.</w:t>
      </w:r>
    </w:p>
    <w:p w14:paraId="43F41C3D" w14:textId="77777777" w:rsidR="000620CA" w:rsidRPr="00D46FF0" w:rsidRDefault="000620CA" w:rsidP="00D46FF0">
      <w:pPr>
        <w:jc w:val="both"/>
        <w:rPr>
          <w:rFonts w:ascii="Garamond" w:hAnsi="Garamond"/>
          <w:lang w:val="en-US"/>
        </w:rPr>
      </w:pPr>
    </w:p>
    <w:p w14:paraId="48EAD334" w14:textId="2F9450FA" w:rsidR="008C0762" w:rsidRPr="00D46FF0" w:rsidRDefault="000620CA" w:rsidP="00D46FF0">
      <w:pPr>
        <w:jc w:val="both"/>
        <w:rPr>
          <w:rFonts w:ascii="Garamond" w:hAnsi="Garamond"/>
        </w:rPr>
      </w:pPr>
      <w:r w:rsidRPr="00D46FF0">
        <w:rPr>
          <w:rFonts w:ascii="Garamond" w:hAnsi="Garamond"/>
          <w:lang w:val="en-US"/>
        </w:rPr>
        <w:t xml:space="preserve">To the topic of the day, I have been asked to speak on </w:t>
      </w:r>
      <w:r w:rsidR="00A76E74" w:rsidRPr="00D46FF0">
        <w:rPr>
          <w:rFonts w:ascii="Garamond" w:hAnsi="Garamond"/>
          <w:lang w:val="en-US"/>
        </w:rPr>
        <w:t xml:space="preserve">“what </w:t>
      </w:r>
      <w:r w:rsidR="00A76E74" w:rsidRPr="00D46FF0">
        <w:rPr>
          <w:rFonts w:ascii="Garamond" w:hAnsi="Garamond"/>
        </w:rPr>
        <w:t>Eucharistic Hospitality would look like in Africa considering the connection between sacramental and ecclesial communion, with reference to the experience and ecumenical significance of interchurch couples and families.”</w:t>
      </w:r>
    </w:p>
    <w:p w14:paraId="5723BB5C" w14:textId="77777777" w:rsidR="00A76E74" w:rsidRPr="00D46FF0" w:rsidRDefault="00A76E74" w:rsidP="00D46FF0">
      <w:pPr>
        <w:jc w:val="both"/>
        <w:rPr>
          <w:rFonts w:ascii="Garamond" w:hAnsi="Garamond"/>
          <w:lang w:val="en-US"/>
        </w:rPr>
      </w:pPr>
    </w:p>
    <w:p w14:paraId="104632A8" w14:textId="1889C2A7" w:rsidR="008C0762" w:rsidRPr="00D46FF0" w:rsidRDefault="008C0762" w:rsidP="00D46FF0">
      <w:pPr>
        <w:jc w:val="both"/>
        <w:rPr>
          <w:rFonts w:ascii="Garamond" w:hAnsi="Garamond"/>
          <w:lang w:val="en-US"/>
        </w:rPr>
      </w:pPr>
      <w:r w:rsidRPr="00D46FF0">
        <w:rPr>
          <w:rFonts w:ascii="Garamond" w:hAnsi="Garamond"/>
          <w:lang w:val="en-US"/>
        </w:rPr>
        <w:t xml:space="preserve">I would like to start with an anecdote. </w:t>
      </w:r>
      <w:r w:rsidR="00D67876" w:rsidRPr="00D46FF0">
        <w:rPr>
          <w:rFonts w:ascii="Garamond" w:hAnsi="Garamond"/>
          <w:lang w:val="en-US"/>
        </w:rPr>
        <w:t>Just few days ago, I read on X (Twitter) the post of a Gen Z lady who narrated her first experience of ‘August meeting’</w:t>
      </w:r>
      <w:r w:rsidR="0048139E">
        <w:rPr>
          <w:rFonts w:ascii="Garamond" w:hAnsi="Garamond"/>
          <w:lang w:val="en-US"/>
        </w:rPr>
        <w:t xml:space="preserve"> – an annual meeting of women, marked by </w:t>
      </w:r>
      <w:r w:rsidR="0048139E" w:rsidRPr="00D46FF0">
        <w:rPr>
          <w:rFonts w:ascii="Garamond" w:hAnsi="Garamond"/>
          <w:lang w:val="en-US"/>
        </w:rPr>
        <w:t xml:space="preserve">reconciliation, </w:t>
      </w:r>
      <w:r w:rsidR="0048139E">
        <w:rPr>
          <w:rFonts w:ascii="Garamond" w:hAnsi="Garamond"/>
          <w:lang w:val="en-US"/>
        </w:rPr>
        <w:t xml:space="preserve">community </w:t>
      </w:r>
      <w:r w:rsidR="0048139E" w:rsidRPr="00D46FF0">
        <w:rPr>
          <w:rFonts w:ascii="Garamond" w:hAnsi="Garamond"/>
          <w:lang w:val="en-US"/>
        </w:rPr>
        <w:t>planning, fund raising, charity, and fun</w:t>
      </w:r>
      <w:r w:rsidR="00D67876" w:rsidRPr="00D46FF0">
        <w:rPr>
          <w:rFonts w:ascii="Garamond" w:hAnsi="Garamond"/>
          <w:lang w:val="en-US"/>
        </w:rPr>
        <w:t xml:space="preserve">. Her story was filled with so much excitement. </w:t>
      </w:r>
      <w:r w:rsidR="009D5C80" w:rsidRPr="00D46FF0">
        <w:rPr>
          <w:rFonts w:ascii="Garamond" w:hAnsi="Garamond"/>
          <w:lang w:val="en-US"/>
        </w:rPr>
        <w:t xml:space="preserve">The setting was a town in Southeastern Nigeria called </w:t>
      </w:r>
      <w:proofErr w:type="spellStart"/>
      <w:r w:rsidR="009D5C80" w:rsidRPr="00D46FF0">
        <w:rPr>
          <w:rFonts w:ascii="Garamond" w:hAnsi="Garamond"/>
          <w:lang w:val="en-US"/>
        </w:rPr>
        <w:t>Aguluzuigbo</w:t>
      </w:r>
      <w:proofErr w:type="spellEnd"/>
      <w:r w:rsidR="009D5C80" w:rsidRPr="00D46FF0">
        <w:rPr>
          <w:rFonts w:ascii="Garamond" w:hAnsi="Garamond"/>
          <w:lang w:val="en-US"/>
        </w:rPr>
        <w:t xml:space="preserve">. </w:t>
      </w:r>
      <w:r w:rsidR="00D67876" w:rsidRPr="00D46FF0">
        <w:rPr>
          <w:rFonts w:ascii="Garamond" w:hAnsi="Garamond"/>
          <w:lang w:val="en-US"/>
        </w:rPr>
        <w:t>The meetin</w:t>
      </w:r>
      <w:r w:rsidR="009D5C80" w:rsidRPr="00D46FF0">
        <w:rPr>
          <w:rFonts w:ascii="Garamond" w:hAnsi="Garamond"/>
          <w:lang w:val="en-US"/>
        </w:rPr>
        <w:t>gs were</w:t>
      </w:r>
      <w:r w:rsidR="00D67876" w:rsidRPr="00D46FF0">
        <w:rPr>
          <w:rFonts w:ascii="Garamond" w:hAnsi="Garamond"/>
          <w:lang w:val="en-US"/>
        </w:rPr>
        <w:t xml:space="preserve"> organized according to denominations, and she told the story from the Anglican Communion point of view. But then, she also told the story of how the grand finale was the combined meeting of both Anglican and Catholic women, who prayed together, played together, planned for common projects, and helped the needy together. No other example of synodality would have been more powerful than this. The church in Africa really needs to learn from these women</w:t>
      </w:r>
      <w:r w:rsidR="009D5C80" w:rsidRPr="00D46FF0">
        <w:rPr>
          <w:rFonts w:ascii="Garamond" w:hAnsi="Garamond"/>
          <w:lang w:val="en-US"/>
        </w:rPr>
        <w:t xml:space="preserve"> who have found a way to negotiate their multiple identities or belongings </w:t>
      </w:r>
      <w:r w:rsidR="00DA68C9">
        <w:rPr>
          <w:rFonts w:ascii="Garamond" w:hAnsi="Garamond"/>
          <w:lang w:val="en-US"/>
        </w:rPr>
        <w:t xml:space="preserve">in their common search/maintenance of unity. </w:t>
      </w:r>
    </w:p>
    <w:p w14:paraId="7FE1E69E" w14:textId="77777777" w:rsidR="008C0762" w:rsidRPr="00D46FF0" w:rsidRDefault="008C0762" w:rsidP="00D46FF0">
      <w:pPr>
        <w:jc w:val="both"/>
        <w:rPr>
          <w:rFonts w:ascii="Garamond" w:hAnsi="Garamond"/>
          <w:lang w:val="en-US"/>
        </w:rPr>
      </w:pPr>
    </w:p>
    <w:p w14:paraId="7060BB86" w14:textId="1B1F668B" w:rsidR="00C80A22" w:rsidRDefault="00C80A22" w:rsidP="00D46FF0">
      <w:pPr>
        <w:jc w:val="both"/>
        <w:rPr>
          <w:rFonts w:ascii="Garamond" w:hAnsi="Garamond" w:cstheme="majorHAnsi"/>
          <w:color w:val="000000" w:themeColor="text1"/>
        </w:rPr>
      </w:pPr>
      <w:r w:rsidRPr="00D46FF0">
        <w:rPr>
          <w:rFonts w:ascii="Garamond" w:hAnsi="Garamond"/>
          <w:lang w:val="en-US"/>
        </w:rPr>
        <w:t>From these women we come to learn once again, the meaning and full implications of the ecclesiology of the ‘Family of God’</w:t>
      </w:r>
      <w:r w:rsidRPr="00D46FF0">
        <w:rPr>
          <w:rFonts w:ascii="Garamond" w:hAnsi="Garamond" w:cstheme="majorHAnsi"/>
          <w:color w:val="000000" w:themeColor="text1"/>
        </w:rPr>
        <w:t>.</w:t>
      </w:r>
      <w:r w:rsidRPr="00D46FF0">
        <w:rPr>
          <w:rStyle w:val="FootnoteReference"/>
          <w:rFonts w:ascii="Garamond" w:hAnsi="Garamond" w:cstheme="majorHAnsi"/>
          <w:color w:val="000000" w:themeColor="text1"/>
        </w:rPr>
        <w:footnoteReference w:id="1"/>
      </w:r>
      <w:r w:rsidRPr="00D46FF0">
        <w:rPr>
          <w:rFonts w:ascii="Garamond" w:hAnsi="Garamond" w:cstheme="majorHAnsi"/>
          <w:color w:val="000000" w:themeColor="text1"/>
        </w:rPr>
        <w:t xml:space="preserve"> </w:t>
      </w:r>
      <w:r w:rsidR="00A76E74" w:rsidRPr="00D46FF0">
        <w:rPr>
          <w:rFonts w:ascii="Garamond" w:hAnsi="Garamond" w:cstheme="majorHAnsi"/>
          <w:color w:val="000000" w:themeColor="text1"/>
        </w:rPr>
        <w:t>They demonstrate the communion of interchurch groups and families</w:t>
      </w:r>
      <w:r w:rsidR="00DA68C9">
        <w:rPr>
          <w:rFonts w:ascii="Garamond" w:hAnsi="Garamond" w:cstheme="majorHAnsi"/>
          <w:color w:val="000000" w:themeColor="text1"/>
        </w:rPr>
        <w:t xml:space="preserve">. </w:t>
      </w:r>
      <w:r w:rsidR="00A76E74" w:rsidRPr="00D46FF0">
        <w:rPr>
          <w:rFonts w:ascii="Garamond" w:hAnsi="Garamond" w:cstheme="majorHAnsi"/>
          <w:color w:val="000000" w:themeColor="text1"/>
        </w:rPr>
        <w:t xml:space="preserve">From a </w:t>
      </w:r>
      <w:r w:rsidR="00A76E74" w:rsidRPr="005C3630">
        <w:rPr>
          <w:rFonts w:ascii="Garamond" w:hAnsi="Garamond" w:cstheme="majorHAnsi"/>
          <w:b/>
          <w:bCs/>
          <w:color w:val="000000" w:themeColor="text1"/>
        </w:rPr>
        <w:t>broader perspective</w:t>
      </w:r>
      <w:r w:rsidR="00A76E74" w:rsidRPr="00D46FF0">
        <w:rPr>
          <w:rFonts w:ascii="Garamond" w:hAnsi="Garamond" w:cstheme="majorHAnsi"/>
          <w:color w:val="000000" w:themeColor="text1"/>
        </w:rPr>
        <w:t xml:space="preserve">, these women point us to what the shape of </w:t>
      </w:r>
      <w:r w:rsidR="00A76E74" w:rsidRPr="005C3630">
        <w:rPr>
          <w:rFonts w:ascii="Garamond" w:hAnsi="Garamond" w:cstheme="majorHAnsi"/>
          <w:b/>
          <w:bCs/>
          <w:color w:val="000000" w:themeColor="text1"/>
        </w:rPr>
        <w:t xml:space="preserve">Eucharistic hospitality </w:t>
      </w:r>
      <w:r w:rsidR="00A76E74" w:rsidRPr="00D46FF0">
        <w:rPr>
          <w:rFonts w:ascii="Garamond" w:hAnsi="Garamond" w:cstheme="majorHAnsi"/>
          <w:color w:val="000000" w:themeColor="text1"/>
        </w:rPr>
        <w:t>ought to be.</w:t>
      </w:r>
    </w:p>
    <w:p w14:paraId="2280D524" w14:textId="77777777" w:rsidR="00C773E6" w:rsidRDefault="00C773E6" w:rsidP="00D46FF0">
      <w:pPr>
        <w:jc w:val="both"/>
        <w:rPr>
          <w:rFonts w:ascii="Garamond" w:hAnsi="Garamond" w:cstheme="majorHAnsi"/>
          <w:color w:val="000000" w:themeColor="text1"/>
        </w:rPr>
      </w:pPr>
    </w:p>
    <w:p w14:paraId="435903F8" w14:textId="13A476CF" w:rsidR="00C773E6" w:rsidRPr="00D46FF0" w:rsidRDefault="00C773E6" w:rsidP="00D46FF0">
      <w:pPr>
        <w:jc w:val="both"/>
        <w:rPr>
          <w:rFonts w:ascii="Garamond" w:hAnsi="Garamond"/>
          <w:lang w:val="en-US"/>
        </w:rPr>
      </w:pPr>
      <w:r>
        <w:rPr>
          <w:rFonts w:ascii="Garamond" w:hAnsi="Garamond"/>
        </w:rPr>
        <w:t>I would like to capture the idea of Eucharistic hospitality under</w:t>
      </w:r>
      <w:r w:rsidR="00DA68C9">
        <w:rPr>
          <w:rFonts w:ascii="Garamond" w:hAnsi="Garamond"/>
        </w:rPr>
        <w:t xml:space="preserve"> the notion of</w:t>
      </w:r>
      <w:r w:rsidRPr="00D46FF0">
        <w:rPr>
          <w:rFonts w:ascii="Garamond" w:hAnsi="Garamond"/>
        </w:rPr>
        <w:t xml:space="preserve"> </w:t>
      </w:r>
      <w:r w:rsidRPr="00D46FF0">
        <w:rPr>
          <w:rFonts w:ascii="Garamond" w:hAnsi="Garamond"/>
          <w:i/>
          <w:iCs/>
        </w:rPr>
        <w:t>communicatio in sacris</w:t>
      </w:r>
      <w:r>
        <w:rPr>
          <w:rFonts w:ascii="Garamond" w:hAnsi="Garamond"/>
        </w:rPr>
        <w:t>,</w:t>
      </w:r>
      <w:r w:rsidRPr="00D46FF0">
        <w:rPr>
          <w:rFonts w:ascii="Garamond" w:hAnsi="Garamond"/>
        </w:rPr>
        <w:t xml:space="preserve"> </w:t>
      </w:r>
      <w:r>
        <w:rPr>
          <w:rFonts w:ascii="Garamond" w:hAnsi="Garamond"/>
        </w:rPr>
        <w:t xml:space="preserve">which </w:t>
      </w:r>
      <w:r w:rsidRPr="00D46FF0">
        <w:rPr>
          <w:rFonts w:ascii="Garamond" w:hAnsi="Garamond"/>
        </w:rPr>
        <w:t>is not limited to the reception of Holy Communion but in</w:t>
      </w:r>
      <w:r w:rsidR="00DA68C9">
        <w:rPr>
          <w:rFonts w:ascii="Garamond" w:hAnsi="Garamond"/>
        </w:rPr>
        <w:t>volves</w:t>
      </w:r>
      <w:r w:rsidRPr="00D46FF0">
        <w:rPr>
          <w:rFonts w:ascii="Garamond" w:hAnsi="Garamond"/>
        </w:rPr>
        <w:t xml:space="preserve"> the ‘sharing of everything sacred’</w:t>
      </w:r>
      <w:r>
        <w:rPr>
          <w:rFonts w:ascii="Garamond" w:hAnsi="Garamond"/>
        </w:rPr>
        <w:t>,</w:t>
      </w:r>
      <w:r w:rsidR="00DA68C9">
        <w:rPr>
          <w:rFonts w:ascii="Garamond" w:hAnsi="Garamond"/>
        </w:rPr>
        <w:t xml:space="preserve"> that is,</w:t>
      </w:r>
      <w:r>
        <w:rPr>
          <w:rFonts w:ascii="Garamond" w:hAnsi="Garamond"/>
        </w:rPr>
        <w:t xml:space="preserve"> the praxis of common worship. According to UR 8, “</w:t>
      </w:r>
      <w:r w:rsidRPr="00A72C81">
        <w:rPr>
          <w:rFonts w:ascii="Garamond" w:hAnsi="Garamond"/>
        </w:rPr>
        <w:t xml:space="preserve">There are two main principles governing the practice of such common worship: first, the bearing witness to the </w:t>
      </w:r>
      <w:r w:rsidRPr="00BD4B9F">
        <w:rPr>
          <w:rFonts w:ascii="Garamond" w:hAnsi="Garamond"/>
          <w:b/>
          <w:bCs/>
        </w:rPr>
        <w:t>unity of the Church</w:t>
      </w:r>
      <w:r w:rsidRPr="00A72C81">
        <w:rPr>
          <w:rFonts w:ascii="Garamond" w:hAnsi="Garamond"/>
        </w:rPr>
        <w:t xml:space="preserve">, and second, the </w:t>
      </w:r>
      <w:r w:rsidRPr="00BD4B9F">
        <w:rPr>
          <w:rFonts w:ascii="Garamond" w:hAnsi="Garamond"/>
          <w:b/>
          <w:bCs/>
        </w:rPr>
        <w:t>sharing in the means of grace</w:t>
      </w:r>
      <w:r w:rsidRPr="00A72C81">
        <w:rPr>
          <w:rFonts w:ascii="Garamond" w:hAnsi="Garamond"/>
        </w:rPr>
        <w:t>.</w:t>
      </w:r>
      <w:r>
        <w:rPr>
          <w:rFonts w:ascii="Garamond" w:hAnsi="Garamond"/>
        </w:rPr>
        <w:t xml:space="preserve">” </w:t>
      </w:r>
      <w:r w:rsidR="00DA68C9">
        <w:rPr>
          <w:rFonts w:ascii="Garamond" w:hAnsi="Garamond"/>
        </w:rPr>
        <w:t>Beside the Eucharist, t</w:t>
      </w:r>
      <w:r>
        <w:rPr>
          <w:rFonts w:ascii="Garamond" w:hAnsi="Garamond"/>
        </w:rPr>
        <w:t>his would also translate to</w:t>
      </w:r>
      <w:r>
        <w:rPr>
          <w:rFonts w:ascii="Garamond" w:hAnsi="Garamond"/>
        </w:rPr>
        <w:t xml:space="preserve"> pray</w:t>
      </w:r>
      <w:r>
        <w:rPr>
          <w:rFonts w:ascii="Garamond" w:hAnsi="Garamond"/>
        </w:rPr>
        <w:t>ing</w:t>
      </w:r>
      <w:r>
        <w:rPr>
          <w:rFonts w:ascii="Garamond" w:hAnsi="Garamond"/>
        </w:rPr>
        <w:t xml:space="preserve"> together, jointly shar</w:t>
      </w:r>
      <w:r>
        <w:rPr>
          <w:rFonts w:ascii="Garamond" w:hAnsi="Garamond"/>
        </w:rPr>
        <w:t>ing</w:t>
      </w:r>
      <w:r>
        <w:rPr>
          <w:rFonts w:ascii="Garamond" w:hAnsi="Garamond"/>
        </w:rPr>
        <w:t xml:space="preserve"> the Word, si</w:t>
      </w:r>
      <w:r>
        <w:rPr>
          <w:rFonts w:ascii="Garamond" w:hAnsi="Garamond"/>
        </w:rPr>
        <w:t>n</w:t>
      </w:r>
      <w:r>
        <w:rPr>
          <w:rFonts w:ascii="Garamond" w:hAnsi="Garamond"/>
        </w:rPr>
        <w:t>ging the psalms and hymns together, do</w:t>
      </w:r>
      <w:r>
        <w:rPr>
          <w:rFonts w:ascii="Garamond" w:hAnsi="Garamond"/>
        </w:rPr>
        <w:t>ing</w:t>
      </w:r>
      <w:r>
        <w:rPr>
          <w:rFonts w:ascii="Garamond" w:hAnsi="Garamond"/>
        </w:rPr>
        <w:t xml:space="preserve"> corporal works of mercy together, fight</w:t>
      </w:r>
      <w:r>
        <w:rPr>
          <w:rFonts w:ascii="Garamond" w:hAnsi="Garamond"/>
        </w:rPr>
        <w:t>ing</w:t>
      </w:r>
      <w:r>
        <w:rPr>
          <w:rFonts w:ascii="Garamond" w:hAnsi="Garamond"/>
        </w:rPr>
        <w:t xml:space="preserve"> for justice together, etc.</w:t>
      </w:r>
    </w:p>
    <w:p w14:paraId="0AC24021" w14:textId="77777777" w:rsidR="00C80A22" w:rsidRPr="00D46FF0" w:rsidRDefault="00C80A22" w:rsidP="00D46FF0">
      <w:pPr>
        <w:jc w:val="both"/>
        <w:rPr>
          <w:rFonts w:ascii="Garamond" w:hAnsi="Garamond"/>
          <w:lang w:val="en-US"/>
        </w:rPr>
      </w:pPr>
    </w:p>
    <w:p w14:paraId="15CEB2A3" w14:textId="71B5CDAC" w:rsidR="000620CA" w:rsidRPr="00D46FF0" w:rsidRDefault="0073354E" w:rsidP="00D46FF0">
      <w:pPr>
        <w:jc w:val="both"/>
        <w:rPr>
          <w:rFonts w:ascii="Garamond" w:hAnsi="Garamond"/>
          <w:b/>
          <w:bCs/>
        </w:rPr>
      </w:pPr>
      <w:r>
        <w:rPr>
          <w:rFonts w:ascii="Garamond" w:hAnsi="Garamond"/>
          <w:b/>
          <w:bCs/>
        </w:rPr>
        <w:t>But then, w</w:t>
      </w:r>
      <w:r w:rsidR="009D5C80" w:rsidRPr="00D46FF0">
        <w:rPr>
          <w:rFonts w:ascii="Garamond" w:hAnsi="Garamond"/>
          <w:b/>
          <w:bCs/>
        </w:rPr>
        <w:t>hat does t</w:t>
      </w:r>
      <w:r w:rsidR="000620CA" w:rsidRPr="00D46FF0">
        <w:rPr>
          <w:rFonts w:ascii="Garamond" w:hAnsi="Garamond"/>
          <w:b/>
          <w:bCs/>
        </w:rPr>
        <w:t>h</w:t>
      </w:r>
      <w:r w:rsidR="00C80A22" w:rsidRPr="00D46FF0">
        <w:rPr>
          <w:rFonts w:ascii="Garamond" w:hAnsi="Garamond"/>
          <w:b/>
          <w:bCs/>
        </w:rPr>
        <w:t>is moment of synodality</w:t>
      </w:r>
      <w:r w:rsidR="000620CA" w:rsidRPr="00D46FF0">
        <w:rPr>
          <w:rFonts w:ascii="Garamond" w:hAnsi="Garamond"/>
          <w:b/>
          <w:bCs/>
        </w:rPr>
        <w:t xml:space="preserve"> </w:t>
      </w:r>
      <w:r w:rsidR="009D5C80" w:rsidRPr="00D46FF0">
        <w:rPr>
          <w:rFonts w:ascii="Garamond" w:hAnsi="Garamond"/>
          <w:b/>
          <w:bCs/>
        </w:rPr>
        <w:t>offer us as Africans</w:t>
      </w:r>
      <w:r>
        <w:rPr>
          <w:rFonts w:ascii="Garamond" w:hAnsi="Garamond"/>
          <w:b/>
          <w:bCs/>
        </w:rPr>
        <w:t xml:space="preserve"> when it comes to Eucharistic hospitality</w:t>
      </w:r>
      <w:r w:rsidR="009D5C80" w:rsidRPr="00D46FF0">
        <w:rPr>
          <w:rFonts w:ascii="Garamond" w:hAnsi="Garamond"/>
          <w:b/>
          <w:bCs/>
        </w:rPr>
        <w:t>?</w:t>
      </w:r>
    </w:p>
    <w:p w14:paraId="35A7DC00" w14:textId="77777777" w:rsidR="000620CA" w:rsidRPr="00D46FF0" w:rsidRDefault="000620CA" w:rsidP="00D46FF0">
      <w:pPr>
        <w:jc w:val="both"/>
        <w:rPr>
          <w:rFonts w:ascii="Garamond" w:hAnsi="Garamond"/>
        </w:rPr>
      </w:pPr>
    </w:p>
    <w:p w14:paraId="7B9B4A78" w14:textId="440B593D" w:rsidR="00C80A22" w:rsidRPr="00D46FF0" w:rsidRDefault="00C80A22" w:rsidP="00D46FF0">
      <w:pPr>
        <w:ind w:left="284" w:hanging="284"/>
        <w:jc w:val="both"/>
        <w:rPr>
          <w:rFonts w:ascii="Garamond" w:hAnsi="Garamond"/>
        </w:rPr>
      </w:pPr>
      <w:r w:rsidRPr="00D46FF0">
        <w:rPr>
          <w:rFonts w:ascii="Garamond" w:hAnsi="Garamond"/>
        </w:rPr>
        <w:t>I would like to attempt few lessons.</w:t>
      </w:r>
    </w:p>
    <w:p w14:paraId="32A05671" w14:textId="77777777" w:rsidR="000620CA" w:rsidRPr="00D46FF0" w:rsidRDefault="000620CA" w:rsidP="00D46FF0">
      <w:pPr>
        <w:ind w:left="284" w:hanging="284"/>
        <w:jc w:val="both"/>
        <w:rPr>
          <w:rFonts w:ascii="Garamond" w:hAnsi="Garamond"/>
        </w:rPr>
      </w:pPr>
    </w:p>
    <w:p w14:paraId="36391CF5" w14:textId="151F2D5A" w:rsidR="00087A87" w:rsidRPr="00D46FF0" w:rsidRDefault="00C80A22" w:rsidP="00D46FF0">
      <w:pPr>
        <w:jc w:val="both"/>
        <w:rPr>
          <w:rFonts w:ascii="Garamond" w:hAnsi="Garamond"/>
        </w:rPr>
      </w:pPr>
      <w:r w:rsidRPr="00D46FF0">
        <w:rPr>
          <w:rFonts w:ascii="Garamond" w:hAnsi="Garamond"/>
          <w:i/>
          <w:iCs/>
        </w:rPr>
        <w:lastRenderedPageBreak/>
        <w:t>The first is that it offers us an</w:t>
      </w:r>
      <w:r w:rsidR="000620CA" w:rsidRPr="00D46FF0">
        <w:rPr>
          <w:rFonts w:ascii="Garamond" w:hAnsi="Garamond"/>
        </w:rPr>
        <w:t xml:space="preserve"> </w:t>
      </w:r>
      <w:r w:rsidR="000620CA" w:rsidRPr="00284BE4">
        <w:rPr>
          <w:rFonts w:ascii="Garamond" w:hAnsi="Garamond"/>
          <w:i/>
          <w:iCs/>
        </w:rPr>
        <w:t xml:space="preserve">ecumenical Kairos </w:t>
      </w:r>
      <w:r w:rsidR="00087A87" w:rsidRPr="00284BE4">
        <w:rPr>
          <w:rFonts w:ascii="Garamond" w:hAnsi="Garamond"/>
          <w:i/>
          <w:iCs/>
        </w:rPr>
        <w:t>for Eucharistic hospitality</w:t>
      </w:r>
      <w:r w:rsidR="00087A87" w:rsidRPr="00D46FF0">
        <w:rPr>
          <w:rFonts w:ascii="Garamond" w:hAnsi="Garamond"/>
        </w:rPr>
        <w:t xml:space="preserve">. Recall that on 30 September 2023, the eve of the First Session of the Synod, an ecumenical vigil was held and in line with that, the Synthesis Report described this epoch as an ‘ecumenical kairos.’ In the light of the </w:t>
      </w:r>
      <w:r w:rsidR="000620CA" w:rsidRPr="00D46FF0">
        <w:rPr>
          <w:rFonts w:ascii="Garamond" w:hAnsi="Garamond"/>
        </w:rPr>
        <w:t>consistent African theological denunciation of the idea of denominationalism as an inherited, and so, an artificially created form of ecclesial division</w:t>
      </w:r>
      <w:r w:rsidR="00087A87" w:rsidRPr="00D46FF0">
        <w:rPr>
          <w:rFonts w:ascii="Garamond" w:hAnsi="Garamond"/>
        </w:rPr>
        <w:t xml:space="preserve">, it </w:t>
      </w:r>
      <w:r w:rsidR="0073354E">
        <w:rPr>
          <w:rFonts w:ascii="Garamond" w:hAnsi="Garamond"/>
        </w:rPr>
        <w:t>is quite</w:t>
      </w:r>
      <w:r w:rsidR="00087A87" w:rsidRPr="00D46FF0">
        <w:rPr>
          <w:rFonts w:ascii="Garamond" w:hAnsi="Garamond"/>
        </w:rPr>
        <w:t xml:space="preserve"> clear that we now have the opportunity to demonstrate in action what true hospitality is</w:t>
      </w:r>
      <w:r w:rsidR="0073354E">
        <w:rPr>
          <w:rFonts w:ascii="Garamond" w:hAnsi="Garamond"/>
        </w:rPr>
        <w:t>.</w:t>
      </w:r>
      <w:r w:rsidR="000620CA" w:rsidRPr="00D46FF0">
        <w:rPr>
          <w:rFonts w:ascii="Garamond" w:hAnsi="Garamond"/>
        </w:rPr>
        <w:t xml:space="preserve"> </w:t>
      </w:r>
      <w:r w:rsidR="00087A87" w:rsidRPr="00D46FF0">
        <w:rPr>
          <w:rFonts w:ascii="Garamond" w:hAnsi="Garamond"/>
        </w:rPr>
        <w:t xml:space="preserve">There is always the tendency to reduce Eucharistic hospitality to the an </w:t>
      </w:r>
      <w:r w:rsidR="004F7E54" w:rsidRPr="00D46FF0">
        <w:rPr>
          <w:rFonts w:ascii="Garamond" w:hAnsi="Garamond"/>
        </w:rPr>
        <w:t>‘open table’, namely the common reception of the Eucharist, but it is important to approach it broadly. In that sense, a Christian hospitality is a Eucharistic hospitality (in a sense), and by the same argument, an African Christian hospitality is a Eucharistic ho</w:t>
      </w:r>
      <w:r w:rsidR="0073354E">
        <w:rPr>
          <w:rFonts w:ascii="Garamond" w:hAnsi="Garamond"/>
        </w:rPr>
        <w:t>s</w:t>
      </w:r>
      <w:r w:rsidR="004F7E54" w:rsidRPr="00D46FF0">
        <w:rPr>
          <w:rFonts w:ascii="Garamond" w:hAnsi="Garamond"/>
        </w:rPr>
        <w:t xml:space="preserve">pitality. To consider this as the starting point of ecumenical Eucharistic hospitality gives room for the African claim </w:t>
      </w:r>
      <w:r w:rsidR="0073354E">
        <w:rPr>
          <w:rFonts w:ascii="Garamond" w:hAnsi="Garamond"/>
        </w:rPr>
        <w:t>of being</w:t>
      </w:r>
      <w:r w:rsidR="004F7E54" w:rsidRPr="00D46FF0">
        <w:rPr>
          <w:rFonts w:ascii="Garamond" w:hAnsi="Garamond"/>
        </w:rPr>
        <w:t xml:space="preserve"> champions of hospitality.</w:t>
      </w:r>
    </w:p>
    <w:p w14:paraId="74E57629" w14:textId="77777777" w:rsidR="000620CA" w:rsidRPr="00D46FF0" w:rsidRDefault="000620CA" w:rsidP="00D46FF0">
      <w:pPr>
        <w:jc w:val="both"/>
        <w:rPr>
          <w:rFonts w:ascii="Garamond" w:hAnsi="Garamond"/>
        </w:rPr>
      </w:pPr>
    </w:p>
    <w:p w14:paraId="44F1AC91" w14:textId="05EE11B1" w:rsidR="001879EC" w:rsidRPr="00D46FF0" w:rsidRDefault="00C80A22" w:rsidP="00D46FF0">
      <w:pPr>
        <w:jc w:val="both"/>
        <w:rPr>
          <w:rFonts w:ascii="Garamond" w:hAnsi="Garamond"/>
        </w:rPr>
      </w:pPr>
      <w:r w:rsidRPr="00D46FF0">
        <w:rPr>
          <w:rFonts w:ascii="Garamond" w:hAnsi="Garamond"/>
          <w:i/>
          <w:iCs/>
        </w:rPr>
        <w:t>The second is that it offers us the opportunity to relearn t</w:t>
      </w:r>
      <w:r w:rsidR="000620CA" w:rsidRPr="00D46FF0">
        <w:rPr>
          <w:rFonts w:ascii="Garamond" w:hAnsi="Garamond"/>
          <w:i/>
          <w:iCs/>
        </w:rPr>
        <w:t>he place of baptism</w:t>
      </w:r>
      <w:r w:rsidRPr="00D46FF0">
        <w:rPr>
          <w:rFonts w:ascii="Garamond" w:hAnsi="Garamond"/>
          <w:i/>
          <w:iCs/>
        </w:rPr>
        <w:t xml:space="preserve"> in African Christianity</w:t>
      </w:r>
      <w:r w:rsidR="00C773E6">
        <w:rPr>
          <w:rFonts w:ascii="Garamond" w:hAnsi="Garamond"/>
          <w:i/>
          <w:iCs/>
        </w:rPr>
        <w:t>.</w:t>
      </w:r>
      <w:r w:rsidR="000620CA" w:rsidRPr="00D46FF0">
        <w:rPr>
          <w:rFonts w:ascii="Garamond" w:hAnsi="Garamond"/>
          <w:i/>
          <w:iCs/>
        </w:rPr>
        <w:t xml:space="preserve"> </w:t>
      </w:r>
      <w:r w:rsidR="000620CA" w:rsidRPr="00D46FF0">
        <w:rPr>
          <w:rFonts w:ascii="Garamond" w:hAnsi="Garamond"/>
        </w:rPr>
        <w:t xml:space="preserve">To </w:t>
      </w:r>
      <w:r w:rsidR="004F7E54" w:rsidRPr="00D46FF0">
        <w:rPr>
          <w:rFonts w:ascii="Garamond" w:hAnsi="Garamond"/>
        </w:rPr>
        <w:t>facilitate Eucharistic hospitality</w:t>
      </w:r>
      <w:r w:rsidR="000620CA" w:rsidRPr="00D46FF0">
        <w:rPr>
          <w:rFonts w:ascii="Garamond" w:hAnsi="Garamond"/>
        </w:rPr>
        <w:t xml:space="preserve">, it is not clear whether </w:t>
      </w:r>
      <w:r w:rsidR="004F7E54" w:rsidRPr="00D46FF0">
        <w:rPr>
          <w:rFonts w:ascii="Garamond" w:hAnsi="Garamond"/>
        </w:rPr>
        <w:t>we</w:t>
      </w:r>
      <w:r w:rsidR="000620CA" w:rsidRPr="00D46FF0">
        <w:rPr>
          <w:rFonts w:ascii="Garamond" w:hAnsi="Garamond"/>
        </w:rPr>
        <w:t xml:space="preserve"> should take baptism as the only starting point for ecumenical recognition, cooperation and unity. This is not a relativization of baptism but a recognition that the African identity is ontological</w:t>
      </w:r>
      <w:r w:rsidR="0073354E">
        <w:rPr>
          <w:rFonts w:ascii="Garamond" w:hAnsi="Garamond"/>
        </w:rPr>
        <w:t>ly</w:t>
      </w:r>
      <w:r w:rsidR="000620CA" w:rsidRPr="00D46FF0">
        <w:rPr>
          <w:rFonts w:ascii="Garamond" w:hAnsi="Garamond"/>
        </w:rPr>
        <w:t xml:space="preserve"> prior to the experience of baptism. In Africa, communities are primarily held together by blood ties and ancestral relations that keep a person rooted within a family. Baptism therefore does not confer an identity that severs one’s bonds with others in this familial bond, that we experience in the fundamentalist notion of born-againism or denominationalism. Instead of creating a gulf between the saved and the damned, baptism rather transforms the recipient, while purifying and deepening the prior familiar bonds with others.  </w:t>
      </w:r>
    </w:p>
    <w:p w14:paraId="4427534B" w14:textId="77777777" w:rsidR="001879EC" w:rsidRPr="00D46FF0" w:rsidRDefault="001879EC" w:rsidP="00D46FF0">
      <w:pPr>
        <w:jc w:val="both"/>
        <w:rPr>
          <w:rFonts w:ascii="Garamond" w:hAnsi="Garamond"/>
        </w:rPr>
      </w:pPr>
    </w:p>
    <w:p w14:paraId="21F2F10B" w14:textId="6A46BA34" w:rsidR="000620CA" w:rsidRPr="00D46FF0" w:rsidRDefault="001879EC" w:rsidP="00D46FF0">
      <w:pPr>
        <w:jc w:val="both"/>
        <w:rPr>
          <w:rFonts w:ascii="Garamond" w:hAnsi="Garamond"/>
          <w:i/>
          <w:iCs/>
        </w:rPr>
      </w:pPr>
      <w:r w:rsidRPr="00D46FF0">
        <w:rPr>
          <w:rFonts w:ascii="Garamond" w:hAnsi="Garamond"/>
        </w:rPr>
        <w:t>*</w:t>
      </w:r>
      <w:r w:rsidR="004F7E54" w:rsidRPr="00D46FF0">
        <w:rPr>
          <w:rFonts w:ascii="Garamond" w:hAnsi="Garamond"/>
        </w:rPr>
        <w:t>Understanding this bond makes easy the praxis of</w:t>
      </w:r>
      <w:r w:rsidRPr="00D46FF0">
        <w:rPr>
          <w:rFonts w:ascii="Garamond" w:hAnsi="Garamond" w:cstheme="majorHAnsi"/>
          <w:color w:val="000000" w:themeColor="text1"/>
        </w:rPr>
        <w:t xml:space="preserve"> Eucharistic hospitality (</w:t>
      </w:r>
      <w:r w:rsidRPr="00D46FF0">
        <w:rPr>
          <w:rFonts w:ascii="Garamond" w:hAnsi="Garamond" w:cstheme="majorHAnsi"/>
          <w:i/>
          <w:iCs/>
          <w:color w:val="000000" w:themeColor="text1"/>
        </w:rPr>
        <w:t>Communicatio in sacris</w:t>
      </w:r>
      <w:r w:rsidRPr="00D46FF0">
        <w:rPr>
          <w:rFonts w:ascii="Garamond" w:hAnsi="Garamond" w:cstheme="majorHAnsi"/>
          <w:color w:val="000000" w:themeColor="text1"/>
        </w:rPr>
        <w:t xml:space="preserve">) from the point of view of African ecclesiology. However, a situation where non-Catholics are informed that ‘the Holy Communion is only for Catholics who have prepared themselves and are in the state of grace’, as if often the case in Nigeria, does not indicate an openness towards Eucharistic hospitality. </w:t>
      </w:r>
      <w:r w:rsidR="00B22FD2" w:rsidRPr="00D46FF0">
        <w:rPr>
          <w:rFonts w:ascii="Garamond" w:hAnsi="Garamond" w:cstheme="majorHAnsi"/>
          <w:color w:val="000000" w:themeColor="text1"/>
        </w:rPr>
        <w:t>We now have ‘Eucharistic gatekeepers’ whose job is to monitor those who are either worthy or unworthy to receive the Lord, and who get so angry if a non-Catholic ‘mistakenly’ receives the Lord as</w:t>
      </w:r>
      <w:r w:rsidR="0073354E">
        <w:rPr>
          <w:rFonts w:ascii="Garamond" w:hAnsi="Garamond" w:cstheme="majorHAnsi"/>
          <w:color w:val="000000" w:themeColor="text1"/>
        </w:rPr>
        <w:t xml:space="preserve"> if</w:t>
      </w:r>
      <w:r w:rsidR="00B22FD2" w:rsidRPr="00D46FF0">
        <w:rPr>
          <w:rFonts w:ascii="Garamond" w:hAnsi="Garamond" w:cstheme="majorHAnsi"/>
          <w:color w:val="000000" w:themeColor="text1"/>
        </w:rPr>
        <w:t xml:space="preserve"> we have the power to determine who Christ should enter into or not. The latest case of the priest of the archdiocese of Calabar who denied a dying woman the Eucharist at the hospital few weeks ago is</w:t>
      </w:r>
      <w:r w:rsidR="0073354E">
        <w:rPr>
          <w:rFonts w:ascii="Garamond" w:hAnsi="Garamond" w:cstheme="majorHAnsi"/>
          <w:color w:val="000000" w:themeColor="text1"/>
        </w:rPr>
        <w:t xml:space="preserve"> a</w:t>
      </w:r>
      <w:r w:rsidR="00B22FD2" w:rsidRPr="00D46FF0">
        <w:rPr>
          <w:rFonts w:ascii="Garamond" w:hAnsi="Garamond" w:cstheme="majorHAnsi"/>
          <w:color w:val="000000" w:themeColor="text1"/>
        </w:rPr>
        <w:t xml:space="preserve"> sad </w:t>
      </w:r>
      <w:r w:rsidR="00D46FF0" w:rsidRPr="00D46FF0">
        <w:rPr>
          <w:rFonts w:ascii="Garamond" w:hAnsi="Garamond" w:cstheme="majorHAnsi"/>
          <w:color w:val="000000" w:themeColor="text1"/>
        </w:rPr>
        <w:t>commentary on Eucharistic gatekeepers.</w:t>
      </w:r>
      <w:r w:rsidR="00B22FD2" w:rsidRPr="00D46FF0">
        <w:rPr>
          <w:rFonts w:ascii="Garamond" w:hAnsi="Garamond" w:cstheme="majorHAnsi"/>
          <w:color w:val="000000" w:themeColor="text1"/>
        </w:rPr>
        <w:t xml:space="preserve"> Sometimes, what is revealed behind the agitation for the </w:t>
      </w:r>
      <w:r w:rsidR="00D46FF0" w:rsidRPr="00D46FF0">
        <w:rPr>
          <w:rFonts w:ascii="Garamond" w:hAnsi="Garamond" w:cstheme="majorHAnsi"/>
          <w:color w:val="000000" w:themeColor="text1"/>
        </w:rPr>
        <w:t>‘</w:t>
      </w:r>
      <w:r w:rsidR="00B22FD2" w:rsidRPr="00D46FF0">
        <w:rPr>
          <w:rFonts w:ascii="Garamond" w:hAnsi="Garamond" w:cstheme="majorHAnsi"/>
          <w:color w:val="000000" w:themeColor="text1"/>
        </w:rPr>
        <w:t>sacrality</w:t>
      </w:r>
      <w:r w:rsidR="00D46FF0" w:rsidRPr="00D46FF0">
        <w:rPr>
          <w:rFonts w:ascii="Garamond" w:hAnsi="Garamond" w:cstheme="majorHAnsi"/>
          <w:color w:val="000000" w:themeColor="text1"/>
        </w:rPr>
        <w:t>’</w:t>
      </w:r>
      <w:r w:rsidR="00B22FD2" w:rsidRPr="00D46FF0">
        <w:rPr>
          <w:rFonts w:ascii="Garamond" w:hAnsi="Garamond" w:cstheme="majorHAnsi"/>
          <w:color w:val="000000" w:themeColor="text1"/>
        </w:rPr>
        <w:t xml:space="preserve"> of the </w:t>
      </w:r>
      <w:r w:rsidR="00D46FF0" w:rsidRPr="00D46FF0">
        <w:rPr>
          <w:rFonts w:ascii="Garamond" w:hAnsi="Garamond" w:cstheme="majorHAnsi"/>
          <w:color w:val="000000" w:themeColor="text1"/>
        </w:rPr>
        <w:t>Holy C</w:t>
      </w:r>
      <w:r w:rsidR="00B22FD2" w:rsidRPr="00D46FF0">
        <w:rPr>
          <w:rFonts w:ascii="Garamond" w:hAnsi="Garamond" w:cstheme="majorHAnsi"/>
          <w:color w:val="000000" w:themeColor="text1"/>
        </w:rPr>
        <w:t>ommunion is the non-recognition of the struggles of the First Communion catech</w:t>
      </w:r>
      <w:r w:rsidR="0073354E">
        <w:rPr>
          <w:rFonts w:ascii="Garamond" w:hAnsi="Garamond" w:cstheme="majorHAnsi"/>
          <w:color w:val="000000" w:themeColor="text1"/>
        </w:rPr>
        <w:t>et</w:t>
      </w:r>
      <w:r w:rsidR="00B22FD2" w:rsidRPr="00D46FF0">
        <w:rPr>
          <w:rFonts w:ascii="Garamond" w:hAnsi="Garamond" w:cstheme="majorHAnsi"/>
          <w:color w:val="000000" w:themeColor="text1"/>
        </w:rPr>
        <w:t>ical classes.</w:t>
      </w:r>
      <w:r w:rsidRPr="00D46FF0">
        <w:rPr>
          <w:rFonts w:ascii="Garamond" w:hAnsi="Garamond" w:cstheme="majorHAnsi"/>
          <w:color w:val="000000" w:themeColor="text1"/>
        </w:rPr>
        <w:t xml:space="preserve"> </w:t>
      </w:r>
      <w:r w:rsidR="00D46FF0" w:rsidRPr="00D46FF0">
        <w:rPr>
          <w:rFonts w:ascii="Garamond" w:hAnsi="Garamond" w:cstheme="majorHAnsi"/>
          <w:color w:val="000000" w:themeColor="text1"/>
        </w:rPr>
        <w:t>Of course we are aware that the</w:t>
      </w:r>
      <w:r w:rsidRPr="00D46FF0">
        <w:rPr>
          <w:rFonts w:ascii="Garamond" w:hAnsi="Garamond" w:cstheme="majorHAnsi"/>
          <w:color w:val="000000" w:themeColor="text1"/>
        </w:rPr>
        <w:t xml:space="preserve"> dialogue on the Eucharist is </w:t>
      </w:r>
      <w:r w:rsidR="00D46FF0" w:rsidRPr="00D46FF0">
        <w:rPr>
          <w:rFonts w:ascii="Garamond" w:hAnsi="Garamond" w:cstheme="majorHAnsi"/>
          <w:color w:val="000000" w:themeColor="text1"/>
        </w:rPr>
        <w:t xml:space="preserve">still </w:t>
      </w:r>
      <w:r w:rsidRPr="00D46FF0">
        <w:rPr>
          <w:rFonts w:ascii="Garamond" w:hAnsi="Garamond" w:cstheme="majorHAnsi"/>
          <w:color w:val="000000" w:themeColor="text1"/>
        </w:rPr>
        <w:t xml:space="preserve">ongoing, </w:t>
      </w:r>
      <w:r w:rsidR="00D46FF0" w:rsidRPr="00D46FF0">
        <w:rPr>
          <w:rFonts w:ascii="Garamond" w:hAnsi="Garamond" w:cstheme="majorHAnsi"/>
          <w:color w:val="000000" w:themeColor="text1"/>
        </w:rPr>
        <w:t>but then</w:t>
      </w:r>
      <w:r w:rsidRPr="00D46FF0">
        <w:rPr>
          <w:rFonts w:ascii="Garamond" w:hAnsi="Garamond" w:cstheme="majorHAnsi"/>
          <w:color w:val="000000" w:themeColor="text1"/>
        </w:rPr>
        <w:t xml:space="preserve"> fellow Christians who freely join us in the Eucharistic celebration must not be made to feel like total strangers.</w:t>
      </w:r>
    </w:p>
    <w:p w14:paraId="0015E6ED" w14:textId="77777777" w:rsidR="000620CA" w:rsidRPr="00D46FF0" w:rsidRDefault="000620CA" w:rsidP="00D46FF0">
      <w:pPr>
        <w:ind w:left="284" w:hanging="284"/>
        <w:jc w:val="both"/>
        <w:rPr>
          <w:rFonts w:ascii="Garamond" w:hAnsi="Garamond"/>
        </w:rPr>
      </w:pPr>
    </w:p>
    <w:p w14:paraId="6348C0DA" w14:textId="1D43AF9E" w:rsidR="000620CA" w:rsidRPr="00D46FF0" w:rsidRDefault="001879EC" w:rsidP="00D46FF0">
      <w:pPr>
        <w:jc w:val="both"/>
        <w:rPr>
          <w:rFonts w:ascii="Garamond" w:hAnsi="Garamond"/>
          <w:i/>
          <w:iCs/>
        </w:rPr>
      </w:pPr>
      <w:r w:rsidRPr="00D46FF0">
        <w:rPr>
          <w:rFonts w:ascii="Garamond" w:hAnsi="Garamond"/>
          <w:i/>
          <w:iCs/>
        </w:rPr>
        <w:t>Third, it presents before us as Africans the challenge to practice</w:t>
      </w:r>
      <w:r w:rsidR="000620CA" w:rsidRPr="00D46FF0">
        <w:rPr>
          <w:rFonts w:ascii="Garamond" w:hAnsi="Garamond"/>
          <w:i/>
          <w:iCs/>
        </w:rPr>
        <w:t xml:space="preserve"> the “ecumenism of blood”</w:t>
      </w:r>
      <w:r w:rsidR="00C773E6">
        <w:rPr>
          <w:rFonts w:ascii="Garamond" w:hAnsi="Garamond"/>
          <w:i/>
          <w:iCs/>
        </w:rPr>
        <w:t>.</w:t>
      </w:r>
      <w:r w:rsidR="000620CA" w:rsidRPr="00D46FF0">
        <w:rPr>
          <w:rFonts w:ascii="Garamond" w:hAnsi="Garamond"/>
          <w:i/>
          <w:iCs/>
        </w:rPr>
        <w:t xml:space="preserve"> </w:t>
      </w:r>
      <w:r w:rsidR="000620CA" w:rsidRPr="00D46FF0">
        <w:rPr>
          <w:rFonts w:ascii="Garamond" w:hAnsi="Garamond"/>
        </w:rPr>
        <w:t>More than in secularized nations where religion privatizes itself or is rather privatized by the requirements of the state, the Christian religion faces a more hideous challenge of persecution in most African states.</w:t>
      </w:r>
      <w:r w:rsidR="000620CA" w:rsidRPr="00D46FF0">
        <w:rPr>
          <w:rStyle w:val="FootnoteReference"/>
          <w:rFonts w:ascii="Garamond" w:hAnsi="Garamond"/>
        </w:rPr>
        <w:footnoteReference w:id="2"/>
      </w:r>
      <w:r w:rsidR="000620CA" w:rsidRPr="00D46FF0">
        <w:rPr>
          <w:rFonts w:ascii="Garamond" w:hAnsi="Garamond"/>
        </w:rPr>
        <w:t xml:space="preserve"> According to Lela Gilbert of the Hudson Institute, 36% of the global persecutors of Christians reside in Africa. Since Christian persecution in Africa is non-discriminatory the ‘ecumenism of blood’ invites Christians to pay </w:t>
      </w:r>
      <w:r w:rsidR="00B22FD2" w:rsidRPr="00D46FF0">
        <w:rPr>
          <w:rFonts w:ascii="Garamond" w:hAnsi="Garamond"/>
        </w:rPr>
        <w:t>attention to the fullest implication of the Eucharist as the ‘body and blood of Christ that is shed for all of us’ – in that sacrifice, we are to lift together our brothers and sisters whose blood have been shed on account of their faith in Christ, irrespective of their denominations. In that sense, initiating</w:t>
      </w:r>
      <w:r w:rsidR="00B22FD2" w:rsidRPr="00D46FF0">
        <w:rPr>
          <w:rFonts w:ascii="Garamond" w:hAnsi="Garamond" w:cstheme="majorHAnsi"/>
          <w:color w:val="000000" w:themeColor="text1"/>
        </w:rPr>
        <w:t xml:space="preserve"> an African ecumenical martyrology in collaboration with other churches chimes with a broad understanding of Eucharistic hospitality.</w:t>
      </w:r>
    </w:p>
    <w:p w14:paraId="791B5238" w14:textId="77777777" w:rsidR="000620CA" w:rsidRPr="00D46FF0" w:rsidRDefault="000620CA" w:rsidP="00D46FF0">
      <w:pPr>
        <w:ind w:left="284" w:hanging="284"/>
        <w:jc w:val="both"/>
        <w:rPr>
          <w:rFonts w:ascii="Garamond" w:hAnsi="Garamond"/>
        </w:rPr>
      </w:pPr>
    </w:p>
    <w:p w14:paraId="282E32D2" w14:textId="60786430" w:rsidR="000620CA" w:rsidRPr="00D46FF0" w:rsidRDefault="001879EC" w:rsidP="00D46FF0">
      <w:pPr>
        <w:jc w:val="both"/>
        <w:rPr>
          <w:rFonts w:ascii="Garamond" w:hAnsi="Garamond"/>
        </w:rPr>
      </w:pPr>
      <w:r w:rsidRPr="00D46FF0">
        <w:rPr>
          <w:rFonts w:ascii="Garamond" w:hAnsi="Garamond"/>
          <w:i/>
          <w:iCs/>
        </w:rPr>
        <w:t xml:space="preserve">Finally, it offers us the chance to </w:t>
      </w:r>
      <w:r w:rsidR="0073354E">
        <w:rPr>
          <w:rFonts w:ascii="Garamond" w:hAnsi="Garamond"/>
          <w:i/>
          <w:iCs/>
        </w:rPr>
        <w:t xml:space="preserve">consider the </w:t>
      </w:r>
      <w:r w:rsidRPr="00D46FF0">
        <w:rPr>
          <w:rFonts w:ascii="Garamond" w:hAnsi="Garamond"/>
          <w:i/>
          <w:iCs/>
        </w:rPr>
        <w:t>proposal of</w:t>
      </w:r>
      <w:r w:rsidR="000620CA" w:rsidRPr="00D46FF0">
        <w:rPr>
          <w:rFonts w:ascii="Garamond" w:hAnsi="Garamond"/>
          <w:i/>
          <w:iCs/>
        </w:rPr>
        <w:t xml:space="preserve"> inter-church marriage</w:t>
      </w:r>
      <w:r w:rsidRPr="00D46FF0">
        <w:rPr>
          <w:rFonts w:ascii="Garamond" w:hAnsi="Garamond"/>
          <w:i/>
          <w:iCs/>
        </w:rPr>
        <w:t xml:space="preserve"> as fertile ground for ecumenical synodality</w:t>
      </w:r>
      <w:r w:rsidR="000620CA" w:rsidRPr="00D46FF0">
        <w:rPr>
          <w:rFonts w:ascii="Garamond" w:hAnsi="Garamond"/>
        </w:rPr>
        <w:t>. In Africa, this is one area of mutual discrimination among African Christians that needs to be addressed.</w:t>
      </w:r>
      <w:r w:rsidR="000620CA" w:rsidRPr="00D46FF0">
        <w:rPr>
          <w:rStyle w:val="FootnoteReference"/>
          <w:rFonts w:ascii="Garamond" w:hAnsi="Garamond"/>
        </w:rPr>
        <w:footnoteReference w:id="3"/>
      </w:r>
      <w:r w:rsidR="000620CA" w:rsidRPr="00D46FF0">
        <w:rPr>
          <w:rFonts w:ascii="Garamond" w:hAnsi="Garamond"/>
        </w:rPr>
        <w:t xml:space="preserve"> There is need to relax the bureaucratic canonical process of obtaining the bishop’s approval for mixed marriages. </w:t>
      </w:r>
      <w:r w:rsidR="00284BE4" w:rsidRPr="00D46FF0">
        <w:rPr>
          <w:rFonts w:ascii="Garamond" w:hAnsi="Garamond" w:cstheme="majorHAnsi"/>
          <w:color w:val="000000" w:themeColor="text1"/>
        </w:rPr>
        <w:t xml:space="preserve">For some pastors, inter-marriage leads to further crisis due to different denominational belongings. </w:t>
      </w:r>
      <w:r w:rsidR="000620CA" w:rsidRPr="00D46FF0">
        <w:rPr>
          <w:rFonts w:ascii="Garamond" w:hAnsi="Garamond"/>
        </w:rPr>
        <w:t xml:space="preserve">Perhaps it is also important to re-enact the Article 14 of </w:t>
      </w:r>
      <w:r w:rsidR="000620CA" w:rsidRPr="00D46FF0">
        <w:rPr>
          <w:rFonts w:ascii="Garamond" w:hAnsi="Garamond"/>
          <w:i/>
          <w:iCs/>
        </w:rPr>
        <w:t>Matrimonium Mixta</w:t>
      </w:r>
      <w:r w:rsidR="000620CA" w:rsidRPr="00D46FF0">
        <w:rPr>
          <w:rFonts w:ascii="Garamond" w:hAnsi="Garamond"/>
        </w:rPr>
        <w:t xml:space="preserve"> that sought to integrate ecumenical goals in inter-church marriages. But beyond the collaboration between the Catholic pastor and the minister of other ecclesial communities is the testimony of the lives of the couples which could be “a living sign of hope that the ecumenical pilgrimage towards greater unity can be fulfilled and a reminder that efforts for Christian unity must always be based on good faith and founded on the strength of God to overcome all difficulties.”</w:t>
      </w:r>
      <w:r w:rsidR="000620CA" w:rsidRPr="00D46FF0">
        <w:rPr>
          <w:rStyle w:val="FootnoteReference"/>
          <w:rFonts w:ascii="Garamond" w:hAnsi="Garamond"/>
        </w:rPr>
        <w:footnoteReference w:id="4"/>
      </w:r>
      <w:r w:rsidR="0048139E">
        <w:rPr>
          <w:rFonts w:ascii="Garamond" w:hAnsi="Garamond"/>
        </w:rPr>
        <w:t xml:space="preserve"> There is also the question of if non-Catholic spouses in mixed marriages could receive the Holy Communion.</w:t>
      </w:r>
    </w:p>
    <w:p w14:paraId="17F6BA74" w14:textId="77777777" w:rsidR="001879EC" w:rsidRPr="00D46FF0" w:rsidRDefault="001879EC" w:rsidP="00D46FF0">
      <w:pPr>
        <w:jc w:val="both"/>
        <w:rPr>
          <w:rFonts w:ascii="Garamond" w:hAnsi="Garamond"/>
        </w:rPr>
      </w:pPr>
    </w:p>
    <w:p w14:paraId="3B53EED1" w14:textId="77777777" w:rsidR="0048139E" w:rsidRDefault="001879EC" w:rsidP="00D46FF0">
      <w:pPr>
        <w:jc w:val="both"/>
        <w:rPr>
          <w:rFonts w:ascii="Garamond" w:hAnsi="Garamond" w:cstheme="majorHAnsi"/>
          <w:color w:val="000000" w:themeColor="text1"/>
        </w:rPr>
      </w:pPr>
      <w:r w:rsidRPr="00D46FF0">
        <w:rPr>
          <w:rFonts w:ascii="Garamond" w:hAnsi="Garamond"/>
        </w:rPr>
        <w:t>*</w:t>
      </w:r>
      <w:r w:rsidRPr="00D46FF0">
        <w:rPr>
          <w:rFonts w:ascii="Garamond" w:hAnsi="Garamond" w:cstheme="majorHAnsi"/>
          <w:color w:val="000000" w:themeColor="text1"/>
        </w:rPr>
        <w:t xml:space="preserve"> Added to </w:t>
      </w:r>
      <w:r w:rsidR="0048139E">
        <w:rPr>
          <w:rFonts w:ascii="Garamond" w:hAnsi="Garamond" w:cstheme="majorHAnsi"/>
          <w:color w:val="000000" w:themeColor="text1"/>
        </w:rPr>
        <w:t>this</w:t>
      </w:r>
      <w:r w:rsidRPr="00D46FF0">
        <w:rPr>
          <w:rFonts w:ascii="Garamond" w:hAnsi="Garamond" w:cstheme="majorHAnsi"/>
          <w:color w:val="000000" w:themeColor="text1"/>
        </w:rPr>
        <w:t xml:space="preserve"> are the </w:t>
      </w:r>
      <w:r w:rsidR="0048139E">
        <w:rPr>
          <w:rFonts w:ascii="Garamond" w:hAnsi="Garamond" w:cstheme="majorHAnsi"/>
          <w:color w:val="000000" w:themeColor="text1"/>
        </w:rPr>
        <w:t>questions of communion for those in</w:t>
      </w:r>
      <w:r w:rsidRPr="00D46FF0">
        <w:rPr>
          <w:rFonts w:ascii="Garamond" w:hAnsi="Garamond" w:cstheme="majorHAnsi"/>
          <w:color w:val="000000" w:themeColor="text1"/>
        </w:rPr>
        <w:t xml:space="preserve"> polygamy, </w:t>
      </w:r>
      <w:r w:rsidR="0048139E">
        <w:rPr>
          <w:rFonts w:ascii="Garamond" w:hAnsi="Garamond" w:cstheme="majorHAnsi"/>
          <w:color w:val="000000" w:themeColor="text1"/>
        </w:rPr>
        <w:t xml:space="preserve">the remarried </w:t>
      </w:r>
      <w:r w:rsidRPr="00D46FF0">
        <w:rPr>
          <w:rFonts w:ascii="Garamond" w:hAnsi="Garamond" w:cstheme="majorHAnsi"/>
          <w:color w:val="000000" w:themeColor="text1"/>
        </w:rPr>
        <w:t xml:space="preserve">and </w:t>
      </w:r>
      <w:r w:rsidR="0048139E">
        <w:rPr>
          <w:rFonts w:ascii="Garamond" w:hAnsi="Garamond" w:cstheme="majorHAnsi"/>
          <w:color w:val="000000" w:themeColor="text1"/>
        </w:rPr>
        <w:t>the divorced</w:t>
      </w:r>
      <w:r w:rsidRPr="00D46FF0">
        <w:rPr>
          <w:rFonts w:ascii="Garamond" w:hAnsi="Garamond" w:cstheme="majorHAnsi"/>
          <w:color w:val="000000" w:themeColor="text1"/>
        </w:rPr>
        <w:t>.</w:t>
      </w:r>
      <w:r w:rsidR="0048139E">
        <w:rPr>
          <w:rFonts w:ascii="Garamond" w:hAnsi="Garamond" w:cstheme="majorHAnsi"/>
          <w:color w:val="000000" w:themeColor="text1"/>
        </w:rPr>
        <w:t xml:space="preserve"> Even unmarried single mothers are prevented from Communion in most places. In a particular diocese, parents of children who married outside the Catholic Church are categorized as ‘manifest sinners’ who are unworthy of Communion. This is one practice that should be condemned outrightly.</w:t>
      </w:r>
      <w:r w:rsidRPr="00D46FF0">
        <w:rPr>
          <w:rFonts w:ascii="Garamond" w:hAnsi="Garamond" w:cstheme="majorHAnsi"/>
          <w:color w:val="000000" w:themeColor="text1"/>
        </w:rPr>
        <w:t xml:space="preserve"> </w:t>
      </w:r>
    </w:p>
    <w:p w14:paraId="427FA4A7" w14:textId="5AF8A11A" w:rsidR="000620CA" w:rsidRPr="00D46FF0" w:rsidRDefault="00DA68C9" w:rsidP="00D46FF0">
      <w:pPr>
        <w:jc w:val="both"/>
        <w:rPr>
          <w:rFonts w:ascii="Garamond" w:hAnsi="Garamond" w:cstheme="majorHAnsi"/>
          <w:color w:val="000000" w:themeColor="text1"/>
        </w:rPr>
      </w:pPr>
      <w:r>
        <w:rPr>
          <w:rFonts w:ascii="Garamond" w:hAnsi="Garamond" w:cstheme="majorHAnsi"/>
          <w:color w:val="000000" w:themeColor="text1"/>
        </w:rPr>
        <w:t>*</w:t>
      </w:r>
      <w:r w:rsidR="0048139E">
        <w:rPr>
          <w:rFonts w:ascii="Garamond" w:hAnsi="Garamond" w:cstheme="majorHAnsi"/>
          <w:color w:val="000000" w:themeColor="text1"/>
        </w:rPr>
        <w:t xml:space="preserve">Of course, </w:t>
      </w:r>
      <w:r w:rsidR="00B22FD2" w:rsidRPr="00D46FF0">
        <w:rPr>
          <w:rFonts w:ascii="Garamond" w:hAnsi="Garamond" w:cstheme="majorHAnsi"/>
          <w:color w:val="000000" w:themeColor="text1"/>
        </w:rPr>
        <w:t>I recognize that</w:t>
      </w:r>
      <w:r w:rsidR="001879EC" w:rsidRPr="00D46FF0">
        <w:rPr>
          <w:rFonts w:ascii="Garamond" w:hAnsi="Garamond" w:cstheme="majorHAnsi"/>
          <w:color w:val="000000" w:themeColor="text1"/>
        </w:rPr>
        <w:t xml:space="preserve"> a certain level of ecumenical conversation and education is necessary for inter-marriages to thrive. And this must necessarily include an interpretation of the </w:t>
      </w:r>
      <w:r w:rsidR="001879EC" w:rsidRPr="00D46FF0">
        <w:rPr>
          <w:rFonts w:ascii="Garamond" w:hAnsi="Garamond" w:cstheme="majorHAnsi"/>
          <w:i/>
          <w:iCs/>
          <w:color w:val="000000" w:themeColor="text1"/>
        </w:rPr>
        <w:t>Familia Dei</w:t>
      </w:r>
      <w:r w:rsidR="001879EC" w:rsidRPr="00D46FF0">
        <w:rPr>
          <w:rFonts w:ascii="Garamond" w:hAnsi="Garamond" w:cstheme="majorHAnsi"/>
          <w:color w:val="000000" w:themeColor="text1"/>
        </w:rPr>
        <w:t xml:space="preserve"> ecclesiology in a manner that captures the complex diversity of a typical African family.</w:t>
      </w:r>
      <w:r w:rsidR="00B22FD2" w:rsidRPr="00D46FF0">
        <w:rPr>
          <w:rFonts w:ascii="Garamond" w:hAnsi="Garamond" w:cstheme="majorHAnsi"/>
          <w:color w:val="000000" w:themeColor="text1"/>
        </w:rPr>
        <w:t xml:space="preserve"> </w:t>
      </w:r>
    </w:p>
    <w:p w14:paraId="35DC7542" w14:textId="77777777" w:rsidR="000620CA" w:rsidRPr="00D46FF0" w:rsidRDefault="000620CA" w:rsidP="00D46FF0">
      <w:pPr>
        <w:jc w:val="both"/>
        <w:rPr>
          <w:rFonts w:ascii="Garamond" w:hAnsi="Garamond" w:cstheme="majorHAnsi"/>
          <w:color w:val="000000" w:themeColor="text1"/>
        </w:rPr>
      </w:pPr>
    </w:p>
    <w:p w14:paraId="658B2F9A" w14:textId="77777777" w:rsidR="000620CA" w:rsidRPr="00D46FF0" w:rsidRDefault="000620CA" w:rsidP="00D46FF0">
      <w:pPr>
        <w:jc w:val="both"/>
        <w:rPr>
          <w:rFonts w:ascii="Garamond" w:hAnsi="Garamond" w:cstheme="majorHAnsi"/>
          <w:color w:val="000000" w:themeColor="text1"/>
        </w:rPr>
      </w:pPr>
    </w:p>
    <w:p w14:paraId="27AE23DA" w14:textId="77777777" w:rsidR="000620CA" w:rsidRPr="00D46FF0" w:rsidRDefault="000620CA" w:rsidP="00D46FF0">
      <w:pPr>
        <w:jc w:val="both"/>
        <w:rPr>
          <w:rFonts w:ascii="Garamond" w:hAnsi="Garamond" w:cstheme="majorHAnsi"/>
          <w:b/>
          <w:bCs/>
          <w:color w:val="000000" w:themeColor="text1"/>
        </w:rPr>
      </w:pPr>
      <w:r w:rsidRPr="00D46FF0">
        <w:rPr>
          <w:rFonts w:ascii="Garamond" w:hAnsi="Garamond" w:cstheme="majorHAnsi"/>
          <w:b/>
          <w:bCs/>
          <w:color w:val="000000" w:themeColor="text1"/>
        </w:rPr>
        <w:t>Conclusion</w:t>
      </w:r>
    </w:p>
    <w:p w14:paraId="5EA2342A" w14:textId="77777777" w:rsidR="000620CA" w:rsidRPr="00D46FF0" w:rsidRDefault="000620CA" w:rsidP="00D46FF0">
      <w:pPr>
        <w:jc w:val="both"/>
        <w:rPr>
          <w:rFonts w:ascii="Garamond" w:hAnsi="Garamond" w:cstheme="majorHAnsi"/>
          <w:color w:val="000000" w:themeColor="text1"/>
        </w:rPr>
      </w:pPr>
    </w:p>
    <w:p w14:paraId="265DE66C" w14:textId="64014153" w:rsidR="000620CA" w:rsidRPr="00D46FF0" w:rsidRDefault="00D46FF0" w:rsidP="00D46FF0">
      <w:pPr>
        <w:jc w:val="both"/>
        <w:rPr>
          <w:rFonts w:ascii="Garamond" w:hAnsi="Garamond"/>
        </w:rPr>
      </w:pPr>
      <w:r w:rsidRPr="00D46FF0">
        <w:rPr>
          <w:rFonts w:ascii="Garamond" w:hAnsi="Garamond"/>
        </w:rPr>
        <w:t>Eucharistic hospitality does not just happen automatically lest we fall into more internal division. It requires a proper catechesis that places our shared humanity and faith at the center. When we start feeling comfrotable in sharing and praying together like the women of Aguluzigbo, then we are already on the road to</w:t>
      </w:r>
      <w:r w:rsidR="00DA68C9">
        <w:rPr>
          <w:rFonts w:ascii="Garamond" w:hAnsi="Garamond"/>
        </w:rPr>
        <w:t xml:space="preserve"> a more profound</w:t>
      </w:r>
      <w:r w:rsidRPr="00D46FF0">
        <w:rPr>
          <w:rFonts w:ascii="Garamond" w:hAnsi="Garamond"/>
        </w:rPr>
        <w:t xml:space="preserve"> Eucharitic hospitality. This Palaver series is one way of driving home this message in the task of building a synodal Church. </w:t>
      </w:r>
    </w:p>
    <w:p w14:paraId="121BED42" w14:textId="77777777" w:rsidR="000620CA" w:rsidRDefault="000620CA" w:rsidP="00D46FF0">
      <w:pPr>
        <w:jc w:val="both"/>
        <w:rPr>
          <w:rFonts w:ascii="Garamond" w:hAnsi="Garamond"/>
          <w:lang w:val="en-US"/>
        </w:rPr>
      </w:pPr>
    </w:p>
    <w:p w14:paraId="6B2E8487" w14:textId="276EA690" w:rsidR="00A72C81" w:rsidRPr="00D46FF0" w:rsidRDefault="00A72C81" w:rsidP="00D46FF0">
      <w:pPr>
        <w:jc w:val="both"/>
        <w:rPr>
          <w:rFonts w:ascii="Garamond" w:hAnsi="Garamond"/>
          <w:lang w:val="en-US"/>
        </w:rPr>
      </w:pPr>
    </w:p>
    <w:sectPr w:rsidR="00A72C81" w:rsidRPr="00D46FF0" w:rsidSect="00D46FF0">
      <w:footerReference w:type="even" r:id="rId7"/>
      <w:footerReference w:type="default" r:id="rId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CC9D91" w14:textId="77777777" w:rsidR="00650554" w:rsidRDefault="00650554" w:rsidP="000620CA">
      <w:r>
        <w:separator/>
      </w:r>
    </w:p>
  </w:endnote>
  <w:endnote w:type="continuationSeparator" w:id="0">
    <w:p w14:paraId="3CF0F15E" w14:textId="77777777" w:rsidR="00650554" w:rsidRDefault="00650554" w:rsidP="00062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2"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827435210"/>
      <w:docPartObj>
        <w:docPartGallery w:val="Page Numbers (Bottom of Page)"/>
        <w:docPartUnique/>
      </w:docPartObj>
    </w:sdtPr>
    <w:sdtContent>
      <w:p w14:paraId="3BF45FF8" w14:textId="4705EE0A" w:rsidR="00D46FF0" w:rsidRDefault="00D46FF0" w:rsidP="00D46FF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575213" w14:textId="77777777" w:rsidR="00D46FF0" w:rsidRDefault="00D46FF0" w:rsidP="00D46FF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Fonts w:ascii="Garamond" w:hAnsi="Garamond"/>
        <w:sz w:val="22"/>
        <w:szCs w:val="22"/>
      </w:rPr>
      <w:id w:val="943731358"/>
      <w:docPartObj>
        <w:docPartGallery w:val="Page Numbers (Bottom of Page)"/>
        <w:docPartUnique/>
      </w:docPartObj>
    </w:sdtPr>
    <w:sdtContent>
      <w:p w14:paraId="6CF9A885" w14:textId="6927B2AB" w:rsidR="00D46FF0" w:rsidRPr="00D46FF0" w:rsidRDefault="00D46FF0" w:rsidP="00D46FF0">
        <w:pPr>
          <w:pStyle w:val="Footer"/>
          <w:framePr w:wrap="none" w:vAnchor="text" w:hAnchor="margin" w:xAlign="right" w:y="1"/>
          <w:rPr>
            <w:rStyle w:val="PageNumber"/>
            <w:rFonts w:ascii="Garamond" w:hAnsi="Garamond"/>
            <w:sz w:val="22"/>
            <w:szCs w:val="22"/>
          </w:rPr>
        </w:pPr>
        <w:r w:rsidRPr="00D46FF0">
          <w:rPr>
            <w:rStyle w:val="PageNumber"/>
            <w:rFonts w:ascii="Garamond" w:hAnsi="Garamond"/>
            <w:sz w:val="22"/>
            <w:szCs w:val="22"/>
          </w:rPr>
          <w:fldChar w:fldCharType="begin"/>
        </w:r>
        <w:r w:rsidRPr="00D46FF0">
          <w:rPr>
            <w:rStyle w:val="PageNumber"/>
            <w:rFonts w:ascii="Garamond" w:hAnsi="Garamond"/>
            <w:sz w:val="22"/>
            <w:szCs w:val="22"/>
          </w:rPr>
          <w:instrText xml:space="preserve"> PAGE </w:instrText>
        </w:r>
        <w:r w:rsidRPr="00D46FF0">
          <w:rPr>
            <w:rStyle w:val="PageNumber"/>
            <w:rFonts w:ascii="Garamond" w:hAnsi="Garamond"/>
            <w:sz w:val="22"/>
            <w:szCs w:val="22"/>
          </w:rPr>
          <w:fldChar w:fldCharType="separate"/>
        </w:r>
        <w:r w:rsidRPr="00D46FF0">
          <w:rPr>
            <w:rStyle w:val="PageNumber"/>
            <w:rFonts w:ascii="Garamond" w:hAnsi="Garamond"/>
            <w:noProof/>
            <w:sz w:val="22"/>
            <w:szCs w:val="22"/>
          </w:rPr>
          <w:t>2</w:t>
        </w:r>
        <w:r w:rsidRPr="00D46FF0">
          <w:rPr>
            <w:rStyle w:val="PageNumber"/>
            <w:rFonts w:ascii="Garamond" w:hAnsi="Garamond"/>
            <w:sz w:val="22"/>
            <w:szCs w:val="22"/>
          </w:rPr>
          <w:fldChar w:fldCharType="end"/>
        </w:r>
      </w:p>
    </w:sdtContent>
  </w:sdt>
  <w:p w14:paraId="43A35B7D" w14:textId="77777777" w:rsidR="00D46FF0" w:rsidRPr="00D46FF0" w:rsidRDefault="00D46FF0" w:rsidP="00D46FF0">
    <w:pPr>
      <w:pStyle w:val="Footer"/>
      <w:ind w:right="360"/>
      <w:rPr>
        <w:rFonts w:ascii="Garamond" w:hAnsi="Garamond"/>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394C41" w14:textId="77777777" w:rsidR="00650554" w:rsidRDefault="00650554" w:rsidP="000620CA">
      <w:r>
        <w:separator/>
      </w:r>
    </w:p>
  </w:footnote>
  <w:footnote w:type="continuationSeparator" w:id="0">
    <w:p w14:paraId="618EB798" w14:textId="77777777" w:rsidR="00650554" w:rsidRDefault="00650554" w:rsidP="000620CA">
      <w:r>
        <w:continuationSeparator/>
      </w:r>
    </w:p>
  </w:footnote>
  <w:footnote w:id="1">
    <w:p w14:paraId="75C15468" w14:textId="089AF260" w:rsidR="00C80A22" w:rsidRPr="00D87AA5" w:rsidRDefault="00C80A22" w:rsidP="00D46FF0">
      <w:pPr>
        <w:pStyle w:val="FootnoteText"/>
        <w:jc w:val="both"/>
        <w:rPr>
          <w:rFonts w:ascii="Garamond" w:hAnsi="Garamond"/>
        </w:rPr>
      </w:pPr>
      <w:r w:rsidRPr="00D87AA5">
        <w:rPr>
          <w:rStyle w:val="FootnoteReference"/>
          <w:rFonts w:ascii="Garamond" w:hAnsi="Garamond"/>
        </w:rPr>
        <w:footnoteRef/>
      </w:r>
      <w:r w:rsidRPr="00D87AA5">
        <w:rPr>
          <w:rFonts w:ascii="Garamond" w:hAnsi="Garamond"/>
        </w:rPr>
        <w:t xml:space="preserve"> </w:t>
      </w:r>
      <w:r w:rsidR="00DA68C9" w:rsidRPr="00DA68C9">
        <w:rPr>
          <w:rFonts w:ascii="Garamond" w:hAnsi="Garamond"/>
          <w:i/>
          <w:iCs/>
        </w:rPr>
        <w:t>Familia Dei</w:t>
      </w:r>
      <w:r w:rsidR="00DA68C9" w:rsidRPr="00D46FF0">
        <w:rPr>
          <w:rFonts w:ascii="Garamond" w:hAnsi="Garamond" w:cstheme="majorHAnsi"/>
          <w:color w:val="000000" w:themeColor="text1"/>
        </w:rPr>
        <w:t xml:space="preserve"> is considered as the African interpretation of the Vatican II’s </w:t>
      </w:r>
      <w:r w:rsidR="00DA68C9" w:rsidRPr="00D46FF0">
        <w:rPr>
          <w:rFonts w:ascii="Garamond" w:hAnsi="Garamond" w:cstheme="majorHAnsi"/>
          <w:i/>
          <w:iCs/>
          <w:color w:val="000000" w:themeColor="text1"/>
        </w:rPr>
        <w:t>communio</w:t>
      </w:r>
      <w:r w:rsidR="00DA68C9" w:rsidRPr="00D46FF0">
        <w:rPr>
          <w:rFonts w:ascii="Garamond" w:hAnsi="Garamond" w:cstheme="majorHAnsi"/>
          <w:color w:val="000000" w:themeColor="text1"/>
        </w:rPr>
        <w:t xml:space="preserve"> ecclesiology</w:t>
      </w:r>
      <w:r w:rsidR="00DA68C9">
        <w:rPr>
          <w:rFonts w:ascii="Garamond" w:hAnsi="Garamond" w:cstheme="majorHAnsi"/>
          <w:color w:val="000000" w:themeColor="text1"/>
        </w:rPr>
        <w:t>. See,</w:t>
      </w:r>
      <w:r w:rsidR="00DA68C9" w:rsidRPr="00D87AA5">
        <w:rPr>
          <w:rFonts w:ascii="Garamond" w:hAnsi="Garamond"/>
        </w:rPr>
        <w:t xml:space="preserve"> </w:t>
      </w:r>
      <w:proofErr w:type="spellStart"/>
      <w:r w:rsidRPr="00D87AA5">
        <w:rPr>
          <w:rFonts w:ascii="Garamond" w:hAnsi="Garamond"/>
        </w:rPr>
        <w:t>Agbokiahnmeghe</w:t>
      </w:r>
      <w:proofErr w:type="spellEnd"/>
      <w:r w:rsidRPr="00D87AA5">
        <w:rPr>
          <w:rFonts w:ascii="Garamond" w:hAnsi="Garamond"/>
        </w:rPr>
        <w:t xml:space="preserve"> E. </w:t>
      </w:r>
      <w:proofErr w:type="spellStart"/>
      <w:r w:rsidRPr="00D87AA5">
        <w:rPr>
          <w:rFonts w:ascii="Garamond" w:hAnsi="Garamond"/>
        </w:rPr>
        <w:t>Orobator</w:t>
      </w:r>
      <w:proofErr w:type="spellEnd"/>
      <w:r w:rsidRPr="00D87AA5">
        <w:rPr>
          <w:rFonts w:ascii="Garamond" w:hAnsi="Garamond"/>
        </w:rPr>
        <w:t xml:space="preserve">, “Church in Dialogue as the Family of God,” 33-50 in Cecil McGarry, ed., </w:t>
      </w:r>
      <w:r w:rsidRPr="00D87AA5">
        <w:rPr>
          <w:rFonts w:ascii="Garamond" w:hAnsi="Garamond"/>
          <w:i/>
          <w:iCs/>
        </w:rPr>
        <w:t xml:space="preserve">What Happened at the African Synod? </w:t>
      </w:r>
      <w:r w:rsidRPr="00D87AA5">
        <w:rPr>
          <w:rFonts w:ascii="Garamond" w:hAnsi="Garamond"/>
        </w:rPr>
        <w:t xml:space="preserve">(Nairobi: </w:t>
      </w:r>
      <w:proofErr w:type="spellStart"/>
      <w:r w:rsidRPr="00D87AA5">
        <w:rPr>
          <w:rFonts w:ascii="Garamond" w:hAnsi="Garamond"/>
        </w:rPr>
        <w:t>Paulines</w:t>
      </w:r>
      <w:proofErr w:type="spellEnd"/>
      <w:r w:rsidRPr="00D87AA5">
        <w:rPr>
          <w:rFonts w:ascii="Garamond" w:hAnsi="Garamond"/>
        </w:rPr>
        <w:t xml:space="preserve"> Publications, 1995), 33, 34.</w:t>
      </w:r>
      <w:r w:rsidR="00DA68C9">
        <w:rPr>
          <w:rFonts w:ascii="Garamond" w:hAnsi="Garamond"/>
        </w:rPr>
        <w:t xml:space="preserve"> </w:t>
      </w:r>
      <w:r w:rsidR="00DA68C9" w:rsidRPr="00D46FF0">
        <w:rPr>
          <w:rFonts w:ascii="Garamond" w:hAnsi="Garamond" w:cstheme="majorHAnsi"/>
          <w:color w:val="000000" w:themeColor="text1"/>
        </w:rPr>
        <w:t xml:space="preserve">The principles that characterize this ecclesiology, namely “care for others, solidarity, warmth in human relationships, acceptance, dialogue and trust” (John Paul II, </w:t>
      </w:r>
      <w:r w:rsidR="00DA68C9" w:rsidRPr="00D46FF0">
        <w:rPr>
          <w:rFonts w:ascii="Garamond" w:hAnsi="Garamond" w:cstheme="majorHAnsi"/>
          <w:i/>
          <w:iCs/>
          <w:color w:val="000000" w:themeColor="text1"/>
        </w:rPr>
        <w:t>Ecclesia in Africa</w:t>
      </w:r>
      <w:r w:rsidR="00DA68C9" w:rsidRPr="00D46FF0">
        <w:rPr>
          <w:rFonts w:ascii="Garamond" w:hAnsi="Garamond" w:cstheme="majorHAnsi"/>
          <w:color w:val="000000" w:themeColor="text1"/>
        </w:rPr>
        <w:t xml:space="preserve"> [EA] §63; see also the Kampala document §§78-85), apply both in the internal synodal relationship of the Church and its external ecumenical encounters with the Christian other.</w:t>
      </w:r>
    </w:p>
  </w:footnote>
  <w:footnote w:id="2">
    <w:p w14:paraId="59D7F438" w14:textId="1A365D4F" w:rsidR="000620CA" w:rsidRPr="00D87AA5" w:rsidRDefault="000620CA" w:rsidP="00D46FF0">
      <w:pPr>
        <w:pStyle w:val="FootnoteText"/>
        <w:jc w:val="both"/>
        <w:rPr>
          <w:rFonts w:ascii="Garamond" w:hAnsi="Garamond"/>
        </w:rPr>
      </w:pPr>
      <w:r w:rsidRPr="00D87AA5">
        <w:rPr>
          <w:rStyle w:val="FootnoteReference"/>
          <w:rFonts w:ascii="Garamond" w:hAnsi="Garamond"/>
        </w:rPr>
        <w:footnoteRef/>
      </w:r>
      <w:r w:rsidRPr="00D87AA5">
        <w:rPr>
          <w:rFonts w:ascii="Garamond" w:hAnsi="Garamond"/>
        </w:rPr>
        <w:t xml:space="preserve"> </w:t>
      </w:r>
      <w:r w:rsidR="00C773E6" w:rsidRPr="00D46FF0">
        <w:rPr>
          <w:rFonts w:ascii="Garamond" w:hAnsi="Garamond"/>
        </w:rPr>
        <w:t xml:space="preserve">The Open Doors’ </w:t>
      </w:r>
      <w:r w:rsidR="00C773E6" w:rsidRPr="00D46FF0">
        <w:rPr>
          <w:rFonts w:ascii="Garamond" w:hAnsi="Garamond"/>
          <w:i/>
          <w:iCs/>
        </w:rPr>
        <w:t>2023 World Watch List</w:t>
      </w:r>
      <w:r w:rsidR="00C773E6" w:rsidRPr="00D46FF0">
        <w:rPr>
          <w:rFonts w:ascii="Garamond" w:hAnsi="Garamond"/>
        </w:rPr>
        <w:t xml:space="preserve">, and the </w:t>
      </w:r>
      <w:r w:rsidR="00C773E6" w:rsidRPr="00D46FF0">
        <w:rPr>
          <w:rFonts w:ascii="Garamond" w:hAnsi="Garamond"/>
          <w:i/>
          <w:iCs/>
        </w:rPr>
        <w:t>Religious Freedom World Report 2023</w:t>
      </w:r>
      <w:r w:rsidR="00C773E6" w:rsidRPr="00D46FF0">
        <w:rPr>
          <w:rFonts w:ascii="Garamond" w:hAnsi="Garamond"/>
        </w:rPr>
        <w:t xml:space="preserve"> by the Aid to the Church in Need (ACN) place about 18 African countries within the top 50 countries</w:t>
      </w:r>
      <w:r w:rsidR="00C773E6">
        <w:rPr>
          <w:rFonts w:ascii="Garamond" w:hAnsi="Garamond"/>
        </w:rPr>
        <w:t>. Cf.</w:t>
      </w:r>
      <w:r w:rsidR="00C773E6" w:rsidRPr="00D87AA5">
        <w:rPr>
          <w:rFonts w:ascii="Garamond" w:hAnsi="Garamond"/>
        </w:rPr>
        <w:t xml:space="preserve"> </w:t>
      </w:r>
      <w:r w:rsidRPr="00D87AA5">
        <w:rPr>
          <w:rFonts w:ascii="Garamond" w:hAnsi="Garamond"/>
        </w:rPr>
        <w:t xml:space="preserve">Open Doors, World Watch List 2023: The Top 50 countries where Christians experience the most persecution, https://www.opendoors.org.za/christian-persecution/world-watch-list-2023/ (10 December 2023); Aid to the Church in Need (22 June 2023), Religious Freedom World Report 2023, </w:t>
      </w:r>
      <w:hyperlink r:id="rId1" w:history="1">
        <w:r w:rsidRPr="00D87AA5">
          <w:rPr>
            <w:rStyle w:val="Hyperlink"/>
            <w:rFonts w:ascii="Garamond" w:hAnsi="Garamond"/>
          </w:rPr>
          <w:t>https://acninternational.org/religiousfreedomreport/</w:t>
        </w:r>
      </w:hyperlink>
      <w:r w:rsidRPr="00D87AA5">
        <w:rPr>
          <w:rFonts w:ascii="Garamond" w:hAnsi="Garamond"/>
        </w:rPr>
        <w:t xml:space="preserve"> (</w:t>
      </w:r>
      <w:r>
        <w:rPr>
          <w:rFonts w:ascii="Garamond" w:hAnsi="Garamond"/>
        </w:rPr>
        <w:t xml:space="preserve">accessed </w:t>
      </w:r>
      <w:r w:rsidR="00D46FF0">
        <w:rPr>
          <w:rFonts w:ascii="Garamond" w:hAnsi="Garamond"/>
        </w:rPr>
        <w:t>4 September</w:t>
      </w:r>
      <w:r w:rsidRPr="00D87AA5">
        <w:rPr>
          <w:rFonts w:ascii="Garamond" w:hAnsi="Garamond"/>
        </w:rPr>
        <w:t xml:space="preserve"> 202</w:t>
      </w:r>
      <w:r>
        <w:rPr>
          <w:rFonts w:ascii="Garamond" w:hAnsi="Garamond"/>
        </w:rPr>
        <w:t>4</w:t>
      </w:r>
      <w:r w:rsidRPr="00D87AA5">
        <w:rPr>
          <w:rFonts w:ascii="Garamond" w:hAnsi="Garamond"/>
        </w:rPr>
        <w:t>).</w:t>
      </w:r>
    </w:p>
  </w:footnote>
  <w:footnote w:id="3">
    <w:p w14:paraId="6AE3F050" w14:textId="77777777" w:rsidR="000620CA" w:rsidRPr="00210CFC" w:rsidRDefault="000620CA" w:rsidP="00D46FF0">
      <w:pPr>
        <w:pStyle w:val="FootnoteText"/>
        <w:jc w:val="both"/>
        <w:rPr>
          <w:rFonts w:ascii="Garamond" w:hAnsi="Garamond"/>
        </w:rPr>
      </w:pPr>
      <w:r w:rsidRPr="00210CFC">
        <w:rPr>
          <w:rStyle w:val="FootnoteReference"/>
          <w:rFonts w:ascii="Garamond" w:hAnsi="Garamond"/>
        </w:rPr>
        <w:footnoteRef/>
      </w:r>
      <w:r w:rsidRPr="00210CFC">
        <w:rPr>
          <w:rFonts w:ascii="Garamond" w:hAnsi="Garamond"/>
        </w:rPr>
        <w:t xml:space="preserve"> Christian Ikenna </w:t>
      </w:r>
      <w:proofErr w:type="spellStart"/>
      <w:r w:rsidRPr="00210CFC">
        <w:rPr>
          <w:rFonts w:ascii="Garamond" w:hAnsi="Garamond"/>
        </w:rPr>
        <w:t>Umeanolue</w:t>
      </w:r>
      <w:proofErr w:type="spellEnd"/>
      <w:r w:rsidRPr="00210CFC">
        <w:rPr>
          <w:rFonts w:ascii="Garamond" w:hAnsi="Garamond"/>
        </w:rPr>
        <w:t>, “Religion and Marriage in the Book of Ruth: The</w:t>
      </w:r>
      <w:r>
        <w:rPr>
          <w:rFonts w:ascii="Garamond" w:hAnsi="Garamond"/>
        </w:rPr>
        <w:t xml:space="preserve"> </w:t>
      </w:r>
      <w:r w:rsidRPr="00210CFC">
        <w:rPr>
          <w:rFonts w:ascii="Garamond" w:hAnsi="Garamond"/>
        </w:rPr>
        <w:t xml:space="preserve">Implications for Contemporary Nigerian Christians,” </w:t>
      </w:r>
      <w:r w:rsidRPr="00210CFC">
        <w:rPr>
          <w:rFonts w:ascii="Garamond" w:hAnsi="Garamond"/>
          <w:i/>
          <w:iCs/>
        </w:rPr>
        <w:t>UJAH</w:t>
      </w:r>
      <w:r w:rsidRPr="00210CFC">
        <w:rPr>
          <w:rFonts w:ascii="Garamond" w:hAnsi="Garamond"/>
        </w:rPr>
        <w:t xml:space="preserve"> 12, no.2 (2011): 152-166; 165.</w:t>
      </w:r>
    </w:p>
  </w:footnote>
  <w:footnote w:id="4">
    <w:p w14:paraId="45872F96" w14:textId="77777777" w:rsidR="000620CA" w:rsidRPr="00D87AA5" w:rsidRDefault="000620CA" w:rsidP="00D46FF0">
      <w:pPr>
        <w:pStyle w:val="FootnoteText"/>
        <w:jc w:val="both"/>
        <w:rPr>
          <w:rFonts w:ascii="Garamond" w:hAnsi="Garamond"/>
        </w:rPr>
      </w:pPr>
      <w:r w:rsidRPr="00D87AA5">
        <w:rPr>
          <w:rStyle w:val="FootnoteReference"/>
          <w:rFonts w:ascii="Garamond" w:hAnsi="Garamond"/>
        </w:rPr>
        <w:footnoteRef/>
      </w:r>
      <w:r w:rsidRPr="00D87AA5">
        <w:rPr>
          <w:rFonts w:ascii="Garamond" w:hAnsi="Garamond"/>
        </w:rPr>
        <w:t xml:space="preserve"> Leonard D. Pivonka, “Ecumenical or Mixed Marriages in the New Code of Canon Law,” </w:t>
      </w:r>
      <w:r w:rsidRPr="00D87AA5">
        <w:rPr>
          <w:rFonts w:ascii="Garamond" w:hAnsi="Garamond"/>
          <w:i/>
          <w:iCs/>
        </w:rPr>
        <w:t xml:space="preserve">Jurist </w:t>
      </w:r>
      <w:r w:rsidRPr="00D87AA5">
        <w:rPr>
          <w:rFonts w:ascii="Garamond" w:hAnsi="Garamond"/>
        </w:rPr>
        <w:t>43, no.1 (1983): 103-124; 124.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1243AE"/>
    <w:multiLevelType w:val="hybridMultilevel"/>
    <w:tmpl w:val="5CE664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6C770C"/>
    <w:multiLevelType w:val="hybridMultilevel"/>
    <w:tmpl w:val="C50255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A26AFB"/>
    <w:multiLevelType w:val="hybridMultilevel"/>
    <w:tmpl w:val="43BE3016"/>
    <w:lvl w:ilvl="0" w:tplc="271814A6">
      <w:start w:val="1"/>
      <w:numFmt w:val="lowerLetter"/>
      <w:lvlText w:val="%1)"/>
      <w:lvlJc w:val="left"/>
      <w:pPr>
        <w:ind w:left="720" w:hanging="360"/>
      </w:pPr>
      <w:rPr>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50265576">
    <w:abstractNumId w:val="1"/>
  </w:num>
  <w:num w:numId="2" w16cid:durableId="1557400002">
    <w:abstractNumId w:val="0"/>
  </w:num>
  <w:num w:numId="3" w16cid:durableId="12213991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20CA"/>
    <w:rsid w:val="000620CA"/>
    <w:rsid w:val="00064D1D"/>
    <w:rsid w:val="00087A87"/>
    <w:rsid w:val="001879EC"/>
    <w:rsid w:val="001A05F8"/>
    <w:rsid w:val="0020748E"/>
    <w:rsid w:val="00284BE4"/>
    <w:rsid w:val="00366A65"/>
    <w:rsid w:val="0048139E"/>
    <w:rsid w:val="00482C42"/>
    <w:rsid w:val="004F7E54"/>
    <w:rsid w:val="00525DA0"/>
    <w:rsid w:val="005C3630"/>
    <w:rsid w:val="00650554"/>
    <w:rsid w:val="0073354E"/>
    <w:rsid w:val="00803626"/>
    <w:rsid w:val="00845859"/>
    <w:rsid w:val="008C0762"/>
    <w:rsid w:val="00974467"/>
    <w:rsid w:val="009D5C80"/>
    <w:rsid w:val="00A72C81"/>
    <w:rsid w:val="00A76E74"/>
    <w:rsid w:val="00B22FD2"/>
    <w:rsid w:val="00BD4B9F"/>
    <w:rsid w:val="00C75AC1"/>
    <w:rsid w:val="00C773E6"/>
    <w:rsid w:val="00C80A22"/>
    <w:rsid w:val="00D46FF0"/>
    <w:rsid w:val="00D67876"/>
    <w:rsid w:val="00DA68C9"/>
    <w:rsid w:val="00EE203F"/>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decimalSymbol w:val=","/>
  <w:listSeparator w:val=","/>
  <w14:docId w14:val="0C83A22A"/>
  <w15:chartTrackingRefBased/>
  <w15:docId w15:val="{62923BF1-5D4B-3B4D-A747-81CACB381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20C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620C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620C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620C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620C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620C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620C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620C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620C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20C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620C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620C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620C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620C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620C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620C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620C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620CA"/>
    <w:rPr>
      <w:rFonts w:eastAsiaTheme="majorEastAsia" w:cstheme="majorBidi"/>
      <w:color w:val="272727" w:themeColor="text1" w:themeTint="D8"/>
    </w:rPr>
  </w:style>
  <w:style w:type="paragraph" w:styleId="Title">
    <w:name w:val="Title"/>
    <w:basedOn w:val="Normal"/>
    <w:next w:val="Normal"/>
    <w:link w:val="TitleChar"/>
    <w:uiPriority w:val="10"/>
    <w:qFormat/>
    <w:rsid w:val="000620C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620C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620C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620C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620C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620CA"/>
    <w:rPr>
      <w:i/>
      <w:iCs/>
      <w:color w:val="404040" w:themeColor="text1" w:themeTint="BF"/>
    </w:rPr>
  </w:style>
  <w:style w:type="paragraph" w:styleId="ListParagraph">
    <w:name w:val="List Paragraph"/>
    <w:basedOn w:val="Normal"/>
    <w:uiPriority w:val="34"/>
    <w:qFormat/>
    <w:rsid w:val="000620CA"/>
    <w:pPr>
      <w:ind w:left="720"/>
      <w:contextualSpacing/>
    </w:pPr>
  </w:style>
  <w:style w:type="character" w:styleId="IntenseEmphasis">
    <w:name w:val="Intense Emphasis"/>
    <w:basedOn w:val="DefaultParagraphFont"/>
    <w:uiPriority w:val="21"/>
    <w:qFormat/>
    <w:rsid w:val="000620CA"/>
    <w:rPr>
      <w:i/>
      <w:iCs/>
      <w:color w:val="2F5496" w:themeColor="accent1" w:themeShade="BF"/>
    </w:rPr>
  </w:style>
  <w:style w:type="paragraph" w:styleId="IntenseQuote">
    <w:name w:val="Intense Quote"/>
    <w:basedOn w:val="Normal"/>
    <w:next w:val="Normal"/>
    <w:link w:val="IntenseQuoteChar"/>
    <w:uiPriority w:val="30"/>
    <w:qFormat/>
    <w:rsid w:val="000620C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620CA"/>
    <w:rPr>
      <w:i/>
      <w:iCs/>
      <w:color w:val="2F5496" w:themeColor="accent1" w:themeShade="BF"/>
    </w:rPr>
  </w:style>
  <w:style w:type="character" w:styleId="IntenseReference">
    <w:name w:val="Intense Reference"/>
    <w:basedOn w:val="DefaultParagraphFont"/>
    <w:uiPriority w:val="32"/>
    <w:qFormat/>
    <w:rsid w:val="000620CA"/>
    <w:rPr>
      <w:b/>
      <w:bCs/>
      <w:smallCaps/>
      <w:color w:val="2F5496" w:themeColor="accent1" w:themeShade="BF"/>
      <w:spacing w:val="5"/>
    </w:rPr>
  </w:style>
  <w:style w:type="character" w:styleId="Hyperlink">
    <w:name w:val="Hyperlink"/>
    <w:basedOn w:val="DefaultParagraphFont"/>
    <w:uiPriority w:val="99"/>
    <w:unhideWhenUsed/>
    <w:rsid w:val="000620CA"/>
    <w:rPr>
      <w:color w:val="0563C1" w:themeColor="hyperlink"/>
      <w:u w:val="single"/>
    </w:rPr>
  </w:style>
  <w:style w:type="paragraph" w:styleId="FootnoteText">
    <w:name w:val="footnote text"/>
    <w:aliases w:val="Footnote Text Char Char"/>
    <w:basedOn w:val="Normal"/>
    <w:link w:val="FootnoteTextChar"/>
    <w:semiHidden/>
    <w:unhideWhenUsed/>
    <w:rsid w:val="000620CA"/>
    <w:rPr>
      <w:sz w:val="20"/>
      <w:szCs w:val="20"/>
      <w:lang w:val="en-US"/>
    </w:rPr>
  </w:style>
  <w:style w:type="character" w:customStyle="1" w:styleId="FootnoteTextChar">
    <w:name w:val="Footnote Text Char"/>
    <w:aliases w:val="Footnote Text Char Char Char"/>
    <w:basedOn w:val="DefaultParagraphFont"/>
    <w:link w:val="FootnoteText"/>
    <w:semiHidden/>
    <w:rsid w:val="000620CA"/>
    <w:rPr>
      <w:sz w:val="20"/>
      <w:szCs w:val="20"/>
      <w:lang w:val="en-US"/>
    </w:rPr>
  </w:style>
  <w:style w:type="character" w:styleId="FootnoteReference">
    <w:name w:val="footnote reference"/>
    <w:basedOn w:val="DefaultParagraphFont"/>
    <w:semiHidden/>
    <w:unhideWhenUsed/>
    <w:rsid w:val="000620CA"/>
    <w:rPr>
      <w:vertAlign w:val="superscript"/>
    </w:rPr>
  </w:style>
  <w:style w:type="character" w:customStyle="1" w:styleId="FootnoteCharacters">
    <w:name w:val="Footnote Characters"/>
    <w:rsid w:val="000620CA"/>
    <w:rPr>
      <w:vertAlign w:val="superscript"/>
    </w:rPr>
  </w:style>
  <w:style w:type="character" w:customStyle="1" w:styleId="apple-converted-space">
    <w:name w:val="apple-converted-space"/>
    <w:basedOn w:val="DefaultParagraphFont"/>
    <w:rsid w:val="000620CA"/>
  </w:style>
  <w:style w:type="paragraph" w:styleId="Footer">
    <w:name w:val="footer"/>
    <w:basedOn w:val="Normal"/>
    <w:link w:val="FooterChar"/>
    <w:uiPriority w:val="99"/>
    <w:unhideWhenUsed/>
    <w:rsid w:val="00D46FF0"/>
    <w:pPr>
      <w:tabs>
        <w:tab w:val="center" w:pos="4513"/>
        <w:tab w:val="right" w:pos="9026"/>
      </w:tabs>
    </w:pPr>
  </w:style>
  <w:style w:type="character" w:customStyle="1" w:styleId="FooterChar">
    <w:name w:val="Footer Char"/>
    <w:basedOn w:val="DefaultParagraphFont"/>
    <w:link w:val="Footer"/>
    <w:uiPriority w:val="99"/>
    <w:rsid w:val="00D46FF0"/>
  </w:style>
  <w:style w:type="character" w:styleId="PageNumber">
    <w:name w:val="page number"/>
    <w:basedOn w:val="DefaultParagraphFont"/>
    <w:uiPriority w:val="99"/>
    <w:semiHidden/>
    <w:unhideWhenUsed/>
    <w:rsid w:val="00D46FF0"/>
  </w:style>
  <w:style w:type="paragraph" w:styleId="Header">
    <w:name w:val="header"/>
    <w:basedOn w:val="Normal"/>
    <w:link w:val="HeaderChar"/>
    <w:uiPriority w:val="99"/>
    <w:unhideWhenUsed/>
    <w:rsid w:val="00D46FF0"/>
    <w:pPr>
      <w:tabs>
        <w:tab w:val="center" w:pos="4513"/>
        <w:tab w:val="right" w:pos="9026"/>
      </w:tabs>
    </w:pPr>
  </w:style>
  <w:style w:type="character" w:customStyle="1" w:styleId="HeaderChar">
    <w:name w:val="Header Char"/>
    <w:basedOn w:val="DefaultParagraphFont"/>
    <w:link w:val="Header"/>
    <w:uiPriority w:val="99"/>
    <w:rsid w:val="00D46F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acninternational.org/religiousfreedomreport/" TargetMode="External"/></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158</TotalTime>
  <Pages>3</Pages>
  <Words>1465</Words>
  <Characters>7739</Characters>
  <Application>Microsoft Office Word</Application>
  <DocSecurity>0</DocSecurity>
  <Lines>122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Ikenna Paschal Okpaleke</dc:creator>
  <cp:keywords/>
  <dc:description/>
  <cp:lastModifiedBy>Ikenna Paschal Okpaleke</cp:lastModifiedBy>
  <cp:revision>12</cp:revision>
  <dcterms:created xsi:type="dcterms:W3CDTF">2024-09-03T14:16:00Z</dcterms:created>
  <dcterms:modified xsi:type="dcterms:W3CDTF">2024-09-05T22:28:00Z</dcterms:modified>
</cp:coreProperties>
</file>