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cs="Times New Roman"/>
          <w:b/>
          <w:bCs/>
          <w:sz w:val="24"/>
          <w:szCs w:val="24"/>
        </w:rPr>
      </w:pPr>
      <w:r>
        <w:rPr>
          <w:rFonts w:hint="default" w:ascii="Times New Roman" w:hAnsi="Times New Roman" w:cs="Times New Roman"/>
          <w:b/>
          <w:bCs/>
          <w:sz w:val="24"/>
          <w:szCs w:val="24"/>
        </w:rPr>
        <w:t>Global temperature and hydroclimate in warmer climates of the past and future: the Last Interglacial versus greenhouse scenarios</w:t>
      </w:r>
    </w:p>
    <w:p>
      <w:pPr>
        <w:rPr>
          <w:rFonts w:hint="default" w:ascii="Times New Roman" w:hAnsi="Times New Roman" w:cs="Times New Roman"/>
          <w:sz w:val="24"/>
          <w:szCs w:val="24"/>
        </w:rPr>
      </w:pPr>
      <w:r>
        <w:rPr>
          <w:rFonts w:hint="default" w:ascii="Times New Roman" w:hAnsi="Times New Roman" w:cs="Times New Roman"/>
          <w:sz w:val="24"/>
          <w:szCs w:val="24"/>
        </w:rPr>
        <w:t>Paolo Scussolini</w:t>
      </w:r>
      <w:r>
        <w:rPr>
          <w:rFonts w:hint="default" w:ascii="Times New Roman" w:hAnsi="Times New Roman" w:cs="Times New Roman"/>
          <w:sz w:val="24"/>
          <w:szCs w:val="24"/>
          <w:vertAlign w:val="superscript"/>
        </w:rPr>
        <w:t>1</w:t>
      </w:r>
      <w:r>
        <w:rPr>
          <w:rFonts w:hint="default" w:ascii="Times New Roman" w:hAnsi="Times New Roman" w:cs="Times New Roman"/>
          <w:sz w:val="24"/>
          <w:szCs w:val="24"/>
        </w:rPr>
        <w:t>, Pepijn Bakker</w:t>
      </w:r>
      <w:r>
        <w:rPr>
          <w:rFonts w:hint="default" w:ascii="Times New Roman" w:hAnsi="Times New Roman" w:cs="Times New Roman"/>
          <w:sz w:val="24"/>
          <w:szCs w:val="24"/>
          <w:vertAlign w:val="superscript"/>
        </w:rPr>
        <w:t>2</w:t>
      </w:r>
      <w:r>
        <w:rPr>
          <w:rFonts w:hint="default" w:ascii="Times New Roman" w:hAnsi="Times New Roman" w:cs="Times New Roman"/>
          <w:sz w:val="24"/>
          <w:szCs w:val="24"/>
        </w:rPr>
        <w:t>, Paolo De Luca</w:t>
      </w:r>
      <w:r>
        <w:rPr>
          <w:rFonts w:hint="default" w:ascii="Times New Roman" w:hAnsi="Times New Roman" w:cs="Times New Roman"/>
          <w:sz w:val="24"/>
          <w:szCs w:val="24"/>
          <w:vertAlign w:val="superscript"/>
        </w:rPr>
        <w:t>1</w:t>
      </w:r>
      <w:r>
        <w:rPr>
          <w:rFonts w:hint="default" w:ascii="Times New Roman" w:hAnsi="Times New Roman" w:cs="Times New Roman"/>
          <w:sz w:val="24"/>
          <w:szCs w:val="24"/>
        </w:rPr>
        <w:t>, Dim Coumou</w:t>
      </w:r>
      <w:r>
        <w:rPr>
          <w:rFonts w:hint="default" w:ascii="Times New Roman" w:hAnsi="Times New Roman" w:cs="Times New Roman"/>
          <w:sz w:val="24"/>
          <w:szCs w:val="24"/>
          <w:vertAlign w:val="superscript"/>
        </w:rPr>
        <w:t>1</w:t>
      </w:r>
      <w:r>
        <w:rPr>
          <w:rFonts w:hint="default" w:ascii="Times New Roman" w:hAnsi="Times New Roman" w:cs="Times New Roman"/>
          <w:sz w:val="24"/>
          <w:szCs w:val="24"/>
        </w:rPr>
        <w:t>, Joyce Bosmans</w:t>
      </w:r>
      <w:r>
        <w:rPr>
          <w:rFonts w:hint="default" w:ascii="Times New Roman" w:hAnsi="Times New Roman" w:cs="Times New Roman"/>
          <w:sz w:val="24"/>
          <w:szCs w:val="24"/>
          <w:vertAlign w:val="superscript"/>
        </w:rPr>
        <w:t>3</w:t>
      </w:r>
      <w:r>
        <w:rPr>
          <w:rFonts w:hint="default" w:ascii="Times New Roman" w:hAnsi="Times New Roman" w:cs="Times New Roman"/>
          <w:sz w:val="24"/>
          <w:szCs w:val="24"/>
        </w:rPr>
        <w:t>, Gerrit Lohmann</w:t>
      </w:r>
      <w:r>
        <w:rPr>
          <w:rFonts w:hint="default" w:ascii="Times New Roman" w:hAnsi="Times New Roman" w:cs="Times New Roman"/>
          <w:sz w:val="24"/>
          <w:szCs w:val="24"/>
          <w:vertAlign w:val="superscript"/>
        </w:rPr>
        <w:t>4</w:t>
      </w:r>
      <w:r>
        <w:rPr>
          <w:rFonts w:hint="default" w:ascii="Times New Roman" w:hAnsi="Times New Roman" w:cs="Times New Roman"/>
          <w:sz w:val="24"/>
          <w:szCs w:val="24"/>
        </w:rPr>
        <w:t>, Zoë Thomas</w:t>
      </w:r>
      <w:r>
        <w:rPr>
          <w:rFonts w:hint="default" w:ascii="Times New Roman" w:hAnsi="Times New Roman" w:cs="Times New Roman"/>
          <w:sz w:val="24"/>
          <w:szCs w:val="24"/>
          <w:vertAlign w:val="superscript"/>
        </w:rPr>
        <w:t>5</w:t>
      </w:r>
      <w:r>
        <w:rPr>
          <w:rFonts w:hint="default" w:ascii="Times New Roman" w:hAnsi="Times New Roman" w:cs="Times New Roman"/>
          <w:sz w:val="24"/>
          <w:szCs w:val="24"/>
        </w:rPr>
        <w:t>, Chris Turney</w:t>
      </w:r>
      <w:r>
        <w:rPr>
          <w:rFonts w:hint="default" w:ascii="Times New Roman" w:hAnsi="Times New Roman" w:cs="Times New Roman"/>
          <w:sz w:val="24"/>
          <w:szCs w:val="24"/>
          <w:vertAlign w:val="superscript"/>
        </w:rPr>
        <w:t>5</w:t>
      </w:r>
      <w:r>
        <w:rPr>
          <w:rFonts w:hint="default" w:ascii="Times New Roman" w:hAnsi="Times New Roman" w:cs="Times New Roman"/>
          <w:sz w:val="24"/>
          <w:szCs w:val="24"/>
        </w:rPr>
        <w:t>, Laurie Menviel</w:t>
      </w:r>
      <w:r>
        <w:rPr>
          <w:rFonts w:hint="default" w:ascii="Times New Roman" w:hAnsi="Times New Roman" w:cs="Times New Roman"/>
          <w:sz w:val="24"/>
          <w:szCs w:val="24"/>
          <w:vertAlign w:val="superscript"/>
        </w:rPr>
        <w:t>6</w:t>
      </w:r>
      <w:r>
        <w:rPr>
          <w:rFonts w:hint="default" w:ascii="Times New Roman" w:hAnsi="Times New Roman" w:cs="Times New Roman"/>
          <w:sz w:val="24"/>
          <w:szCs w:val="24"/>
        </w:rPr>
        <w:t>, Takashi Obase</w:t>
      </w:r>
      <w:r>
        <w:rPr>
          <w:rFonts w:hint="default" w:ascii="Times New Roman" w:hAnsi="Times New Roman" w:cs="Times New Roman"/>
          <w:sz w:val="24"/>
          <w:szCs w:val="24"/>
          <w:vertAlign w:val="superscript"/>
        </w:rPr>
        <w:t>7</w:t>
      </w:r>
      <w:r>
        <w:rPr>
          <w:rFonts w:hint="default" w:ascii="Times New Roman" w:hAnsi="Times New Roman" w:cs="Times New Roman"/>
          <w:sz w:val="24"/>
          <w:szCs w:val="24"/>
        </w:rPr>
        <w:t>, Ayako Abe-Ouchi</w:t>
      </w:r>
      <w:r>
        <w:rPr>
          <w:rFonts w:hint="default" w:ascii="Times New Roman" w:hAnsi="Times New Roman" w:cs="Times New Roman"/>
          <w:sz w:val="24"/>
          <w:szCs w:val="24"/>
          <w:vertAlign w:val="superscript"/>
        </w:rPr>
        <w:t>7</w:t>
      </w:r>
      <w:r>
        <w:rPr>
          <w:rFonts w:hint="default" w:ascii="Times New Roman" w:hAnsi="Times New Roman" w:cs="Times New Roman"/>
          <w:sz w:val="24"/>
          <w:szCs w:val="24"/>
        </w:rPr>
        <w:t>, Pascale Braconnot</w:t>
      </w:r>
      <w:r>
        <w:rPr>
          <w:rFonts w:hint="default" w:ascii="Times New Roman" w:hAnsi="Times New Roman" w:cs="Times New Roman"/>
          <w:sz w:val="24"/>
          <w:szCs w:val="24"/>
          <w:vertAlign w:val="superscript"/>
        </w:rPr>
        <w:t>8</w:t>
      </w:r>
      <w:r>
        <w:rPr>
          <w:rFonts w:hint="default" w:ascii="Times New Roman" w:hAnsi="Times New Roman" w:cs="Times New Roman"/>
          <w:sz w:val="24"/>
          <w:szCs w:val="24"/>
        </w:rPr>
        <w:t>, Bette Otto-Bliesner</w:t>
      </w:r>
      <w:r>
        <w:rPr>
          <w:rFonts w:hint="default" w:ascii="Times New Roman" w:hAnsi="Times New Roman" w:cs="Times New Roman"/>
          <w:sz w:val="24"/>
          <w:szCs w:val="24"/>
          <w:vertAlign w:val="superscript"/>
        </w:rPr>
        <w:t>9</w:t>
      </w:r>
      <w:r>
        <w:rPr>
          <w:rFonts w:hint="default" w:ascii="Times New Roman" w:hAnsi="Times New Roman" w:cs="Times New Roman"/>
          <w:sz w:val="24"/>
          <w:szCs w:val="24"/>
        </w:rPr>
        <w:t>, Qiuzhen Yin</w:t>
      </w:r>
      <w:r>
        <w:rPr>
          <w:rFonts w:hint="default" w:ascii="Times New Roman" w:hAnsi="Times New Roman" w:cs="Times New Roman"/>
          <w:sz w:val="24"/>
          <w:szCs w:val="24"/>
          <w:vertAlign w:val="superscript"/>
        </w:rPr>
        <w:t>10</w:t>
      </w:r>
      <w:r>
        <w:rPr>
          <w:rFonts w:hint="default" w:ascii="Times New Roman" w:hAnsi="Times New Roman" w:cs="Times New Roman"/>
          <w:sz w:val="24"/>
          <w:szCs w:val="24"/>
        </w:rPr>
        <w:t>, Matthias Prange</w:t>
      </w:r>
      <w:r>
        <w:rPr>
          <w:rFonts w:hint="default" w:ascii="Times New Roman" w:hAnsi="Times New Roman" w:cs="Times New Roman"/>
          <w:sz w:val="24"/>
          <w:szCs w:val="24"/>
          <w:vertAlign w:val="superscript"/>
        </w:rPr>
        <w:t>11</w:t>
      </w:r>
      <w:r>
        <w:rPr>
          <w:rFonts w:hint="default" w:ascii="Times New Roman" w:hAnsi="Times New Roman" w:cs="Times New Roman"/>
          <w:sz w:val="24"/>
          <w:szCs w:val="24"/>
        </w:rPr>
        <w:t>, Chronis Tzedakis</w:t>
      </w:r>
      <w:r>
        <w:rPr>
          <w:rFonts w:hint="default" w:ascii="Times New Roman" w:hAnsi="Times New Roman" w:cs="Times New Roman"/>
          <w:sz w:val="24"/>
          <w:szCs w:val="24"/>
          <w:vertAlign w:val="superscript"/>
        </w:rPr>
        <w:t>12</w:t>
      </w:r>
      <w:r>
        <w:rPr>
          <w:rFonts w:hint="default" w:ascii="Times New Roman" w:hAnsi="Times New Roman" w:cs="Times New Roman"/>
          <w:sz w:val="24"/>
          <w:szCs w:val="24"/>
        </w:rPr>
        <w:t>, Emilie Capron</w:t>
      </w:r>
      <w:r>
        <w:rPr>
          <w:rFonts w:hint="default" w:ascii="Times New Roman" w:hAnsi="Times New Roman" w:cs="Times New Roman"/>
          <w:sz w:val="24"/>
          <w:szCs w:val="24"/>
          <w:vertAlign w:val="superscript"/>
        </w:rPr>
        <w:t>13</w:t>
      </w:r>
      <w:r>
        <w:rPr>
          <w:rFonts w:hint="default" w:ascii="Times New Roman" w:hAnsi="Times New Roman" w:cs="Times New Roman"/>
          <w:sz w:val="24"/>
          <w:szCs w:val="24"/>
        </w:rPr>
        <w:t>, Hans Renssen</w:t>
      </w:r>
      <w:r>
        <w:rPr>
          <w:rFonts w:hint="default" w:ascii="Times New Roman" w:hAnsi="Times New Roman" w:cs="Times New Roman"/>
          <w:sz w:val="24"/>
          <w:szCs w:val="24"/>
          <w:vertAlign w:val="superscript"/>
        </w:rPr>
        <w:t>14</w:t>
      </w:r>
      <w:r>
        <w:rPr>
          <w:rFonts w:hint="default" w:ascii="Times New Roman" w:hAnsi="Times New Roman" w:cs="Times New Roman"/>
          <w:sz w:val="24"/>
          <w:szCs w:val="24"/>
        </w:rPr>
        <w:t>, Philip Ward</w:t>
      </w:r>
      <w:r>
        <w:rPr>
          <w:rFonts w:hint="default" w:ascii="Times New Roman" w:hAnsi="Times New Roman" w:cs="Times New Roman"/>
          <w:sz w:val="24"/>
          <w:szCs w:val="24"/>
          <w:vertAlign w:val="superscript"/>
        </w:rPr>
        <w:t>1</w:t>
      </w:r>
      <w:r>
        <w:rPr>
          <w:rFonts w:hint="default" w:ascii="Times New Roman" w:hAnsi="Times New Roman" w:cs="Times New Roman"/>
          <w:sz w:val="24"/>
          <w:szCs w:val="24"/>
        </w:rPr>
        <w:t>, and Jeroen Aerts</w:t>
      </w:r>
      <w:r>
        <w:rPr>
          <w:rFonts w:hint="default" w:ascii="Times New Roman" w:hAnsi="Times New Roman" w:cs="Times New Roman"/>
          <w:sz w:val="24"/>
          <w:szCs w:val="24"/>
          <w:vertAlign w:val="superscript"/>
        </w:rPr>
        <w:t>1</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w:t>
      </w:r>
      <w:r>
        <w:rPr>
          <w:rFonts w:hint="default" w:ascii="Times New Roman" w:hAnsi="Times New Roman" w:cs="Times New Roman"/>
          <w:sz w:val="24"/>
          <w:szCs w:val="24"/>
        </w:rPr>
        <w:t>Vrije Universiteit Amsterdam, Institute for Environmental Studies, Water and Climate Risk, Amsterdam, Netherlands (paolo.scussolini@vu.nl)</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2</w:t>
      </w:r>
      <w:r>
        <w:rPr>
          <w:rFonts w:hint="default" w:ascii="Times New Roman" w:hAnsi="Times New Roman" w:cs="Times New Roman"/>
          <w:sz w:val="24"/>
          <w:szCs w:val="24"/>
        </w:rPr>
        <w:t>Earth and Climate Cluster, Vrije Universiteit Amsterdam, Amsterdam, The Netherlands</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3</w:t>
      </w:r>
      <w:r>
        <w:rPr>
          <w:rFonts w:hint="default" w:ascii="Times New Roman" w:hAnsi="Times New Roman" w:cs="Times New Roman"/>
          <w:sz w:val="24"/>
          <w:szCs w:val="24"/>
        </w:rPr>
        <w:t>Department of Environmental Sciences, Radboud University, Nijmegen, The Netherlands</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4</w:t>
      </w:r>
      <w:r>
        <w:rPr>
          <w:rFonts w:hint="default" w:ascii="Times New Roman" w:hAnsi="Times New Roman" w:cs="Times New Roman"/>
          <w:sz w:val="24"/>
          <w:szCs w:val="24"/>
        </w:rPr>
        <w:t>Alfred Wegener Institute - Helmholtz Centre for Polar and Marine Research, Bremerhaven, Germany</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5</w:t>
      </w:r>
      <w:r>
        <w:rPr>
          <w:rFonts w:hint="default" w:ascii="Times New Roman" w:hAnsi="Times New Roman" w:cs="Times New Roman"/>
          <w:sz w:val="24"/>
          <w:szCs w:val="24"/>
        </w:rPr>
        <w:t>Earth and Sustainability Science Research Centre, School of Biological, Earth and Environmental Sciences, University of New South Wales, Sydney, Australia</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6</w:t>
      </w:r>
      <w:r>
        <w:rPr>
          <w:rFonts w:hint="default" w:ascii="Times New Roman" w:hAnsi="Times New Roman" w:cs="Times New Roman"/>
          <w:sz w:val="24"/>
          <w:szCs w:val="24"/>
        </w:rPr>
        <w:t>Climate Change Research Centre, ARC Centre of Excellence for Climate Extremes, The University of New South Wales, Sydney, Australia</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7</w:t>
      </w:r>
      <w:r>
        <w:rPr>
          <w:rFonts w:hint="default" w:ascii="Times New Roman" w:hAnsi="Times New Roman" w:cs="Times New Roman"/>
          <w:sz w:val="24"/>
          <w:szCs w:val="24"/>
        </w:rPr>
        <w:t>Atmosphere and Ocean Research Institute, The University of Tokyo, Tokyo, Japan</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8</w:t>
      </w:r>
      <w:r>
        <w:rPr>
          <w:rFonts w:hint="default" w:ascii="Times New Roman" w:hAnsi="Times New Roman" w:cs="Times New Roman"/>
          <w:sz w:val="24"/>
          <w:szCs w:val="24"/>
        </w:rPr>
        <w:t>Laboratoire des Sciences du Climat et de l’Environnement, Université Paris-Saclay, Gif-sur-Yvette, France</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9</w:t>
      </w:r>
      <w:r>
        <w:rPr>
          <w:rFonts w:hint="default" w:ascii="Times New Roman" w:hAnsi="Times New Roman" w:cs="Times New Roman"/>
          <w:sz w:val="24"/>
          <w:szCs w:val="24"/>
        </w:rPr>
        <w:t>National Center for Atmospheric Research, Boulder (CO),</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10</w:t>
      </w:r>
      <w:r>
        <w:rPr>
          <w:rFonts w:hint="default" w:ascii="Times New Roman" w:hAnsi="Times New Roman" w:cs="Times New Roman"/>
          <w:sz w:val="24"/>
          <w:szCs w:val="24"/>
        </w:rPr>
        <w:t>Earth and Life Institute, Georges Lemaitre Center for Earth and Climate Research, Université Catholique de Louvain, Louvain‐la‐Neuve, Belgium</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11</w:t>
      </w:r>
      <w:r>
        <w:rPr>
          <w:rFonts w:hint="default" w:ascii="Times New Roman" w:hAnsi="Times New Roman" w:cs="Times New Roman"/>
          <w:sz w:val="24"/>
          <w:szCs w:val="24"/>
        </w:rPr>
        <w:t>MARUM</w:t>
      </w:r>
      <w:r>
        <w:rPr>
          <w:rFonts w:hint="eastAsia" w:ascii="Times New Roman" w:hAnsi="Times New Roman" w:cs="Times New Roman"/>
          <w:sz w:val="24"/>
          <w:szCs w:val="24"/>
          <w:lang w:val="en-US" w:eastAsia="zh-CN"/>
        </w:rPr>
        <w:t>-</w:t>
      </w:r>
      <w:r>
        <w:rPr>
          <w:rFonts w:hint="default" w:ascii="Times New Roman" w:hAnsi="Times New Roman" w:cs="Times New Roman"/>
          <w:sz w:val="24"/>
          <w:szCs w:val="24"/>
        </w:rPr>
        <w:t>Center for Marine Environmental Sciences, University of Bremen, Bremen, Germany</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12</w:t>
      </w:r>
      <w:r>
        <w:rPr>
          <w:rFonts w:hint="default" w:ascii="Times New Roman" w:hAnsi="Times New Roman" w:cs="Times New Roman"/>
          <w:sz w:val="24"/>
          <w:szCs w:val="24"/>
        </w:rPr>
        <w:t>Environmental Change Research Centre, Department of Geography, University College London, London, UK</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13</w:t>
      </w:r>
      <w:r>
        <w:rPr>
          <w:rFonts w:hint="default" w:ascii="Times New Roman" w:hAnsi="Times New Roman" w:cs="Times New Roman"/>
          <w:sz w:val="24"/>
          <w:szCs w:val="24"/>
        </w:rPr>
        <w:t>Physics of Ice, Climate and Earth, Niels Bohr Institute, University of Copenhagen, Copenhagen, Denmark</w:t>
      </w:r>
    </w:p>
    <w:p>
      <w:pPr>
        <w:rPr>
          <w:rFonts w:hint="default" w:ascii="Times New Roman" w:hAnsi="Times New Roman" w:cs="Times New Roman"/>
          <w:sz w:val="24"/>
          <w:szCs w:val="24"/>
        </w:rPr>
      </w:pPr>
      <w:r>
        <w:rPr>
          <w:rFonts w:hint="default" w:ascii="Times New Roman" w:hAnsi="Times New Roman" w:cs="Times New Roman"/>
          <w:sz w:val="24"/>
          <w:szCs w:val="24"/>
          <w:vertAlign w:val="superscript"/>
        </w:rPr>
        <w:t>14</w:t>
      </w:r>
      <w:r>
        <w:rPr>
          <w:rFonts w:hint="default" w:ascii="Times New Roman" w:hAnsi="Times New Roman" w:cs="Times New Roman"/>
          <w:sz w:val="24"/>
          <w:szCs w:val="24"/>
        </w:rPr>
        <w:t>Department of Natural Sciences and Environmental Health, University of South-Eastern Norway, Bø, Norway.</w:t>
      </w:r>
    </w:p>
    <w:p>
      <w:pPr>
        <w:rPr>
          <w:rFonts w:hint="default" w:ascii="Times New Roman" w:hAnsi="Times New Roman" w:cs="Times New Roman"/>
          <w:sz w:val="24"/>
          <w:szCs w:val="24"/>
        </w:rPr>
      </w:pPr>
      <w:bookmarkStart w:id="0" w:name="_GoBack"/>
      <w:r>
        <w:rPr>
          <w:rFonts w:hint="eastAsia" w:ascii="Times New Roman" w:hAnsi="Times New Roman" w:cs="Times New Roman"/>
          <w:b/>
          <w:bCs/>
          <w:sz w:val="24"/>
          <w:szCs w:val="24"/>
          <w:lang w:val="en-US" w:eastAsia="zh-CN"/>
        </w:rPr>
        <w:t>Abstract:</w:t>
      </w:r>
      <w:bookmarkEnd w:id="0"/>
      <w:r>
        <w:rPr>
          <w:rFonts w:hint="eastAsia" w:ascii="Times New Roman" w:hAnsi="Times New Roman" w:cs="Times New Roman"/>
          <w:sz w:val="24"/>
          <w:szCs w:val="24"/>
          <w:lang w:val="en-US" w:eastAsia="zh-CN"/>
        </w:rPr>
        <w:t xml:space="preserve"> </w:t>
      </w:r>
      <w:r>
        <w:rPr>
          <w:rFonts w:hint="default" w:ascii="Times New Roman" w:hAnsi="Times New Roman" w:cs="Times New Roman"/>
          <w:sz w:val="24"/>
          <w:szCs w:val="24"/>
        </w:rPr>
        <w:t>Past climates contain precious information about the workings of the climate system, and about what can be expected in a changed climate. The Last Interglacial (LIG; ca. 125,000 years ago) is the most recent period of climate warmer than modern, at least in the Northern Hemisphere. Because of this, it has been often proposed that the LIG holds a partial analogy with a future warmer climate forced by enhanced greenhouse effect. Still, such analogy has never been examined in a quantitative manner. Here we address the question: for which scenario, time horizon, regions and season is the climate of the LIG a useful analogue of the future? We use the results of 13 climate models that performed the standard experiments of PMIP4 and CMIP6, and present a comparison of hemispheric temperature and precipitation between the LIG and SSP scenarios of the future. We also two independent assessments of models performance, by comparing their temperature and precipitation to climate reanalysis of the last decades and to proxies of the LIG. Insights gained from this comparison can inform studies in disciplines beyond climate studies, such as hydrology and ecology.</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zOWNjOGE2MDNkM2QzZWY0NmQwMzNhMzMzZmY1MzYifQ=="/>
  </w:docVars>
  <w:rsids>
    <w:rsidRoot w:val="0452561F"/>
    <w:rsid w:val="045256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2022-07-04T19:41:00Z</dcterms:created>
  <dc:creator>Zhipeng Wu</dc:creator>
  <cp:lastModifiedBy>Zhipeng Wu</cp:lastModifiedBy>
  <dcterms:modified xsi:type="dcterms:W3CDTF">2022-07-04T19:45:10Z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799773A672BD4742A161149C6911E49F</vt:lpwstr>
  </property>
</Properties>
</file>