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en" w:eastAsia="it-IT"/>
        </w:rPr>
      </w:pPr>
      <w:r w:rsidRPr="00C2492A">
        <w:rPr>
          <w:rFonts w:ascii="Times New Roman" w:eastAsia="Times New Roman" w:hAnsi="Times New Roman" w:cs="Times New Roman"/>
          <w:color w:val="111111"/>
          <w:spacing w:val="5"/>
          <w:sz w:val="24"/>
          <w:szCs w:val="24"/>
          <w:lang w:val="en" w:eastAsia="it-IT"/>
        </w:rPr>
        <w:t>Are de Broglie and Bohm right?</w:t>
      </w:r>
    </w:p>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nl-BE" w:eastAsia="it-IT"/>
        </w:rPr>
      </w:pPr>
      <w:r w:rsidRPr="00C2492A">
        <w:rPr>
          <w:rFonts w:ascii="Times New Roman" w:eastAsia="Times New Roman" w:hAnsi="Times New Roman" w:cs="Times New Roman"/>
          <w:color w:val="111111"/>
          <w:spacing w:val="5"/>
          <w:sz w:val="24"/>
          <w:szCs w:val="24"/>
          <w:lang w:val="en" w:eastAsia="it-IT"/>
        </w:rPr>
        <w:t xml:space="preserve">Jean Bricmont: Making sense of quantum mechanics. </w:t>
      </w:r>
      <w:r w:rsidRPr="00C2492A">
        <w:rPr>
          <w:rFonts w:ascii="Times New Roman" w:eastAsia="Times New Roman" w:hAnsi="Times New Roman" w:cs="Times New Roman"/>
          <w:color w:val="111111"/>
          <w:spacing w:val="5"/>
          <w:sz w:val="24"/>
          <w:szCs w:val="24"/>
          <w:lang w:val="nl-BE" w:eastAsia="it-IT"/>
        </w:rPr>
        <w:t>Berlin: Springer, 2016, x+331pp, €52.99 HB, € 41.64 ebook</w:t>
      </w:r>
    </w:p>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nl-BE" w:eastAsia="it-IT"/>
        </w:rPr>
      </w:pPr>
      <w:r w:rsidRPr="00C2492A">
        <w:rPr>
          <w:rFonts w:ascii="Times New Roman" w:eastAsia="Times New Roman" w:hAnsi="Times New Roman" w:cs="Times New Roman"/>
          <w:color w:val="111111"/>
          <w:spacing w:val="5"/>
          <w:sz w:val="24"/>
          <w:szCs w:val="24"/>
          <w:lang w:val="nl-BE" w:eastAsia="it-IT"/>
        </w:rPr>
        <w:t xml:space="preserve">Michel </w:t>
      </w:r>
      <w:r w:rsidRPr="00C2492A">
        <w:rPr>
          <w:rFonts w:ascii="Times New Roman" w:eastAsia="Times New Roman" w:hAnsi="Times New Roman" w:cs="Times New Roman"/>
          <w:color w:val="111111"/>
          <w:spacing w:val="5"/>
          <w:sz w:val="24"/>
          <w:szCs w:val="24"/>
          <w:shd w:val="clear" w:color="auto" w:fill="D0E4FE"/>
          <w:lang w:val="nl-BE" w:eastAsia="it-IT"/>
        </w:rPr>
        <w:t>Ghins</w:t>
      </w:r>
      <w:r w:rsidRPr="00C2492A">
        <w:rPr>
          <w:rFonts w:ascii="Times New Roman" w:eastAsia="Times New Roman" w:hAnsi="Times New Roman" w:cs="Times New Roman"/>
          <w:color w:val="111111"/>
          <w:spacing w:val="5"/>
          <w:sz w:val="24"/>
          <w:szCs w:val="24"/>
          <w:lang w:val="nl-BE" w:eastAsia="it-IT"/>
        </w:rPr>
        <w:t xml:space="preserve"> </w:t>
      </w:r>
      <w:r w:rsidRPr="00C2492A">
        <w:rPr>
          <w:rFonts w:ascii="Times New Roman" w:eastAsia="Times New Roman" w:hAnsi="Times New Roman" w:cs="Times New Roman"/>
          <w:color w:val="808080"/>
          <w:spacing w:val="5"/>
          <w:sz w:val="24"/>
          <w:szCs w:val="24"/>
          <w:lang w:val="nl-BE" w:eastAsia="it-IT"/>
        </w:rPr>
        <w:t>1</w:t>
      </w:r>
      <w:r w:rsidRPr="00C2492A">
        <w:rPr>
          <w:rFonts w:ascii="MS Mincho" w:eastAsia="MS Mincho" w:hAnsi="MS Mincho" w:cs="MS Mincho" w:hint="eastAsia"/>
          <w:color w:val="808080"/>
          <w:spacing w:val="5"/>
          <w:sz w:val="24"/>
          <w:szCs w:val="24"/>
          <w:lang w:val="nl-BE" w:eastAsia="it-IT"/>
        </w:rPr>
        <w:t>✉</w:t>
      </w:r>
      <w:r w:rsidRPr="00C2492A">
        <w:rPr>
          <w:rFonts w:ascii="Times New Roman" w:eastAsia="Times New Roman" w:hAnsi="Times New Roman" w:cs="Times New Roman"/>
          <w:color w:val="111111"/>
          <w:spacing w:val="5"/>
          <w:sz w:val="24"/>
          <w:szCs w:val="24"/>
          <w:lang w:val="nl-BE" w:eastAsia="it-IT"/>
        </w:rPr>
        <w:t xml:space="preserve"> </w:t>
      </w:r>
      <w:r w:rsidRPr="00C2492A">
        <w:rPr>
          <w:rFonts w:ascii="Times New Roman" w:eastAsia="Times New Roman" w:hAnsi="Times New Roman" w:cs="Times New Roman"/>
          <w:color w:val="808080"/>
          <w:spacing w:val="5"/>
          <w:sz w:val="24"/>
          <w:szCs w:val="24"/>
          <w:lang w:val="nl-BE" w:eastAsia="it-IT"/>
        </w:rPr>
        <w:t>Email</w:t>
      </w:r>
      <w:r w:rsidRPr="00C2492A">
        <w:rPr>
          <w:rFonts w:ascii="Times New Roman" w:eastAsia="Times New Roman" w:hAnsi="Times New Roman" w:cs="Times New Roman"/>
          <w:color w:val="111111"/>
          <w:spacing w:val="5"/>
          <w:sz w:val="24"/>
          <w:szCs w:val="24"/>
          <w:lang w:val="nl-BE" w:eastAsia="it-IT"/>
        </w:rPr>
        <w:t xml:space="preserve">michel.ghins@uclouvain.be </w:t>
      </w:r>
    </w:p>
    <w:p w:rsidR="00C2492A" w:rsidRPr="00C2492A" w:rsidRDefault="00C2492A" w:rsidP="00C2492A">
      <w:pPr>
        <w:shd w:val="clear" w:color="auto" w:fill="EEE8AA"/>
        <w:spacing w:after="0" w:line="336" w:lineRule="atLeast"/>
        <w:rPr>
          <w:rFonts w:ascii="Times New Roman" w:eastAsia="Times New Roman" w:hAnsi="Times New Roman" w:cs="Times New Roman"/>
          <w:color w:val="111111"/>
          <w:spacing w:val="5"/>
          <w:sz w:val="24"/>
          <w:szCs w:val="24"/>
          <w:lang w:val="fr-FR" w:eastAsia="it-IT"/>
        </w:rPr>
      </w:pPr>
      <w:r w:rsidRPr="00C2492A">
        <w:rPr>
          <w:rFonts w:ascii="Times New Roman" w:eastAsia="Times New Roman" w:hAnsi="Times New Roman" w:cs="Times New Roman"/>
          <w:color w:val="808080"/>
          <w:spacing w:val="5"/>
          <w:sz w:val="24"/>
          <w:szCs w:val="24"/>
          <w:shd w:val="clear" w:color="auto" w:fill="FFF000"/>
          <w:lang w:val="fr-FR" w:eastAsia="it-IT"/>
        </w:rPr>
        <w:t>1</w:t>
      </w:r>
      <w:r w:rsidRPr="00C2492A">
        <w:rPr>
          <w:rFonts w:ascii="Times New Roman" w:eastAsia="Times New Roman" w:hAnsi="Times New Roman" w:cs="Times New Roman"/>
          <w:color w:val="0000FF"/>
          <w:spacing w:val="5"/>
          <w:sz w:val="24"/>
          <w:szCs w:val="24"/>
          <w:shd w:val="clear" w:color="auto" w:fill="FFF000"/>
          <w:lang w:val="fr-FR" w:eastAsia="it-IT"/>
        </w:rPr>
        <w:t>Université Catholique de Louvain, Centre Philosophie des Sciences et Sociétés (CEFISES)Institut Supérieur de PhilosophiePlace Cardinal Mercier 14 Bte L3.06.011348Louvain-la-NeuveBelgium</w:t>
      </w:r>
      <w:r w:rsidRPr="00C2492A">
        <w:rPr>
          <w:rFonts w:ascii="Tahoma" w:eastAsia="Times New Roman" w:hAnsi="Tahoma" w:cs="Tahoma"/>
          <w:vanish/>
          <w:color w:val="333333"/>
          <w:spacing w:val="5"/>
          <w:sz w:val="23"/>
          <w:szCs w:val="23"/>
          <w:bdr w:val="single" w:sz="12" w:space="4" w:color="FFFFFF" w:frame="1"/>
          <w:shd w:val="clear" w:color="auto" w:fill="AAEBFF"/>
          <w:lang w:val="fr-FR" w:eastAsia="it-IT"/>
        </w:rPr>
        <w:t>I added the name of my University</w:t>
      </w:r>
    </w:p>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en" w:eastAsia="it-IT"/>
        </w:rPr>
      </w:pPr>
      <w:r w:rsidRPr="00C2492A">
        <w:rPr>
          <w:rFonts w:ascii="Times New Roman" w:eastAsia="Times New Roman" w:hAnsi="Times New Roman" w:cs="Times New Roman"/>
          <w:color w:val="111111"/>
          <w:spacing w:val="5"/>
          <w:sz w:val="24"/>
          <w:szCs w:val="24"/>
          <w:lang w:val="en" w:eastAsia="it-IT"/>
        </w:rPr>
        <w:t xml:space="preserve">Back in 1964, Richard Feynman famously stated that “Nobody understands quantum mechanics.” Indeed, despite its impressive empirical success, quantum mechanics (QM) remains the most perplexing and mind-boggling theory ever produced by humans. In his clear and thought-provoking book, Jean Bricmont advocates the merits of “the de Broglie–Bohm theory” and forcefully argues that it provides an intelligible picture of the quantum world out there. Being aware, however, that the de Broglie–Bohm theory is not immune from difficulties, the author acknowledges that understanding QM is an “unfinished story” (292). </w:t>
      </w:r>
    </w:p>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en" w:eastAsia="it-IT"/>
        </w:rPr>
      </w:pPr>
      <w:hyperlink r:id="rId5" w:history="1">
        <w:r w:rsidRPr="00C2492A">
          <w:rPr>
            <w:rFonts w:ascii="Times New Roman" w:eastAsia="Times New Roman" w:hAnsi="Times New Roman" w:cs="Times New Roman"/>
            <w:b/>
            <w:bCs/>
            <w:color w:val="FFFFFF"/>
            <w:spacing w:val="5"/>
            <w:sz w:val="21"/>
            <w:szCs w:val="21"/>
            <w:shd w:val="clear" w:color="auto" w:fill="FF5722"/>
            <w:lang w:val="en" w:eastAsia="it-IT"/>
          </w:rPr>
          <w:t>AQ1</w:t>
        </w:r>
      </w:hyperlink>
    </w:p>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en" w:eastAsia="it-IT"/>
        </w:rPr>
      </w:pPr>
      <w:r w:rsidRPr="00C2492A">
        <w:rPr>
          <w:rFonts w:ascii="Times New Roman" w:eastAsia="Times New Roman" w:hAnsi="Times New Roman" w:cs="Times New Roman"/>
          <w:color w:val="111111"/>
          <w:spacing w:val="5"/>
          <w:sz w:val="24"/>
          <w:szCs w:val="24"/>
          <w:lang w:val="en" w:eastAsia="it-IT"/>
        </w:rPr>
        <w:t>After a short introductory chapter, Bricmont discusses in Chapter 2 what he calls the “first mystery” of quantum mechanics, namely “interference and superpositions.” Spin measurements with Mach–Zehnder interferometers (§ 2.2) show that the quantum state is a superposition of two incompatible states (</w:t>
      </w:r>
      <w:r w:rsidRPr="00C2492A">
        <w:rPr>
          <w:rFonts w:ascii="Times New Roman" w:eastAsia="Times New Roman" w:hAnsi="Times New Roman" w:cs="Times New Roman"/>
          <w:i/>
          <w:iCs/>
          <w:color w:val="111111"/>
          <w:spacing w:val="5"/>
          <w:sz w:val="24"/>
          <w:szCs w:val="24"/>
          <w:lang w:val="en" w:eastAsia="it-IT"/>
        </w:rPr>
        <w:t>spin up</w:t>
      </w:r>
      <w:r w:rsidRPr="00C2492A">
        <w:rPr>
          <w:rFonts w:ascii="Times New Roman" w:eastAsia="Times New Roman" w:hAnsi="Times New Roman" w:cs="Times New Roman"/>
          <w:color w:val="111111"/>
          <w:spacing w:val="5"/>
          <w:sz w:val="24"/>
          <w:szCs w:val="24"/>
          <w:lang w:val="en" w:eastAsia="it-IT"/>
        </w:rPr>
        <w:t xml:space="preserve"> and </w:t>
      </w:r>
      <w:r w:rsidRPr="00C2492A">
        <w:rPr>
          <w:rFonts w:ascii="Times New Roman" w:eastAsia="Times New Roman" w:hAnsi="Times New Roman" w:cs="Times New Roman"/>
          <w:i/>
          <w:iCs/>
          <w:color w:val="111111"/>
          <w:spacing w:val="5"/>
          <w:sz w:val="24"/>
          <w:szCs w:val="24"/>
          <w:lang w:val="en" w:eastAsia="it-IT"/>
        </w:rPr>
        <w:t>spin down</w:t>
      </w:r>
      <w:r w:rsidRPr="00C2492A">
        <w:rPr>
          <w:rFonts w:ascii="Times New Roman" w:eastAsia="Times New Roman" w:hAnsi="Times New Roman" w:cs="Times New Roman"/>
          <w:color w:val="111111"/>
          <w:spacing w:val="5"/>
          <w:sz w:val="24"/>
          <w:szCs w:val="24"/>
          <w:lang w:val="en" w:eastAsia="it-IT"/>
        </w:rPr>
        <w:t xml:space="preserve">). When a measurement is </w:t>
      </w:r>
      <w:proofErr w:type="spellStart"/>
      <w:r w:rsidRPr="00C2492A">
        <w:rPr>
          <w:rFonts w:ascii="Times New Roman" w:eastAsia="Times New Roman" w:hAnsi="Times New Roman" w:cs="Times New Roman"/>
          <w:strike/>
          <w:color w:val="FF0000"/>
          <w:spacing w:val="5"/>
          <w:sz w:val="24"/>
          <w:szCs w:val="24"/>
          <w:shd w:val="clear" w:color="auto" w:fill="FFFF00"/>
          <w:lang w:val="en" w:eastAsia="it-IT"/>
        </w:rPr>
        <w:t>taken</w:t>
      </w:r>
      <w:r w:rsidRPr="00C2492A">
        <w:rPr>
          <w:rFonts w:ascii="Times New Roman" w:eastAsia="Times New Roman" w:hAnsi="Times New Roman" w:cs="Times New Roman"/>
          <w:color w:val="0000FF"/>
          <w:spacing w:val="5"/>
          <w:sz w:val="24"/>
          <w:szCs w:val="24"/>
          <w:shd w:val="clear" w:color="auto" w:fill="FFFF00"/>
          <w:lang w:val="en" w:eastAsia="it-IT"/>
        </w:rPr>
        <w:t>performed</w:t>
      </w:r>
      <w:proofErr w:type="spellEnd"/>
      <w:r w:rsidRPr="00C2492A">
        <w:rPr>
          <w:rFonts w:ascii="Times New Roman" w:eastAsia="Times New Roman" w:hAnsi="Times New Roman" w:cs="Times New Roman"/>
          <w:color w:val="111111"/>
          <w:spacing w:val="5"/>
          <w:sz w:val="24"/>
          <w:szCs w:val="24"/>
          <w:lang w:val="en" w:eastAsia="it-IT"/>
        </w:rPr>
        <w:t>, the quantum state instantly collapses into one of the two states. Schrödinger’s celebrated cat thought experiment was meant to show that believing in the existence of a superposition of states “cat alive” and “cat dead” before opening the box, simply is absurd (38). According to standard QM the evolution of the quantum state is described by solutions to the deterministic Schrödinger’s equation, but the collapse is non-deterministic and occurs with a probability whose value is determined (</w:t>
      </w:r>
      <w:proofErr w:type="spellStart"/>
      <w:r w:rsidRPr="00C2492A">
        <w:rPr>
          <w:rFonts w:ascii="Times New Roman" w:eastAsia="Times New Roman" w:hAnsi="Times New Roman" w:cs="Times New Roman"/>
          <w:color w:val="111111"/>
          <w:spacing w:val="5"/>
          <w:sz w:val="24"/>
          <w:szCs w:val="24"/>
          <w:lang w:val="en" w:eastAsia="it-IT"/>
        </w:rPr>
        <w:t>Born’s</w:t>
      </w:r>
      <w:proofErr w:type="spellEnd"/>
      <w:r w:rsidRPr="00C2492A">
        <w:rPr>
          <w:rFonts w:ascii="Times New Roman" w:eastAsia="Times New Roman" w:hAnsi="Times New Roman" w:cs="Times New Roman"/>
          <w:color w:val="111111"/>
          <w:spacing w:val="5"/>
          <w:sz w:val="24"/>
          <w:szCs w:val="24"/>
          <w:lang w:val="en" w:eastAsia="it-IT"/>
        </w:rPr>
        <w:t xml:space="preserve"> rule) by the state function Ψ. The assumption that particles would possess a spin value independently of the interaction with the measuring apparatus is blocked by “no-hidden variables theorems” (43). However, this does not force us to embrace some form of idealism according to which a human observer would cause the collapse since the interaction between the quantum state and the apparatus is an objective fact. Nor do the no-hidden variable theorems preclude that an individual particle actually possesses a position, a velocity (thus a trajectory) independently of possible measurements, even though these quantities cannot be measured simultaneously with unlimited accuracy because their associated operators do not commute, which implies the Heisenberg’s inequalities.</w:t>
      </w:r>
    </w:p>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en" w:eastAsia="it-IT"/>
        </w:rPr>
      </w:pPr>
      <w:r w:rsidRPr="00C2492A">
        <w:rPr>
          <w:rFonts w:ascii="Times New Roman" w:eastAsia="Times New Roman" w:hAnsi="Times New Roman" w:cs="Times New Roman"/>
          <w:color w:val="111111"/>
          <w:spacing w:val="5"/>
          <w:sz w:val="24"/>
          <w:szCs w:val="24"/>
          <w:lang w:val="en" w:eastAsia="it-IT"/>
        </w:rPr>
        <w:t xml:space="preserve">Chapter 3 is a welcome “philosophical intermezzo,” which dispels several widespread conceptual confusions on realism, idealism and determinism. Chapter 4 offers a pedagogical presentation of the “second mystery” of QM: </w:t>
      </w:r>
      <w:r w:rsidRPr="00C2492A">
        <w:rPr>
          <w:rFonts w:ascii="Times New Roman" w:eastAsia="Times New Roman" w:hAnsi="Times New Roman" w:cs="Times New Roman"/>
          <w:i/>
          <w:iCs/>
          <w:color w:val="111111"/>
          <w:spacing w:val="5"/>
          <w:sz w:val="24"/>
          <w:szCs w:val="24"/>
          <w:lang w:val="en" w:eastAsia="it-IT"/>
        </w:rPr>
        <w:t>non</w:t>
      </w:r>
      <w:r w:rsidRPr="00C2492A">
        <w:rPr>
          <w:rFonts w:ascii="Times New Roman" w:eastAsia="Times New Roman" w:hAnsi="Times New Roman" w:cs="Times New Roman"/>
          <w:color w:val="111111"/>
          <w:spacing w:val="5"/>
          <w:sz w:val="24"/>
          <w:szCs w:val="24"/>
          <w:lang w:val="en" w:eastAsia="it-IT"/>
        </w:rPr>
        <w:t>-</w:t>
      </w:r>
      <w:r w:rsidRPr="00C2492A">
        <w:rPr>
          <w:rFonts w:ascii="Times New Roman" w:eastAsia="Times New Roman" w:hAnsi="Times New Roman" w:cs="Times New Roman"/>
          <w:i/>
          <w:iCs/>
          <w:color w:val="111111"/>
          <w:spacing w:val="5"/>
          <w:sz w:val="24"/>
          <w:szCs w:val="24"/>
          <w:lang w:val="en" w:eastAsia="it-IT"/>
        </w:rPr>
        <w:t>locality</w:t>
      </w:r>
      <w:r w:rsidRPr="00C2492A">
        <w:rPr>
          <w:rFonts w:ascii="Times New Roman" w:eastAsia="Times New Roman" w:hAnsi="Times New Roman" w:cs="Times New Roman"/>
          <w:color w:val="111111"/>
          <w:spacing w:val="5"/>
          <w:sz w:val="24"/>
          <w:szCs w:val="24"/>
          <w:lang w:val="en" w:eastAsia="it-IT"/>
        </w:rPr>
        <w:t>. Einstein–</w:t>
      </w:r>
      <w:proofErr w:type="spellStart"/>
      <w:r w:rsidRPr="00C2492A">
        <w:rPr>
          <w:rFonts w:ascii="Times New Roman" w:eastAsia="Times New Roman" w:hAnsi="Times New Roman" w:cs="Times New Roman"/>
          <w:color w:val="111111"/>
          <w:spacing w:val="5"/>
          <w:sz w:val="24"/>
          <w:szCs w:val="24"/>
          <w:lang w:val="en" w:eastAsia="it-IT"/>
        </w:rPr>
        <w:t>Podolsky</w:t>
      </w:r>
      <w:proofErr w:type="spellEnd"/>
      <w:r w:rsidRPr="00C2492A">
        <w:rPr>
          <w:rFonts w:ascii="Times New Roman" w:eastAsia="Times New Roman" w:hAnsi="Times New Roman" w:cs="Times New Roman"/>
          <w:color w:val="111111"/>
          <w:spacing w:val="5"/>
          <w:sz w:val="24"/>
          <w:szCs w:val="24"/>
          <w:lang w:val="en" w:eastAsia="it-IT"/>
        </w:rPr>
        <w:t xml:space="preserve">–Rosen (EPR) </w:t>
      </w:r>
      <w:r w:rsidRPr="00C2492A">
        <w:rPr>
          <w:rFonts w:ascii="Times New Roman" w:eastAsia="Times New Roman" w:hAnsi="Times New Roman" w:cs="Times New Roman"/>
          <w:color w:val="111111"/>
          <w:spacing w:val="5"/>
          <w:sz w:val="24"/>
          <w:szCs w:val="24"/>
          <w:lang w:val="en" w:eastAsia="it-IT"/>
        </w:rPr>
        <w:lastRenderedPageBreak/>
        <w:t xml:space="preserve">showed that QM confronts us with a dilemma. Either </w:t>
      </w:r>
      <w:r w:rsidRPr="00C2492A">
        <w:rPr>
          <w:rFonts w:ascii="Times New Roman" w:eastAsia="Times New Roman" w:hAnsi="Times New Roman" w:cs="Times New Roman"/>
          <w:i/>
          <w:iCs/>
          <w:color w:val="111111"/>
          <w:spacing w:val="5"/>
          <w:sz w:val="24"/>
          <w:szCs w:val="24"/>
          <w:lang w:val="en" w:eastAsia="it-IT"/>
        </w:rPr>
        <w:t>hidden variables</w:t>
      </w:r>
      <w:r w:rsidRPr="00C2492A">
        <w:rPr>
          <w:rFonts w:ascii="Times New Roman" w:eastAsia="Times New Roman" w:hAnsi="Times New Roman" w:cs="Times New Roman"/>
          <w:strike/>
          <w:color w:val="FF0000"/>
          <w:spacing w:val="5"/>
          <w:sz w:val="24"/>
          <w:szCs w:val="24"/>
          <w:shd w:val="clear" w:color="auto" w:fill="FFFF00"/>
          <w:lang w:val="en" w:eastAsia="it-IT"/>
        </w:rPr>
        <w:t>, i.e.,</w:t>
      </w:r>
      <w:r w:rsidRPr="00C2492A">
        <w:rPr>
          <w:rFonts w:ascii="Times New Roman" w:eastAsia="Times New Roman" w:hAnsi="Times New Roman" w:cs="Times New Roman"/>
          <w:color w:val="111111"/>
          <w:spacing w:val="5"/>
          <w:sz w:val="24"/>
          <w:szCs w:val="24"/>
          <w:lang w:val="en" w:eastAsia="it-IT"/>
        </w:rPr>
        <w:t xml:space="preserve"> </w:t>
      </w:r>
      <w:r w:rsidRPr="00C2492A">
        <w:rPr>
          <w:rFonts w:ascii="Times New Roman" w:eastAsia="Times New Roman" w:hAnsi="Times New Roman" w:cs="Times New Roman"/>
          <w:color w:val="0000FF"/>
          <w:spacing w:val="5"/>
          <w:sz w:val="24"/>
          <w:szCs w:val="24"/>
          <w:shd w:val="clear" w:color="auto" w:fill="FFFF00"/>
          <w:lang w:val="en" w:eastAsia="it-IT"/>
        </w:rPr>
        <w:t xml:space="preserve">(i.e.,  </w:t>
      </w:r>
      <w:r w:rsidRPr="00C2492A">
        <w:rPr>
          <w:rFonts w:ascii="Times New Roman" w:eastAsia="Times New Roman" w:hAnsi="Times New Roman" w:cs="Times New Roman"/>
          <w:color w:val="111111"/>
          <w:spacing w:val="5"/>
          <w:sz w:val="24"/>
          <w:szCs w:val="24"/>
          <w:lang w:val="en" w:eastAsia="it-IT"/>
        </w:rPr>
        <w:t>properties preexisting to measurement</w:t>
      </w:r>
      <w:r w:rsidRPr="00C2492A">
        <w:rPr>
          <w:rFonts w:ascii="Times New Roman" w:eastAsia="Times New Roman" w:hAnsi="Times New Roman" w:cs="Times New Roman"/>
          <w:color w:val="0000FF"/>
          <w:spacing w:val="5"/>
          <w:sz w:val="24"/>
          <w:szCs w:val="24"/>
          <w:shd w:val="clear" w:color="auto" w:fill="FFFF00"/>
          <w:lang w:val="en" w:eastAsia="it-IT"/>
        </w:rPr>
        <w:t>)</w:t>
      </w:r>
      <w:r w:rsidRPr="00C2492A">
        <w:rPr>
          <w:rFonts w:ascii="Times New Roman" w:eastAsia="Times New Roman" w:hAnsi="Times New Roman" w:cs="Times New Roman"/>
          <w:color w:val="111111"/>
          <w:spacing w:val="5"/>
          <w:sz w:val="24"/>
          <w:szCs w:val="24"/>
          <w:lang w:val="en" w:eastAsia="it-IT"/>
        </w:rPr>
        <w:t>, which would provide a complete description of the state of the system exist, or, if the standard formulation is complete, non-local instantaneous (or at least superluminal) causal actions operate. In 1981, Alain Aspect showed that polarization measurements of arbitrarily distant correlated photons violate Bell’s inequality, in agreement with QM predictions. Since no local hidden variables can account for the correlated results, the non-locality horn of the EPR dilemma prevails. Note that, according to Bricmont, non-locality can be established on the basis of experiments without presupposing the truth of QM. Moreover, no instantaneous transmission of energy takes place. Thus, immediate conflict with special relativity is avoided. Such non-local action cannot be used to transmit messages.</w:t>
      </w:r>
    </w:p>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en" w:eastAsia="it-IT"/>
        </w:rPr>
      </w:pPr>
      <w:r w:rsidRPr="00C2492A">
        <w:rPr>
          <w:rFonts w:ascii="Times New Roman" w:eastAsia="Times New Roman" w:hAnsi="Times New Roman" w:cs="Times New Roman"/>
          <w:color w:val="111111"/>
          <w:spacing w:val="5"/>
          <w:sz w:val="24"/>
          <w:szCs w:val="24"/>
          <w:lang w:val="en" w:eastAsia="it-IT"/>
        </w:rPr>
        <w:t xml:space="preserve">In the main chapter, Chapter 5, the author offers a simplified presentation of the de Broglie–Bohm theory (BBT) and shows how it allows one to unravel the two mysteries. It does so by introducing the “hidden” variable of position, which is not so hidden after all since the author points out that all measurements boil down to measuring positions (140), as Rudolf </w:t>
      </w:r>
      <w:proofErr w:type="spellStart"/>
      <w:r w:rsidRPr="00C2492A">
        <w:rPr>
          <w:rFonts w:ascii="Times New Roman" w:eastAsia="Times New Roman" w:hAnsi="Times New Roman" w:cs="Times New Roman"/>
          <w:color w:val="111111"/>
          <w:spacing w:val="5"/>
          <w:sz w:val="24"/>
          <w:szCs w:val="24"/>
          <w:lang w:val="en" w:eastAsia="it-IT"/>
        </w:rPr>
        <w:t>Carnap</w:t>
      </w:r>
      <w:proofErr w:type="spellEnd"/>
      <w:r w:rsidRPr="00C2492A">
        <w:rPr>
          <w:rFonts w:ascii="Times New Roman" w:eastAsia="Times New Roman" w:hAnsi="Times New Roman" w:cs="Times New Roman"/>
          <w:color w:val="111111"/>
          <w:spacing w:val="5"/>
          <w:sz w:val="24"/>
          <w:szCs w:val="24"/>
          <w:lang w:val="en" w:eastAsia="it-IT"/>
        </w:rPr>
        <w:t xml:space="preserve"> had remarked. For BBT, particles such as electrons possess a position at all times. These positions can be deterministically calculated by the theory and their actual values can be measured. All other properties, such as spin and momentum, are “contextual,” </w:t>
      </w:r>
      <w:proofErr w:type="spellStart"/>
      <w:r w:rsidRPr="00C2492A">
        <w:rPr>
          <w:rFonts w:ascii="Times New Roman" w:eastAsia="Times New Roman" w:hAnsi="Times New Roman" w:cs="Times New Roman"/>
          <w:color w:val="111111"/>
          <w:spacing w:val="5"/>
          <w:sz w:val="24"/>
          <w:szCs w:val="24"/>
          <w:lang w:val="en" w:eastAsia="it-IT"/>
        </w:rPr>
        <w:t>i.e</w:t>
      </w:r>
      <w:proofErr w:type="spellEnd"/>
      <w:r w:rsidRPr="00C2492A">
        <w:rPr>
          <w:rFonts w:ascii="Times New Roman" w:eastAsia="Times New Roman" w:hAnsi="Times New Roman" w:cs="Times New Roman"/>
          <w:color w:val="111111"/>
          <w:spacing w:val="5"/>
          <w:sz w:val="24"/>
          <w:szCs w:val="24"/>
          <w:lang w:val="en" w:eastAsia="it-IT"/>
        </w:rPr>
        <w:t>, their measured values depend on the experimental setting. The theory introduces a quantum potential, which depends on the state function Ψ. As in the original de Broglie theory, Ψ instantly guides a particle and determines its trajectory. Besides, there is no collapse. In the two-slit experiment, for example, each particle passes through one slit, with the state function being different depending on whether one or both slits are open. When both are open, the trajectories are such that an interference pattern is observed on the screen (134). The apparent randomness of the impacts on the screen is explained by the randomness of the initial conditions of the particles. When “weak” (slightly perturbing) measurements are taken, trajectories that approximately agree with BBT are statistically observed (136). So</w:t>
      </w:r>
      <w:r w:rsidRPr="00C2492A">
        <w:rPr>
          <w:rFonts w:ascii="Times New Roman" w:eastAsia="Times New Roman" w:hAnsi="Times New Roman" w:cs="Times New Roman"/>
          <w:color w:val="0000FF"/>
          <w:spacing w:val="5"/>
          <w:sz w:val="24"/>
          <w:szCs w:val="24"/>
          <w:shd w:val="clear" w:color="auto" w:fill="FFFF00"/>
          <w:lang w:val="en" w:eastAsia="it-IT"/>
        </w:rPr>
        <w:t>,</w:t>
      </w:r>
      <w:r w:rsidRPr="00C2492A">
        <w:rPr>
          <w:rFonts w:ascii="Times New Roman" w:eastAsia="Times New Roman" w:hAnsi="Times New Roman" w:cs="Times New Roman"/>
          <w:color w:val="111111"/>
          <w:spacing w:val="5"/>
          <w:sz w:val="24"/>
          <w:szCs w:val="24"/>
          <w:lang w:val="en" w:eastAsia="it-IT"/>
        </w:rPr>
        <w:t xml:space="preserve"> the state function presents some similarity to a field which acts on the particles, although it is defined on the 3</w:t>
      </w:r>
      <w:r w:rsidRPr="00C2492A">
        <w:rPr>
          <w:rFonts w:ascii="Times New Roman" w:eastAsia="Times New Roman" w:hAnsi="Times New Roman" w:cs="Times New Roman"/>
          <w:i/>
          <w:iCs/>
          <w:color w:val="111111"/>
          <w:spacing w:val="5"/>
          <w:sz w:val="24"/>
          <w:szCs w:val="24"/>
          <w:lang w:val="en" w:eastAsia="it-IT"/>
        </w:rPr>
        <w:t>N</w:t>
      </w:r>
      <w:r w:rsidRPr="00C2492A">
        <w:rPr>
          <w:rFonts w:ascii="Times New Roman" w:eastAsia="Times New Roman" w:hAnsi="Times New Roman" w:cs="Times New Roman"/>
          <w:color w:val="111111"/>
          <w:spacing w:val="5"/>
          <w:sz w:val="24"/>
          <w:szCs w:val="24"/>
          <w:lang w:val="en" w:eastAsia="it-IT"/>
        </w:rPr>
        <w:t>-dimension (</w:t>
      </w:r>
      <w:r w:rsidRPr="00C2492A">
        <w:rPr>
          <w:rFonts w:ascii="Times New Roman" w:eastAsia="Times New Roman" w:hAnsi="Times New Roman" w:cs="Times New Roman"/>
          <w:i/>
          <w:iCs/>
          <w:color w:val="111111"/>
          <w:spacing w:val="5"/>
          <w:sz w:val="24"/>
          <w:szCs w:val="24"/>
          <w:lang w:val="en" w:eastAsia="it-IT"/>
        </w:rPr>
        <w:t>N</w:t>
      </w:r>
      <w:r w:rsidRPr="00C2492A">
        <w:rPr>
          <w:rFonts w:ascii="Times New Roman" w:eastAsia="Times New Roman" w:hAnsi="Times New Roman" w:cs="Times New Roman"/>
          <w:color w:val="111111"/>
          <w:spacing w:val="5"/>
          <w:sz w:val="24"/>
          <w:szCs w:val="24"/>
          <w:lang w:val="en" w:eastAsia="it-IT"/>
        </w:rPr>
        <w:t xml:space="preserve"> is the number of particles) configuration space. As </w:t>
      </w:r>
      <w:r w:rsidRPr="00C2492A">
        <w:rPr>
          <w:rFonts w:ascii="Times New Roman" w:eastAsia="Times New Roman" w:hAnsi="Times New Roman" w:cs="Times New Roman"/>
          <w:i/>
          <w:iCs/>
          <w:color w:val="111111"/>
          <w:spacing w:val="5"/>
          <w:sz w:val="24"/>
          <w:szCs w:val="24"/>
          <w:lang w:val="en" w:eastAsia="it-IT"/>
        </w:rPr>
        <w:t>N</w:t>
      </w:r>
      <w:r w:rsidRPr="00C2492A">
        <w:rPr>
          <w:rFonts w:ascii="Times New Roman" w:eastAsia="Times New Roman" w:hAnsi="Times New Roman" w:cs="Times New Roman"/>
          <w:color w:val="111111"/>
          <w:spacing w:val="5"/>
          <w:sz w:val="24"/>
          <w:szCs w:val="24"/>
          <w:lang w:val="en" w:eastAsia="it-IT"/>
        </w:rPr>
        <w:t xml:space="preserve"> increases, the terms in the quantum state progressively “</w:t>
      </w:r>
      <w:proofErr w:type="spellStart"/>
      <w:r w:rsidRPr="00C2492A">
        <w:rPr>
          <w:rFonts w:ascii="Times New Roman" w:eastAsia="Times New Roman" w:hAnsi="Times New Roman" w:cs="Times New Roman"/>
          <w:color w:val="111111"/>
          <w:spacing w:val="5"/>
          <w:sz w:val="24"/>
          <w:szCs w:val="24"/>
          <w:lang w:val="en" w:eastAsia="it-IT"/>
        </w:rPr>
        <w:t>decohere</w:t>
      </w:r>
      <w:proofErr w:type="spellEnd"/>
      <w:r w:rsidRPr="00C2492A">
        <w:rPr>
          <w:rFonts w:ascii="Times New Roman" w:eastAsia="Times New Roman" w:hAnsi="Times New Roman" w:cs="Times New Roman"/>
          <w:color w:val="111111"/>
          <w:spacing w:val="5"/>
          <w:sz w:val="24"/>
          <w:szCs w:val="24"/>
          <w:lang w:val="en" w:eastAsia="it-IT"/>
        </w:rPr>
        <w:t>,” which explains why cats—unlike photons—are not seen to interfere, while not introducing a sharp and hard-to-locate division between “microscopic” and “macroscopic” objects. The fact that Ψ evolves in the configuration space certainly is counterintuitive, but perhaps not more so than alternative solutions to the two mysteries, which are discussed and criticized in Chapter 6.</w:t>
      </w:r>
    </w:p>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en" w:eastAsia="it-IT"/>
        </w:rPr>
      </w:pPr>
      <w:r w:rsidRPr="00C2492A">
        <w:rPr>
          <w:rFonts w:ascii="Times New Roman" w:eastAsia="Times New Roman" w:hAnsi="Times New Roman" w:cs="Times New Roman"/>
          <w:color w:val="111111"/>
          <w:spacing w:val="5"/>
          <w:sz w:val="24"/>
          <w:szCs w:val="24"/>
          <w:lang w:val="en" w:eastAsia="it-IT"/>
        </w:rPr>
        <w:t xml:space="preserve">Some competing solutions are interpretations, which I would qualify as </w:t>
      </w:r>
      <w:r w:rsidRPr="00C2492A">
        <w:rPr>
          <w:rFonts w:ascii="Times New Roman" w:eastAsia="Times New Roman" w:hAnsi="Times New Roman" w:cs="Times New Roman"/>
          <w:i/>
          <w:iCs/>
          <w:color w:val="111111"/>
          <w:spacing w:val="5"/>
          <w:sz w:val="24"/>
          <w:szCs w:val="24"/>
          <w:lang w:val="en" w:eastAsia="it-IT"/>
        </w:rPr>
        <w:t>philosophical</w:t>
      </w:r>
      <w:r w:rsidRPr="00C2492A">
        <w:rPr>
          <w:rFonts w:ascii="Times New Roman" w:eastAsia="Times New Roman" w:hAnsi="Times New Roman" w:cs="Times New Roman"/>
          <w:color w:val="111111"/>
          <w:spacing w:val="5"/>
          <w:sz w:val="24"/>
          <w:szCs w:val="24"/>
          <w:lang w:val="en" w:eastAsia="it-IT"/>
        </w:rPr>
        <w:t xml:space="preserve">, while others are alternative </w:t>
      </w:r>
      <w:r w:rsidRPr="00C2492A">
        <w:rPr>
          <w:rFonts w:ascii="Times New Roman" w:eastAsia="Times New Roman" w:hAnsi="Times New Roman" w:cs="Times New Roman"/>
          <w:i/>
          <w:iCs/>
          <w:color w:val="111111"/>
          <w:spacing w:val="5"/>
          <w:sz w:val="24"/>
          <w:szCs w:val="24"/>
          <w:lang w:val="en" w:eastAsia="it-IT"/>
        </w:rPr>
        <w:t>physical</w:t>
      </w:r>
      <w:r w:rsidRPr="00C2492A">
        <w:rPr>
          <w:rFonts w:ascii="Times New Roman" w:eastAsia="Times New Roman" w:hAnsi="Times New Roman" w:cs="Times New Roman"/>
          <w:color w:val="111111"/>
          <w:spacing w:val="5"/>
          <w:sz w:val="24"/>
          <w:szCs w:val="24"/>
          <w:lang w:val="en" w:eastAsia="it-IT"/>
        </w:rPr>
        <w:t xml:space="preserve"> theories which aim at completing standard quantum mechanics, just like BBT does. I would classify interpretations inspired by Bohr and the Copenhagen school and the various interpretations, such as </w:t>
      </w:r>
      <w:proofErr w:type="spellStart"/>
      <w:r w:rsidRPr="00C2492A">
        <w:rPr>
          <w:rFonts w:ascii="Times New Roman" w:eastAsia="Times New Roman" w:hAnsi="Times New Roman" w:cs="Times New Roman"/>
          <w:color w:val="111111"/>
          <w:spacing w:val="5"/>
          <w:sz w:val="24"/>
          <w:szCs w:val="24"/>
          <w:lang w:val="en" w:eastAsia="it-IT"/>
        </w:rPr>
        <w:t>QBism</w:t>
      </w:r>
      <w:proofErr w:type="spellEnd"/>
      <w:r w:rsidRPr="00C2492A">
        <w:rPr>
          <w:rFonts w:ascii="Times New Roman" w:eastAsia="Times New Roman" w:hAnsi="Times New Roman" w:cs="Times New Roman"/>
          <w:color w:val="111111"/>
          <w:spacing w:val="5"/>
          <w:sz w:val="24"/>
          <w:szCs w:val="24"/>
          <w:lang w:val="en" w:eastAsia="it-IT"/>
        </w:rPr>
        <w:t xml:space="preserve">, i.e., Quantum </w:t>
      </w:r>
      <w:proofErr w:type="spellStart"/>
      <w:r w:rsidRPr="00C2492A">
        <w:rPr>
          <w:rFonts w:ascii="Times New Roman" w:eastAsia="Times New Roman" w:hAnsi="Times New Roman" w:cs="Times New Roman"/>
          <w:color w:val="111111"/>
          <w:spacing w:val="5"/>
          <w:sz w:val="24"/>
          <w:szCs w:val="24"/>
          <w:lang w:val="en" w:eastAsia="it-IT"/>
        </w:rPr>
        <w:lastRenderedPageBreak/>
        <w:t>Bayesianism</w:t>
      </w:r>
      <w:proofErr w:type="spellEnd"/>
      <w:r w:rsidRPr="00C2492A">
        <w:rPr>
          <w:rFonts w:ascii="Times New Roman" w:eastAsia="Times New Roman" w:hAnsi="Times New Roman" w:cs="Times New Roman"/>
          <w:color w:val="111111"/>
          <w:spacing w:val="5"/>
          <w:sz w:val="24"/>
          <w:szCs w:val="24"/>
          <w:lang w:val="en" w:eastAsia="it-IT"/>
        </w:rPr>
        <w:t xml:space="preserve"> § 6.4, which bring in an active role of the observer as philosophical, because they do not generate an alternative physical theory. I also include the many-worlds interpretations (§ 6.1) in the philosophical category since they postulate the existence of a gigantic proliferation of worlds, which are in practice inaccessible to any possible observation. On the other hand, the spontaneous collapse theories proposed by </w:t>
      </w:r>
      <w:proofErr w:type="spellStart"/>
      <w:r w:rsidRPr="00C2492A">
        <w:rPr>
          <w:rFonts w:ascii="Times New Roman" w:eastAsia="Times New Roman" w:hAnsi="Times New Roman" w:cs="Times New Roman"/>
          <w:color w:val="111111"/>
          <w:spacing w:val="5"/>
          <w:sz w:val="24"/>
          <w:szCs w:val="24"/>
          <w:lang w:val="en" w:eastAsia="it-IT"/>
        </w:rPr>
        <w:t>Ghirardi</w:t>
      </w:r>
      <w:proofErr w:type="spellEnd"/>
      <w:r w:rsidRPr="00C2492A">
        <w:rPr>
          <w:rFonts w:ascii="Times New Roman" w:eastAsia="Times New Roman" w:hAnsi="Times New Roman" w:cs="Times New Roman"/>
          <w:color w:val="111111"/>
          <w:spacing w:val="5"/>
          <w:sz w:val="24"/>
          <w:szCs w:val="24"/>
          <w:lang w:val="en" w:eastAsia="it-IT"/>
        </w:rPr>
        <w:t xml:space="preserve">–Rimini–Weber (GRW) (§ 6.2), some of whose parameters are adjusted in such a way that its empirical predictions agree in practice with QM, and the </w:t>
      </w:r>
      <w:proofErr w:type="spellStart"/>
      <w:r w:rsidRPr="00C2492A">
        <w:rPr>
          <w:rFonts w:ascii="Times New Roman" w:eastAsia="Times New Roman" w:hAnsi="Times New Roman" w:cs="Times New Roman"/>
          <w:color w:val="111111"/>
          <w:spacing w:val="5"/>
          <w:sz w:val="24"/>
          <w:szCs w:val="24"/>
          <w:lang w:val="en" w:eastAsia="it-IT"/>
        </w:rPr>
        <w:t>decoherent</w:t>
      </w:r>
      <w:proofErr w:type="spellEnd"/>
      <w:r w:rsidRPr="00C2492A">
        <w:rPr>
          <w:rFonts w:ascii="Times New Roman" w:eastAsia="Times New Roman" w:hAnsi="Times New Roman" w:cs="Times New Roman"/>
          <w:color w:val="111111"/>
          <w:spacing w:val="5"/>
          <w:sz w:val="24"/>
          <w:szCs w:val="24"/>
          <w:lang w:val="en" w:eastAsia="it-IT"/>
        </w:rPr>
        <w:t xml:space="preserve"> histories approach (§ 6.3), which completes QM, can be taken to be physical. This distinction between philosophical interpretations and physical theories should have been made clearer by the author.</w:t>
      </w:r>
    </w:p>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en" w:eastAsia="it-IT"/>
        </w:rPr>
      </w:pPr>
      <w:r w:rsidRPr="00C2492A">
        <w:rPr>
          <w:rFonts w:ascii="Times New Roman" w:eastAsia="Times New Roman" w:hAnsi="Times New Roman" w:cs="Times New Roman"/>
          <w:color w:val="111111"/>
          <w:spacing w:val="5"/>
          <w:sz w:val="24"/>
          <w:szCs w:val="24"/>
          <w:lang w:val="en" w:eastAsia="it-IT"/>
        </w:rPr>
        <w:t xml:space="preserve">After careful examination, Bricmont concludes (228) that unlike </w:t>
      </w:r>
      <w:proofErr w:type="spellStart"/>
      <w:r w:rsidRPr="00C2492A">
        <w:rPr>
          <w:rFonts w:ascii="Times New Roman" w:eastAsia="Times New Roman" w:hAnsi="Times New Roman" w:cs="Times New Roman"/>
          <w:color w:val="111111"/>
          <w:spacing w:val="5"/>
          <w:sz w:val="24"/>
          <w:szCs w:val="24"/>
          <w:lang w:val="en" w:eastAsia="it-IT"/>
        </w:rPr>
        <w:t>decoherent</w:t>
      </w:r>
      <w:proofErr w:type="spellEnd"/>
      <w:r w:rsidRPr="00C2492A">
        <w:rPr>
          <w:rFonts w:ascii="Times New Roman" w:eastAsia="Times New Roman" w:hAnsi="Times New Roman" w:cs="Times New Roman"/>
          <w:color w:val="111111"/>
          <w:spacing w:val="5"/>
          <w:sz w:val="24"/>
          <w:szCs w:val="24"/>
          <w:lang w:val="en" w:eastAsia="it-IT"/>
        </w:rPr>
        <w:t xml:space="preserve"> approaches BBT is not inconsistent and, unlike GRW theories, agrees with quantum mechanical predictions without introducing ad hoc assumptions. The main unresolved problem remains the reconciliation of non-locality with relativity, since the latter implies that the causal order of distant spin measurements of correlated particles could be different in distinct reference frames. Yet this problem is to be faced by all because of non-locality (181).</w:t>
      </w:r>
    </w:p>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en" w:eastAsia="it-IT"/>
        </w:rPr>
      </w:pPr>
      <w:r w:rsidRPr="00C2492A">
        <w:rPr>
          <w:rFonts w:ascii="Times New Roman" w:eastAsia="Times New Roman" w:hAnsi="Times New Roman" w:cs="Times New Roman"/>
          <w:color w:val="111111"/>
          <w:spacing w:val="5"/>
          <w:sz w:val="24"/>
          <w:szCs w:val="24"/>
          <w:lang w:val="en" w:eastAsia="it-IT"/>
        </w:rPr>
        <w:t>Chapter 7 revisits major episodes of the history of quantum mechanics such as the Einstein–Bohr debate and the von Neumann’s no-hidden-variables theorem. On the basis of a wealth of citations, Bricmont explores the physical, philosophical and also political reasons why de Broglie’s and Bohm’s views were widely misunderstood, attacked or simply ignored. He concludes by saying that “in formally free societies, unpopular and heterodox opinions can be silenced as effectively … as in dictatorships” (282).</w:t>
      </w:r>
    </w:p>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en" w:eastAsia="it-IT"/>
        </w:rPr>
      </w:pPr>
      <w:r w:rsidRPr="00C2492A">
        <w:rPr>
          <w:rFonts w:ascii="Times New Roman" w:eastAsia="Times New Roman" w:hAnsi="Times New Roman" w:cs="Times New Roman"/>
          <w:color w:val="111111"/>
          <w:spacing w:val="5"/>
          <w:sz w:val="24"/>
          <w:szCs w:val="24"/>
          <w:lang w:val="en" w:eastAsia="it-IT"/>
        </w:rPr>
        <w:t>The short concluding chapter starts with a 1945 quotation by Bertrand Russell:</w:t>
      </w:r>
    </w:p>
    <w:p w:rsidR="00C2492A" w:rsidRPr="00C2492A" w:rsidRDefault="00C2492A" w:rsidP="00C2492A">
      <w:pPr>
        <w:shd w:val="clear" w:color="auto" w:fill="FFFFFF"/>
        <w:spacing w:after="150" w:line="336" w:lineRule="atLeast"/>
        <w:jc w:val="both"/>
        <w:rPr>
          <w:rFonts w:ascii="Times New Roman" w:eastAsia="Times New Roman" w:hAnsi="Times New Roman" w:cs="Times New Roman"/>
          <w:color w:val="111111"/>
          <w:spacing w:val="5"/>
          <w:sz w:val="24"/>
          <w:szCs w:val="24"/>
          <w:lang w:val="en" w:eastAsia="it-IT"/>
        </w:rPr>
      </w:pPr>
      <w:r w:rsidRPr="00C2492A">
        <w:rPr>
          <w:rFonts w:ascii="Times New Roman" w:eastAsia="Times New Roman" w:hAnsi="Times New Roman" w:cs="Times New Roman"/>
          <w:color w:val="111111"/>
          <w:spacing w:val="5"/>
          <w:sz w:val="24"/>
          <w:szCs w:val="24"/>
          <w:lang w:val="en" w:eastAsia="it-IT"/>
        </w:rPr>
        <w:t>The concept of “truth” as something dependent upon facts largely outside human control has been one of the ways in which philosophy has inculcated the necessary element of humility. When this check on pride is removed, a further step is taken … towards a certain kind of madness—the intoxication of power to which modern men … are prone … [This is] the greatest danger of our time, and any philosophy which … contributes to it is increasing the danger of vast social disaster (285).</w:t>
      </w:r>
    </w:p>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en" w:eastAsia="it-IT"/>
        </w:rPr>
      </w:pPr>
      <w:r w:rsidRPr="00C2492A">
        <w:rPr>
          <w:rFonts w:ascii="Times New Roman" w:eastAsia="Times New Roman" w:hAnsi="Times New Roman" w:cs="Times New Roman"/>
          <w:color w:val="111111"/>
          <w:spacing w:val="5"/>
          <w:sz w:val="24"/>
          <w:szCs w:val="24"/>
          <w:lang w:val="en" w:eastAsia="it-IT"/>
        </w:rPr>
        <w:t>If quantum mechanics is interpreted as dealing with our knowledge or information and not with what there is (199, 291), as Bohr claimed and many contemporary physicists still believe, this is grist for the mill of postmodern and idealist philosophers who are losing contact with reality. Surely, Bohr was right in insisting on the active role of the measuring apparatus, which is an objective physical interaction after all. However, non-locality together with the relativity of simultaneity entails that the cause-effect order is not frame invariant. As Bricmont says, “a genuine merging of quantum mechanics and relativity is still an open problem, and might be called the great unrecognized frontier of physics” (293).</w:t>
      </w:r>
    </w:p>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en" w:eastAsia="it-IT"/>
        </w:rPr>
      </w:pPr>
      <w:r w:rsidRPr="00C2492A">
        <w:rPr>
          <w:rFonts w:ascii="Times New Roman" w:eastAsia="Times New Roman" w:hAnsi="Times New Roman" w:cs="Times New Roman"/>
          <w:color w:val="111111"/>
          <w:spacing w:val="5"/>
          <w:sz w:val="24"/>
          <w:szCs w:val="24"/>
          <w:lang w:val="en" w:eastAsia="it-IT"/>
        </w:rPr>
        <w:lastRenderedPageBreak/>
        <w:t>Bricmont draws the final conclusion that BBT accounts for the collapse rule, the no-hidden variable theorems, the apparent randomness of QM, and the alleged non-locality of the world. He then boldly states that “no alternative to BBT comes close to achieving all that” (292).</w:t>
      </w:r>
    </w:p>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en" w:eastAsia="it-IT"/>
        </w:rPr>
      </w:pPr>
      <w:r w:rsidRPr="00C2492A">
        <w:rPr>
          <w:rFonts w:ascii="Times New Roman" w:eastAsia="Times New Roman" w:hAnsi="Times New Roman" w:cs="Times New Roman"/>
          <w:color w:val="111111"/>
          <w:spacing w:val="5"/>
          <w:sz w:val="24"/>
          <w:szCs w:val="24"/>
          <w:lang w:val="en" w:eastAsia="it-IT"/>
        </w:rPr>
        <w:t>One may of course disagree with Bricmont on this. Yet one can certainly agree with him when he recommends that the critical abilities of physics students should not be smothered by still often-heard pronouncements such as “Bohr explained everything” or “Don’t ask questions and calculate.” Instead students should be stimulated by being taught the “two mysteries” and the proposed solutions to them, among which the de Broglie–Bohm theory certainly deserves a prominent place.</w:t>
      </w:r>
    </w:p>
    <w:p w:rsidR="00C2492A" w:rsidRPr="00C2492A" w:rsidRDefault="00C2492A" w:rsidP="00C2492A">
      <w:pPr>
        <w:shd w:val="clear" w:color="auto" w:fill="FFFFFF"/>
        <w:spacing w:after="120" w:line="192" w:lineRule="atLeast"/>
        <w:rPr>
          <w:rFonts w:ascii="Georgia" w:eastAsia="Times New Roman" w:hAnsi="Georgia" w:cs="Times New Roman"/>
          <w:color w:val="111111"/>
          <w:spacing w:val="5"/>
          <w:sz w:val="24"/>
          <w:szCs w:val="24"/>
          <w:lang w:val="en" w:eastAsia="it-IT"/>
        </w:rPr>
      </w:pPr>
      <w:r w:rsidRPr="00C2492A">
        <w:rPr>
          <w:rFonts w:ascii="Georgia" w:eastAsia="Times New Roman" w:hAnsi="Georgia" w:cs="Times New Roman"/>
          <w:color w:val="111111"/>
          <w:spacing w:val="5"/>
          <w:sz w:val="24"/>
          <w:szCs w:val="24"/>
          <w:lang w:val="en" w:eastAsia="it-IT"/>
        </w:rPr>
        <w:t>Acknowledgements</w:t>
      </w:r>
    </w:p>
    <w:p w:rsidR="00C2492A" w:rsidRPr="00C2492A" w:rsidRDefault="00C2492A" w:rsidP="00C2492A">
      <w:pPr>
        <w:shd w:val="clear" w:color="auto" w:fill="FFFFFF"/>
        <w:spacing w:after="0" w:line="336" w:lineRule="atLeast"/>
        <w:rPr>
          <w:rFonts w:ascii="Times New Roman" w:eastAsia="Times New Roman" w:hAnsi="Times New Roman" w:cs="Times New Roman"/>
          <w:color w:val="111111"/>
          <w:spacing w:val="5"/>
          <w:sz w:val="24"/>
          <w:szCs w:val="24"/>
          <w:lang w:val="en" w:eastAsia="it-IT"/>
        </w:rPr>
      </w:pPr>
      <w:r w:rsidRPr="00C2492A">
        <w:rPr>
          <w:rFonts w:ascii="Times New Roman" w:eastAsia="Times New Roman" w:hAnsi="Times New Roman" w:cs="Times New Roman"/>
          <w:color w:val="111111"/>
          <w:spacing w:val="5"/>
          <w:sz w:val="24"/>
          <w:szCs w:val="24"/>
          <w:lang w:val="en" w:eastAsia="it-IT"/>
        </w:rPr>
        <w:t>The author is indebted to Jean Bricmont and Harvey Brown for their useful comments on a first draft of this review.</w:t>
      </w:r>
    </w:p>
    <w:p w:rsidR="0099025B" w:rsidRPr="00C2492A" w:rsidRDefault="0099025B">
      <w:pPr>
        <w:rPr>
          <w:lang w:val="en"/>
        </w:rPr>
      </w:pPr>
      <w:bookmarkStart w:id="0" w:name="_GoBack"/>
      <w:bookmarkEnd w:id="0"/>
    </w:p>
    <w:sectPr w:rsidR="0099025B" w:rsidRPr="00C2492A">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20"/>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92A"/>
    <w:rsid w:val="0099025B"/>
    <w:rsid w:val="00C24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2492A"/>
    <w:rPr>
      <w:strike w:val="0"/>
      <w:dstrike w:val="0"/>
      <w:color w:val="0000FF"/>
      <w:u w:val="none"/>
      <w:effect w:val="none"/>
    </w:rPr>
  </w:style>
  <w:style w:type="character" w:customStyle="1" w:styleId="authorname">
    <w:name w:val="authorname"/>
    <w:basedOn w:val="Policepardfaut"/>
    <w:rsid w:val="00C2492A"/>
  </w:style>
  <w:style w:type="character" w:customStyle="1" w:styleId="givenname">
    <w:name w:val="givenname"/>
    <w:basedOn w:val="Policepardfaut"/>
    <w:rsid w:val="00C2492A"/>
  </w:style>
  <w:style w:type="character" w:customStyle="1" w:styleId="supaff1">
    <w:name w:val="supaff1"/>
    <w:basedOn w:val="Policepardfaut"/>
    <w:rsid w:val="00C2492A"/>
    <w:rPr>
      <w:vanish w:val="0"/>
      <w:webHidden w:val="0"/>
      <w:color w:val="808080"/>
      <w:specVanish w:val="0"/>
    </w:rPr>
  </w:style>
  <w:style w:type="character" w:customStyle="1" w:styleId="contact">
    <w:name w:val="contact"/>
    <w:basedOn w:val="Policepardfaut"/>
    <w:rsid w:val="00C2492A"/>
  </w:style>
  <w:style w:type="character" w:customStyle="1" w:styleId="editnotallowed1">
    <w:name w:val="editnotallowed1"/>
    <w:basedOn w:val="Policepardfaut"/>
    <w:rsid w:val="00C2492A"/>
    <w:rPr>
      <w:vanish w:val="0"/>
      <w:webHidden w:val="0"/>
      <w:color w:val="808080"/>
      <w:specVanish w:val="0"/>
    </w:rPr>
  </w:style>
  <w:style w:type="character" w:customStyle="1" w:styleId="email">
    <w:name w:val="email"/>
    <w:basedOn w:val="Policepardfaut"/>
    <w:rsid w:val="00C2492A"/>
  </w:style>
  <w:style w:type="character" w:customStyle="1" w:styleId="orgdivision">
    <w:name w:val="orgdivision"/>
    <w:basedOn w:val="Policepardfaut"/>
    <w:rsid w:val="00C2492A"/>
  </w:style>
  <w:style w:type="character" w:customStyle="1" w:styleId="orgname">
    <w:name w:val="orgname"/>
    <w:basedOn w:val="Policepardfaut"/>
    <w:rsid w:val="00C2492A"/>
  </w:style>
  <w:style w:type="character" w:customStyle="1" w:styleId="street">
    <w:name w:val="street"/>
    <w:basedOn w:val="Policepardfaut"/>
    <w:rsid w:val="00C2492A"/>
  </w:style>
  <w:style w:type="character" w:customStyle="1" w:styleId="postcode">
    <w:name w:val="postcode"/>
    <w:basedOn w:val="Policepardfaut"/>
    <w:rsid w:val="00C2492A"/>
  </w:style>
  <w:style w:type="character" w:customStyle="1" w:styleId="city">
    <w:name w:val="city"/>
    <w:basedOn w:val="Policepardfaut"/>
    <w:rsid w:val="00C2492A"/>
  </w:style>
  <w:style w:type="character" w:customStyle="1" w:styleId="country">
    <w:name w:val="country"/>
    <w:basedOn w:val="Policepardfaut"/>
    <w:rsid w:val="00C2492A"/>
  </w:style>
  <w:style w:type="character" w:customStyle="1" w:styleId="commenttext1">
    <w:name w:val="commenttext1"/>
    <w:basedOn w:val="Policepardfaut"/>
    <w:rsid w:val="00C2492A"/>
    <w:rPr>
      <w:rFonts w:ascii="Tahoma" w:hAnsi="Tahoma" w:cs="Tahoma" w:hint="default"/>
      <w:b w:val="0"/>
      <w:bCs w:val="0"/>
      <w:i w:val="0"/>
      <w:iCs w:val="0"/>
      <w:vanish/>
      <w:webHidden w:val="0"/>
      <w:color w:val="333333"/>
      <w:spacing w:val="5"/>
      <w:sz w:val="23"/>
      <w:szCs w:val="23"/>
      <w:bdr w:val="single" w:sz="12" w:space="4" w:color="FFFFFF" w:frame="1"/>
      <w:shd w:val="clear" w:color="auto" w:fill="AAEBFF"/>
      <w:specVanish w:val="0"/>
    </w:rPr>
  </w:style>
  <w:style w:type="character" w:customStyle="1" w:styleId="italic1">
    <w:name w:val="italic1"/>
    <w:basedOn w:val="Policepardfaut"/>
    <w:rsid w:val="00C2492A"/>
    <w:rPr>
      <w:i/>
      <w:iCs/>
    </w:rPr>
  </w:style>
  <w:style w:type="character" w:customStyle="1" w:styleId="oxedel11">
    <w:name w:val="oxedel_11"/>
    <w:basedOn w:val="Policepardfaut"/>
    <w:rsid w:val="00C2492A"/>
    <w:rPr>
      <w:strike/>
      <w:color w:val="FF0000"/>
      <w:shd w:val="clear" w:color="auto" w:fill="FFFF00"/>
    </w:rPr>
  </w:style>
  <w:style w:type="character" w:customStyle="1" w:styleId="oxeins12">
    <w:name w:val="oxeins_12"/>
    <w:basedOn w:val="Policepardfaut"/>
    <w:rsid w:val="00C2492A"/>
    <w:rPr>
      <w:color w:val="0000FF"/>
      <w:shd w:val="clear" w:color="auto" w:fill="FFFF00"/>
    </w:rPr>
  </w:style>
  <w:style w:type="character" w:customStyle="1" w:styleId="oxedel12">
    <w:name w:val="oxedel_12"/>
    <w:basedOn w:val="Policepardfaut"/>
    <w:rsid w:val="00C2492A"/>
    <w:rPr>
      <w:strike/>
      <w:color w:val="FF0000"/>
      <w:shd w:val="clear" w:color="auto" w:fill="FFFF00"/>
    </w:rPr>
  </w:style>
  <w:style w:type="character" w:customStyle="1" w:styleId="oxeins13">
    <w:name w:val="oxeins_13"/>
    <w:basedOn w:val="Policepardfaut"/>
    <w:rsid w:val="00C2492A"/>
    <w:rPr>
      <w:color w:val="0000FF"/>
      <w:shd w:val="clear" w:color="auto" w:fill="FFFF00"/>
    </w:rPr>
  </w:style>
  <w:style w:type="character" w:customStyle="1" w:styleId="oxeins14">
    <w:name w:val="oxeins_14"/>
    <w:basedOn w:val="Policepardfaut"/>
    <w:rsid w:val="00C2492A"/>
    <w:rPr>
      <w:color w:val="0000FF"/>
      <w:shd w:val="clear" w:color="auto" w:fill="FFFF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2492A"/>
    <w:rPr>
      <w:strike w:val="0"/>
      <w:dstrike w:val="0"/>
      <w:color w:val="0000FF"/>
      <w:u w:val="none"/>
      <w:effect w:val="none"/>
    </w:rPr>
  </w:style>
  <w:style w:type="character" w:customStyle="1" w:styleId="authorname">
    <w:name w:val="authorname"/>
    <w:basedOn w:val="Policepardfaut"/>
    <w:rsid w:val="00C2492A"/>
  </w:style>
  <w:style w:type="character" w:customStyle="1" w:styleId="givenname">
    <w:name w:val="givenname"/>
    <w:basedOn w:val="Policepardfaut"/>
    <w:rsid w:val="00C2492A"/>
  </w:style>
  <w:style w:type="character" w:customStyle="1" w:styleId="supaff1">
    <w:name w:val="supaff1"/>
    <w:basedOn w:val="Policepardfaut"/>
    <w:rsid w:val="00C2492A"/>
    <w:rPr>
      <w:vanish w:val="0"/>
      <w:webHidden w:val="0"/>
      <w:color w:val="808080"/>
      <w:specVanish w:val="0"/>
    </w:rPr>
  </w:style>
  <w:style w:type="character" w:customStyle="1" w:styleId="contact">
    <w:name w:val="contact"/>
    <w:basedOn w:val="Policepardfaut"/>
    <w:rsid w:val="00C2492A"/>
  </w:style>
  <w:style w:type="character" w:customStyle="1" w:styleId="editnotallowed1">
    <w:name w:val="editnotallowed1"/>
    <w:basedOn w:val="Policepardfaut"/>
    <w:rsid w:val="00C2492A"/>
    <w:rPr>
      <w:vanish w:val="0"/>
      <w:webHidden w:val="0"/>
      <w:color w:val="808080"/>
      <w:specVanish w:val="0"/>
    </w:rPr>
  </w:style>
  <w:style w:type="character" w:customStyle="1" w:styleId="email">
    <w:name w:val="email"/>
    <w:basedOn w:val="Policepardfaut"/>
    <w:rsid w:val="00C2492A"/>
  </w:style>
  <w:style w:type="character" w:customStyle="1" w:styleId="orgdivision">
    <w:name w:val="orgdivision"/>
    <w:basedOn w:val="Policepardfaut"/>
    <w:rsid w:val="00C2492A"/>
  </w:style>
  <w:style w:type="character" w:customStyle="1" w:styleId="orgname">
    <w:name w:val="orgname"/>
    <w:basedOn w:val="Policepardfaut"/>
    <w:rsid w:val="00C2492A"/>
  </w:style>
  <w:style w:type="character" w:customStyle="1" w:styleId="street">
    <w:name w:val="street"/>
    <w:basedOn w:val="Policepardfaut"/>
    <w:rsid w:val="00C2492A"/>
  </w:style>
  <w:style w:type="character" w:customStyle="1" w:styleId="postcode">
    <w:name w:val="postcode"/>
    <w:basedOn w:val="Policepardfaut"/>
    <w:rsid w:val="00C2492A"/>
  </w:style>
  <w:style w:type="character" w:customStyle="1" w:styleId="city">
    <w:name w:val="city"/>
    <w:basedOn w:val="Policepardfaut"/>
    <w:rsid w:val="00C2492A"/>
  </w:style>
  <w:style w:type="character" w:customStyle="1" w:styleId="country">
    <w:name w:val="country"/>
    <w:basedOn w:val="Policepardfaut"/>
    <w:rsid w:val="00C2492A"/>
  </w:style>
  <w:style w:type="character" w:customStyle="1" w:styleId="commenttext1">
    <w:name w:val="commenttext1"/>
    <w:basedOn w:val="Policepardfaut"/>
    <w:rsid w:val="00C2492A"/>
    <w:rPr>
      <w:rFonts w:ascii="Tahoma" w:hAnsi="Tahoma" w:cs="Tahoma" w:hint="default"/>
      <w:b w:val="0"/>
      <w:bCs w:val="0"/>
      <w:i w:val="0"/>
      <w:iCs w:val="0"/>
      <w:vanish/>
      <w:webHidden w:val="0"/>
      <w:color w:val="333333"/>
      <w:spacing w:val="5"/>
      <w:sz w:val="23"/>
      <w:szCs w:val="23"/>
      <w:bdr w:val="single" w:sz="12" w:space="4" w:color="FFFFFF" w:frame="1"/>
      <w:shd w:val="clear" w:color="auto" w:fill="AAEBFF"/>
      <w:specVanish w:val="0"/>
    </w:rPr>
  </w:style>
  <w:style w:type="character" w:customStyle="1" w:styleId="italic1">
    <w:name w:val="italic1"/>
    <w:basedOn w:val="Policepardfaut"/>
    <w:rsid w:val="00C2492A"/>
    <w:rPr>
      <w:i/>
      <w:iCs/>
    </w:rPr>
  </w:style>
  <w:style w:type="character" w:customStyle="1" w:styleId="oxedel11">
    <w:name w:val="oxedel_11"/>
    <w:basedOn w:val="Policepardfaut"/>
    <w:rsid w:val="00C2492A"/>
    <w:rPr>
      <w:strike/>
      <w:color w:val="FF0000"/>
      <w:shd w:val="clear" w:color="auto" w:fill="FFFF00"/>
    </w:rPr>
  </w:style>
  <w:style w:type="character" w:customStyle="1" w:styleId="oxeins12">
    <w:name w:val="oxeins_12"/>
    <w:basedOn w:val="Policepardfaut"/>
    <w:rsid w:val="00C2492A"/>
    <w:rPr>
      <w:color w:val="0000FF"/>
      <w:shd w:val="clear" w:color="auto" w:fill="FFFF00"/>
    </w:rPr>
  </w:style>
  <w:style w:type="character" w:customStyle="1" w:styleId="oxedel12">
    <w:name w:val="oxedel_12"/>
    <w:basedOn w:val="Policepardfaut"/>
    <w:rsid w:val="00C2492A"/>
    <w:rPr>
      <w:strike/>
      <w:color w:val="FF0000"/>
      <w:shd w:val="clear" w:color="auto" w:fill="FFFF00"/>
    </w:rPr>
  </w:style>
  <w:style w:type="character" w:customStyle="1" w:styleId="oxeins13">
    <w:name w:val="oxeins_13"/>
    <w:basedOn w:val="Policepardfaut"/>
    <w:rsid w:val="00C2492A"/>
    <w:rPr>
      <w:color w:val="0000FF"/>
      <w:shd w:val="clear" w:color="auto" w:fill="FFFF00"/>
    </w:rPr>
  </w:style>
  <w:style w:type="character" w:customStyle="1" w:styleId="oxeins14">
    <w:name w:val="oxeins_14"/>
    <w:basedOn w:val="Policepardfaut"/>
    <w:rsid w:val="00C2492A"/>
    <w:rPr>
      <w:color w:val="0000FF"/>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419163">
      <w:bodyDiv w:val="1"/>
      <w:marLeft w:val="0"/>
      <w:marRight w:val="0"/>
      <w:marTop w:val="0"/>
      <w:marBottom w:val="0"/>
      <w:divBdr>
        <w:top w:val="none" w:sz="0" w:space="0" w:color="auto"/>
        <w:left w:val="none" w:sz="0" w:space="0" w:color="auto"/>
        <w:bottom w:val="none" w:sz="0" w:space="0" w:color="auto"/>
        <w:right w:val="none" w:sz="0" w:space="0" w:color="auto"/>
      </w:divBdr>
      <w:divsChild>
        <w:div w:id="213585274">
          <w:marLeft w:val="0"/>
          <w:marRight w:val="0"/>
          <w:marTop w:val="0"/>
          <w:marBottom w:val="0"/>
          <w:divBdr>
            <w:top w:val="none" w:sz="0" w:space="0" w:color="auto"/>
            <w:left w:val="none" w:sz="0" w:space="0" w:color="auto"/>
            <w:bottom w:val="none" w:sz="0" w:space="0" w:color="auto"/>
            <w:right w:val="none" w:sz="0" w:space="0" w:color="auto"/>
          </w:divBdr>
          <w:divsChild>
            <w:div w:id="1146243424">
              <w:marLeft w:val="0"/>
              <w:marRight w:val="0"/>
              <w:marTop w:val="0"/>
              <w:marBottom w:val="0"/>
              <w:divBdr>
                <w:top w:val="none" w:sz="0" w:space="0" w:color="auto"/>
                <w:left w:val="none" w:sz="0" w:space="0" w:color="auto"/>
                <w:bottom w:val="none" w:sz="0" w:space="0" w:color="auto"/>
                <w:right w:val="none" w:sz="0" w:space="0" w:color="auto"/>
              </w:divBdr>
              <w:divsChild>
                <w:div w:id="1839298744">
                  <w:marLeft w:val="0"/>
                  <w:marRight w:val="0"/>
                  <w:marTop w:val="0"/>
                  <w:marBottom w:val="0"/>
                  <w:divBdr>
                    <w:top w:val="none" w:sz="0" w:space="0" w:color="auto"/>
                    <w:left w:val="none" w:sz="0" w:space="0" w:color="auto"/>
                    <w:bottom w:val="none" w:sz="0" w:space="0" w:color="auto"/>
                    <w:right w:val="none" w:sz="0" w:space="0" w:color="auto"/>
                  </w:divBdr>
                  <w:divsChild>
                    <w:div w:id="1186021013">
                      <w:marLeft w:val="0"/>
                      <w:marRight w:val="0"/>
                      <w:marTop w:val="0"/>
                      <w:marBottom w:val="0"/>
                      <w:divBdr>
                        <w:top w:val="none" w:sz="0" w:space="0" w:color="auto"/>
                        <w:left w:val="none" w:sz="0" w:space="0" w:color="auto"/>
                        <w:bottom w:val="none" w:sz="0" w:space="0" w:color="auto"/>
                        <w:right w:val="none" w:sz="0" w:space="0" w:color="auto"/>
                      </w:divBdr>
                      <w:divsChild>
                        <w:div w:id="1950968259">
                          <w:marLeft w:val="0"/>
                          <w:marRight w:val="0"/>
                          <w:marTop w:val="0"/>
                          <w:marBottom w:val="0"/>
                          <w:divBdr>
                            <w:top w:val="none" w:sz="0" w:space="0" w:color="auto"/>
                            <w:left w:val="none" w:sz="0" w:space="0" w:color="auto"/>
                            <w:bottom w:val="none" w:sz="0" w:space="0" w:color="auto"/>
                            <w:right w:val="none" w:sz="0" w:space="0" w:color="auto"/>
                          </w:divBdr>
                        </w:div>
                        <w:div w:id="182522514">
                          <w:marLeft w:val="0"/>
                          <w:marRight w:val="0"/>
                          <w:marTop w:val="0"/>
                          <w:marBottom w:val="0"/>
                          <w:divBdr>
                            <w:top w:val="none" w:sz="0" w:space="0" w:color="auto"/>
                            <w:left w:val="none" w:sz="0" w:space="0" w:color="auto"/>
                            <w:bottom w:val="none" w:sz="0" w:space="0" w:color="auto"/>
                            <w:right w:val="none" w:sz="0" w:space="0" w:color="auto"/>
                          </w:divBdr>
                        </w:div>
                        <w:div w:id="68427475">
                          <w:marLeft w:val="0"/>
                          <w:marRight w:val="0"/>
                          <w:marTop w:val="0"/>
                          <w:marBottom w:val="0"/>
                          <w:divBdr>
                            <w:top w:val="none" w:sz="0" w:space="0" w:color="auto"/>
                            <w:left w:val="none" w:sz="0" w:space="0" w:color="auto"/>
                            <w:bottom w:val="none" w:sz="0" w:space="0" w:color="auto"/>
                            <w:right w:val="none" w:sz="0" w:space="0" w:color="auto"/>
                          </w:divBdr>
                          <w:divsChild>
                            <w:div w:id="814300845">
                              <w:marLeft w:val="0"/>
                              <w:marRight w:val="0"/>
                              <w:marTop w:val="0"/>
                              <w:marBottom w:val="0"/>
                              <w:divBdr>
                                <w:top w:val="none" w:sz="0" w:space="0" w:color="auto"/>
                                <w:left w:val="none" w:sz="0" w:space="0" w:color="auto"/>
                                <w:bottom w:val="none" w:sz="0" w:space="0" w:color="auto"/>
                                <w:right w:val="none" w:sz="0" w:space="0" w:color="auto"/>
                              </w:divBdr>
                              <w:divsChild>
                                <w:div w:id="1808475735">
                                  <w:marLeft w:val="0"/>
                                  <w:marRight w:val="0"/>
                                  <w:marTop w:val="0"/>
                                  <w:marBottom w:val="0"/>
                                  <w:divBdr>
                                    <w:top w:val="none" w:sz="0" w:space="0" w:color="auto"/>
                                    <w:left w:val="none" w:sz="0" w:space="0" w:color="auto"/>
                                    <w:bottom w:val="none" w:sz="0" w:space="0" w:color="auto"/>
                                    <w:right w:val="none" w:sz="0" w:space="0" w:color="auto"/>
                                  </w:divBdr>
                                </w:div>
                                <w:div w:id="1994021642">
                                  <w:marLeft w:val="0"/>
                                  <w:marRight w:val="0"/>
                                  <w:marTop w:val="0"/>
                                  <w:marBottom w:val="0"/>
                                  <w:divBdr>
                                    <w:top w:val="single" w:sz="6" w:space="5" w:color="FF0000"/>
                                    <w:left w:val="single" w:sz="6" w:space="5" w:color="FF0000"/>
                                    <w:bottom w:val="single" w:sz="6" w:space="5" w:color="FF0000"/>
                                    <w:right w:val="single" w:sz="6" w:space="5" w:color="FF0000"/>
                                  </w:divBdr>
                                </w:div>
                              </w:divsChild>
                            </w:div>
                          </w:divsChild>
                        </w:div>
                        <w:div w:id="675114642">
                          <w:marLeft w:val="0"/>
                          <w:marRight w:val="0"/>
                          <w:marTop w:val="300"/>
                          <w:marBottom w:val="0"/>
                          <w:divBdr>
                            <w:top w:val="single" w:sz="6" w:space="0" w:color="DADBDB"/>
                            <w:left w:val="none" w:sz="0" w:space="0" w:color="auto"/>
                            <w:bottom w:val="none" w:sz="0" w:space="0" w:color="auto"/>
                            <w:right w:val="none" w:sz="0" w:space="0" w:color="auto"/>
                          </w:divBdr>
                          <w:divsChild>
                            <w:div w:id="828525433">
                              <w:marLeft w:val="0"/>
                              <w:marRight w:val="0"/>
                              <w:marTop w:val="0"/>
                              <w:marBottom w:val="0"/>
                              <w:divBdr>
                                <w:top w:val="none" w:sz="0" w:space="0" w:color="auto"/>
                                <w:left w:val="none" w:sz="0" w:space="0" w:color="auto"/>
                                <w:bottom w:val="none" w:sz="0" w:space="0" w:color="auto"/>
                                <w:right w:val="none" w:sz="0" w:space="0" w:color="auto"/>
                              </w:divBdr>
                              <w:divsChild>
                                <w:div w:id="63649834">
                                  <w:marLeft w:val="0"/>
                                  <w:marRight w:val="0"/>
                                  <w:marTop w:val="0"/>
                                  <w:marBottom w:val="0"/>
                                  <w:divBdr>
                                    <w:top w:val="none" w:sz="0" w:space="0" w:color="auto"/>
                                    <w:left w:val="none" w:sz="0" w:space="0" w:color="auto"/>
                                    <w:bottom w:val="none" w:sz="0" w:space="0" w:color="auto"/>
                                    <w:right w:val="none" w:sz="0" w:space="0" w:color="auto"/>
                                  </w:divBdr>
                                </w:div>
                              </w:divsChild>
                            </w:div>
                            <w:div w:id="158230701">
                              <w:marLeft w:val="0"/>
                              <w:marRight w:val="0"/>
                              <w:marTop w:val="0"/>
                              <w:marBottom w:val="0"/>
                              <w:divBdr>
                                <w:top w:val="none" w:sz="0" w:space="0" w:color="auto"/>
                                <w:left w:val="none" w:sz="0" w:space="0" w:color="auto"/>
                                <w:bottom w:val="none" w:sz="0" w:space="0" w:color="auto"/>
                                <w:right w:val="none" w:sz="0" w:space="0" w:color="auto"/>
                              </w:divBdr>
                            </w:div>
                            <w:div w:id="1355379005">
                              <w:marLeft w:val="0"/>
                              <w:marRight w:val="0"/>
                              <w:marTop w:val="0"/>
                              <w:marBottom w:val="0"/>
                              <w:divBdr>
                                <w:top w:val="none" w:sz="0" w:space="0" w:color="auto"/>
                                <w:left w:val="none" w:sz="0" w:space="0" w:color="auto"/>
                                <w:bottom w:val="none" w:sz="0" w:space="0" w:color="auto"/>
                                <w:right w:val="none" w:sz="0" w:space="0" w:color="auto"/>
                              </w:divBdr>
                            </w:div>
                            <w:div w:id="1471440319">
                              <w:marLeft w:val="0"/>
                              <w:marRight w:val="0"/>
                              <w:marTop w:val="0"/>
                              <w:marBottom w:val="0"/>
                              <w:divBdr>
                                <w:top w:val="none" w:sz="0" w:space="0" w:color="auto"/>
                                <w:left w:val="none" w:sz="0" w:space="0" w:color="auto"/>
                                <w:bottom w:val="none" w:sz="0" w:space="0" w:color="auto"/>
                                <w:right w:val="none" w:sz="0" w:space="0" w:color="auto"/>
                              </w:divBdr>
                            </w:div>
                            <w:div w:id="1990136507">
                              <w:marLeft w:val="0"/>
                              <w:marRight w:val="0"/>
                              <w:marTop w:val="0"/>
                              <w:marBottom w:val="0"/>
                              <w:divBdr>
                                <w:top w:val="none" w:sz="0" w:space="0" w:color="auto"/>
                                <w:left w:val="none" w:sz="0" w:space="0" w:color="auto"/>
                                <w:bottom w:val="none" w:sz="0" w:space="0" w:color="auto"/>
                                <w:right w:val="none" w:sz="0" w:space="0" w:color="auto"/>
                              </w:divBdr>
                            </w:div>
                            <w:div w:id="764618704">
                              <w:marLeft w:val="0"/>
                              <w:marRight w:val="0"/>
                              <w:marTop w:val="0"/>
                              <w:marBottom w:val="0"/>
                              <w:divBdr>
                                <w:top w:val="none" w:sz="0" w:space="0" w:color="auto"/>
                                <w:left w:val="none" w:sz="0" w:space="0" w:color="auto"/>
                                <w:bottom w:val="none" w:sz="0" w:space="0" w:color="auto"/>
                                <w:right w:val="none" w:sz="0" w:space="0" w:color="auto"/>
                              </w:divBdr>
                            </w:div>
                            <w:div w:id="1926766130">
                              <w:marLeft w:val="0"/>
                              <w:marRight w:val="0"/>
                              <w:marTop w:val="0"/>
                              <w:marBottom w:val="0"/>
                              <w:divBdr>
                                <w:top w:val="none" w:sz="0" w:space="0" w:color="auto"/>
                                <w:left w:val="none" w:sz="0" w:space="0" w:color="auto"/>
                                <w:bottom w:val="none" w:sz="0" w:space="0" w:color="auto"/>
                                <w:right w:val="none" w:sz="0" w:space="0" w:color="auto"/>
                              </w:divBdr>
                            </w:div>
                            <w:div w:id="782458041">
                              <w:marLeft w:val="0"/>
                              <w:marRight w:val="0"/>
                              <w:marTop w:val="0"/>
                              <w:marBottom w:val="0"/>
                              <w:divBdr>
                                <w:top w:val="none" w:sz="0" w:space="0" w:color="auto"/>
                                <w:left w:val="none" w:sz="0" w:space="0" w:color="auto"/>
                                <w:bottom w:val="none" w:sz="0" w:space="0" w:color="auto"/>
                                <w:right w:val="none" w:sz="0" w:space="0" w:color="auto"/>
                              </w:divBdr>
                              <w:divsChild>
                                <w:div w:id="981928525">
                                  <w:marLeft w:val="750"/>
                                  <w:marRight w:val="750"/>
                                  <w:marTop w:val="150"/>
                                  <w:marBottom w:val="150"/>
                                  <w:divBdr>
                                    <w:top w:val="none" w:sz="0" w:space="0" w:color="auto"/>
                                    <w:left w:val="single" w:sz="12" w:space="11" w:color="CCCCCC"/>
                                    <w:bottom w:val="none" w:sz="0" w:space="0" w:color="auto"/>
                                    <w:right w:val="none" w:sz="0" w:space="0" w:color="auto"/>
                                  </w:divBdr>
                                  <w:divsChild>
                                    <w:div w:id="199559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461556">
                              <w:marLeft w:val="0"/>
                              <w:marRight w:val="0"/>
                              <w:marTop w:val="0"/>
                              <w:marBottom w:val="0"/>
                              <w:divBdr>
                                <w:top w:val="none" w:sz="0" w:space="0" w:color="auto"/>
                                <w:left w:val="none" w:sz="0" w:space="0" w:color="auto"/>
                                <w:bottom w:val="none" w:sz="0" w:space="0" w:color="auto"/>
                                <w:right w:val="none" w:sz="0" w:space="0" w:color="auto"/>
                              </w:divBdr>
                            </w:div>
                            <w:div w:id="240986506">
                              <w:marLeft w:val="0"/>
                              <w:marRight w:val="0"/>
                              <w:marTop w:val="0"/>
                              <w:marBottom w:val="0"/>
                              <w:divBdr>
                                <w:top w:val="none" w:sz="0" w:space="0" w:color="auto"/>
                                <w:left w:val="none" w:sz="0" w:space="0" w:color="auto"/>
                                <w:bottom w:val="none" w:sz="0" w:space="0" w:color="auto"/>
                                <w:right w:val="none" w:sz="0" w:space="0" w:color="auto"/>
                              </w:divBdr>
                            </w:div>
                            <w:div w:id="718093257">
                              <w:marLeft w:val="0"/>
                              <w:marRight w:val="0"/>
                              <w:marTop w:val="0"/>
                              <w:marBottom w:val="0"/>
                              <w:divBdr>
                                <w:top w:val="none" w:sz="0" w:space="0" w:color="auto"/>
                                <w:left w:val="none" w:sz="0" w:space="0" w:color="auto"/>
                                <w:bottom w:val="none" w:sz="0" w:space="0" w:color="auto"/>
                                <w:right w:val="none" w:sz="0" w:space="0" w:color="auto"/>
                              </w:divBdr>
                            </w:div>
                          </w:divsChild>
                        </w:div>
                        <w:div w:id="1575318508">
                          <w:marLeft w:val="0"/>
                          <w:marRight w:val="0"/>
                          <w:marTop w:val="0"/>
                          <w:marBottom w:val="0"/>
                          <w:divBdr>
                            <w:top w:val="none" w:sz="0" w:space="0" w:color="auto"/>
                            <w:left w:val="none" w:sz="0" w:space="0" w:color="auto"/>
                            <w:bottom w:val="none" w:sz="0" w:space="0" w:color="auto"/>
                            <w:right w:val="none" w:sz="0" w:space="0" w:color="auto"/>
                          </w:divBdr>
                          <w:divsChild>
                            <w:div w:id="915625726">
                              <w:marLeft w:val="0"/>
                              <w:marRight w:val="0"/>
                              <w:marTop w:val="0"/>
                              <w:marBottom w:val="0"/>
                              <w:divBdr>
                                <w:top w:val="none" w:sz="0" w:space="0" w:color="auto"/>
                                <w:left w:val="none" w:sz="0" w:space="0" w:color="auto"/>
                                <w:bottom w:val="none" w:sz="0" w:space="0" w:color="auto"/>
                                <w:right w:val="none" w:sz="0" w:space="0" w:color="auto"/>
                              </w:divBdr>
                              <w:divsChild>
                                <w:div w:id="155344527">
                                  <w:marLeft w:val="0"/>
                                  <w:marRight w:val="0"/>
                                  <w:marTop w:val="120"/>
                                  <w:marBottom w:val="120"/>
                                  <w:divBdr>
                                    <w:top w:val="none" w:sz="0" w:space="0" w:color="auto"/>
                                    <w:left w:val="none" w:sz="0" w:space="0" w:color="auto"/>
                                    <w:bottom w:val="none" w:sz="0" w:space="0" w:color="auto"/>
                                    <w:right w:val="none" w:sz="0" w:space="0" w:color="auto"/>
                                  </w:divBdr>
                                </w:div>
                                <w:div w:id="105620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proofing.springer.com/journals_v2/mainpage.php?token=6mV2E5qy5DhcMGMFnZJkCwkfUJnkOfgxczlg5Q4-eYyxoICnBsYo-Q"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1552</Words>
  <Characters>8849</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Ghins</dc:creator>
  <cp:lastModifiedBy>Ghins</cp:lastModifiedBy>
  <cp:revision>1</cp:revision>
  <dcterms:created xsi:type="dcterms:W3CDTF">2017-10-06T14:30:00Z</dcterms:created>
  <dcterms:modified xsi:type="dcterms:W3CDTF">2017-10-06T14:33:00Z</dcterms:modified>
</cp:coreProperties>
</file>