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D8F2D9" w14:textId="41776B27" w:rsidR="00D75250" w:rsidRDefault="00D75250" w:rsidP="003F111B">
      <w:pPr>
        <w:jc w:val="center"/>
        <w:rPr>
          <w:b/>
          <w:bCs/>
          <w:i/>
          <w:lang w:val="fr-FR"/>
        </w:rPr>
      </w:pPr>
      <w:r>
        <w:rPr>
          <w:b/>
          <w:bCs/>
          <w:lang w:val="fr-FR"/>
        </w:rPr>
        <w:t xml:space="preserve">Cour </w:t>
      </w:r>
      <w:proofErr w:type="spellStart"/>
      <w:r>
        <w:rPr>
          <w:b/>
          <w:bCs/>
          <w:lang w:val="fr-FR"/>
        </w:rPr>
        <w:t>eur</w:t>
      </w:r>
      <w:proofErr w:type="spellEnd"/>
      <w:r>
        <w:rPr>
          <w:b/>
          <w:bCs/>
          <w:lang w:val="fr-FR"/>
        </w:rPr>
        <w:t xml:space="preserve">. D.H., IIIème Sect., </w:t>
      </w:r>
      <w:proofErr w:type="spellStart"/>
      <w:r>
        <w:rPr>
          <w:b/>
          <w:bCs/>
          <w:lang w:val="fr-FR"/>
        </w:rPr>
        <w:t>req</w:t>
      </w:r>
      <w:proofErr w:type="spellEnd"/>
      <w:r>
        <w:rPr>
          <w:b/>
          <w:bCs/>
          <w:lang w:val="fr-FR"/>
        </w:rPr>
        <w:t xml:space="preserve">. </w:t>
      </w:r>
      <w:proofErr w:type="gramStart"/>
      <w:r>
        <w:rPr>
          <w:b/>
          <w:bCs/>
          <w:lang w:val="fr-FR"/>
        </w:rPr>
        <w:t>n</w:t>
      </w:r>
      <w:proofErr w:type="gramEnd"/>
      <w:r>
        <w:rPr>
          <w:b/>
          <w:bCs/>
          <w:lang w:val="fr-FR"/>
        </w:rPr>
        <w:t xml:space="preserve">°16554/19 décision </w:t>
      </w:r>
      <w:r>
        <w:rPr>
          <w:b/>
          <w:bCs/>
          <w:i/>
          <w:lang w:val="fr-FR"/>
        </w:rPr>
        <w:t>République Démocratique du Congo c. Belgique</w:t>
      </w:r>
    </w:p>
    <w:p w14:paraId="45E08CC0" w14:textId="1D56A085" w:rsidR="00D75250" w:rsidRDefault="00D75250" w:rsidP="003F111B">
      <w:pPr>
        <w:jc w:val="center"/>
        <w:rPr>
          <w:b/>
          <w:bCs/>
          <w:i/>
          <w:lang w:val="fr-FR"/>
        </w:rPr>
      </w:pPr>
    </w:p>
    <w:p w14:paraId="1F58D0A1" w14:textId="6B90ABFE" w:rsidR="00D75250" w:rsidRDefault="00D75250" w:rsidP="00D75250">
      <w:pPr>
        <w:jc w:val="both"/>
        <w:rPr>
          <w:b/>
          <w:bCs/>
          <w:lang w:val="fr-FR"/>
        </w:rPr>
      </w:pPr>
      <w:r>
        <w:rPr>
          <w:b/>
          <w:bCs/>
          <w:lang w:val="fr-FR"/>
        </w:rPr>
        <w:t xml:space="preserve">Convention européenne des droits de l’Homme – Article 33 – Requête interétatique – </w:t>
      </w:r>
      <w:proofErr w:type="spellStart"/>
      <w:r>
        <w:rPr>
          <w:b/>
          <w:bCs/>
          <w:lang w:val="fr-FR"/>
        </w:rPr>
        <w:t>Etat</w:t>
      </w:r>
      <w:proofErr w:type="spellEnd"/>
      <w:r>
        <w:rPr>
          <w:b/>
          <w:bCs/>
          <w:lang w:val="fr-FR"/>
        </w:rPr>
        <w:t xml:space="preserve"> </w:t>
      </w:r>
      <w:proofErr w:type="gramStart"/>
      <w:r>
        <w:rPr>
          <w:b/>
          <w:bCs/>
          <w:lang w:val="fr-FR"/>
        </w:rPr>
        <w:t>non partie</w:t>
      </w:r>
      <w:proofErr w:type="gramEnd"/>
      <w:r>
        <w:rPr>
          <w:b/>
          <w:bCs/>
          <w:lang w:val="fr-FR"/>
        </w:rPr>
        <w:t xml:space="preserve"> à la Convention – Irrecevabilité</w:t>
      </w:r>
    </w:p>
    <w:p w14:paraId="7641FA42" w14:textId="53D7DC8F" w:rsidR="00D75250" w:rsidRDefault="00D75250" w:rsidP="00D75250">
      <w:pPr>
        <w:jc w:val="both"/>
        <w:rPr>
          <w:b/>
          <w:bCs/>
          <w:lang w:val="fr-FR"/>
        </w:rPr>
      </w:pPr>
      <w:r>
        <w:rPr>
          <w:b/>
          <w:bCs/>
          <w:lang w:val="fr-FR"/>
        </w:rPr>
        <w:t xml:space="preserve">Convention européenne des droits de l’Homme – Article 34 – </w:t>
      </w:r>
      <w:r w:rsidR="00A63CBD">
        <w:rPr>
          <w:b/>
          <w:bCs/>
          <w:lang w:val="fr-FR"/>
        </w:rPr>
        <w:t xml:space="preserve">Requête individuelle – Organisation </w:t>
      </w:r>
      <w:r>
        <w:rPr>
          <w:b/>
          <w:bCs/>
          <w:lang w:val="fr-FR"/>
        </w:rPr>
        <w:t xml:space="preserve">gouvernementale – Notion – </w:t>
      </w:r>
      <w:proofErr w:type="spellStart"/>
      <w:r>
        <w:rPr>
          <w:b/>
          <w:bCs/>
          <w:lang w:val="fr-FR"/>
        </w:rPr>
        <w:t>Etat</w:t>
      </w:r>
      <w:proofErr w:type="spellEnd"/>
      <w:r>
        <w:rPr>
          <w:b/>
          <w:bCs/>
          <w:lang w:val="fr-FR"/>
        </w:rPr>
        <w:t xml:space="preserve"> tiers à la Convention</w:t>
      </w:r>
      <w:r w:rsidR="00A63CBD">
        <w:rPr>
          <w:b/>
          <w:bCs/>
          <w:lang w:val="fr-FR"/>
        </w:rPr>
        <w:t xml:space="preserve"> – Irrecevabilité.</w:t>
      </w:r>
    </w:p>
    <w:p w14:paraId="73742E4E" w14:textId="4B2164F7" w:rsidR="00D75250" w:rsidRDefault="00D75250" w:rsidP="00D75250">
      <w:pPr>
        <w:jc w:val="both"/>
        <w:rPr>
          <w:b/>
          <w:bCs/>
          <w:lang w:val="fr-FR"/>
        </w:rPr>
      </w:pPr>
    </w:p>
    <w:p w14:paraId="3B4C3E98" w14:textId="5EC18F15" w:rsidR="0008713E" w:rsidRPr="00A63CBD" w:rsidRDefault="0008713E" w:rsidP="0008713E">
      <w:pPr>
        <w:pStyle w:val="JuPara"/>
        <w:numPr>
          <w:ilvl w:val="0"/>
          <w:numId w:val="4"/>
        </w:numPr>
        <w:rPr>
          <w:rFonts w:ascii="Times New Roman" w:hAnsi="Times New Roman" w:cs="Times New Roman"/>
          <w:i/>
          <w:iCs/>
        </w:rPr>
      </w:pPr>
      <w:r w:rsidRPr="00A63CBD">
        <w:rPr>
          <w:rFonts w:ascii="Times New Roman" w:hAnsi="Times New Roman" w:cs="Times New Roman"/>
          <w:i/>
          <w:iCs/>
        </w:rPr>
        <w:t>Le mode de saisine de la Cour européenne des droits de l’Homme visé à l’article 33 de la Convention est réservé aux « Hautes parties contractantes »</w:t>
      </w:r>
    </w:p>
    <w:p w14:paraId="654124D6" w14:textId="77777777" w:rsidR="00A63CBD" w:rsidRPr="00A63CBD" w:rsidRDefault="00A63CBD" w:rsidP="0008713E">
      <w:pPr>
        <w:pStyle w:val="JuPara"/>
        <w:numPr>
          <w:ilvl w:val="0"/>
          <w:numId w:val="4"/>
        </w:numPr>
        <w:rPr>
          <w:i/>
          <w:iCs/>
        </w:rPr>
      </w:pPr>
    </w:p>
    <w:p w14:paraId="567F3D32" w14:textId="029FB9AB" w:rsidR="0008713E" w:rsidRDefault="0008713E" w:rsidP="008C02E0">
      <w:pPr>
        <w:pStyle w:val="JuPara"/>
        <w:numPr>
          <w:ilvl w:val="0"/>
          <w:numId w:val="4"/>
        </w:numPr>
      </w:pPr>
      <w:r w:rsidRPr="0008713E">
        <w:rPr>
          <w:rFonts w:ascii="Times New Roman" w:hAnsi="Times New Roman" w:cs="Times New Roman"/>
          <w:i/>
          <w:iCs/>
          <w:szCs w:val="24"/>
        </w:rPr>
        <w:t>La République démocratique du Congo ne saurait être considérée comme une « organisation non gouvernementale » au sens de l’article 34 de la Convention européenne des droits de l’Homme et elle ne relève donc d’aucune des trois catégories énoncées</w:t>
      </w:r>
      <w:r w:rsidR="008C02E0">
        <w:rPr>
          <w:rFonts w:ascii="Times New Roman" w:hAnsi="Times New Roman" w:cs="Times New Roman"/>
          <w:i/>
          <w:iCs/>
          <w:szCs w:val="24"/>
        </w:rPr>
        <w:t xml:space="preserve"> par cette disposition</w:t>
      </w:r>
    </w:p>
    <w:p w14:paraId="3E59CB36" w14:textId="2C33B3A3" w:rsidR="00D75250" w:rsidRDefault="00D75250" w:rsidP="00D75250">
      <w:pPr>
        <w:pStyle w:val="JuHHead"/>
        <w:numPr>
          <w:ilvl w:val="0"/>
          <w:numId w:val="4"/>
        </w:numPr>
        <w:jc w:val="left"/>
      </w:pPr>
      <w:r>
        <w:t>(…)</w:t>
      </w:r>
    </w:p>
    <w:p w14:paraId="22F70144" w14:textId="3F30BF96" w:rsidR="00D75250" w:rsidRPr="00D75250" w:rsidRDefault="00D75250" w:rsidP="00D75250">
      <w:pPr>
        <w:pStyle w:val="JuHHead"/>
        <w:numPr>
          <w:ilvl w:val="0"/>
          <w:numId w:val="0"/>
        </w:numPr>
        <w:jc w:val="left"/>
        <w:rPr>
          <w:rFonts w:ascii="Times New Roman" w:hAnsi="Times New Roman" w:cs="Times New Roman"/>
          <w:sz w:val="24"/>
          <w:szCs w:val="24"/>
        </w:rPr>
      </w:pPr>
      <w:r w:rsidRPr="00D75250">
        <w:rPr>
          <w:rFonts w:ascii="Times New Roman" w:hAnsi="Times New Roman" w:cs="Times New Roman"/>
          <w:sz w:val="24"/>
          <w:szCs w:val="24"/>
        </w:rPr>
        <w:t>Grief</w:t>
      </w:r>
    </w:p>
    <w:p w14:paraId="78F84BD1" w14:textId="7EC0A3F5" w:rsidR="00D75250" w:rsidRPr="00D75250" w:rsidRDefault="00D75250" w:rsidP="00D75250">
      <w:pPr>
        <w:pStyle w:val="JuPara"/>
        <w:rPr>
          <w:rFonts w:ascii="Times New Roman" w:hAnsi="Times New Roman" w:cs="Times New Roman"/>
          <w:szCs w:val="24"/>
        </w:rPr>
      </w:pPr>
      <w:r w:rsidRPr="00D75250">
        <w:rPr>
          <w:rFonts w:ascii="Times New Roman" w:hAnsi="Times New Roman" w:cs="Times New Roman"/>
          <w:szCs w:val="24"/>
        </w:rPr>
        <w:fldChar w:fldCharType="begin"/>
      </w:r>
      <w:r w:rsidRPr="00D75250">
        <w:rPr>
          <w:rFonts w:ascii="Times New Roman" w:hAnsi="Times New Roman" w:cs="Times New Roman"/>
          <w:szCs w:val="24"/>
        </w:rPr>
        <w:instrText xml:space="preserve"> SEQ level0 \*arabic </w:instrText>
      </w:r>
      <w:r w:rsidRPr="00D75250">
        <w:rPr>
          <w:rFonts w:ascii="Times New Roman" w:hAnsi="Times New Roman" w:cs="Times New Roman"/>
          <w:szCs w:val="24"/>
        </w:rPr>
        <w:fldChar w:fldCharType="separate"/>
      </w:r>
      <w:r w:rsidR="00B36965">
        <w:rPr>
          <w:rFonts w:ascii="Times New Roman" w:hAnsi="Times New Roman" w:cs="Times New Roman"/>
          <w:noProof/>
          <w:szCs w:val="24"/>
        </w:rPr>
        <w:t>1</w:t>
      </w:r>
      <w:r w:rsidRPr="00D75250">
        <w:rPr>
          <w:rFonts w:ascii="Times New Roman" w:hAnsi="Times New Roman" w:cs="Times New Roman"/>
          <w:szCs w:val="24"/>
        </w:rPr>
        <w:fldChar w:fldCharType="end"/>
      </w:r>
      <w:r w:rsidRPr="00D75250">
        <w:rPr>
          <w:rFonts w:ascii="Times New Roman" w:hAnsi="Times New Roman" w:cs="Times New Roman"/>
          <w:szCs w:val="24"/>
        </w:rPr>
        <w:t>.  Invoquant les articles 6 § 1 et 13 de la Convention, la requérante se plaint de la motivation des arrêts rendus par la cour d’appel et par la Cour de cassation dans la détermination du point de départ du délai de prescription.</w:t>
      </w:r>
    </w:p>
    <w:p w14:paraId="68818104" w14:textId="77777777" w:rsidR="00D75250" w:rsidRPr="00D75250" w:rsidRDefault="00D75250" w:rsidP="00D75250">
      <w:pPr>
        <w:pStyle w:val="JuHHead"/>
        <w:numPr>
          <w:ilvl w:val="0"/>
          <w:numId w:val="4"/>
        </w:numPr>
        <w:jc w:val="left"/>
        <w:rPr>
          <w:rFonts w:ascii="Times New Roman" w:hAnsi="Times New Roman" w:cs="Times New Roman"/>
          <w:sz w:val="24"/>
          <w:szCs w:val="24"/>
        </w:rPr>
      </w:pPr>
      <w:r w:rsidRPr="00D75250">
        <w:rPr>
          <w:rFonts w:ascii="Times New Roman" w:hAnsi="Times New Roman" w:cs="Times New Roman"/>
          <w:sz w:val="24"/>
          <w:szCs w:val="24"/>
        </w:rPr>
        <w:t>EN DROIT</w:t>
      </w:r>
    </w:p>
    <w:p w14:paraId="4B3F6C77" w14:textId="27568F42" w:rsidR="00D75250" w:rsidRPr="00D75250" w:rsidRDefault="00D75250" w:rsidP="00D75250">
      <w:pPr>
        <w:pStyle w:val="JuPara"/>
        <w:rPr>
          <w:rFonts w:ascii="Times New Roman" w:hAnsi="Times New Roman" w:cs="Times New Roman"/>
          <w:szCs w:val="24"/>
        </w:rPr>
      </w:pPr>
      <w:r w:rsidRPr="00D75250">
        <w:rPr>
          <w:rFonts w:ascii="Times New Roman" w:hAnsi="Times New Roman" w:cs="Times New Roman"/>
          <w:szCs w:val="24"/>
        </w:rPr>
        <w:fldChar w:fldCharType="begin"/>
      </w:r>
      <w:r w:rsidRPr="00D75250">
        <w:rPr>
          <w:rFonts w:ascii="Times New Roman" w:hAnsi="Times New Roman" w:cs="Times New Roman"/>
          <w:szCs w:val="24"/>
        </w:rPr>
        <w:instrText xml:space="preserve"> SEQ level0 \*arabic </w:instrText>
      </w:r>
      <w:r w:rsidRPr="00D75250">
        <w:rPr>
          <w:rFonts w:ascii="Times New Roman" w:hAnsi="Times New Roman" w:cs="Times New Roman"/>
          <w:szCs w:val="24"/>
        </w:rPr>
        <w:fldChar w:fldCharType="separate"/>
      </w:r>
      <w:r w:rsidR="00B36965">
        <w:rPr>
          <w:rFonts w:ascii="Times New Roman" w:hAnsi="Times New Roman" w:cs="Times New Roman"/>
          <w:noProof/>
          <w:szCs w:val="24"/>
        </w:rPr>
        <w:t>2</w:t>
      </w:r>
      <w:r w:rsidRPr="00D75250">
        <w:rPr>
          <w:rFonts w:ascii="Times New Roman" w:hAnsi="Times New Roman" w:cs="Times New Roman"/>
          <w:szCs w:val="24"/>
        </w:rPr>
        <w:fldChar w:fldCharType="end"/>
      </w:r>
      <w:r w:rsidRPr="00D75250">
        <w:rPr>
          <w:rFonts w:ascii="Times New Roman" w:hAnsi="Times New Roman" w:cs="Times New Roman"/>
          <w:szCs w:val="24"/>
        </w:rPr>
        <w:t>.  La Cour constate que la présente requête, introduite par la République démocratique du Congo, n’est pas assimilable à une requête interétatique au sens de l’article 33 de la Convention, ce mode de saisine de la Cour étant réservé aux « Hautes parties contractantes », dont la République démocratique du Congo ne fait pas partie.</w:t>
      </w:r>
    </w:p>
    <w:p w14:paraId="5B30EE4A" w14:textId="4B3942E8" w:rsidR="00D75250" w:rsidRPr="00D75250" w:rsidRDefault="00D75250" w:rsidP="00D75250">
      <w:pPr>
        <w:pStyle w:val="JuPara"/>
        <w:rPr>
          <w:rFonts w:ascii="Times New Roman" w:hAnsi="Times New Roman" w:cs="Times New Roman"/>
          <w:szCs w:val="24"/>
        </w:rPr>
      </w:pPr>
      <w:r w:rsidRPr="00D75250">
        <w:rPr>
          <w:rFonts w:ascii="Times New Roman" w:hAnsi="Times New Roman" w:cs="Times New Roman"/>
          <w:szCs w:val="24"/>
        </w:rPr>
        <w:fldChar w:fldCharType="begin"/>
      </w:r>
      <w:r w:rsidRPr="00D75250">
        <w:rPr>
          <w:rFonts w:ascii="Times New Roman" w:hAnsi="Times New Roman" w:cs="Times New Roman"/>
          <w:szCs w:val="24"/>
        </w:rPr>
        <w:instrText xml:space="preserve"> SEQ level0 \*arabic </w:instrText>
      </w:r>
      <w:r w:rsidRPr="00D75250">
        <w:rPr>
          <w:rFonts w:ascii="Times New Roman" w:hAnsi="Times New Roman" w:cs="Times New Roman"/>
          <w:szCs w:val="24"/>
        </w:rPr>
        <w:fldChar w:fldCharType="separate"/>
      </w:r>
      <w:r w:rsidR="00B36965">
        <w:rPr>
          <w:rFonts w:ascii="Times New Roman" w:hAnsi="Times New Roman" w:cs="Times New Roman"/>
          <w:noProof/>
          <w:szCs w:val="24"/>
        </w:rPr>
        <w:t>3</w:t>
      </w:r>
      <w:r w:rsidRPr="00D75250">
        <w:rPr>
          <w:rFonts w:ascii="Times New Roman" w:hAnsi="Times New Roman" w:cs="Times New Roman"/>
          <w:szCs w:val="24"/>
        </w:rPr>
        <w:fldChar w:fldCharType="end"/>
      </w:r>
      <w:r w:rsidRPr="00D75250">
        <w:rPr>
          <w:rFonts w:ascii="Times New Roman" w:hAnsi="Times New Roman" w:cs="Times New Roman"/>
          <w:szCs w:val="24"/>
        </w:rPr>
        <w:t>.  La question se pose de savoir si la requérante peut être assimilée à l’une des catégories de requérants autorisés à saisir la Cour d’une requête individuelle aux termes de l’article 34 de la Convention.</w:t>
      </w:r>
    </w:p>
    <w:p w14:paraId="4EFF30B8" w14:textId="3C8D56A4" w:rsidR="00D75250" w:rsidRDefault="00D75250" w:rsidP="00D75250">
      <w:pPr>
        <w:pStyle w:val="JuPara"/>
        <w:rPr>
          <w:rFonts w:ascii="Times New Roman" w:hAnsi="Times New Roman" w:cs="Times New Roman"/>
          <w:szCs w:val="24"/>
        </w:rPr>
      </w:pPr>
      <w:r w:rsidRPr="00D75250">
        <w:rPr>
          <w:rFonts w:ascii="Times New Roman" w:hAnsi="Times New Roman" w:cs="Times New Roman"/>
          <w:szCs w:val="24"/>
        </w:rPr>
        <w:fldChar w:fldCharType="begin"/>
      </w:r>
      <w:r w:rsidRPr="00D75250">
        <w:rPr>
          <w:rFonts w:ascii="Times New Roman" w:hAnsi="Times New Roman" w:cs="Times New Roman"/>
          <w:szCs w:val="24"/>
        </w:rPr>
        <w:instrText xml:space="preserve"> SEQ level0 \*arabic </w:instrText>
      </w:r>
      <w:r w:rsidRPr="00D75250">
        <w:rPr>
          <w:rFonts w:ascii="Times New Roman" w:hAnsi="Times New Roman" w:cs="Times New Roman"/>
          <w:szCs w:val="24"/>
        </w:rPr>
        <w:fldChar w:fldCharType="separate"/>
      </w:r>
      <w:r w:rsidR="00B36965">
        <w:rPr>
          <w:rFonts w:ascii="Times New Roman" w:hAnsi="Times New Roman" w:cs="Times New Roman"/>
          <w:noProof/>
          <w:szCs w:val="24"/>
        </w:rPr>
        <w:t>4</w:t>
      </w:r>
      <w:r w:rsidRPr="00D75250">
        <w:rPr>
          <w:rFonts w:ascii="Times New Roman" w:hAnsi="Times New Roman" w:cs="Times New Roman"/>
          <w:szCs w:val="24"/>
        </w:rPr>
        <w:fldChar w:fldCharType="end"/>
      </w:r>
      <w:r w:rsidRPr="00D75250">
        <w:rPr>
          <w:rFonts w:ascii="Times New Roman" w:hAnsi="Times New Roman" w:cs="Times New Roman"/>
          <w:szCs w:val="24"/>
        </w:rPr>
        <w:t>.  À l’évidence, la République démocratique du Congo ne saurait être considérée comme une personne physique ou comme un groupe de particuliers.</w:t>
      </w:r>
    </w:p>
    <w:p w14:paraId="4F0B314E" w14:textId="0F41F8C9" w:rsidR="00D75250" w:rsidRPr="00D75250" w:rsidRDefault="00D75250" w:rsidP="00D75250">
      <w:pPr>
        <w:pStyle w:val="JuPara"/>
        <w:rPr>
          <w:rFonts w:ascii="Times New Roman" w:hAnsi="Times New Roman" w:cs="Times New Roman"/>
          <w:szCs w:val="24"/>
        </w:rPr>
      </w:pPr>
      <w:r w:rsidRPr="00D75250">
        <w:rPr>
          <w:rFonts w:ascii="Times New Roman" w:hAnsi="Times New Roman" w:cs="Times New Roman"/>
          <w:szCs w:val="24"/>
        </w:rPr>
        <w:fldChar w:fldCharType="begin"/>
      </w:r>
      <w:r w:rsidRPr="00D75250">
        <w:rPr>
          <w:rFonts w:ascii="Times New Roman" w:hAnsi="Times New Roman" w:cs="Times New Roman"/>
          <w:szCs w:val="24"/>
        </w:rPr>
        <w:instrText xml:space="preserve"> SEQ level0 \*arabic </w:instrText>
      </w:r>
      <w:r w:rsidRPr="00D75250">
        <w:rPr>
          <w:rFonts w:ascii="Times New Roman" w:hAnsi="Times New Roman" w:cs="Times New Roman"/>
          <w:szCs w:val="24"/>
        </w:rPr>
        <w:fldChar w:fldCharType="separate"/>
      </w:r>
      <w:r w:rsidR="00B36965">
        <w:rPr>
          <w:rFonts w:ascii="Times New Roman" w:hAnsi="Times New Roman" w:cs="Times New Roman"/>
          <w:noProof/>
          <w:szCs w:val="24"/>
        </w:rPr>
        <w:t>5</w:t>
      </w:r>
      <w:r w:rsidRPr="00D75250">
        <w:rPr>
          <w:rFonts w:ascii="Times New Roman" w:hAnsi="Times New Roman" w:cs="Times New Roman"/>
          <w:szCs w:val="24"/>
        </w:rPr>
        <w:fldChar w:fldCharType="end"/>
      </w:r>
      <w:r w:rsidRPr="00D75250">
        <w:rPr>
          <w:rFonts w:ascii="Times New Roman" w:hAnsi="Times New Roman" w:cs="Times New Roman"/>
          <w:szCs w:val="24"/>
        </w:rPr>
        <w:t>.  Il reste donc à analyser si la requérante peut être assimilée à une organisation non gouvernementale.</w:t>
      </w:r>
    </w:p>
    <w:p w14:paraId="56EC64A1" w14:textId="2512159D" w:rsidR="00D75250" w:rsidRDefault="00D75250" w:rsidP="00D75250">
      <w:pPr>
        <w:pStyle w:val="JuPara"/>
        <w:rPr>
          <w:rFonts w:ascii="Times New Roman" w:hAnsi="Times New Roman" w:cs="Times New Roman"/>
          <w:szCs w:val="24"/>
        </w:rPr>
      </w:pPr>
      <w:r w:rsidRPr="00D75250">
        <w:rPr>
          <w:rFonts w:ascii="Times New Roman" w:hAnsi="Times New Roman" w:cs="Times New Roman"/>
          <w:color w:val="000000"/>
          <w:szCs w:val="24"/>
        </w:rPr>
        <w:fldChar w:fldCharType="begin"/>
      </w:r>
      <w:r w:rsidRPr="00D75250">
        <w:rPr>
          <w:rFonts w:ascii="Times New Roman" w:hAnsi="Times New Roman" w:cs="Times New Roman"/>
          <w:color w:val="000000"/>
          <w:szCs w:val="24"/>
        </w:rPr>
        <w:instrText xml:space="preserve"> SEQ level0 \*arabic </w:instrText>
      </w:r>
      <w:r w:rsidRPr="00D75250">
        <w:rPr>
          <w:rFonts w:ascii="Times New Roman" w:hAnsi="Times New Roman" w:cs="Times New Roman"/>
          <w:color w:val="000000"/>
          <w:szCs w:val="24"/>
        </w:rPr>
        <w:fldChar w:fldCharType="separate"/>
      </w:r>
      <w:r w:rsidR="00B36965">
        <w:rPr>
          <w:rFonts w:ascii="Times New Roman" w:hAnsi="Times New Roman" w:cs="Times New Roman"/>
          <w:noProof/>
          <w:color w:val="000000"/>
          <w:szCs w:val="24"/>
        </w:rPr>
        <w:t>6</w:t>
      </w:r>
      <w:r w:rsidRPr="00D75250">
        <w:rPr>
          <w:rFonts w:ascii="Times New Roman" w:hAnsi="Times New Roman" w:cs="Times New Roman"/>
          <w:color w:val="000000"/>
          <w:szCs w:val="24"/>
        </w:rPr>
        <w:fldChar w:fldCharType="end"/>
      </w:r>
      <w:r w:rsidRPr="00D75250">
        <w:rPr>
          <w:rFonts w:ascii="Times New Roman" w:hAnsi="Times New Roman" w:cs="Times New Roman"/>
          <w:color w:val="000000"/>
          <w:szCs w:val="24"/>
        </w:rPr>
        <w:t xml:space="preserve">.  La Cour a jugé qu’une personne morale « qui se prétend victime d’une violation par l’une des hautes parties contractantes des droits reconnus dans la Convention ou ses Protocoles » peut se porter requérante devant elle, pour peu qu’elle ait la qualité </w:t>
      </w:r>
      <w:proofErr w:type="gramStart"/>
      <w:r w:rsidRPr="00D75250">
        <w:rPr>
          <w:rFonts w:ascii="Times New Roman" w:hAnsi="Times New Roman" w:cs="Times New Roman"/>
          <w:color w:val="000000"/>
          <w:szCs w:val="24"/>
        </w:rPr>
        <w:t>d’ «</w:t>
      </w:r>
      <w:proofErr w:type="gramEnd"/>
      <w:r w:rsidRPr="00D75250">
        <w:rPr>
          <w:rFonts w:ascii="Times New Roman" w:hAnsi="Times New Roman" w:cs="Times New Roman"/>
          <w:color w:val="000000"/>
          <w:szCs w:val="24"/>
        </w:rPr>
        <w:t xml:space="preserve"> organisation non gouvernementale » au sens de l’article 34 de la Convention </w:t>
      </w:r>
      <w:r w:rsidRPr="00D75250">
        <w:rPr>
          <w:rFonts w:ascii="Times New Roman" w:hAnsi="Times New Roman" w:cs="Times New Roman"/>
          <w:szCs w:val="24"/>
        </w:rPr>
        <w:t xml:space="preserve">(voir </w:t>
      </w:r>
      <w:r w:rsidRPr="00D75250">
        <w:rPr>
          <w:rFonts w:ascii="Times New Roman" w:hAnsi="Times New Roman" w:cs="Times New Roman"/>
          <w:i/>
          <w:szCs w:val="24"/>
        </w:rPr>
        <w:t xml:space="preserve">Radio France et autres c. France </w:t>
      </w:r>
      <w:r w:rsidRPr="00D75250">
        <w:rPr>
          <w:rFonts w:ascii="Times New Roman" w:hAnsi="Times New Roman" w:cs="Times New Roman"/>
          <w:szCs w:val="24"/>
        </w:rPr>
        <w:t>(déc.), n</w:t>
      </w:r>
      <w:r w:rsidRPr="00D75250">
        <w:rPr>
          <w:rFonts w:ascii="Times New Roman" w:hAnsi="Times New Roman" w:cs="Times New Roman"/>
          <w:szCs w:val="24"/>
          <w:vertAlign w:val="superscript"/>
        </w:rPr>
        <w:t>o</w:t>
      </w:r>
      <w:r w:rsidRPr="00D75250">
        <w:rPr>
          <w:rFonts w:ascii="Times New Roman" w:hAnsi="Times New Roman" w:cs="Times New Roman"/>
          <w:szCs w:val="24"/>
        </w:rPr>
        <w:t xml:space="preserve"> 53984/00, § 26, CEDH 2003</w:t>
      </w:r>
      <w:r w:rsidRPr="00D75250">
        <w:rPr>
          <w:rFonts w:ascii="Times New Roman" w:hAnsi="Times New Roman" w:cs="Times New Roman"/>
          <w:szCs w:val="24"/>
        </w:rPr>
        <w:noBreakHyphen/>
        <w:t>X (extraits)).</w:t>
      </w:r>
    </w:p>
    <w:p w14:paraId="161F4082" w14:textId="5C9C0F7B" w:rsidR="00D75250" w:rsidRDefault="00D75250" w:rsidP="00D75250">
      <w:pPr>
        <w:pStyle w:val="JuPara"/>
        <w:rPr>
          <w:rFonts w:ascii="Times New Roman" w:hAnsi="Times New Roman" w:cs="Times New Roman"/>
          <w:szCs w:val="24"/>
        </w:rPr>
      </w:pPr>
      <w:r w:rsidRPr="00D75250">
        <w:rPr>
          <w:rFonts w:ascii="Times New Roman" w:hAnsi="Times New Roman" w:cs="Times New Roman"/>
          <w:color w:val="000000"/>
          <w:szCs w:val="24"/>
        </w:rPr>
        <w:fldChar w:fldCharType="begin"/>
      </w:r>
      <w:r w:rsidRPr="00D75250">
        <w:rPr>
          <w:rFonts w:ascii="Times New Roman" w:hAnsi="Times New Roman" w:cs="Times New Roman"/>
          <w:color w:val="000000"/>
          <w:szCs w:val="24"/>
        </w:rPr>
        <w:instrText xml:space="preserve"> SEQ level0 \*arabic </w:instrText>
      </w:r>
      <w:r w:rsidRPr="00D75250">
        <w:rPr>
          <w:rFonts w:ascii="Times New Roman" w:hAnsi="Times New Roman" w:cs="Times New Roman"/>
          <w:color w:val="000000"/>
          <w:szCs w:val="24"/>
        </w:rPr>
        <w:fldChar w:fldCharType="separate"/>
      </w:r>
      <w:r w:rsidR="00B36965">
        <w:rPr>
          <w:rFonts w:ascii="Times New Roman" w:hAnsi="Times New Roman" w:cs="Times New Roman"/>
          <w:noProof/>
          <w:color w:val="000000"/>
          <w:szCs w:val="24"/>
        </w:rPr>
        <w:t>7</w:t>
      </w:r>
      <w:r w:rsidRPr="00D75250">
        <w:rPr>
          <w:rFonts w:ascii="Times New Roman" w:hAnsi="Times New Roman" w:cs="Times New Roman"/>
          <w:color w:val="000000"/>
          <w:szCs w:val="24"/>
        </w:rPr>
        <w:fldChar w:fldCharType="end"/>
      </w:r>
      <w:r w:rsidRPr="00D75250">
        <w:rPr>
          <w:rFonts w:ascii="Times New Roman" w:hAnsi="Times New Roman" w:cs="Times New Roman"/>
          <w:color w:val="000000"/>
          <w:szCs w:val="24"/>
        </w:rPr>
        <w:t>.  </w:t>
      </w:r>
      <w:r w:rsidRPr="00D75250">
        <w:rPr>
          <w:rFonts w:ascii="Times New Roman" w:hAnsi="Times New Roman" w:cs="Times New Roman"/>
          <w:szCs w:val="24"/>
        </w:rPr>
        <w:t>La Cour rappelle qu’elle a défini les « organisations gouvernementales »</w:t>
      </w:r>
      <w:r w:rsidRPr="00D75250">
        <w:rPr>
          <w:rFonts w:ascii="Times New Roman" w:hAnsi="Times New Roman" w:cs="Times New Roman"/>
          <w:color w:val="000000"/>
          <w:szCs w:val="24"/>
        </w:rPr>
        <w:t>, par opposition aux « organisations non gouvernementales »,</w:t>
      </w:r>
      <w:r w:rsidRPr="00D75250">
        <w:rPr>
          <w:rFonts w:ascii="Times New Roman" w:hAnsi="Times New Roman" w:cs="Times New Roman"/>
          <w:szCs w:val="24"/>
        </w:rPr>
        <w:t xml:space="preserve"> comme des personnes morales qui participent à l’exercice de la puissance publique ou qui gèrent un service public sous le contrôle des autorités. Elle a affirmé qu’il y avait lieu de prendre en considération le statut juridique de la personne morale et, le cas échéant, les prérogatives qui lui sont données, la nature de l’activité qu’elle exerce et le contexte dans lequel s’inscrit celle-ci, ainsi que son degré d’indépendance par rapport aux autorités politiques (voir </w:t>
      </w:r>
      <w:r w:rsidRPr="00D75250">
        <w:rPr>
          <w:rFonts w:ascii="Times New Roman" w:hAnsi="Times New Roman" w:cs="Times New Roman"/>
          <w:i/>
          <w:szCs w:val="24"/>
        </w:rPr>
        <w:t>Radio France et autres</w:t>
      </w:r>
      <w:r w:rsidRPr="00D75250">
        <w:rPr>
          <w:rFonts w:ascii="Times New Roman" w:hAnsi="Times New Roman" w:cs="Times New Roman"/>
          <w:szCs w:val="24"/>
        </w:rPr>
        <w:t>, décision précitée, § 25).</w:t>
      </w:r>
    </w:p>
    <w:p w14:paraId="37B009CC" w14:textId="47B23E9A" w:rsidR="00D75250" w:rsidRPr="00D75250" w:rsidRDefault="00D75250" w:rsidP="00D75250">
      <w:pPr>
        <w:pStyle w:val="JuPara"/>
        <w:rPr>
          <w:rFonts w:ascii="Times New Roman" w:hAnsi="Times New Roman" w:cs="Times New Roman"/>
          <w:color w:val="000000"/>
          <w:szCs w:val="24"/>
        </w:rPr>
      </w:pPr>
      <w:r w:rsidRPr="00D75250">
        <w:rPr>
          <w:rFonts w:ascii="Times New Roman" w:hAnsi="Times New Roman" w:cs="Times New Roman"/>
          <w:szCs w:val="24"/>
        </w:rPr>
        <w:fldChar w:fldCharType="begin"/>
      </w:r>
      <w:r w:rsidRPr="00D75250">
        <w:rPr>
          <w:rFonts w:ascii="Times New Roman" w:hAnsi="Times New Roman" w:cs="Times New Roman"/>
          <w:szCs w:val="24"/>
        </w:rPr>
        <w:instrText xml:space="preserve"> SEQ level0 \*arabic </w:instrText>
      </w:r>
      <w:r w:rsidRPr="00D75250">
        <w:rPr>
          <w:rFonts w:ascii="Times New Roman" w:hAnsi="Times New Roman" w:cs="Times New Roman"/>
          <w:szCs w:val="24"/>
        </w:rPr>
        <w:fldChar w:fldCharType="separate"/>
      </w:r>
      <w:r w:rsidR="00B36965">
        <w:rPr>
          <w:rFonts w:ascii="Times New Roman" w:hAnsi="Times New Roman" w:cs="Times New Roman"/>
          <w:noProof/>
          <w:szCs w:val="24"/>
        </w:rPr>
        <w:t>8</w:t>
      </w:r>
      <w:r w:rsidRPr="00D75250">
        <w:rPr>
          <w:rFonts w:ascii="Times New Roman" w:hAnsi="Times New Roman" w:cs="Times New Roman"/>
          <w:szCs w:val="24"/>
        </w:rPr>
        <w:fldChar w:fldCharType="end"/>
      </w:r>
      <w:r w:rsidRPr="00D75250">
        <w:rPr>
          <w:rFonts w:ascii="Times New Roman" w:hAnsi="Times New Roman" w:cs="Times New Roman"/>
          <w:szCs w:val="24"/>
        </w:rPr>
        <w:t xml:space="preserve">.  La Cour a aussi jugé à plusieurs reprises que les autorités décentralisées de l’État qui exercent des fonctions publiques ne peuvent introduire une requête devant les organes de la Convention car, quel que soit leur degré d’autonomie, elles exercent une partie de la puissance </w:t>
      </w:r>
      <w:r w:rsidRPr="00D75250">
        <w:rPr>
          <w:rFonts w:ascii="Times New Roman" w:hAnsi="Times New Roman" w:cs="Times New Roman"/>
          <w:szCs w:val="24"/>
        </w:rPr>
        <w:lastRenderedPageBreak/>
        <w:t xml:space="preserve">publique et, ainsi, leurs actes ou omissions engagent la responsabilité de l’État en vertu de la Convention (voir, parmi d’autres, </w:t>
      </w:r>
      <w:proofErr w:type="spellStart"/>
      <w:r w:rsidRPr="00D75250">
        <w:rPr>
          <w:rFonts w:ascii="Times New Roman" w:hAnsi="Times New Roman" w:cs="Times New Roman"/>
          <w:i/>
          <w:szCs w:val="24"/>
        </w:rPr>
        <w:t>Assanidzé</w:t>
      </w:r>
      <w:proofErr w:type="spellEnd"/>
      <w:r w:rsidRPr="00D75250">
        <w:rPr>
          <w:rFonts w:ascii="Times New Roman" w:hAnsi="Times New Roman" w:cs="Times New Roman"/>
          <w:i/>
          <w:szCs w:val="24"/>
        </w:rPr>
        <w:t xml:space="preserve"> c. Géorgie</w:t>
      </w:r>
      <w:r w:rsidRPr="00D75250">
        <w:rPr>
          <w:rFonts w:ascii="Times New Roman" w:hAnsi="Times New Roman" w:cs="Times New Roman"/>
          <w:szCs w:val="24"/>
        </w:rPr>
        <w:t xml:space="preserve"> [GC], n</w:t>
      </w:r>
      <w:r w:rsidRPr="00D75250">
        <w:rPr>
          <w:rFonts w:ascii="Times New Roman" w:hAnsi="Times New Roman" w:cs="Times New Roman"/>
          <w:szCs w:val="24"/>
          <w:vertAlign w:val="superscript"/>
        </w:rPr>
        <w:t>o </w:t>
      </w:r>
      <w:r w:rsidRPr="00D75250">
        <w:rPr>
          <w:rFonts w:ascii="Times New Roman" w:hAnsi="Times New Roman" w:cs="Times New Roman"/>
          <w:szCs w:val="24"/>
        </w:rPr>
        <w:t>71503/01, §§ 148-149, CEDH 2004</w:t>
      </w:r>
      <w:r w:rsidRPr="00D75250">
        <w:rPr>
          <w:rFonts w:ascii="Times New Roman" w:eastAsia="MS Mincho" w:hAnsi="Times New Roman" w:cs="Times New Roman"/>
          <w:szCs w:val="24"/>
        </w:rPr>
        <w:t>‑</w:t>
      </w:r>
      <w:r w:rsidRPr="00D75250">
        <w:rPr>
          <w:rFonts w:ascii="Times New Roman" w:hAnsi="Times New Roman" w:cs="Times New Roman"/>
          <w:szCs w:val="24"/>
        </w:rPr>
        <w:t>II).</w:t>
      </w:r>
    </w:p>
    <w:p w14:paraId="7774A375" w14:textId="135062EB" w:rsidR="00D75250" w:rsidRPr="00D75250" w:rsidRDefault="00D75250" w:rsidP="00D75250">
      <w:pPr>
        <w:pStyle w:val="JuPara"/>
        <w:rPr>
          <w:rFonts w:ascii="Times New Roman" w:hAnsi="Times New Roman" w:cs="Times New Roman"/>
          <w:szCs w:val="24"/>
        </w:rPr>
      </w:pPr>
      <w:r w:rsidRPr="00D75250">
        <w:rPr>
          <w:rFonts w:ascii="Times New Roman" w:hAnsi="Times New Roman" w:cs="Times New Roman"/>
          <w:szCs w:val="24"/>
        </w:rPr>
        <w:fldChar w:fldCharType="begin"/>
      </w:r>
      <w:r w:rsidRPr="00D75250">
        <w:rPr>
          <w:rFonts w:ascii="Times New Roman" w:hAnsi="Times New Roman" w:cs="Times New Roman"/>
          <w:szCs w:val="24"/>
        </w:rPr>
        <w:instrText xml:space="preserve"> SEQ level0 \*arabic </w:instrText>
      </w:r>
      <w:r w:rsidRPr="00D75250">
        <w:rPr>
          <w:rFonts w:ascii="Times New Roman" w:hAnsi="Times New Roman" w:cs="Times New Roman"/>
          <w:szCs w:val="24"/>
        </w:rPr>
        <w:fldChar w:fldCharType="separate"/>
      </w:r>
      <w:r w:rsidR="00B36965">
        <w:rPr>
          <w:rFonts w:ascii="Times New Roman" w:hAnsi="Times New Roman" w:cs="Times New Roman"/>
          <w:noProof/>
          <w:szCs w:val="24"/>
        </w:rPr>
        <w:t>9</w:t>
      </w:r>
      <w:r w:rsidRPr="00D75250">
        <w:rPr>
          <w:rFonts w:ascii="Times New Roman" w:hAnsi="Times New Roman" w:cs="Times New Roman"/>
          <w:szCs w:val="24"/>
        </w:rPr>
        <w:fldChar w:fldCharType="end"/>
      </w:r>
      <w:r w:rsidRPr="00D75250">
        <w:rPr>
          <w:rFonts w:ascii="Times New Roman" w:hAnsi="Times New Roman" w:cs="Times New Roman"/>
          <w:szCs w:val="24"/>
        </w:rPr>
        <w:t>.  Il résulte des principes qui précèdent que la République démocratique du Congo ne saurait être considérée comme une « organisation non gouvernementale » au sens de l’article 34 et qu’elle ne relève donc d’aucune des trois catégories énoncées à l’article 34 de la Convention.</w:t>
      </w:r>
    </w:p>
    <w:p w14:paraId="50AFC33A" w14:textId="3852F900" w:rsidR="00D75250" w:rsidRPr="00D75250" w:rsidRDefault="00D75250" w:rsidP="00D75250">
      <w:pPr>
        <w:pStyle w:val="JuPara"/>
        <w:rPr>
          <w:rFonts w:ascii="Times New Roman" w:hAnsi="Times New Roman" w:cs="Times New Roman"/>
          <w:szCs w:val="24"/>
        </w:rPr>
      </w:pPr>
      <w:r w:rsidRPr="00D75250">
        <w:rPr>
          <w:rFonts w:ascii="Times New Roman" w:hAnsi="Times New Roman" w:cs="Times New Roman"/>
          <w:szCs w:val="24"/>
        </w:rPr>
        <w:fldChar w:fldCharType="begin"/>
      </w:r>
      <w:r w:rsidRPr="00D75250">
        <w:rPr>
          <w:rFonts w:ascii="Times New Roman" w:hAnsi="Times New Roman" w:cs="Times New Roman"/>
          <w:szCs w:val="24"/>
        </w:rPr>
        <w:instrText xml:space="preserve"> SEQ level0 \*arabic </w:instrText>
      </w:r>
      <w:r w:rsidRPr="00D75250">
        <w:rPr>
          <w:rFonts w:ascii="Times New Roman" w:hAnsi="Times New Roman" w:cs="Times New Roman"/>
          <w:szCs w:val="24"/>
        </w:rPr>
        <w:fldChar w:fldCharType="separate"/>
      </w:r>
      <w:r w:rsidR="00B36965">
        <w:rPr>
          <w:rFonts w:ascii="Times New Roman" w:hAnsi="Times New Roman" w:cs="Times New Roman"/>
          <w:noProof/>
          <w:szCs w:val="24"/>
        </w:rPr>
        <w:t>10</w:t>
      </w:r>
      <w:r w:rsidRPr="00D75250">
        <w:rPr>
          <w:rFonts w:ascii="Times New Roman" w:hAnsi="Times New Roman" w:cs="Times New Roman"/>
          <w:szCs w:val="24"/>
        </w:rPr>
        <w:fldChar w:fldCharType="end"/>
      </w:r>
      <w:r w:rsidRPr="00D75250">
        <w:rPr>
          <w:rFonts w:ascii="Times New Roman" w:hAnsi="Times New Roman" w:cs="Times New Roman"/>
          <w:szCs w:val="24"/>
        </w:rPr>
        <w:t xml:space="preserve">.  La référence opérée par la requérante à l’arrêt </w:t>
      </w:r>
      <w:r w:rsidRPr="00D75250">
        <w:rPr>
          <w:rFonts w:ascii="Times New Roman" w:hAnsi="Times New Roman" w:cs="Times New Roman"/>
          <w:i/>
          <w:szCs w:val="24"/>
        </w:rPr>
        <w:t>Compagnie de navigation de la République islamique d’</w:t>
      </w:r>
      <w:bookmarkStart w:id="0" w:name="File0"/>
      <w:r w:rsidRPr="00D75250">
        <w:rPr>
          <w:rFonts w:ascii="Times New Roman" w:hAnsi="Times New Roman" w:cs="Times New Roman"/>
          <w:i/>
          <w:szCs w:val="24"/>
        </w:rPr>
        <w:t>Iran</w:t>
      </w:r>
      <w:bookmarkEnd w:id="0"/>
      <w:r w:rsidRPr="00D75250">
        <w:rPr>
          <w:rFonts w:ascii="Times New Roman" w:hAnsi="Times New Roman" w:cs="Times New Roman"/>
          <w:i/>
          <w:szCs w:val="24"/>
        </w:rPr>
        <w:t xml:space="preserve"> c. Turquie</w:t>
      </w:r>
      <w:r w:rsidRPr="00D75250">
        <w:rPr>
          <w:rFonts w:ascii="Times New Roman" w:hAnsi="Times New Roman" w:cs="Times New Roman"/>
          <w:szCs w:val="24"/>
        </w:rPr>
        <w:t xml:space="preserve"> (n</w:t>
      </w:r>
      <w:r w:rsidRPr="00D75250">
        <w:rPr>
          <w:rFonts w:ascii="Times New Roman" w:hAnsi="Times New Roman" w:cs="Times New Roman"/>
          <w:szCs w:val="24"/>
          <w:vertAlign w:val="superscript"/>
        </w:rPr>
        <w:t>o</w:t>
      </w:r>
      <w:r w:rsidRPr="00D75250">
        <w:rPr>
          <w:rFonts w:ascii="Times New Roman" w:hAnsi="Times New Roman" w:cs="Times New Roman"/>
          <w:szCs w:val="24"/>
        </w:rPr>
        <w:t> 40998/98, CEDH 2007</w:t>
      </w:r>
      <w:r w:rsidRPr="00D75250">
        <w:rPr>
          <w:rFonts w:ascii="Times New Roman" w:hAnsi="Times New Roman" w:cs="Times New Roman"/>
          <w:szCs w:val="24"/>
        </w:rPr>
        <w:noBreakHyphen/>
        <w:t xml:space="preserve">V) ne saurait conduire à invalider ces constats. Dans cette affaire, avant de reconnaître le </w:t>
      </w:r>
      <w:r w:rsidRPr="00D75250">
        <w:rPr>
          <w:rFonts w:ascii="Times New Roman" w:hAnsi="Times New Roman" w:cs="Times New Roman"/>
          <w:i/>
          <w:szCs w:val="24"/>
        </w:rPr>
        <w:t xml:space="preserve">locus </w:t>
      </w:r>
      <w:proofErr w:type="spellStart"/>
      <w:r w:rsidRPr="00D75250">
        <w:rPr>
          <w:rFonts w:ascii="Times New Roman" w:hAnsi="Times New Roman" w:cs="Times New Roman"/>
          <w:i/>
          <w:szCs w:val="24"/>
        </w:rPr>
        <w:t>standi</w:t>
      </w:r>
      <w:proofErr w:type="spellEnd"/>
      <w:r w:rsidRPr="00D75250">
        <w:rPr>
          <w:rFonts w:ascii="Times New Roman" w:hAnsi="Times New Roman" w:cs="Times New Roman"/>
          <w:szCs w:val="24"/>
        </w:rPr>
        <w:t xml:space="preserve"> de la société requérante, la Cour avait relevé que « la société requérante [fonctionnait] comme une société commerciale et que rien ne [donnait] à penser que la requête à l’étude [avait] été en réalité soumise par la République islamique d’Iran, qui n’est pas partie à la Convention ». Or, en l’espèce, la requête n’est pas introduite par une personne morale exerçant des activités commerciales qui seraient soumises au droit commun de la République démocratique du Congo voire par une personne morale de droit public qui ne participerait pas à l’exercice de la puissance publique et qui serait totalement indépendante de l’État (</w:t>
      </w:r>
      <w:r w:rsidRPr="00D75250">
        <w:rPr>
          <w:rFonts w:ascii="Times New Roman" w:hAnsi="Times New Roman" w:cs="Times New Roman"/>
          <w:i/>
          <w:szCs w:val="24"/>
        </w:rPr>
        <w:t>a contrario</w:t>
      </w:r>
      <w:r w:rsidRPr="00D75250">
        <w:rPr>
          <w:rFonts w:ascii="Times New Roman" w:hAnsi="Times New Roman" w:cs="Times New Roman"/>
          <w:szCs w:val="24"/>
        </w:rPr>
        <w:t xml:space="preserve">, </w:t>
      </w:r>
      <w:r w:rsidRPr="00D75250">
        <w:rPr>
          <w:rFonts w:ascii="Times New Roman" w:hAnsi="Times New Roman" w:cs="Times New Roman"/>
          <w:i/>
          <w:szCs w:val="24"/>
        </w:rPr>
        <w:t>Compagnie de navigation de la République islamique d’Iran</w:t>
      </w:r>
      <w:r w:rsidRPr="00D75250">
        <w:rPr>
          <w:rFonts w:ascii="Times New Roman" w:hAnsi="Times New Roman" w:cs="Times New Roman"/>
          <w:szCs w:val="24"/>
        </w:rPr>
        <w:t xml:space="preserve">, précité, §§ 80-81, à comparer avec </w:t>
      </w:r>
      <w:proofErr w:type="spellStart"/>
      <w:r w:rsidRPr="00D75250">
        <w:rPr>
          <w:rFonts w:ascii="Times New Roman" w:hAnsi="Times New Roman" w:cs="Times New Roman"/>
          <w:i/>
          <w:szCs w:val="24"/>
        </w:rPr>
        <w:t>Ljubljanska</w:t>
      </w:r>
      <w:proofErr w:type="spellEnd"/>
      <w:r w:rsidRPr="00D75250">
        <w:rPr>
          <w:rFonts w:ascii="Times New Roman" w:hAnsi="Times New Roman" w:cs="Times New Roman"/>
          <w:i/>
          <w:szCs w:val="24"/>
        </w:rPr>
        <w:t xml:space="preserve"> </w:t>
      </w:r>
      <w:proofErr w:type="spellStart"/>
      <w:r w:rsidRPr="00D75250">
        <w:rPr>
          <w:rFonts w:ascii="Times New Roman" w:hAnsi="Times New Roman" w:cs="Times New Roman"/>
          <w:i/>
          <w:szCs w:val="24"/>
        </w:rPr>
        <w:t>banka</w:t>
      </w:r>
      <w:proofErr w:type="spellEnd"/>
      <w:r w:rsidRPr="00D75250">
        <w:rPr>
          <w:rFonts w:ascii="Times New Roman" w:hAnsi="Times New Roman" w:cs="Times New Roman"/>
          <w:i/>
          <w:szCs w:val="24"/>
        </w:rPr>
        <w:t xml:space="preserve"> </w:t>
      </w:r>
      <w:proofErr w:type="spellStart"/>
      <w:r w:rsidRPr="00D75250">
        <w:rPr>
          <w:rFonts w:ascii="Times New Roman" w:hAnsi="Times New Roman" w:cs="Times New Roman"/>
          <w:i/>
          <w:szCs w:val="24"/>
        </w:rPr>
        <w:t>d.d</w:t>
      </w:r>
      <w:proofErr w:type="spellEnd"/>
      <w:r w:rsidRPr="00D75250">
        <w:rPr>
          <w:rFonts w:ascii="Times New Roman" w:hAnsi="Times New Roman" w:cs="Times New Roman"/>
          <w:i/>
          <w:szCs w:val="24"/>
        </w:rPr>
        <w:t>. c. Croatie</w:t>
      </w:r>
      <w:r w:rsidRPr="00D75250">
        <w:rPr>
          <w:rFonts w:ascii="Times New Roman" w:hAnsi="Times New Roman" w:cs="Times New Roman"/>
          <w:szCs w:val="24"/>
        </w:rPr>
        <w:t xml:space="preserve"> (déc.), n</w:t>
      </w:r>
      <w:r w:rsidRPr="00D75250">
        <w:rPr>
          <w:rFonts w:ascii="Times New Roman" w:hAnsi="Times New Roman" w:cs="Times New Roman"/>
          <w:szCs w:val="24"/>
          <w:vertAlign w:val="superscript"/>
        </w:rPr>
        <w:t>o</w:t>
      </w:r>
      <w:r w:rsidRPr="00D75250">
        <w:rPr>
          <w:rFonts w:ascii="Times New Roman" w:hAnsi="Times New Roman" w:cs="Times New Roman"/>
          <w:szCs w:val="24"/>
        </w:rPr>
        <w:t xml:space="preserve"> 29003/07, §§ 54-55, 12 mai 2015), mais bien par la République démocratique du Congo elle-même.</w:t>
      </w:r>
    </w:p>
    <w:p w14:paraId="01E16E80" w14:textId="01D235B1" w:rsidR="00D75250" w:rsidRPr="00D75250" w:rsidRDefault="00D75250" w:rsidP="00D75250">
      <w:pPr>
        <w:pStyle w:val="JuPara"/>
        <w:rPr>
          <w:rFonts w:ascii="Times New Roman" w:hAnsi="Times New Roman" w:cs="Times New Roman"/>
          <w:szCs w:val="24"/>
        </w:rPr>
      </w:pPr>
      <w:r w:rsidRPr="00D75250">
        <w:rPr>
          <w:rFonts w:ascii="Times New Roman" w:eastAsia="Times New Roman" w:hAnsi="Times New Roman" w:cs="Times New Roman"/>
          <w:color w:val="000000"/>
          <w:szCs w:val="24"/>
        </w:rPr>
        <w:fldChar w:fldCharType="begin"/>
      </w:r>
      <w:r w:rsidRPr="00D75250">
        <w:rPr>
          <w:rFonts w:ascii="Times New Roman" w:eastAsia="Times New Roman" w:hAnsi="Times New Roman" w:cs="Times New Roman"/>
          <w:color w:val="000000"/>
          <w:szCs w:val="24"/>
        </w:rPr>
        <w:instrText xml:space="preserve"> SEQ level0 \*arabic </w:instrText>
      </w:r>
      <w:r w:rsidRPr="00D75250">
        <w:rPr>
          <w:rFonts w:ascii="Times New Roman" w:eastAsia="Times New Roman" w:hAnsi="Times New Roman" w:cs="Times New Roman"/>
          <w:color w:val="000000"/>
          <w:szCs w:val="24"/>
        </w:rPr>
        <w:fldChar w:fldCharType="separate"/>
      </w:r>
      <w:r w:rsidR="00B36965">
        <w:rPr>
          <w:rFonts w:ascii="Times New Roman" w:eastAsia="Times New Roman" w:hAnsi="Times New Roman" w:cs="Times New Roman"/>
          <w:noProof/>
          <w:color w:val="000000"/>
          <w:szCs w:val="24"/>
        </w:rPr>
        <w:t>11</w:t>
      </w:r>
      <w:r w:rsidRPr="00D75250">
        <w:rPr>
          <w:rFonts w:ascii="Times New Roman" w:eastAsia="Times New Roman" w:hAnsi="Times New Roman" w:cs="Times New Roman"/>
          <w:color w:val="000000"/>
          <w:szCs w:val="24"/>
        </w:rPr>
        <w:fldChar w:fldCharType="end"/>
      </w:r>
      <w:r w:rsidRPr="00D75250">
        <w:rPr>
          <w:rFonts w:ascii="Times New Roman" w:eastAsia="Times New Roman" w:hAnsi="Times New Roman" w:cs="Times New Roman"/>
          <w:color w:val="000000"/>
          <w:szCs w:val="24"/>
        </w:rPr>
        <w:t xml:space="preserve">.  Il s’ensuit que la requête est incompatible </w:t>
      </w:r>
      <w:proofErr w:type="spellStart"/>
      <w:r w:rsidRPr="00D75250">
        <w:rPr>
          <w:rFonts w:ascii="Times New Roman" w:eastAsia="Times New Roman" w:hAnsi="Times New Roman" w:cs="Times New Roman"/>
          <w:i/>
          <w:color w:val="000000"/>
          <w:szCs w:val="24"/>
        </w:rPr>
        <w:t>ratione</w:t>
      </w:r>
      <w:proofErr w:type="spellEnd"/>
      <w:r w:rsidRPr="00D75250">
        <w:rPr>
          <w:rFonts w:ascii="Times New Roman" w:eastAsia="Times New Roman" w:hAnsi="Times New Roman" w:cs="Times New Roman"/>
          <w:i/>
          <w:color w:val="000000"/>
          <w:szCs w:val="24"/>
        </w:rPr>
        <w:t xml:space="preserve"> personae</w:t>
      </w:r>
      <w:r w:rsidRPr="00D75250">
        <w:rPr>
          <w:rFonts w:ascii="Times New Roman" w:eastAsia="Times New Roman" w:hAnsi="Times New Roman" w:cs="Times New Roman"/>
          <w:color w:val="000000"/>
          <w:szCs w:val="24"/>
        </w:rPr>
        <w:t xml:space="preserve"> avec les dispositions de la Convention et doit être rejetée en application de l’article 35 §§ 3 a) et 4 de la Convention.</w:t>
      </w:r>
    </w:p>
    <w:p w14:paraId="4058E397" w14:textId="77777777" w:rsidR="00D75250" w:rsidRPr="00D75250" w:rsidRDefault="00D75250" w:rsidP="00D75250">
      <w:pPr>
        <w:pStyle w:val="JuParaLast"/>
        <w:rPr>
          <w:rFonts w:ascii="Times New Roman" w:hAnsi="Times New Roman" w:cs="Times New Roman"/>
          <w:szCs w:val="24"/>
        </w:rPr>
      </w:pPr>
      <w:r w:rsidRPr="00D75250">
        <w:rPr>
          <w:rFonts w:ascii="Times New Roman" w:hAnsi="Times New Roman" w:cs="Times New Roman"/>
          <w:szCs w:val="24"/>
        </w:rPr>
        <w:t>Par ces motifs, la Cour, à la majorité,</w:t>
      </w:r>
    </w:p>
    <w:p w14:paraId="5B2B30AB" w14:textId="2D1FEF73" w:rsidR="00D75250" w:rsidRPr="00D75250" w:rsidRDefault="00D75250" w:rsidP="00D75250">
      <w:pPr>
        <w:jc w:val="both"/>
        <w:rPr>
          <w:b/>
          <w:bCs/>
          <w:lang w:val="fr-FR"/>
        </w:rPr>
      </w:pPr>
      <w:r w:rsidRPr="00D75250">
        <w:rPr>
          <w:i/>
        </w:rPr>
        <w:t>Déclare</w:t>
      </w:r>
      <w:r w:rsidRPr="00D75250">
        <w:t xml:space="preserve"> la requête irrecevable</w:t>
      </w:r>
    </w:p>
    <w:p w14:paraId="7B50154B" w14:textId="77777777" w:rsidR="00D75250" w:rsidRDefault="00D75250" w:rsidP="003F111B">
      <w:pPr>
        <w:jc w:val="center"/>
        <w:rPr>
          <w:b/>
          <w:bCs/>
          <w:lang w:val="fr-FR"/>
        </w:rPr>
      </w:pPr>
    </w:p>
    <w:p w14:paraId="25847452" w14:textId="77777777" w:rsidR="00D75250" w:rsidRDefault="00D75250" w:rsidP="003F111B">
      <w:pPr>
        <w:jc w:val="center"/>
        <w:rPr>
          <w:b/>
          <w:bCs/>
          <w:lang w:val="fr-FR"/>
        </w:rPr>
      </w:pPr>
    </w:p>
    <w:p w14:paraId="4F285725" w14:textId="4A4DCB7E" w:rsidR="00AC5BF6" w:rsidRPr="006D25A4" w:rsidRDefault="00AC5BF6" w:rsidP="003F111B">
      <w:pPr>
        <w:jc w:val="center"/>
        <w:rPr>
          <w:b/>
          <w:bCs/>
          <w:lang w:val="fr-FR"/>
        </w:rPr>
      </w:pPr>
      <w:r w:rsidRPr="006D25A4">
        <w:rPr>
          <w:b/>
          <w:bCs/>
          <w:lang w:val="fr-FR"/>
        </w:rPr>
        <w:t>Observations</w:t>
      </w:r>
    </w:p>
    <w:p w14:paraId="3440FBC4" w14:textId="5ABAE677" w:rsidR="003F111B" w:rsidRPr="006D25A4" w:rsidRDefault="00AC5BF6" w:rsidP="003F111B">
      <w:pPr>
        <w:jc w:val="center"/>
        <w:rPr>
          <w:b/>
          <w:bCs/>
          <w:lang w:val="fr-FR"/>
        </w:rPr>
      </w:pPr>
      <w:r w:rsidRPr="006D25A4">
        <w:rPr>
          <w:b/>
          <w:bCs/>
          <w:lang w:val="fr-FR"/>
        </w:rPr>
        <w:t>Les droits de l’Homme de l’État : au-delà des évidences</w:t>
      </w:r>
    </w:p>
    <w:p w14:paraId="0429546C" w14:textId="77777777" w:rsidR="003F111B" w:rsidRPr="006D25A4" w:rsidRDefault="003F111B" w:rsidP="002C4D45">
      <w:pPr>
        <w:jc w:val="both"/>
        <w:rPr>
          <w:lang w:val="fr-FR"/>
        </w:rPr>
      </w:pPr>
    </w:p>
    <w:p w14:paraId="098D5AE8" w14:textId="05973894" w:rsidR="002C4D45" w:rsidRPr="006D25A4" w:rsidRDefault="000E2830" w:rsidP="002C4D45">
      <w:pPr>
        <w:jc w:val="both"/>
        <w:rPr>
          <w:lang w:val="fr-FR"/>
        </w:rPr>
      </w:pPr>
      <w:r w:rsidRPr="006D25A4">
        <w:rPr>
          <w:lang w:val="fr-FR"/>
        </w:rPr>
        <w:t>Les décisions d’irrecevabilité prononcées par la Cour européenne des droits de l’Homme se compte</w:t>
      </w:r>
      <w:r w:rsidR="003F1657" w:rsidRPr="006D25A4">
        <w:rPr>
          <w:lang w:val="fr-FR"/>
        </w:rPr>
        <w:t>nt</w:t>
      </w:r>
      <w:r w:rsidRPr="006D25A4">
        <w:rPr>
          <w:lang w:val="fr-FR"/>
        </w:rPr>
        <w:t>, chaque année, par dizaine</w:t>
      </w:r>
      <w:r w:rsidR="0023531C">
        <w:rPr>
          <w:lang w:val="fr-FR"/>
        </w:rPr>
        <w:t>s</w:t>
      </w:r>
      <w:r w:rsidRPr="006D25A4">
        <w:rPr>
          <w:lang w:val="fr-FR"/>
        </w:rPr>
        <w:t xml:space="preserve"> de milliers</w:t>
      </w:r>
      <w:r w:rsidR="00A63CBD">
        <w:rPr>
          <w:rStyle w:val="Appelnotedebasdep"/>
          <w:lang w:val="fr-FR"/>
        </w:rPr>
        <w:footnoteReference w:id="1"/>
      </w:r>
      <w:r w:rsidR="00C136FB" w:rsidRPr="006D25A4">
        <w:rPr>
          <w:lang w:val="fr-FR"/>
        </w:rPr>
        <w:t>. E</w:t>
      </w:r>
      <w:r w:rsidR="002C4D45" w:rsidRPr="006D25A4">
        <w:rPr>
          <w:lang w:val="fr-FR"/>
        </w:rPr>
        <w:t>n</w:t>
      </w:r>
      <w:r w:rsidR="0021475F" w:rsidRPr="006D25A4">
        <w:rPr>
          <w:lang w:val="fr-FR"/>
        </w:rPr>
        <w:t xml:space="preserve"> règle générale,</w:t>
      </w:r>
      <w:r w:rsidR="00C136FB" w:rsidRPr="006D25A4">
        <w:rPr>
          <w:lang w:val="fr-FR"/>
        </w:rPr>
        <w:t xml:space="preserve"> elles</w:t>
      </w:r>
      <w:r w:rsidRPr="006D25A4">
        <w:rPr>
          <w:lang w:val="fr-FR"/>
        </w:rPr>
        <w:t xml:space="preserve"> rejoignent rapidement les </w:t>
      </w:r>
      <w:r w:rsidR="00AC5BF6" w:rsidRPr="006D25A4">
        <w:rPr>
          <w:lang w:val="fr-FR"/>
        </w:rPr>
        <w:t>re</w:t>
      </w:r>
      <w:r w:rsidRPr="006D25A4">
        <w:rPr>
          <w:lang w:val="fr-FR"/>
        </w:rPr>
        <w:t xml:space="preserve">coins les plus sombres des banques de données </w:t>
      </w:r>
      <w:r w:rsidR="0021475F" w:rsidRPr="006D25A4">
        <w:rPr>
          <w:lang w:val="fr-FR"/>
        </w:rPr>
        <w:t>strasbourgeoise</w:t>
      </w:r>
      <w:r w:rsidR="002C4D45" w:rsidRPr="006D25A4">
        <w:rPr>
          <w:lang w:val="fr-FR"/>
        </w:rPr>
        <w:t>s</w:t>
      </w:r>
      <w:r w:rsidR="00AC5BF6" w:rsidRPr="006D25A4">
        <w:rPr>
          <w:lang w:val="fr-FR"/>
        </w:rPr>
        <w:t>,</w:t>
      </w:r>
      <w:r w:rsidR="0021475F" w:rsidRPr="006D25A4">
        <w:rPr>
          <w:lang w:val="fr-FR"/>
        </w:rPr>
        <w:t xml:space="preserve"> </w:t>
      </w:r>
      <w:r w:rsidRPr="006D25A4">
        <w:rPr>
          <w:lang w:val="fr-FR"/>
        </w:rPr>
        <w:t xml:space="preserve">sans </w:t>
      </w:r>
      <w:r w:rsidR="00C136FB" w:rsidRPr="006D25A4">
        <w:rPr>
          <w:lang w:val="fr-FR"/>
        </w:rPr>
        <w:t>a</w:t>
      </w:r>
      <w:r w:rsidR="00FD26A3">
        <w:rPr>
          <w:lang w:val="fr-FR"/>
        </w:rPr>
        <w:t xml:space="preserve">ffoler </w:t>
      </w:r>
      <w:r w:rsidR="00C136FB" w:rsidRPr="006D25A4">
        <w:rPr>
          <w:lang w:val="fr-FR"/>
        </w:rPr>
        <w:t>outre mesure</w:t>
      </w:r>
      <w:r w:rsidR="0021475F" w:rsidRPr="006D25A4">
        <w:rPr>
          <w:lang w:val="fr-FR"/>
        </w:rPr>
        <w:t xml:space="preserve"> le</w:t>
      </w:r>
      <w:r w:rsidR="002C4D45" w:rsidRPr="006D25A4">
        <w:rPr>
          <w:lang w:val="fr-FR"/>
        </w:rPr>
        <w:t>s</w:t>
      </w:r>
      <w:r w:rsidR="0021475F" w:rsidRPr="006D25A4">
        <w:rPr>
          <w:lang w:val="fr-FR"/>
        </w:rPr>
        <w:t xml:space="preserve"> radar</w:t>
      </w:r>
      <w:r w:rsidR="002C4D45" w:rsidRPr="006D25A4">
        <w:rPr>
          <w:lang w:val="fr-FR"/>
        </w:rPr>
        <w:t>s</w:t>
      </w:r>
      <w:r w:rsidR="0021475F" w:rsidRPr="006D25A4">
        <w:rPr>
          <w:lang w:val="fr-FR"/>
        </w:rPr>
        <w:t xml:space="preserve"> doctrina</w:t>
      </w:r>
      <w:r w:rsidR="002C4D45" w:rsidRPr="006D25A4">
        <w:rPr>
          <w:lang w:val="fr-FR"/>
        </w:rPr>
        <w:t>ux</w:t>
      </w:r>
      <w:r w:rsidR="0021475F" w:rsidRPr="006D25A4">
        <w:rPr>
          <w:lang w:val="fr-FR"/>
        </w:rPr>
        <w:t xml:space="preserve">. </w:t>
      </w:r>
    </w:p>
    <w:p w14:paraId="07E49023" w14:textId="77777777" w:rsidR="002C4D45" w:rsidRPr="006D25A4" w:rsidRDefault="002C4D45" w:rsidP="002C4D45">
      <w:pPr>
        <w:jc w:val="both"/>
        <w:rPr>
          <w:lang w:val="fr-FR"/>
        </w:rPr>
      </w:pPr>
    </w:p>
    <w:p w14:paraId="57A224E8" w14:textId="4A8AE648" w:rsidR="00AC5BF6" w:rsidRPr="006D25A4" w:rsidRDefault="0021475F" w:rsidP="002C4D45">
      <w:pPr>
        <w:jc w:val="both"/>
        <w:rPr>
          <w:lang w:val="fr-FR"/>
        </w:rPr>
      </w:pPr>
      <w:r w:rsidRPr="006D25A4">
        <w:rPr>
          <w:lang w:val="fr-FR"/>
        </w:rPr>
        <w:t>Il peut en aller différemment lorsqu’</w:t>
      </w:r>
      <w:r w:rsidR="002C4D45" w:rsidRPr="006D25A4">
        <w:rPr>
          <w:lang w:val="fr-FR"/>
        </w:rPr>
        <w:t>elle</w:t>
      </w:r>
      <w:r w:rsidRPr="006D25A4">
        <w:rPr>
          <w:lang w:val="fr-FR"/>
        </w:rPr>
        <w:t xml:space="preserve">s reçoivent les honneurs d’un communiqué de presse, à l’instar de la décision </w:t>
      </w:r>
      <w:r w:rsidRPr="006D25A4">
        <w:rPr>
          <w:i/>
          <w:lang w:val="fr-FR"/>
        </w:rPr>
        <w:t>R</w:t>
      </w:r>
      <w:r w:rsidR="00AC5BF6" w:rsidRPr="006D25A4">
        <w:rPr>
          <w:i/>
          <w:lang w:val="fr-FR"/>
        </w:rPr>
        <w:t>épublique démocratique du Congo c. Belgique,</w:t>
      </w:r>
      <w:r w:rsidRPr="006D25A4">
        <w:rPr>
          <w:i/>
          <w:lang w:val="fr-FR"/>
        </w:rPr>
        <w:t xml:space="preserve"> </w:t>
      </w:r>
      <w:r w:rsidRPr="006D25A4">
        <w:rPr>
          <w:lang w:val="fr-FR"/>
        </w:rPr>
        <w:t xml:space="preserve">intervenue le 6 octobre 2020. </w:t>
      </w:r>
    </w:p>
    <w:p w14:paraId="6C63790B" w14:textId="77777777" w:rsidR="00AC5BF6" w:rsidRPr="006D25A4" w:rsidRDefault="00AC5BF6" w:rsidP="002C4D45">
      <w:pPr>
        <w:jc w:val="both"/>
        <w:rPr>
          <w:lang w:val="fr-FR"/>
        </w:rPr>
      </w:pPr>
    </w:p>
    <w:p w14:paraId="12E9E4FB" w14:textId="19FF9FC5" w:rsidR="002C4D45" w:rsidRPr="006D25A4" w:rsidRDefault="0021475F" w:rsidP="002C4D45">
      <w:pPr>
        <w:jc w:val="both"/>
        <w:rPr>
          <w:lang w:val="fr-FR"/>
        </w:rPr>
      </w:pPr>
      <w:r w:rsidRPr="006D25A4">
        <w:rPr>
          <w:lang w:val="fr-FR"/>
        </w:rPr>
        <w:t xml:space="preserve">L’attention qui lui fut ainsi </w:t>
      </w:r>
      <w:r w:rsidR="006C0F3B">
        <w:rPr>
          <w:lang w:val="fr-FR"/>
        </w:rPr>
        <w:t>donn</w:t>
      </w:r>
      <w:r w:rsidRPr="006D25A4">
        <w:rPr>
          <w:lang w:val="fr-FR"/>
        </w:rPr>
        <w:t>ée tient sans doute</w:t>
      </w:r>
      <w:r w:rsidR="00AC5BF6" w:rsidRPr="006D25A4">
        <w:rPr>
          <w:lang w:val="fr-FR"/>
        </w:rPr>
        <w:t xml:space="preserve"> largement</w:t>
      </w:r>
      <w:r w:rsidRPr="006D25A4">
        <w:rPr>
          <w:lang w:val="fr-FR"/>
        </w:rPr>
        <w:t xml:space="preserve"> au caractère « inédit » du litige </w:t>
      </w:r>
      <w:r w:rsidR="002C4D45" w:rsidRPr="006D25A4">
        <w:rPr>
          <w:lang w:val="fr-FR"/>
        </w:rPr>
        <w:t>qui</w:t>
      </w:r>
      <w:r w:rsidR="00AC5BF6" w:rsidRPr="006D25A4">
        <w:rPr>
          <w:lang w:val="fr-FR"/>
        </w:rPr>
        <w:t xml:space="preserve"> y</w:t>
      </w:r>
      <w:r w:rsidR="002C4D45" w:rsidRPr="006D25A4">
        <w:rPr>
          <w:lang w:val="fr-FR"/>
        </w:rPr>
        <w:t xml:space="preserve"> </w:t>
      </w:r>
      <w:r w:rsidRPr="006D25A4">
        <w:rPr>
          <w:lang w:val="fr-FR"/>
        </w:rPr>
        <w:t>donna lieu. Les « affaires interétatiques » portées devant le prétoire européen sont rares</w:t>
      </w:r>
      <w:r w:rsidR="00A63CBD">
        <w:rPr>
          <w:rStyle w:val="Appelnotedebasdep"/>
          <w:lang w:val="fr-FR"/>
        </w:rPr>
        <w:footnoteReference w:id="2"/>
      </w:r>
      <w:r w:rsidRPr="006D25A4">
        <w:rPr>
          <w:lang w:val="fr-FR"/>
        </w:rPr>
        <w:t xml:space="preserve">. La configuration opposant un </w:t>
      </w:r>
      <w:proofErr w:type="spellStart"/>
      <w:r w:rsidR="002C4D45" w:rsidRPr="006D25A4">
        <w:rPr>
          <w:lang w:val="fr-FR"/>
        </w:rPr>
        <w:t>E</w:t>
      </w:r>
      <w:r w:rsidRPr="006D25A4">
        <w:rPr>
          <w:lang w:val="fr-FR"/>
        </w:rPr>
        <w:t>tat</w:t>
      </w:r>
      <w:proofErr w:type="spellEnd"/>
      <w:r w:rsidRPr="006D25A4">
        <w:rPr>
          <w:lang w:val="fr-FR"/>
        </w:rPr>
        <w:t xml:space="preserve"> tiers à la </w:t>
      </w:r>
      <w:r w:rsidR="00AC5BF6" w:rsidRPr="006D25A4">
        <w:rPr>
          <w:lang w:val="fr-FR"/>
        </w:rPr>
        <w:t>C</w:t>
      </w:r>
      <w:r w:rsidRPr="006D25A4">
        <w:rPr>
          <w:lang w:val="fr-FR"/>
        </w:rPr>
        <w:t xml:space="preserve">onvention à un </w:t>
      </w:r>
      <w:proofErr w:type="spellStart"/>
      <w:r w:rsidR="002C4D45" w:rsidRPr="006D25A4">
        <w:rPr>
          <w:lang w:val="fr-FR"/>
        </w:rPr>
        <w:t>E</w:t>
      </w:r>
      <w:r w:rsidRPr="006D25A4">
        <w:rPr>
          <w:lang w:val="fr-FR"/>
        </w:rPr>
        <w:t>tat</w:t>
      </w:r>
      <w:proofErr w:type="spellEnd"/>
      <w:r w:rsidRPr="006D25A4">
        <w:rPr>
          <w:lang w:val="fr-FR"/>
        </w:rPr>
        <w:t xml:space="preserve"> partie à celle-ci était quant à elle, à notre connaissance, sans précédent aucun. </w:t>
      </w:r>
    </w:p>
    <w:p w14:paraId="1947C1EB" w14:textId="77777777" w:rsidR="002C4D45" w:rsidRPr="006D25A4" w:rsidRDefault="002C4D45" w:rsidP="002C4D45">
      <w:pPr>
        <w:jc w:val="both"/>
        <w:rPr>
          <w:lang w:val="fr-FR"/>
        </w:rPr>
      </w:pPr>
    </w:p>
    <w:p w14:paraId="4742A500" w14:textId="29AF29BD" w:rsidR="00A02E9C" w:rsidRPr="006D25A4" w:rsidRDefault="0021475F" w:rsidP="002C4D45">
      <w:pPr>
        <w:jc w:val="both"/>
        <w:rPr>
          <w:lang w:val="fr-FR"/>
        </w:rPr>
      </w:pPr>
      <w:r w:rsidRPr="006D25A4">
        <w:rPr>
          <w:lang w:val="fr-FR"/>
        </w:rPr>
        <w:lastRenderedPageBreak/>
        <w:t>Au-d</w:t>
      </w:r>
      <w:r w:rsidR="002C4D45" w:rsidRPr="006D25A4">
        <w:rPr>
          <w:lang w:val="fr-FR"/>
        </w:rPr>
        <w:t>e</w:t>
      </w:r>
      <w:r w:rsidRPr="006D25A4">
        <w:rPr>
          <w:lang w:val="fr-FR"/>
        </w:rPr>
        <w:t>là de cet aspect « sensationnel », la décision va</w:t>
      </w:r>
      <w:r w:rsidR="00AC5BF6" w:rsidRPr="006D25A4">
        <w:rPr>
          <w:lang w:val="fr-FR"/>
        </w:rPr>
        <w:t>ut</w:t>
      </w:r>
      <w:r w:rsidRPr="006D25A4">
        <w:rPr>
          <w:lang w:val="fr-FR"/>
        </w:rPr>
        <w:t xml:space="preserve">-elle vraiment que l’on s’y attarde, même un dimanche après-midi de pluie ? </w:t>
      </w:r>
      <w:r w:rsidR="00AC5BF6" w:rsidRPr="006D25A4">
        <w:rPr>
          <w:i/>
          <w:lang w:val="fr-FR"/>
        </w:rPr>
        <w:t xml:space="preserve">Prima </w:t>
      </w:r>
      <w:proofErr w:type="spellStart"/>
      <w:r w:rsidR="00AC5BF6" w:rsidRPr="006D25A4">
        <w:rPr>
          <w:i/>
          <w:lang w:val="fr-FR"/>
        </w:rPr>
        <w:t>facie</w:t>
      </w:r>
      <w:proofErr w:type="spellEnd"/>
      <w:r w:rsidRPr="006D25A4">
        <w:rPr>
          <w:lang w:val="fr-FR"/>
        </w:rPr>
        <w:t xml:space="preserve">, la Cour européenne des droits de l’Homme semble en effet y enfoncer des portes béantes. </w:t>
      </w:r>
    </w:p>
    <w:p w14:paraId="1F29B6C1" w14:textId="1E54D8F1" w:rsidR="002C4D45" w:rsidRPr="006D25A4" w:rsidRDefault="002C4D45" w:rsidP="002C4D45">
      <w:pPr>
        <w:jc w:val="both"/>
        <w:rPr>
          <w:lang w:val="fr-FR"/>
        </w:rPr>
      </w:pPr>
    </w:p>
    <w:p w14:paraId="38134C53" w14:textId="28B9CC6A" w:rsidR="002C4D45" w:rsidRPr="006D25A4" w:rsidRDefault="002C4D45" w:rsidP="002C4D45">
      <w:pPr>
        <w:jc w:val="both"/>
        <w:rPr>
          <w:lang w:val="fr-FR"/>
        </w:rPr>
      </w:pPr>
      <w:r w:rsidRPr="006D25A4">
        <w:rPr>
          <w:lang w:val="fr-FR"/>
        </w:rPr>
        <w:t>Les apparences sont cependant, dans certains cas, trompeuses.</w:t>
      </w:r>
    </w:p>
    <w:p w14:paraId="16C587B7" w14:textId="77777777" w:rsidR="00A02E9C" w:rsidRPr="006D25A4" w:rsidRDefault="00A02E9C">
      <w:pPr>
        <w:rPr>
          <w:lang w:val="fr-FR"/>
        </w:rPr>
      </w:pPr>
    </w:p>
    <w:p w14:paraId="0D53D4A7" w14:textId="6B05DF92" w:rsidR="007140CB" w:rsidRPr="006D25A4" w:rsidRDefault="0021475F" w:rsidP="002C4D45">
      <w:pPr>
        <w:jc w:val="both"/>
        <w:rPr>
          <w:lang w:val="fr-FR"/>
        </w:rPr>
      </w:pPr>
      <w:r w:rsidRPr="006D25A4">
        <w:rPr>
          <w:lang w:val="fr-FR"/>
        </w:rPr>
        <w:t xml:space="preserve">Point n’est </w:t>
      </w:r>
      <w:r w:rsidR="002C4D45" w:rsidRPr="006D25A4">
        <w:rPr>
          <w:lang w:val="fr-FR"/>
        </w:rPr>
        <w:t xml:space="preserve">certes </w:t>
      </w:r>
      <w:r w:rsidRPr="006D25A4">
        <w:rPr>
          <w:lang w:val="fr-FR"/>
        </w:rPr>
        <w:t>besoin de longues investigations pour constater que la République démo</w:t>
      </w:r>
      <w:r w:rsidR="00A02E9C" w:rsidRPr="006D25A4">
        <w:rPr>
          <w:lang w:val="fr-FR"/>
        </w:rPr>
        <w:t xml:space="preserve">cratique du Congo n’est pas partie à la Convention européenne des droits de l’Homme, et qu’elle ne bénéficie donc pas du </w:t>
      </w:r>
      <w:r w:rsidR="00A02E9C" w:rsidRPr="006D25A4">
        <w:rPr>
          <w:i/>
          <w:lang w:val="fr-FR"/>
        </w:rPr>
        <w:t xml:space="preserve">locus </w:t>
      </w:r>
      <w:proofErr w:type="spellStart"/>
      <w:r w:rsidR="00A02E9C" w:rsidRPr="006D25A4">
        <w:rPr>
          <w:i/>
          <w:lang w:val="fr-FR"/>
        </w:rPr>
        <w:t>standi</w:t>
      </w:r>
      <w:proofErr w:type="spellEnd"/>
      <w:r w:rsidR="00A02E9C" w:rsidRPr="006D25A4">
        <w:rPr>
          <w:i/>
          <w:lang w:val="fr-FR"/>
        </w:rPr>
        <w:t xml:space="preserve"> </w:t>
      </w:r>
      <w:r w:rsidR="00A02E9C" w:rsidRPr="006D25A4">
        <w:rPr>
          <w:lang w:val="fr-FR"/>
        </w:rPr>
        <w:t>que l’article 33 de ladite Convention confère aux</w:t>
      </w:r>
      <w:r w:rsidR="002C4D45" w:rsidRPr="006D25A4">
        <w:rPr>
          <w:lang w:val="fr-FR"/>
        </w:rPr>
        <w:t xml:space="preserve"> seuls</w:t>
      </w:r>
      <w:r w:rsidR="00A02E9C" w:rsidRPr="006D25A4">
        <w:rPr>
          <w:lang w:val="fr-FR"/>
        </w:rPr>
        <w:t xml:space="preserve"> états ayant cette qualité. </w:t>
      </w:r>
    </w:p>
    <w:p w14:paraId="5D3A7E00" w14:textId="2800B186" w:rsidR="00A02E9C" w:rsidRPr="006D25A4" w:rsidRDefault="00A02E9C">
      <w:pPr>
        <w:rPr>
          <w:lang w:val="fr-FR"/>
        </w:rPr>
      </w:pPr>
    </w:p>
    <w:p w14:paraId="3DA72E42" w14:textId="7EA0FCB7" w:rsidR="00A02E9C" w:rsidRPr="006D25A4" w:rsidRDefault="00A02E9C" w:rsidP="002C4D45">
      <w:pPr>
        <w:jc w:val="both"/>
        <w:rPr>
          <w:lang w:val="fr-FR"/>
        </w:rPr>
      </w:pPr>
      <w:r w:rsidRPr="006D25A4">
        <w:rPr>
          <w:lang w:val="fr-FR"/>
        </w:rPr>
        <w:t xml:space="preserve">Est-il par contre si évident que le droit de requête individuelle, consacré cette fois-ci par l’article 34 du même instrument, devait également être exclu ? La décision du 6 octobre 2020 répond à cette question de manière affirmative, en pratiquant visiblement une lecture purement textuelle de cette disposition. </w:t>
      </w:r>
      <w:proofErr w:type="spellStart"/>
      <w:r w:rsidRPr="006D25A4">
        <w:rPr>
          <w:lang w:val="fr-FR"/>
        </w:rPr>
        <w:t>Etat</w:t>
      </w:r>
      <w:proofErr w:type="spellEnd"/>
      <w:r w:rsidRPr="006D25A4">
        <w:rPr>
          <w:lang w:val="fr-FR"/>
        </w:rPr>
        <w:t xml:space="preserve"> souverain et indépendant, la R</w:t>
      </w:r>
      <w:r w:rsidR="0023531C">
        <w:rPr>
          <w:lang w:val="fr-FR"/>
        </w:rPr>
        <w:t>épublique Démocratique du Congo</w:t>
      </w:r>
      <w:r w:rsidRPr="006D25A4">
        <w:rPr>
          <w:lang w:val="fr-FR"/>
        </w:rPr>
        <w:t xml:space="preserve"> ne saurait</w:t>
      </w:r>
      <w:r w:rsidR="002C4D45" w:rsidRPr="006D25A4">
        <w:rPr>
          <w:lang w:val="fr-FR"/>
        </w:rPr>
        <w:t>, selon les juges strasbourgeois,</w:t>
      </w:r>
      <w:r w:rsidRPr="006D25A4">
        <w:rPr>
          <w:lang w:val="fr-FR"/>
        </w:rPr>
        <w:t xml:space="preserve"> être qualifiée d</w:t>
      </w:r>
      <w:r w:rsidR="00522F1F" w:rsidRPr="006D25A4">
        <w:rPr>
          <w:lang w:val="fr-FR"/>
        </w:rPr>
        <w:t>e « personne physique », de « groupe de particulier</w:t>
      </w:r>
      <w:r w:rsidR="008C02E0">
        <w:rPr>
          <w:lang w:val="fr-FR"/>
        </w:rPr>
        <w:t>s</w:t>
      </w:r>
      <w:r w:rsidR="00522F1F" w:rsidRPr="006D25A4">
        <w:rPr>
          <w:lang w:val="fr-FR"/>
        </w:rPr>
        <w:t> » ou d</w:t>
      </w:r>
      <w:proofErr w:type="gramStart"/>
      <w:r w:rsidR="00522F1F" w:rsidRPr="006D25A4">
        <w:rPr>
          <w:lang w:val="fr-FR"/>
        </w:rPr>
        <w:t>’«</w:t>
      </w:r>
      <w:proofErr w:type="gramEnd"/>
      <w:r w:rsidR="00522F1F" w:rsidRPr="006D25A4">
        <w:rPr>
          <w:lang w:val="fr-FR"/>
        </w:rPr>
        <w:t xml:space="preserve"> organisation non gouvernementale ». </w:t>
      </w:r>
    </w:p>
    <w:p w14:paraId="06C56C08" w14:textId="5ECE1784" w:rsidR="00522F1F" w:rsidRPr="006D25A4" w:rsidRDefault="00522F1F">
      <w:pPr>
        <w:rPr>
          <w:lang w:val="fr-FR"/>
        </w:rPr>
      </w:pPr>
    </w:p>
    <w:p w14:paraId="23690E07" w14:textId="010BE282" w:rsidR="00522F1F" w:rsidRPr="006D25A4" w:rsidRDefault="00522F1F" w:rsidP="002C4D45">
      <w:pPr>
        <w:jc w:val="both"/>
        <w:rPr>
          <w:lang w:val="fr-FR"/>
        </w:rPr>
      </w:pPr>
      <w:r w:rsidRPr="006D25A4">
        <w:rPr>
          <w:lang w:val="fr-FR"/>
        </w:rPr>
        <w:t xml:space="preserve">La décision intervenue a été rendue à la </w:t>
      </w:r>
      <w:r w:rsidRPr="006D25A4">
        <w:rPr>
          <w:i/>
          <w:iCs/>
          <w:lang w:val="fr-FR"/>
        </w:rPr>
        <w:t>majorité</w:t>
      </w:r>
      <w:r w:rsidRPr="006D25A4">
        <w:rPr>
          <w:lang w:val="fr-FR"/>
        </w:rPr>
        <w:t xml:space="preserve"> et non à l’</w:t>
      </w:r>
      <w:r w:rsidRPr="006D25A4">
        <w:rPr>
          <w:i/>
          <w:iCs/>
          <w:lang w:val="fr-FR"/>
        </w:rPr>
        <w:t>unanimité</w:t>
      </w:r>
      <w:r w:rsidRPr="006D25A4">
        <w:rPr>
          <w:lang w:val="fr-FR"/>
        </w:rPr>
        <w:t xml:space="preserve"> de la troisième section de la Cour. </w:t>
      </w:r>
      <w:r w:rsidR="00444EF2" w:rsidRPr="006D25A4">
        <w:rPr>
          <w:lang w:val="fr-FR"/>
        </w:rPr>
        <w:t xml:space="preserve">Dissidence il y a donc eu, même si l’on </w:t>
      </w:r>
      <w:r w:rsidR="008C02E0">
        <w:rPr>
          <w:lang w:val="fr-FR"/>
        </w:rPr>
        <w:t>n’</w:t>
      </w:r>
      <w:r w:rsidR="00444EF2" w:rsidRPr="006D25A4">
        <w:rPr>
          <w:lang w:val="fr-FR"/>
        </w:rPr>
        <w:t>en connaîtra jamais</w:t>
      </w:r>
      <w:r w:rsidR="009C728C">
        <w:rPr>
          <w:lang w:val="fr-FR"/>
        </w:rPr>
        <w:t xml:space="preserve"> ni</w:t>
      </w:r>
      <w:r w:rsidR="00444EF2" w:rsidRPr="006D25A4">
        <w:rPr>
          <w:lang w:val="fr-FR"/>
        </w:rPr>
        <w:t xml:space="preserve"> l’ampleur</w:t>
      </w:r>
      <w:r w:rsidR="009C728C">
        <w:rPr>
          <w:lang w:val="fr-FR"/>
        </w:rPr>
        <w:t>, ni les motifs</w:t>
      </w:r>
      <w:r w:rsidR="005D5C21" w:rsidRPr="006D25A4">
        <w:rPr>
          <w:lang w:val="fr-FR"/>
        </w:rPr>
        <w:t xml:space="preserve"> exact</w:t>
      </w:r>
      <w:r w:rsidR="009C728C">
        <w:rPr>
          <w:lang w:val="fr-FR"/>
        </w:rPr>
        <w:t>s</w:t>
      </w:r>
      <w:r w:rsidR="00444EF2" w:rsidRPr="006D25A4">
        <w:rPr>
          <w:lang w:val="fr-FR"/>
        </w:rPr>
        <w:t xml:space="preserve">. </w:t>
      </w:r>
      <w:r w:rsidRPr="006D25A4">
        <w:rPr>
          <w:lang w:val="fr-FR"/>
        </w:rPr>
        <w:t>Un tel constat stimule la curiosité</w:t>
      </w:r>
      <w:r w:rsidR="000F0F38" w:rsidRPr="006D25A4">
        <w:rPr>
          <w:lang w:val="fr-FR"/>
        </w:rPr>
        <w:t xml:space="preserve"> et l’envie de creuser quelque peu, quitte à y consacrer</w:t>
      </w:r>
      <w:r w:rsidRPr="006D25A4">
        <w:rPr>
          <w:lang w:val="fr-FR"/>
        </w:rPr>
        <w:t xml:space="preserve"> quand même un dimanche après-midi. Même ensoleillé. </w:t>
      </w:r>
      <w:r w:rsidR="000F0F38" w:rsidRPr="006D25A4">
        <w:rPr>
          <w:lang w:val="fr-FR"/>
        </w:rPr>
        <w:t>A y regarder de très près en effet, u</w:t>
      </w:r>
      <w:r w:rsidRPr="006D25A4">
        <w:rPr>
          <w:lang w:val="fr-FR"/>
        </w:rPr>
        <w:t xml:space="preserve">ne interprétation, non plus </w:t>
      </w:r>
      <w:r w:rsidRPr="006C49E4">
        <w:rPr>
          <w:i/>
          <w:iCs/>
          <w:lang w:val="fr-FR"/>
        </w:rPr>
        <w:t>textuelle</w:t>
      </w:r>
      <w:r w:rsidRPr="006D25A4">
        <w:rPr>
          <w:lang w:val="fr-FR"/>
        </w:rPr>
        <w:t xml:space="preserve">, mais bien </w:t>
      </w:r>
      <w:r w:rsidRPr="006D25A4">
        <w:rPr>
          <w:i/>
          <w:lang w:val="fr-FR"/>
        </w:rPr>
        <w:t xml:space="preserve">téléologique </w:t>
      </w:r>
      <w:r w:rsidRPr="006D25A4">
        <w:rPr>
          <w:lang w:val="fr-FR"/>
        </w:rPr>
        <w:t xml:space="preserve">de l’article 34 pourrait faire vaciller les certitudes et les évidences. </w:t>
      </w:r>
    </w:p>
    <w:p w14:paraId="7232C0D7" w14:textId="201CFB28" w:rsidR="00444EF2" w:rsidRPr="006D25A4" w:rsidRDefault="00444EF2">
      <w:pPr>
        <w:rPr>
          <w:lang w:val="fr-FR"/>
        </w:rPr>
      </w:pPr>
    </w:p>
    <w:p w14:paraId="01F06CD9" w14:textId="41222528" w:rsidR="00444EF2" w:rsidRPr="006D25A4" w:rsidRDefault="00444EF2">
      <w:pPr>
        <w:rPr>
          <w:lang w:val="fr-FR"/>
        </w:rPr>
      </w:pPr>
      <w:r w:rsidRPr="006D25A4">
        <w:rPr>
          <w:lang w:val="fr-FR"/>
        </w:rPr>
        <w:t xml:space="preserve">Notre démonstration s’articulera en deux temps. </w:t>
      </w:r>
    </w:p>
    <w:p w14:paraId="55F85176" w14:textId="325A0538" w:rsidR="00444EF2" w:rsidRPr="006D25A4" w:rsidRDefault="00444EF2">
      <w:pPr>
        <w:rPr>
          <w:lang w:val="fr-FR"/>
        </w:rPr>
      </w:pPr>
    </w:p>
    <w:p w14:paraId="4286F7A8" w14:textId="05806081" w:rsidR="00444EF2" w:rsidRPr="006D25A4" w:rsidRDefault="00444EF2" w:rsidP="00444EF2">
      <w:pPr>
        <w:jc w:val="both"/>
        <w:rPr>
          <w:lang w:val="fr-FR"/>
        </w:rPr>
      </w:pPr>
      <w:r w:rsidRPr="006D25A4">
        <w:rPr>
          <w:lang w:val="fr-FR"/>
        </w:rPr>
        <w:t xml:space="preserve">Il s’agira, dans un premier temps, de justifier le sens et </w:t>
      </w:r>
      <w:r w:rsidR="005D5C21" w:rsidRPr="006D25A4">
        <w:rPr>
          <w:lang w:val="fr-FR"/>
        </w:rPr>
        <w:t>l’</w:t>
      </w:r>
      <w:r w:rsidRPr="006D25A4">
        <w:rPr>
          <w:lang w:val="fr-FR"/>
        </w:rPr>
        <w:t xml:space="preserve">utilité même de la controverse ainsi déclenchée. Il va de soi en effet que la question du </w:t>
      </w:r>
      <w:r w:rsidRPr="006D25A4">
        <w:rPr>
          <w:i/>
          <w:lang w:val="fr-FR"/>
        </w:rPr>
        <w:t xml:space="preserve">locus </w:t>
      </w:r>
      <w:proofErr w:type="spellStart"/>
      <w:r w:rsidRPr="006D25A4">
        <w:rPr>
          <w:i/>
          <w:lang w:val="fr-FR"/>
        </w:rPr>
        <w:t>standi</w:t>
      </w:r>
      <w:proofErr w:type="spellEnd"/>
      <w:r w:rsidRPr="006D25A4">
        <w:rPr>
          <w:i/>
          <w:lang w:val="fr-FR"/>
        </w:rPr>
        <w:t xml:space="preserve"> </w:t>
      </w:r>
      <w:r w:rsidRPr="006D25A4">
        <w:rPr>
          <w:lang w:val="fr-FR"/>
        </w:rPr>
        <w:t xml:space="preserve">de la République démocratique du Congo n’a pas lieu d’être posée s’il s’avère qu’une telle personne morale de droit public ne jouit pas des droits et libertés garantis par la Convention. </w:t>
      </w:r>
      <w:proofErr w:type="spellStart"/>
      <w:r w:rsidRPr="006D25A4">
        <w:rPr>
          <w:i/>
          <w:lang w:val="fr-FR"/>
        </w:rPr>
        <w:t>Ubi</w:t>
      </w:r>
      <w:proofErr w:type="spellEnd"/>
      <w:r w:rsidRPr="006D25A4">
        <w:rPr>
          <w:i/>
          <w:lang w:val="fr-FR"/>
        </w:rPr>
        <w:t xml:space="preserve"> jus, </w:t>
      </w:r>
      <w:proofErr w:type="spellStart"/>
      <w:r w:rsidRPr="006D25A4">
        <w:rPr>
          <w:i/>
          <w:lang w:val="fr-FR"/>
        </w:rPr>
        <w:t>ibi</w:t>
      </w:r>
      <w:proofErr w:type="spellEnd"/>
      <w:r w:rsidRPr="006D25A4">
        <w:rPr>
          <w:i/>
          <w:lang w:val="fr-FR"/>
        </w:rPr>
        <w:t xml:space="preserve"> </w:t>
      </w:r>
      <w:proofErr w:type="spellStart"/>
      <w:r w:rsidRPr="006D25A4">
        <w:rPr>
          <w:i/>
          <w:lang w:val="fr-FR"/>
        </w:rPr>
        <w:t>remedium</w:t>
      </w:r>
      <w:proofErr w:type="spellEnd"/>
      <w:r w:rsidRPr="006D25A4">
        <w:rPr>
          <w:i/>
          <w:lang w:val="fr-FR"/>
        </w:rPr>
        <w:t xml:space="preserve">, </w:t>
      </w:r>
      <w:r w:rsidRPr="006D25A4">
        <w:rPr>
          <w:lang w:val="fr-FR"/>
        </w:rPr>
        <w:t xml:space="preserve">a-t-on coutume de dire. Par définition, s’il n’y a pas de </w:t>
      </w:r>
      <w:r w:rsidRPr="006D25A4">
        <w:rPr>
          <w:i/>
          <w:lang w:val="fr-FR"/>
        </w:rPr>
        <w:t xml:space="preserve">jus, </w:t>
      </w:r>
      <w:r w:rsidRPr="006D25A4">
        <w:rPr>
          <w:lang w:val="fr-FR"/>
        </w:rPr>
        <w:t xml:space="preserve">il n’y a pas lieu de prévoir un </w:t>
      </w:r>
      <w:proofErr w:type="spellStart"/>
      <w:r w:rsidRPr="006D25A4">
        <w:rPr>
          <w:i/>
          <w:lang w:val="fr-FR"/>
        </w:rPr>
        <w:t>remedium</w:t>
      </w:r>
      <w:proofErr w:type="spellEnd"/>
      <w:r w:rsidRPr="006D25A4">
        <w:rPr>
          <w:i/>
          <w:lang w:val="fr-FR"/>
        </w:rPr>
        <w:t xml:space="preserve"> </w:t>
      </w:r>
      <w:r w:rsidRPr="006D25A4">
        <w:rPr>
          <w:lang w:val="fr-FR"/>
        </w:rPr>
        <w:t>(1)</w:t>
      </w:r>
    </w:p>
    <w:p w14:paraId="3B4A0168" w14:textId="21CB8A8E" w:rsidR="00444EF2" w:rsidRPr="006D25A4" w:rsidRDefault="00444EF2">
      <w:pPr>
        <w:rPr>
          <w:lang w:val="fr-FR"/>
        </w:rPr>
      </w:pPr>
    </w:p>
    <w:p w14:paraId="188F1AE4" w14:textId="3FFD499A" w:rsidR="00444EF2" w:rsidRPr="006D25A4" w:rsidRDefault="00444EF2" w:rsidP="002C4D45">
      <w:pPr>
        <w:jc w:val="both"/>
        <w:rPr>
          <w:lang w:val="fr-FR"/>
        </w:rPr>
      </w:pPr>
      <w:r w:rsidRPr="006D25A4">
        <w:rPr>
          <w:lang w:val="fr-FR"/>
        </w:rPr>
        <w:t xml:space="preserve">Franchi le constat que la République démocratique du Congo peut bel et bien être considérée comme titulaire de certains droits garantis par la Convention – il y a un, en d’autres termes, un </w:t>
      </w:r>
      <w:r w:rsidRPr="006D25A4">
        <w:rPr>
          <w:i/>
          <w:lang w:val="fr-FR"/>
        </w:rPr>
        <w:t xml:space="preserve">jus </w:t>
      </w:r>
      <w:r w:rsidRPr="006D25A4">
        <w:rPr>
          <w:lang w:val="fr-FR"/>
        </w:rPr>
        <w:t>–</w:t>
      </w:r>
      <w:r w:rsidRPr="006D25A4">
        <w:rPr>
          <w:i/>
          <w:lang w:val="fr-FR"/>
        </w:rPr>
        <w:t xml:space="preserve">, </w:t>
      </w:r>
      <w:r w:rsidRPr="006D25A4">
        <w:rPr>
          <w:lang w:val="fr-FR"/>
        </w:rPr>
        <w:t>pourra</w:t>
      </w:r>
      <w:r w:rsidR="002C4D45" w:rsidRPr="006D25A4">
        <w:rPr>
          <w:lang w:val="fr-FR"/>
        </w:rPr>
        <w:t xml:space="preserve"> alors</w:t>
      </w:r>
      <w:r w:rsidRPr="006D25A4">
        <w:rPr>
          <w:lang w:val="fr-FR"/>
        </w:rPr>
        <w:t xml:space="preserve"> se poser la question de savoir s’il est admissible qu’elle s</w:t>
      </w:r>
      <w:r w:rsidR="009C728C">
        <w:rPr>
          <w:lang w:val="fr-FR"/>
        </w:rPr>
        <w:t>oit</w:t>
      </w:r>
      <w:r w:rsidRPr="006D25A4">
        <w:rPr>
          <w:lang w:val="fr-FR"/>
        </w:rPr>
        <w:t xml:space="preserve"> privée de toute possibilité d’en dénoncer </w:t>
      </w:r>
      <w:r w:rsidR="00A27425" w:rsidRPr="006D25A4">
        <w:rPr>
          <w:lang w:val="fr-FR"/>
        </w:rPr>
        <w:t xml:space="preserve">l’éventuelle violation devant la Cour européenne des droits de l’Homme : c’est ici que l’on déploiera </w:t>
      </w:r>
      <w:r w:rsidR="008D412F">
        <w:rPr>
          <w:lang w:val="fr-FR"/>
        </w:rPr>
        <w:t xml:space="preserve">une </w:t>
      </w:r>
      <w:r w:rsidR="00A562B2">
        <w:rPr>
          <w:lang w:val="fr-FR"/>
        </w:rPr>
        <w:t>autre</w:t>
      </w:r>
      <w:r w:rsidR="008D412F">
        <w:rPr>
          <w:lang w:val="fr-FR"/>
        </w:rPr>
        <w:t xml:space="preserve"> </w:t>
      </w:r>
      <w:r w:rsidR="00A27425" w:rsidRPr="006D25A4">
        <w:rPr>
          <w:lang w:val="fr-FR"/>
        </w:rPr>
        <w:t>interprétation</w:t>
      </w:r>
      <w:r w:rsidR="00A562B2">
        <w:rPr>
          <w:lang w:val="fr-FR"/>
        </w:rPr>
        <w:t>, cette fois</w:t>
      </w:r>
      <w:r w:rsidR="00A27425" w:rsidRPr="006D25A4">
        <w:rPr>
          <w:lang w:val="fr-FR"/>
        </w:rPr>
        <w:t xml:space="preserve"> </w:t>
      </w:r>
      <w:r w:rsidR="00A27425" w:rsidRPr="006D25A4">
        <w:rPr>
          <w:i/>
          <w:lang w:val="fr-FR"/>
        </w:rPr>
        <w:t xml:space="preserve">téléologique </w:t>
      </w:r>
      <w:r w:rsidR="00A27425" w:rsidRPr="006D25A4">
        <w:rPr>
          <w:lang w:val="fr-FR"/>
        </w:rPr>
        <w:t>de l’article 34 de la Convention, dont il a été question ci-dessu</w:t>
      </w:r>
      <w:r w:rsidR="00AC5BF6" w:rsidRPr="006D25A4">
        <w:rPr>
          <w:lang w:val="fr-FR"/>
        </w:rPr>
        <w:t>s</w:t>
      </w:r>
      <w:r w:rsidR="00A27425" w:rsidRPr="006D25A4">
        <w:rPr>
          <w:lang w:val="fr-FR"/>
        </w:rPr>
        <w:t xml:space="preserve"> (II)</w:t>
      </w:r>
      <w:r w:rsidR="00AC5BF6" w:rsidRPr="006D25A4">
        <w:rPr>
          <w:lang w:val="fr-FR"/>
        </w:rPr>
        <w:t>.</w:t>
      </w:r>
    </w:p>
    <w:p w14:paraId="1095A86E" w14:textId="586B3EC7" w:rsidR="00A27425" w:rsidRPr="006D25A4" w:rsidRDefault="00A27425">
      <w:pPr>
        <w:rPr>
          <w:lang w:val="fr-FR"/>
        </w:rPr>
      </w:pPr>
    </w:p>
    <w:p w14:paraId="255448B0" w14:textId="4733DD9D" w:rsidR="00A27425" w:rsidRPr="006D25A4" w:rsidRDefault="00A27425" w:rsidP="000A7EA6">
      <w:pPr>
        <w:pStyle w:val="Paragraphedeliste"/>
        <w:numPr>
          <w:ilvl w:val="0"/>
          <w:numId w:val="1"/>
        </w:numPr>
        <w:rPr>
          <w:rFonts w:ascii="Times New Roman" w:hAnsi="Times New Roman" w:cs="Times New Roman"/>
          <w:b/>
          <w:bCs/>
          <w:i/>
          <w:lang w:val="fr-FR"/>
        </w:rPr>
      </w:pPr>
      <w:proofErr w:type="spellStart"/>
      <w:r w:rsidRPr="006D25A4">
        <w:rPr>
          <w:rFonts w:ascii="Times New Roman" w:hAnsi="Times New Roman" w:cs="Times New Roman"/>
          <w:b/>
          <w:bCs/>
          <w:i/>
          <w:lang w:val="fr-FR"/>
        </w:rPr>
        <w:t>Ubi</w:t>
      </w:r>
      <w:proofErr w:type="spellEnd"/>
      <w:r w:rsidRPr="006D25A4">
        <w:rPr>
          <w:rFonts w:ascii="Times New Roman" w:hAnsi="Times New Roman" w:cs="Times New Roman"/>
          <w:b/>
          <w:bCs/>
          <w:i/>
          <w:lang w:val="fr-FR"/>
        </w:rPr>
        <w:t xml:space="preserve"> jus</w:t>
      </w:r>
      <w:r w:rsidR="004E3F47" w:rsidRPr="006D25A4">
        <w:rPr>
          <w:rFonts w:ascii="Times New Roman" w:hAnsi="Times New Roman" w:cs="Times New Roman"/>
          <w:b/>
          <w:bCs/>
          <w:i/>
          <w:lang w:val="fr-FR"/>
        </w:rPr>
        <w:t>…</w:t>
      </w:r>
    </w:p>
    <w:p w14:paraId="180D77C6" w14:textId="0871B161" w:rsidR="000A7EA6" w:rsidRPr="006D25A4" w:rsidRDefault="000A7EA6" w:rsidP="000A7EA6">
      <w:pPr>
        <w:rPr>
          <w:i/>
          <w:lang w:val="fr-FR"/>
        </w:rPr>
      </w:pPr>
    </w:p>
    <w:p w14:paraId="0CAE7D5B" w14:textId="7FF8885A" w:rsidR="000A7EA6" w:rsidRPr="006D25A4" w:rsidRDefault="000A7EA6" w:rsidP="000A7EA6">
      <w:pPr>
        <w:jc w:val="both"/>
        <w:rPr>
          <w:lang w:val="fr-FR"/>
        </w:rPr>
      </w:pPr>
      <w:r w:rsidRPr="006D25A4">
        <w:rPr>
          <w:lang w:val="fr-FR"/>
        </w:rPr>
        <w:t>Les personnes morales de droit public et, singulièrement, les États et les collectivités politiques fédérées et/ou décentralisées qui en forment les composantes, jouissent-elles des droits et libertés garantis par la Convention européenne des droits de l’Homme ? La question a, depuis les origines, articulé d’importantes controverses</w:t>
      </w:r>
      <w:r w:rsidR="00AC5BF6" w:rsidRPr="006D25A4">
        <w:rPr>
          <w:rStyle w:val="Appelnotedebasdep"/>
          <w:lang w:val="fr-FR"/>
        </w:rPr>
        <w:footnoteReference w:id="3"/>
      </w:r>
      <w:r w:rsidRPr="006D25A4">
        <w:rPr>
          <w:lang w:val="fr-FR"/>
        </w:rPr>
        <w:t xml:space="preserve">, et génère, encore aujourd’hui, une grande </w:t>
      </w:r>
      <w:r w:rsidRPr="006D25A4">
        <w:rPr>
          <w:lang w:val="fr-FR"/>
        </w:rPr>
        <w:lastRenderedPageBreak/>
        <w:t>perplexité</w:t>
      </w:r>
      <w:r w:rsidR="00AC5BF6" w:rsidRPr="006D25A4">
        <w:rPr>
          <w:rStyle w:val="Appelnotedebasdep"/>
          <w:lang w:val="fr-FR"/>
        </w:rPr>
        <w:footnoteReference w:id="4"/>
      </w:r>
      <w:r w:rsidRPr="006D25A4">
        <w:rPr>
          <w:lang w:val="fr-FR"/>
        </w:rPr>
        <w:t xml:space="preserve">. </w:t>
      </w:r>
      <w:r w:rsidR="009C728C">
        <w:rPr>
          <w:lang w:val="fr-FR"/>
        </w:rPr>
        <w:t>Pour s’en convaincre, i</w:t>
      </w:r>
      <w:r w:rsidRPr="006D25A4">
        <w:rPr>
          <w:lang w:val="fr-FR"/>
        </w:rPr>
        <w:t xml:space="preserve">l suffit de contempler la manière dont la </w:t>
      </w:r>
      <w:r w:rsidR="009C728C">
        <w:rPr>
          <w:lang w:val="fr-FR"/>
        </w:rPr>
        <w:t>C</w:t>
      </w:r>
      <w:r w:rsidRPr="006D25A4">
        <w:rPr>
          <w:lang w:val="fr-FR"/>
        </w:rPr>
        <w:t xml:space="preserve">our de cassation française, dans </w:t>
      </w:r>
      <w:r w:rsidR="009C728C">
        <w:rPr>
          <w:lang w:val="fr-FR"/>
        </w:rPr>
        <w:t>trois arrêts d’assemblée plénière du 10 mai 2019</w:t>
      </w:r>
      <w:r w:rsidR="009C728C">
        <w:rPr>
          <w:rStyle w:val="Appelnotedebasdep"/>
          <w:lang w:val="fr-FR"/>
        </w:rPr>
        <w:footnoteReference w:id="5"/>
      </w:r>
      <w:r w:rsidRPr="006D25A4">
        <w:rPr>
          <w:lang w:val="fr-FR"/>
        </w:rPr>
        <w:t xml:space="preserve">, </w:t>
      </w:r>
      <w:r w:rsidR="008C02E0">
        <w:rPr>
          <w:lang w:val="fr-FR"/>
        </w:rPr>
        <w:t>a</w:t>
      </w:r>
      <w:r w:rsidR="00172FC4">
        <w:rPr>
          <w:lang w:val="fr-FR"/>
        </w:rPr>
        <w:t xml:space="preserve"> f</w:t>
      </w:r>
      <w:r w:rsidRPr="006D25A4">
        <w:rPr>
          <w:lang w:val="fr-FR"/>
        </w:rPr>
        <w:t xml:space="preserve">inalement résolu …. </w:t>
      </w:r>
      <w:proofErr w:type="gramStart"/>
      <w:r w:rsidRPr="006D25A4">
        <w:rPr>
          <w:lang w:val="fr-FR"/>
        </w:rPr>
        <w:t>de</w:t>
      </w:r>
      <w:proofErr w:type="gramEnd"/>
      <w:r w:rsidRPr="006D25A4">
        <w:rPr>
          <w:lang w:val="fr-FR"/>
        </w:rPr>
        <w:t xml:space="preserve"> ne pas résoudre la question</w:t>
      </w:r>
      <w:r w:rsidR="002C4D45" w:rsidRPr="006D25A4">
        <w:rPr>
          <w:lang w:val="fr-FR"/>
        </w:rPr>
        <w:t xml:space="preserve"> - </w:t>
      </w:r>
      <w:r w:rsidRPr="006D25A4">
        <w:rPr>
          <w:lang w:val="fr-FR"/>
        </w:rPr>
        <w:t xml:space="preserve"> âprement dé</w:t>
      </w:r>
      <w:r w:rsidR="002C4D45" w:rsidRPr="006D25A4">
        <w:rPr>
          <w:lang w:val="fr-FR"/>
        </w:rPr>
        <w:t>batt</w:t>
      </w:r>
      <w:r w:rsidRPr="006D25A4">
        <w:rPr>
          <w:lang w:val="fr-FR"/>
        </w:rPr>
        <w:t>ue</w:t>
      </w:r>
      <w:r w:rsidR="009C728C">
        <w:rPr>
          <w:lang w:val="fr-FR"/>
        </w:rPr>
        <w:t xml:space="preserve"> devant</w:t>
      </w:r>
      <w:r w:rsidR="002C4D45" w:rsidRPr="006D25A4">
        <w:rPr>
          <w:lang w:val="fr-FR"/>
        </w:rPr>
        <w:t xml:space="preserve"> elle</w:t>
      </w:r>
      <w:r w:rsidR="009C728C">
        <w:rPr>
          <w:rStyle w:val="Appelnotedebasdep"/>
          <w:lang w:val="fr-FR"/>
        </w:rPr>
        <w:footnoteReference w:id="6"/>
      </w:r>
      <w:r w:rsidR="002C4D45" w:rsidRPr="006D25A4">
        <w:rPr>
          <w:lang w:val="fr-FR"/>
        </w:rPr>
        <w:t xml:space="preserve"> -</w:t>
      </w:r>
      <w:r w:rsidRPr="006D25A4">
        <w:rPr>
          <w:lang w:val="fr-FR"/>
        </w:rPr>
        <w:t xml:space="preserve"> de savoir si le Royaume du Maroc pouvait invoquer à son bénéfice les droits garantis par les articles </w:t>
      </w:r>
      <w:r w:rsidR="009C728C">
        <w:rPr>
          <w:lang w:val="fr-FR"/>
        </w:rPr>
        <w:t>6</w:t>
      </w:r>
      <w:r w:rsidRPr="006D25A4">
        <w:rPr>
          <w:lang w:val="fr-FR"/>
        </w:rPr>
        <w:t xml:space="preserve"> et </w:t>
      </w:r>
      <w:r w:rsidR="009C728C">
        <w:rPr>
          <w:lang w:val="fr-FR"/>
        </w:rPr>
        <w:t>14</w:t>
      </w:r>
      <w:r w:rsidRPr="006D25A4">
        <w:rPr>
          <w:lang w:val="fr-FR"/>
        </w:rPr>
        <w:t xml:space="preserve"> de la Convention</w:t>
      </w:r>
      <w:r w:rsidR="00E429F6">
        <w:rPr>
          <w:rStyle w:val="Appelnotedebasdep"/>
          <w:lang w:val="fr-FR"/>
        </w:rPr>
        <w:footnoteReference w:id="7"/>
      </w:r>
      <w:r w:rsidR="005D5C21" w:rsidRPr="006D25A4">
        <w:rPr>
          <w:lang w:val="fr-FR"/>
        </w:rPr>
        <w:t>. Il s’agissait en l’occurrence</w:t>
      </w:r>
      <w:r w:rsidRPr="006D25A4">
        <w:rPr>
          <w:lang w:val="fr-FR"/>
        </w:rPr>
        <w:t xml:space="preserve"> de défen</w:t>
      </w:r>
      <w:r w:rsidR="005D5C21" w:rsidRPr="006D25A4">
        <w:rPr>
          <w:lang w:val="fr-FR"/>
        </w:rPr>
        <w:t>dr</w:t>
      </w:r>
      <w:r w:rsidRPr="006D25A4">
        <w:rPr>
          <w:lang w:val="fr-FR"/>
        </w:rPr>
        <w:t>e son honneur et sa réputation mis en cause par la presse.</w:t>
      </w:r>
    </w:p>
    <w:p w14:paraId="501A006C" w14:textId="108F0675" w:rsidR="000A7EA6" w:rsidRPr="006D25A4" w:rsidRDefault="000A7EA6" w:rsidP="000A7EA6">
      <w:pPr>
        <w:jc w:val="both"/>
        <w:rPr>
          <w:lang w:val="fr-FR"/>
        </w:rPr>
      </w:pPr>
    </w:p>
    <w:p w14:paraId="59F76B1A" w14:textId="1A6E5119" w:rsidR="000A7EA6" w:rsidRPr="006D25A4" w:rsidRDefault="000A7EA6" w:rsidP="000A7EA6">
      <w:pPr>
        <w:jc w:val="both"/>
        <w:rPr>
          <w:lang w:val="fr-FR"/>
        </w:rPr>
      </w:pPr>
      <w:r w:rsidRPr="006D25A4">
        <w:rPr>
          <w:lang w:val="fr-FR"/>
        </w:rPr>
        <w:t>Deux arguments ont été classiquement avancé</w:t>
      </w:r>
      <w:r w:rsidR="00B874A0" w:rsidRPr="006D25A4">
        <w:rPr>
          <w:lang w:val="fr-FR"/>
        </w:rPr>
        <w:t>s</w:t>
      </w:r>
      <w:r w:rsidRPr="006D25A4">
        <w:rPr>
          <w:lang w:val="fr-FR"/>
        </w:rPr>
        <w:t xml:space="preserve"> pour dénier aux personnes morales </w:t>
      </w:r>
      <w:r w:rsidR="00437930">
        <w:rPr>
          <w:lang w:val="fr-FR"/>
        </w:rPr>
        <w:t xml:space="preserve">de </w:t>
      </w:r>
      <w:r w:rsidRPr="006D25A4">
        <w:rPr>
          <w:lang w:val="fr-FR"/>
        </w:rPr>
        <w:t xml:space="preserve">droit public </w:t>
      </w:r>
      <w:r w:rsidR="00181C2C" w:rsidRPr="006D25A4">
        <w:rPr>
          <w:lang w:val="fr-FR"/>
        </w:rPr>
        <w:t>la titularité des droits et libertés conventionnels.</w:t>
      </w:r>
    </w:p>
    <w:p w14:paraId="2AE39DB5" w14:textId="7925E00C" w:rsidR="00181C2C" w:rsidRPr="006D25A4" w:rsidRDefault="00181C2C" w:rsidP="000A7EA6">
      <w:pPr>
        <w:jc w:val="both"/>
        <w:rPr>
          <w:lang w:val="fr-FR"/>
        </w:rPr>
      </w:pPr>
    </w:p>
    <w:p w14:paraId="3D112E83" w14:textId="7C93D5E9" w:rsidR="00181C2C" w:rsidRPr="006D25A4" w:rsidRDefault="00181C2C" w:rsidP="000A7EA6">
      <w:pPr>
        <w:jc w:val="both"/>
        <w:rPr>
          <w:lang w:val="fr-FR"/>
        </w:rPr>
      </w:pPr>
      <w:r w:rsidRPr="006D25A4">
        <w:rPr>
          <w:lang w:val="fr-FR"/>
        </w:rPr>
        <w:t>Le premier, d’ordre « technico-logique », est tiré du texte de la Convention européenne lui-même. Certes l’article 1</w:t>
      </w:r>
      <w:r w:rsidRPr="006D25A4">
        <w:rPr>
          <w:vertAlign w:val="superscript"/>
          <w:lang w:val="fr-FR"/>
        </w:rPr>
        <w:t>er</w:t>
      </w:r>
      <w:r w:rsidRPr="006D25A4">
        <w:rPr>
          <w:lang w:val="fr-FR"/>
        </w:rPr>
        <w:t xml:space="preserve"> de celle-ci envisage les créanciers des droits et libertés de la manière la plus large qui se puisse, en les désignant sous le vocable de « toute personne », sans plus ample détermination. En revanche, l’article 34 de la Convention ne </w:t>
      </w:r>
      <w:r w:rsidR="00B874A0" w:rsidRPr="006D25A4">
        <w:rPr>
          <w:lang w:val="fr-FR"/>
        </w:rPr>
        <w:t xml:space="preserve">reconnait de droit de requête aux personnes morales qu’à la condition qu’elles aient la qualité </w:t>
      </w:r>
      <w:proofErr w:type="gramStart"/>
      <w:r w:rsidR="00B874A0" w:rsidRPr="006D25A4">
        <w:rPr>
          <w:lang w:val="fr-FR"/>
        </w:rPr>
        <w:t>d’ «</w:t>
      </w:r>
      <w:proofErr w:type="gramEnd"/>
      <w:r w:rsidR="00B874A0" w:rsidRPr="006D25A4">
        <w:rPr>
          <w:lang w:val="fr-FR"/>
        </w:rPr>
        <w:t> organisations non gouvernementale</w:t>
      </w:r>
      <w:r w:rsidR="009D2096">
        <w:rPr>
          <w:lang w:val="fr-FR"/>
        </w:rPr>
        <w:t>s</w:t>
      </w:r>
      <w:r w:rsidR="00B874A0" w:rsidRPr="006D25A4">
        <w:rPr>
          <w:lang w:val="fr-FR"/>
        </w:rPr>
        <w:t xml:space="preserve"> ». </w:t>
      </w:r>
      <w:r w:rsidR="00B874A0" w:rsidRPr="006D25A4">
        <w:rPr>
          <w:i/>
          <w:lang w:val="fr-FR"/>
        </w:rPr>
        <w:t>Ergo </w:t>
      </w:r>
      <w:r w:rsidR="00B874A0" w:rsidRPr="006D25A4">
        <w:rPr>
          <w:lang w:val="fr-FR"/>
        </w:rPr>
        <w:t>: les organisations « gouvernementales » ne sont pas titulaires des droits et libertés conventionnels</w:t>
      </w:r>
      <w:r w:rsidR="00F47995">
        <w:rPr>
          <w:rStyle w:val="Appelnotedebasdep"/>
          <w:lang w:val="fr-FR"/>
        </w:rPr>
        <w:footnoteReference w:id="8"/>
      </w:r>
      <w:r w:rsidR="00B874A0" w:rsidRPr="006D25A4">
        <w:rPr>
          <w:lang w:val="fr-FR"/>
        </w:rPr>
        <w:t xml:space="preserve">. </w:t>
      </w:r>
    </w:p>
    <w:p w14:paraId="37DC0C11" w14:textId="0FC7BD99" w:rsidR="00B874A0" w:rsidRPr="006D25A4" w:rsidRDefault="00B874A0" w:rsidP="000A7EA6">
      <w:pPr>
        <w:jc w:val="both"/>
        <w:rPr>
          <w:lang w:val="fr-FR"/>
        </w:rPr>
      </w:pPr>
    </w:p>
    <w:p w14:paraId="7CC14CC0" w14:textId="07244C93" w:rsidR="00B874A0" w:rsidRPr="006D25A4" w:rsidRDefault="00B874A0" w:rsidP="000A7EA6">
      <w:pPr>
        <w:jc w:val="both"/>
        <w:rPr>
          <w:lang w:val="fr-FR"/>
        </w:rPr>
      </w:pPr>
      <w:r w:rsidRPr="006D25A4">
        <w:rPr>
          <w:lang w:val="fr-FR"/>
        </w:rPr>
        <w:t xml:space="preserve">Selon J. Vande </w:t>
      </w:r>
      <w:proofErr w:type="spellStart"/>
      <w:r w:rsidRPr="006D25A4">
        <w:rPr>
          <w:lang w:val="fr-FR"/>
        </w:rPr>
        <w:t>Lanotte</w:t>
      </w:r>
      <w:proofErr w:type="spellEnd"/>
      <w:r w:rsidRPr="006D25A4">
        <w:rPr>
          <w:lang w:val="fr-FR"/>
        </w:rPr>
        <w:t xml:space="preserve"> et Y. </w:t>
      </w:r>
      <w:proofErr w:type="spellStart"/>
      <w:r w:rsidRPr="006D25A4">
        <w:rPr>
          <w:lang w:val="fr-FR"/>
        </w:rPr>
        <w:t>Haeck</w:t>
      </w:r>
      <w:proofErr w:type="spellEnd"/>
      <w:r w:rsidR="000234EA">
        <w:rPr>
          <w:rStyle w:val="Appelnotedebasdep"/>
          <w:lang w:val="fr-FR"/>
        </w:rPr>
        <w:footnoteReference w:id="9"/>
      </w:r>
      <w:r w:rsidRPr="006D25A4">
        <w:rPr>
          <w:lang w:val="fr-FR"/>
        </w:rPr>
        <w:t>,</w:t>
      </w:r>
    </w:p>
    <w:p w14:paraId="70811A8C" w14:textId="23E463EC" w:rsidR="00B874A0" w:rsidRPr="006D25A4" w:rsidRDefault="00B874A0" w:rsidP="000A7EA6">
      <w:pPr>
        <w:jc w:val="both"/>
        <w:rPr>
          <w:lang w:val="fr-FR"/>
        </w:rPr>
      </w:pPr>
    </w:p>
    <w:p w14:paraId="0BDA2057" w14:textId="4C4E5E29" w:rsidR="00B874A0" w:rsidRPr="007B486C" w:rsidRDefault="00B874A0" w:rsidP="00DD5C73">
      <w:pPr>
        <w:ind w:left="567"/>
        <w:jc w:val="both"/>
        <w:rPr>
          <w:sz w:val="20"/>
          <w:szCs w:val="20"/>
          <w:lang w:val="nl-BE"/>
        </w:rPr>
      </w:pPr>
      <w:r w:rsidRPr="007B486C">
        <w:rPr>
          <w:sz w:val="20"/>
          <w:szCs w:val="20"/>
          <w:lang w:val="nl-BE"/>
        </w:rPr>
        <w:t>«</w:t>
      </w:r>
      <w:r w:rsidR="00DD5C73" w:rsidRPr="007B486C">
        <w:rPr>
          <w:sz w:val="20"/>
          <w:szCs w:val="20"/>
          <w:lang w:val="nl-BE"/>
        </w:rPr>
        <w:t xml:space="preserve"> </w:t>
      </w:r>
      <w:r w:rsidR="000234EA" w:rsidRPr="007B486C">
        <w:rPr>
          <w:sz w:val="20"/>
          <w:szCs w:val="20"/>
          <w:lang w:val="nl-BE"/>
        </w:rPr>
        <w:t xml:space="preserve">Indien publiekrechteijke rechtspersonen de rechten van het EVRM niet kunnen afdwingen voor het Europees Hof, is het moeilijk om hen als titularis van de rechten te aanzien, vermits de niet afdwingbaaarheid door de rechter niet te verenigen valt met het belang dat het EVRM hecht aan de afdwingbaarheid van die rechten door de rechter (te dezen het Europees Hof zelf) </w:t>
      </w:r>
      <w:r w:rsidRPr="007B486C">
        <w:rPr>
          <w:sz w:val="20"/>
          <w:szCs w:val="20"/>
          <w:lang w:val="nl-BE"/>
        </w:rPr>
        <w:t>»</w:t>
      </w:r>
    </w:p>
    <w:p w14:paraId="409B05C3" w14:textId="1638E328" w:rsidR="00B874A0" w:rsidRPr="007B486C" w:rsidRDefault="00B874A0" w:rsidP="000A7EA6">
      <w:pPr>
        <w:jc w:val="both"/>
        <w:rPr>
          <w:sz w:val="20"/>
          <w:szCs w:val="20"/>
          <w:lang w:val="nl-BE"/>
        </w:rPr>
      </w:pPr>
    </w:p>
    <w:p w14:paraId="744C38A7" w14:textId="4A2761D0" w:rsidR="0018564E" w:rsidRPr="006D25A4" w:rsidRDefault="00B874A0" w:rsidP="000A7EA6">
      <w:pPr>
        <w:jc w:val="both"/>
        <w:rPr>
          <w:lang w:val="fr-FR"/>
        </w:rPr>
      </w:pPr>
      <w:r w:rsidRPr="006D25A4">
        <w:rPr>
          <w:lang w:val="fr-FR"/>
        </w:rPr>
        <w:t>Cette manière de raisonner fut, dès l’origine, contestée par divers auteurs</w:t>
      </w:r>
      <w:r w:rsidR="009D2096">
        <w:rPr>
          <w:rStyle w:val="Appelnotedebasdep"/>
          <w:lang w:val="fr-FR"/>
        </w:rPr>
        <w:footnoteReference w:id="10"/>
      </w:r>
      <w:r w:rsidRPr="006D25A4">
        <w:rPr>
          <w:lang w:val="fr-FR"/>
        </w:rPr>
        <w:t xml:space="preserve">, à l’instar de J. Velu et R. </w:t>
      </w:r>
      <w:proofErr w:type="spellStart"/>
      <w:r w:rsidRPr="006D25A4">
        <w:rPr>
          <w:lang w:val="fr-FR"/>
        </w:rPr>
        <w:t>Ergec</w:t>
      </w:r>
      <w:proofErr w:type="spellEnd"/>
      <w:r w:rsidR="00C71476">
        <w:rPr>
          <w:rStyle w:val="Appelnotedebasdep"/>
          <w:lang w:val="fr-FR"/>
        </w:rPr>
        <w:footnoteReference w:id="11"/>
      </w:r>
      <w:r w:rsidR="0018564E" w:rsidRPr="006D25A4">
        <w:rPr>
          <w:lang w:val="fr-FR"/>
        </w:rPr>
        <w:t> :</w:t>
      </w:r>
    </w:p>
    <w:p w14:paraId="7B573411" w14:textId="77777777" w:rsidR="0018564E" w:rsidRPr="006D25A4" w:rsidRDefault="0018564E" w:rsidP="000A7EA6">
      <w:pPr>
        <w:jc w:val="both"/>
        <w:rPr>
          <w:lang w:val="fr-FR"/>
        </w:rPr>
      </w:pPr>
    </w:p>
    <w:p w14:paraId="1F6F3CCA" w14:textId="7DAC290E" w:rsidR="00B874A0" w:rsidRPr="00DD5C73" w:rsidRDefault="00B874A0" w:rsidP="00DD5C73">
      <w:pPr>
        <w:ind w:left="567"/>
        <w:jc w:val="both"/>
        <w:rPr>
          <w:sz w:val="20"/>
          <w:szCs w:val="20"/>
          <w:lang w:val="fr-FR"/>
        </w:rPr>
      </w:pPr>
      <w:r w:rsidRPr="00DD5C73">
        <w:rPr>
          <w:sz w:val="20"/>
          <w:szCs w:val="20"/>
          <w:lang w:val="fr-FR"/>
        </w:rPr>
        <w:t>«</w:t>
      </w:r>
      <w:r w:rsidR="00462CEC" w:rsidRPr="00DD5C73">
        <w:rPr>
          <w:sz w:val="20"/>
          <w:szCs w:val="20"/>
          <w:lang w:val="fr-FR"/>
        </w:rPr>
        <w:t xml:space="preserve"> Nous voyons difficilement en quoi les arguments invoqués pour faire bénéficier les personnes morales de droit privé des droits reconnus par la Convention (…) ne vaudraient pas aussi pour les personnes morales de droit public. Il est vrai que, de prime abord, l’article 25 (devenu 34)</w:t>
      </w:r>
      <w:r w:rsidR="00DD5C73" w:rsidRPr="00DD5C73">
        <w:rPr>
          <w:sz w:val="20"/>
          <w:szCs w:val="20"/>
          <w:lang w:val="fr-FR"/>
        </w:rPr>
        <w:t xml:space="preserve"> qui limite le droit de recours aux personnes physiques, aux organisations non gouvernementales et aux groupes de particuliers, à l’exclusion des personnes morales de droit public, est de nature à infirmer cette observation. Mais la personne titulaire de droits reconnus par la Convention n’est pas nécessairement titulaire d’un droit d’action devant la Commission (aujourd’hui : la Cour)</w:t>
      </w:r>
      <w:r w:rsidR="00C71476" w:rsidRPr="00DD5C73">
        <w:rPr>
          <w:sz w:val="20"/>
          <w:szCs w:val="20"/>
          <w:lang w:val="fr-FR"/>
        </w:rPr>
        <w:t> »</w:t>
      </w:r>
    </w:p>
    <w:p w14:paraId="39B91D5C" w14:textId="0DA8126A" w:rsidR="00B874A0" w:rsidRPr="00DD5C73" w:rsidRDefault="00B874A0" w:rsidP="00DD5C73">
      <w:pPr>
        <w:ind w:left="567"/>
        <w:jc w:val="both"/>
        <w:rPr>
          <w:sz w:val="20"/>
          <w:szCs w:val="20"/>
          <w:lang w:val="fr-FR"/>
        </w:rPr>
      </w:pPr>
    </w:p>
    <w:p w14:paraId="03D724A2" w14:textId="0C3F9712" w:rsidR="00B874A0" w:rsidRPr="006D25A4" w:rsidRDefault="00B874A0" w:rsidP="000A7EA6">
      <w:pPr>
        <w:jc w:val="both"/>
        <w:rPr>
          <w:lang w:val="fr-FR"/>
        </w:rPr>
      </w:pPr>
      <w:r w:rsidRPr="006D25A4">
        <w:rPr>
          <w:lang w:val="fr-FR"/>
        </w:rPr>
        <w:t xml:space="preserve">Ce n’est pas parce que le </w:t>
      </w:r>
      <w:proofErr w:type="spellStart"/>
      <w:r w:rsidRPr="006D25A4">
        <w:rPr>
          <w:i/>
          <w:lang w:val="fr-FR"/>
        </w:rPr>
        <w:t>remedium</w:t>
      </w:r>
      <w:proofErr w:type="spellEnd"/>
      <w:r w:rsidRPr="006D25A4">
        <w:rPr>
          <w:i/>
          <w:lang w:val="fr-FR"/>
        </w:rPr>
        <w:t xml:space="preserve"> </w:t>
      </w:r>
      <w:r w:rsidRPr="006D25A4">
        <w:rPr>
          <w:lang w:val="fr-FR"/>
        </w:rPr>
        <w:t>strasbourgeois</w:t>
      </w:r>
      <w:r w:rsidRPr="006D25A4">
        <w:rPr>
          <w:i/>
          <w:lang w:val="fr-FR"/>
        </w:rPr>
        <w:t xml:space="preserve"> </w:t>
      </w:r>
      <w:r w:rsidRPr="006D25A4">
        <w:rPr>
          <w:lang w:val="fr-FR"/>
        </w:rPr>
        <w:t>f</w:t>
      </w:r>
      <w:r w:rsidR="003701A2" w:rsidRPr="006D25A4">
        <w:rPr>
          <w:lang w:val="fr-FR"/>
        </w:rPr>
        <w:t>erait</w:t>
      </w:r>
      <w:r w:rsidRPr="006D25A4">
        <w:rPr>
          <w:lang w:val="fr-FR"/>
        </w:rPr>
        <w:t xml:space="preserve"> défaut – à supposer que cela soit effectivement le cas : nous y reviendrons</w:t>
      </w:r>
      <w:r w:rsidR="00C71476">
        <w:rPr>
          <w:lang w:val="fr-FR"/>
        </w:rPr>
        <w:t xml:space="preserve"> ci-après</w:t>
      </w:r>
      <w:r w:rsidRPr="006D25A4">
        <w:rPr>
          <w:lang w:val="fr-FR"/>
        </w:rPr>
        <w:t xml:space="preserve"> – que le </w:t>
      </w:r>
      <w:r w:rsidRPr="006D25A4">
        <w:rPr>
          <w:i/>
          <w:lang w:val="fr-FR"/>
        </w:rPr>
        <w:t xml:space="preserve">jus </w:t>
      </w:r>
      <w:r w:rsidRPr="006D25A4">
        <w:rPr>
          <w:lang w:val="fr-FR"/>
        </w:rPr>
        <w:t>serait inexistant, et insusceptible d’être invoqué dans le cadre purement interne. La proposition, à laquelle nous souscrivons</w:t>
      </w:r>
      <w:r w:rsidR="00C71476">
        <w:rPr>
          <w:rStyle w:val="Appelnotedebasdep"/>
          <w:lang w:val="fr-FR"/>
        </w:rPr>
        <w:footnoteReference w:id="12"/>
      </w:r>
      <w:r w:rsidRPr="006D25A4">
        <w:rPr>
          <w:lang w:val="fr-FR"/>
        </w:rPr>
        <w:t xml:space="preserve">, fut rappelée </w:t>
      </w:r>
      <w:r w:rsidR="00A64617" w:rsidRPr="006D25A4">
        <w:rPr>
          <w:lang w:val="fr-FR"/>
        </w:rPr>
        <w:t>et illustrée avec la plus grande netteté par la Cour d’appel de La Haye</w:t>
      </w:r>
      <w:r w:rsidR="006A3486">
        <w:rPr>
          <w:rStyle w:val="Appelnotedebasdep"/>
          <w:lang w:val="fr-FR"/>
        </w:rPr>
        <w:footnoteReference w:id="13"/>
      </w:r>
      <w:r w:rsidR="00A64617" w:rsidRPr="006D25A4">
        <w:rPr>
          <w:lang w:val="fr-FR"/>
        </w:rPr>
        <w:t xml:space="preserve"> et par le </w:t>
      </w:r>
      <w:proofErr w:type="spellStart"/>
      <w:r w:rsidR="00A64617" w:rsidRPr="006D25A4">
        <w:rPr>
          <w:i/>
          <w:lang w:val="fr-FR"/>
        </w:rPr>
        <w:t>Hoge</w:t>
      </w:r>
      <w:proofErr w:type="spellEnd"/>
      <w:r w:rsidR="00A64617" w:rsidRPr="006D25A4">
        <w:rPr>
          <w:i/>
          <w:lang w:val="fr-FR"/>
        </w:rPr>
        <w:t xml:space="preserve"> </w:t>
      </w:r>
      <w:proofErr w:type="spellStart"/>
      <w:r w:rsidR="00A64617" w:rsidRPr="006D25A4">
        <w:rPr>
          <w:i/>
          <w:lang w:val="fr-FR"/>
        </w:rPr>
        <w:t>Raad</w:t>
      </w:r>
      <w:proofErr w:type="spellEnd"/>
      <w:r w:rsidR="00A64617" w:rsidRPr="006D25A4">
        <w:rPr>
          <w:i/>
          <w:lang w:val="fr-FR"/>
        </w:rPr>
        <w:t xml:space="preserve"> der </w:t>
      </w:r>
      <w:proofErr w:type="spellStart"/>
      <w:r w:rsidR="00A64617" w:rsidRPr="006D25A4">
        <w:rPr>
          <w:i/>
          <w:lang w:val="fr-FR"/>
        </w:rPr>
        <w:t>Nederlanden</w:t>
      </w:r>
      <w:proofErr w:type="spellEnd"/>
      <w:r w:rsidR="00AC6F83">
        <w:rPr>
          <w:rStyle w:val="Appelnotedebasdep"/>
          <w:i/>
          <w:lang w:val="fr-FR"/>
        </w:rPr>
        <w:footnoteReference w:id="14"/>
      </w:r>
      <w:r w:rsidR="00A64617" w:rsidRPr="006D25A4">
        <w:rPr>
          <w:i/>
          <w:lang w:val="fr-FR"/>
        </w:rPr>
        <w:t xml:space="preserve"> </w:t>
      </w:r>
      <w:r w:rsidR="00A64617" w:rsidRPr="006D25A4">
        <w:rPr>
          <w:lang w:val="fr-FR"/>
        </w:rPr>
        <w:t xml:space="preserve">dans l’affaire </w:t>
      </w:r>
      <w:proofErr w:type="spellStart"/>
      <w:r w:rsidR="00A64617" w:rsidRPr="006D25A4">
        <w:rPr>
          <w:i/>
          <w:lang w:val="fr-FR"/>
        </w:rPr>
        <w:t>Urgenda</w:t>
      </w:r>
      <w:proofErr w:type="spellEnd"/>
      <w:r w:rsidR="00A64617" w:rsidRPr="006D25A4">
        <w:rPr>
          <w:i/>
          <w:lang w:val="fr-FR"/>
        </w:rPr>
        <w:t xml:space="preserve">. </w:t>
      </w:r>
      <w:r w:rsidR="00A64617" w:rsidRPr="006D25A4">
        <w:rPr>
          <w:lang w:val="fr-FR"/>
        </w:rPr>
        <w:t xml:space="preserve">La circonstance que le Fondation </w:t>
      </w:r>
      <w:proofErr w:type="spellStart"/>
      <w:r w:rsidR="00A64617" w:rsidRPr="006D25A4">
        <w:rPr>
          <w:i/>
          <w:iCs/>
          <w:lang w:val="fr-FR"/>
        </w:rPr>
        <w:t>Urgenda</w:t>
      </w:r>
      <w:proofErr w:type="spellEnd"/>
      <w:r w:rsidR="00A64617" w:rsidRPr="006D25A4">
        <w:rPr>
          <w:i/>
          <w:iCs/>
          <w:lang w:val="fr-FR"/>
        </w:rPr>
        <w:t xml:space="preserve"> </w:t>
      </w:r>
      <w:r w:rsidR="00A64617" w:rsidRPr="006D25A4">
        <w:rPr>
          <w:lang w:val="fr-FR"/>
        </w:rPr>
        <w:t>e</w:t>
      </w:r>
      <w:r w:rsidR="0018564E" w:rsidRPr="006D25A4">
        <w:rPr>
          <w:lang w:val="fr-FR"/>
        </w:rPr>
        <w:t>û</w:t>
      </w:r>
      <w:r w:rsidR="00A64617" w:rsidRPr="006D25A4">
        <w:rPr>
          <w:lang w:val="fr-FR"/>
        </w:rPr>
        <w:t>t été irrecevable à agir devant la Cour européenne des droits de l’Homme ne faisait pas obstacle à ce qu’elle puisse, devant les juridictions</w:t>
      </w:r>
      <w:r w:rsidR="003701A2" w:rsidRPr="006D25A4">
        <w:rPr>
          <w:lang w:val="fr-FR"/>
        </w:rPr>
        <w:t xml:space="preserve"> nationales</w:t>
      </w:r>
      <w:r w:rsidR="00A64617" w:rsidRPr="006D25A4">
        <w:rPr>
          <w:lang w:val="fr-FR"/>
        </w:rPr>
        <w:t xml:space="preserve">, invoquer les obligations positives issues des articles 2 et 8 de la Convention </w:t>
      </w:r>
      <w:r w:rsidR="0018564E" w:rsidRPr="006D25A4">
        <w:rPr>
          <w:lang w:val="fr-FR"/>
        </w:rPr>
        <w:t>pour</w:t>
      </w:r>
      <w:r w:rsidR="00A64617" w:rsidRPr="006D25A4">
        <w:rPr>
          <w:lang w:val="fr-FR"/>
        </w:rPr>
        <w:t xml:space="preserve"> faire enjoindre, à l’état batave, d’en faire « plus » pour lutter contre le réchauffement climatique.</w:t>
      </w:r>
    </w:p>
    <w:p w14:paraId="0971F093" w14:textId="7326E09C" w:rsidR="00A64617" w:rsidRPr="006D25A4" w:rsidRDefault="00A64617" w:rsidP="000A7EA6">
      <w:pPr>
        <w:jc w:val="both"/>
        <w:rPr>
          <w:lang w:val="fr-FR"/>
        </w:rPr>
      </w:pPr>
    </w:p>
    <w:p w14:paraId="3583BD21" w14:textId="36B984D6" w:rsidR="00A64617" w:rsidRPr="006D25A4" w:rsidRDefault="00A64617" w:rsidP="000A7EA6">
      <w:pPr>
        <w:jc w:val="both"/>
      </w:pPr>
      <w:r w:rsidRPr="006D25A4">
        <w:rPr>
          <w:lang w:val="fr-FR"/>
        </w:rPr>
        <w:t xml:space="preserve">L’argument « technico-logique » peine </w:t>
      </w:r>
      <w:r w:rsidR="003701A2" w:rsidRPr="006D25A4">
        <w:rPr>
          <w:lang w:val="fr-FR"/>
        </w:rPr>
        <w:t xml:space="preserve">donc </w:t>
      </w:r>
      <w:r w:rsidRPr="006D25A4">
        <w:rPr>
          <w:lang w:val="fr-FR"/>
        </w:rPr>
        <w:t xml:space="preserve">à convaincre. Reste alors le second argument, empruntant au registre plus fondamental de la philosophie politique : les droits de l’Homme ne sauraient </w:t>
      </w:r>
      <w:r w:rsidRPr="006D25A4">
        <w:rPr>
          <w:i/>
          <w:lang w:val="fr-FR"/>
        </w:rPr>
        <w:t xml:space="preserve">a priori </w:t>
      </w:r>
      <w:r w:rsidRPr="006D25A4">
        <w:rPr>
          <w:lang w:val="fr-FR"/>
        </w:rPr>
        <w:t xml:space="preserve">être reconnus aux personnes morales de droit public – et en tous cas à l’État et aux collectivités politiques qui le composent – puisque leur finalité est, tout au contraire, de </w:t>
      </w:r>
      <w:r w:rsidRPr="0039487A">
        <w:rPr>
          <w:i/>
          <w:iCs/>
          <w:lang w:val="fr-FR"/>
        </w:rPr>
        <w:t>protéger les individus contre ce</w:t>
      </w:r>
      <w:r w:rsidR="003701A2" w:rsidRPr="0039487A">
        <w:rPr>
          <w:i/>
          <w:iCs/>
          <w:lang w:val="fr-FR"/>
        </w:rPr>
        <w:t>lles</w:t>
      </w:r>
      <w:r w:rsidRPr="0039487A">
        <w:rPr>
          <w:i/>
          <w:iCs/>
          <w:lang w:val="fr-FR"/>
        </w:rPr>
        <w:t>-ci</w:t>
      </w:r>
      <w:r w:rsidRPr="006D25A4">
        <w:rPr>
          <w:lang w:val="fr-FR"/>
        </w:rPr>
        <w:t xml:space="preserve">. </w:t>
      </w:r>
      <w:r w:rsidR="005C500C" w:rsidRPr="006D25A4">
        <w:rPr>
          <w:lang w:val="fr-FR"/>
        </w:rPr>
        <w:t>Les termes du débat sont ainsi clairement posés par la Section de législation du Conseil d’État dans un avis du 27 avril 1999 : « </w:t>
      </w:r>
      <w:r w:rsidR="005C500C" w:rsidRPr="006D25A4">
        <w:t>La conception selon laquelle les personnes morales de droit public ne peuvent faire l'objet d'une discrimination par rapport au citoyen est contredite par le postulat qui veut que les droits fondamentaux, tels que le droit à l'égalité et à la non-discrimination, ont tout d'abord pour objet de protéger le citoyen contre l'autorité, et non l'inverse »</w:t>
      </w:r>
      <w:r w:rsidR="0039487A">
        <w:rPr>
          <w:rStyle w:val="Appelnotedebasdep"/>
        </w:rPr>
        <w:footnoteReference w:id="15"/>
      </w:r>
      <w:r w:rsidR="005C500C" w:rsidRPr="006D25A4">
        <w:t>.</w:t>
      </w:r>
    </w:p>
    <w:p w14:paraId="31A6CF14" w14:textId="676300A3" w:rsidR="005C500C" w:rsidRPr="006D25A4" w:rsidRDefault="005C500C" w:rsidP="000A7EA6">
      <w:pPr>
        <w:jc w:val="both"/>
      </w:pPr>
    </w:p>
    <w:p w14:paraId="2EC7D527" w14:textId="39936EB3" w:rsidR="0074528B" w:rsidRPr="006D25A4" w:rsidRDefault="0074528B" w:rsidP="000A7EA6">
      <w:pPr>
        <w:jc w:val="both"/>
      </w:pPr>
      <w:r w:rsidRPr="006D25A4">
        <w:t xml:space="preserve">La proposition ainsi formulée est assurément solide. Elle reçoit au demeurant un écho quasi explicite dans une décision </w:t>
      </w:r>
      <w:r w:rsidRPr="006D25A4">
        <w:rPr>
          <w:i/>
        </w:rPr>
        <w:t xml:space="preserve">Slovénie c. Croatie </w:t>
      </w:r>
      <w:r w:rsidRPr="006D25A4">
        <w:t>rendue le 1</w:t>
      </w:r>
      <w:r w:rsidR="003C1D6C">
        <w:t>8</w:t>
      </w:r>
      <w:r w:rsidRPr="006D25A4">
        <w:t xml:space="preserve"> novembre 2020</w:t>
      </w:r>
      <w:r w:rsidR="00FD26A3">
        <w:rPr>
          <w:rStyle w:val="Appelnotedebasdep"/>
        </w:rPr>
        <w:footnoteReference w:id="16"/>
      </w:r>
      <w:r w:rsidR="00A071BE" w:rsidRPr="006D25A4">
        <w:t xml:space="preserve"> - </w:t>
      </w:r>
      <w:r w:rsidRPr="006D25A4">
        <w:t>à la majorité</w:t>
      </w:r>
      <w:r w:rsidR="003701A2" w:rsidRPr="006D25A4">
        <w:t> !</w:t>
      </w:r>
      <w:r w:rsidR="00A071BE" w:rsidRPr="006D25A4">
        <w:t xml:space="preserve"> -</w:t>
      </w:r>
      <w:r w:rsidRPr="006D25A4">
        <w:t xml:space="preserve"> par la Grande Chambre de la Cour européenne des droits de l’Homme</w:t>
      </w:r>
      <w:r w:rsidRPr="006D25A4">
        <w:rPr>
          <w:rStyle w:val="Appelnotedebasdep"/>
        </w:rPr>
        <w:footnoteReference w:id="17"/>
      </w:r>
      <w:r w:rsidRPr="006D25A4">
        <w:t xml:space="preserve">. </w:t>
      </w:r>
    </w:p>
    <w:p w14:paraId="65EC5F94" w14:textId="77777777" w:rsidR="0074528B" w:rsidRPr="006D25A4" w:rsidRDefault="0074528B" w:rsidP="000A7EA6">
      <w:pPr>
        <w:jc w:val="both"/>
      </w:pPr>
    </w:p>
    <w:p w14:paraId="5C1C6D44" w14:textId="6DB68381" w:rsidR="005C500C" w:rsidRPr="006D25A4" w:rsidRDefault="005C500C" w:rsidP="000A7EA6">
      <w:pPr>
        <w:jc w:val="both"/>
      </w:pPr>
      <w:r w:rsidRPr="006D25A4">
        <w:t>Dès l’abord cependant, l’argument ainsi énoncé a été, non pas contredit dans son principe</w:t>
      </w:r>
      <w:r w:rsidRPr="006D25A4">
        <w:rPr>
          <w:i/>
        </w:rPr>
        <w:t xml:space="preserve">, </w:t>
      </w:r>
      <w:r w:rsidRPr="006D25A4">
        <w:t>mais bien nuancé dans ses application</w:t>
      </w:r>
      <w:r w:rsidR="00A071BE" w:rsidRPr="006D25A4">
        <w:t>s</w:t>
      </w:r>
      <w:r w:rsidRPr="006D25A4">
        <w:t xml:space="preserve"> par le constat que la reconnaissance de </w:t>
      </w:r>
      <w:r w:rsidRPr="006D25A4">
        <w:rPr>
          <w:i/>
        </w:rPr>
        <w:t xml:space="preserve">certains droits </w:t>
      </w:r>
      <w:r w:rsidRPr="006D25A4">
        <w:t xml:space="preserve">et </w:t>
      </w:r>
      <w:r w:rsidRPr="006D25A4">
        <w:rPr>
          <w:i/>
        </w:rPr>
        <w:t xml:space="preserve">libertés </w:t>
      </w:r>
      <w:r w:rsidRPr="006D25A4">
        <w:t>aux personnes morales de droit public</w:t>
      </w:r>
      <w:r w:rsidR="006A3486">
        <w:rPr>
          <w:rStyle w:val="Appelnotedebasdep"/>
        </w:rPr>
        <w:footnoteReference w:id="18"/>
      </w:r>
      <w:r w:rsidRPr="006D25A4">
        <w:t xml:space="preserve"> – y inclus l’État lui-même et les collectivités qui le composent – était, non seulement « inoffensive » vis-à-vis du citoyen, mais plus encore, logique et nécessaire au nom de l’égalité entre les sujets de droit</w:t>
      </w:r>
      <w:r w:rsidR="004C646A" w:rsidRPr="006D25A4">
        <w:t xml:space="preserve">. Ainsi, et selon R. </w:t>
      </w:r>
      <w:proofErr w:type="spellStart"/>
      <w:r w:rsidR="004C646A" w:rsidRPr="006D25A4">
        <w:t>Ergec</w:t>
      </w:r>
      <w:proofErr w:type="spellEnd"/>
      <w:r w:rsidR="00DD5C73">
        <w:rPr>
          <w:rStyle w:val="Appelnotedebasdep"/>
        </w:rPr>
        <w:footnoteReference w:id="19"/>
      </w:r>
      <w:r w:rsidR="004C646A" w:rsidRPr="006D25A4">
        <w:t>,</w:t>
      </w:r>
    </w:p>
    <w:p w14:paraId="52608121" w14:textId="5B46A29B" w:rsidR="004C646A" w:rsidRPr="006D25A4" w:rsidRDefault="004C646A" w:rsidP="000A7EA6">
      <w:pPr>
        <w:jc w:val="both"/>
      </w:pPr>
    </w:p>
    <w:p w14:paraId="3FD9096C" w14:textId="1CC1E478" w:rsidR="004C646A" w:rsidRPr="00DD5C73" w:rsidRDefault="004C646A" w:rsidP="00DD5C73">
      <w:pPr>
        <w:ind w:left="567"/>
        <w:jc w:val="both"/>
        <w:rPr>
          <w:sz w:val="20"/>
          <w:szCs w:val="20"/>
        </w:rPr>
      </w:pPr>
      <w:r w:rsidRPr="00DD5C73">
        <w:rPr>
          <w:sz w:val="20"/>
          <w:szCs w:val="20"/>
        </w:rPr>
        <w:t>« </w:t>
      </w:r>
      <w:r w:rsidR="00DD5C73" w:rsidRPr="00DD5C73">
        <w:rPr>
          <w:sz w:val="20"/>
          <w:szCs w:val="20"/>
        </w:rPr>
        <w:t>Il serait (…) choquant que l’État, ou l’un de ses démembrements, partie à une instance devant une juridiction nationale, soit privé du droit d’invoquer, à son profit, les garanties du droit à un procès équitable (CEDH, art. 6)</w:t>
      </w:r>
      <w:r w:rsidRPr="00DD5C73">
        <w:rPr>
          <w:sz w:val="20"/>
          <w:szCs w:val="20"/>
        </w:rPr>
        <w:t> ».</w:t>
      </w:r>
    </w:p>
    <w:p w14:paraId="7F015040" w14:textId="7070A367" w:rsidR="004C646A" w:rsidRPr="006D25A4" w:rsidRDefault="004C646A" w:rsidP="000A7EA6">
      <w:pPr>
        <w:jc w:val="both"/>
      </w:pPr>
    </w:p>
    <w:p w14:paraId="2C39A5DF" w14:textId="47214754" w:rsidR="004C646A" w:rsidRPr="006D25A4" w:rsidRDefault="004C646A" w:rsidP="000A7EA6">
      <w:pPr>
        <w:jc w:val="both"/>
      </w:pPr>
      <w:r w:rsidRPr="006D25A4">
        <w:t>Cette position nuancée mérite, selon nous, l’adhésion. En tout état de cause, elle rend</w:t>
      </w:r>
      <w:r w:rsidR="003701A2" w:rsidRPr="006D25A4">
        <w:t xml:space="preserve"> </w:t>
      </w:r>
      <w:r w:rsidRPr="006D25A4">
        <w:t>mieux compte de l’état du droit prétorien existant que la posture qui affirme, de manière rigide, que les personnes morale</w:t>
      </w:r>
      <w:r w:rsidR="00EE58FC">
        <w:t>s</w:t>
      </w:r>
      <w:r w:rsidRPr="006D25A4">
        <w:t xml:space="preserve"> de droit public en général, et l’État et ses composantes en particulier, ne jouissent en aucune façon de droits et libertés. Tant à l’étranger</w:t>
      </w:r>
      <w:r w:rsidR="00B21DC4">
        <w:rPr>
          <w:rStyle w:val="Appelnotedebasdep"/>
        </w:rPr>
        <w:footnoteReference w:id="20"/>
      </w:r>
      <w:r w:rsidRPr="006D25A4">
        <w:t xml:space="preserve"> qu’en Belgique, </w:t>
      </w:r>
      <w:r w:rsidR="0018564E" w:rsidRPr="006D25A4">
        <w:t xml:space="preserve">on voit en effet </w:t>
      </w:r>
      <w:r w:rsidRPr="006D25A4">
        <w:t>se multiplie</w:t>
      </w:r>
      <w:r w:rsidR="0018564E" w:rsidRPr="006D25A4">
        <w:t>r</w:t>
      </w:r>
      <w:r w:rsidRPr="006D25A4">
        <w:t xml:space="preserve"> les décisions qui reconnaissent, de manière plus ou moins explicite et plus ou moins raisonnée, que tel ou tel droit fondamental peut être invoqué, par exemple, par l’État ou une collectivité politique fédérée ou décentralisée. Ainsi, la Cour de cassation belge a-t-elle</w:t>
      </w:r>
      <w:r w:rsidR="004E3F47" w:rsidRPr="006D25A4">
        <w:t xml:space="preserve"> implicitement</w:t>
      </w:r>
      <w:r w:rsidRPr="006D25A4">
        <w:t xml:space="preserve"> admis, à plus d’une reprise</w:t>
      </w:r>
      <w:r w:rsidR="003758DD">
        <w:t>s</w:t>
      </w:r>
      <w:r w:rsidRPr="006D25A4">
        <w:t xml:space="preserve">, qu’une telle personne morale </w:t>
      </w:r>
      <w:r w:rsidR="004E3F47" w:rsidRPr="006D25A4">
        <w:t>de droit public, demanderesse en cassation, puisse valablement soulever un moyen pris de la violation de l’article 6 de la Convention européenne des droits de l’Homme</w:t>
      </w:r>
      <w:r w:rsidR="003758DD">
        <w:rPr>
          <w:rStyle w:val="Appelnotedebasdep"/>
        </w:rPr>
        <w:footnoteReference w:id="21"/>
      </w:r>
      <w:r w:rsidR="004E3F47" w:rsidRPr="006D25A4">
        <w:t xml:space="preserve">. </w:t>
      </w:r>
      <w:r w:rsidR="00A071BE" w:rsidRPr="006D25A4">
        <w:t xml:space="preserve">La jurisprudence de la Cour </w:t>
      </w:r>
      <w:r w:rsidR="00A071BE" w:rsidRPr="006D25A4">
        <w:lastRenderedPageBreak/>
        <w:t>de justice de l’Union européenne ne semble pas, elle non plus, opposée à ce que des droits fondamentaux soient, dans certains cas, revendiqués à leur bénéfice par des États</w:t>
      </w:r>
      <w:r w:rsidR="00E55189">
        <w:rPr>
          <w:rStyle w:val="Appelnotedebasdep"/>
        </w:rPr>
        <w:footnoteReference w:id="22"/>
      </w:r>
      <w:r w:rsidR="003701A2" w:rsidRPr="006D25A4">
        <w:t>.</w:t>
      </w:r>
    </w:p>
    <w:p w14:paraId="227C6304" w14:textId="06F84611" w:rsidR="004E3F47" w:rsidRDefault="004E3F47" w:rsidP="000A7EA6">
      <w:pPr>
        <w:jc w:val="both"/>
      </w:pPr>
    </w:p>
    <w:p w14:paraId="7DA4BD9C" w14:textId="77777777" w:rsidR="006D25A4" w:rsidRPr="006D25A4" w:rsidRDefault="006D25A4" w:rsidP="000A7EA6">
      <w:pPr>
        <w:jc w:val="both"/>
      </w:pPr>
    </w:p>
    <w:p w14:paraId="30B4349D" w14:textId="4A86C3BE" w:rsidR="004E3F47" w:rsidRPr="006D25A4" w:rsidRDefault="004E3F47" w:rsidP="004E3F47">
      <w:pPr>
        <w:pStyle w:val="Paragraphedeliste"/>
        <w:numPr>
          <w:ilvl w:val="0"/>
          <w:numId w:val="1"/>
        </w:numPr>
        <w:jc w:val="both"/>
        <w:rPr>
          <w:rFonts w:ascii="Times New Roman" w:hAnsi="Times New Roman" w:cs="Times New Roman"/>
          <w:b/>
          <w:bCs/>
          <w:lang w:val="fr-FR"/>
        </w:rPr>
      </w:pPr>
      <w:r w:rsidRPr="006D25A4">
        <w:rPr>
          <w:rFonts w:ascii="Times New Roman" w:hAnsi="Times New Roman" w:cs="Times New Roman"/>
          <w:b/>
          <w:bCs/>
          <w:i/>
          <w:lang w:val="fr-FR"/>
        </w:rPr>
        <w:t xml:space="preserve">… Ibi </w:t>
      </w:r>
      <w:proofErr w:type="spellStart"/>
      <w:r w:rsidRPr="006D25A4">
        <w:rPr>
          <w:rFonts w:ascii="Times New Roman" w:hAnsi="Times New Roman" w:cs="Times New Roman"/>
          <w:b/>
          <w:bCs/>
          <w:i/>
          <w:lang w:val="fr-FR"/>
        </w:rPr>
        <w:t>remedium</w:t>
      </w:r>
      <w:proofErr w:type="spellEnd"/>
      <w:r w:rsidRPr="006D25A4">
        <w:rPr>
          <w:rFonts w:ascii="Times New Roman" w:hAnsi="Times New Roman" w:cs="Times New Roman"/>
          <w:b/>
          <w:bCs/>
          <w:i/>
          <w:lang w:val="fr-FR"/>
        </w:rPr>
        <w:t> ?</w:t>
      </w:r>
    </w:p>
    <w:p w14:paraId="4713354E" w14:textId="46F0C003" w:rsidR="00A27425" w:rsidRPr="006D25A4" w:rsidRDefault="00A27425">
      <w:pPr>
        <w:rPr>
          <w:i/>
          <w:lang w:val="fr-FR"/>
        </w:rPr>
      </w:pPr>
    </w:p>
    <w:p w14:paraId="1D03024B" w14:textId="4E82372B" w:rsidR="00A27425" w:rsidRPr="006D25A4" w:rsidRDefault="004E3F47" w:rsidP="00A071BE">
      <w:pPr>
        <w:jc w:val="both"/>
        <w:rPr>
          <w:lang w:val="fr-FR"/>
        </w:rPr>
      </w:pPr>
      <w:r w:rsidRPr="006D25A4">
        <w:rPr>
          <w:lang w:val="fr-FR"/>
        </w:rPr>
        <w:t>A notre estime, on ne peut donc aujourd’hui conclure qu’une entité publique te</w:t>
      </w:r>
      <w:r w:rsidR="0018564E" w:rsidRPr="006D25A4">
        <w:rPr>
          <w:lang w:val="fr-FR"/>
        </w:rPr>
        <w:t>l</w:t>
      </w:r>
      <w:r w:rsidR="00EE58FC">
        <w:rPr>
          <w:lang w:val="fr-FR"/>
        </w:rPr>
        <w:t>s</w:t>
      </w:r>
      <w:r w:rsidRPr="006D25A4">
        <w:rPr>
          <w:lang w:val="fr-FR"/>
        </w:rPr>
        <w:t xml:space="preserve"> un État, une Communauté, une Région, une Province ou une Commune serait privée de la jouissance de l’ensemble des droits et libertés conventionnellement garantis, et de la possibilité de les faire valoir devant un juge interne. </w:t>
      </w:r>
    </w:p>
    <w:p w14:paraId="63EAE91F" w14:textId="45FE394E" w:rsidR="004E3F47" w:rsidRPr="006D25A4" w:rsidRDefault="004E3F47">
      <w:pPr>
        <w:rPr>
          <w:lang w:val="fr-FR"/>
        </w:rPr>
      </w:pPr>
    </w:p>
    <w:p w14:paraId="44E94685" w14:textId="7B2EC33B" w:rsidR="004E3F47" w:rsidRPr="006D25A4" w:rsidRDefault="004E3F47" w:rsidP="00A071BE">
      <w:pPr>
        <w:jc w:val="both"/>
        <w:rPr>
          <w:lang w:val="fr-FR"/>
        </w:rPr>
      </w:pPr>
      <w:r w:rsidRPr="006D25A4">
        <w:rPr>
          <w:lang w:val="fr-FR"/>
        </w:rPr>
        <w:t xml:space="preserve">Par contre, et à suivre la décision commentée, il serait hors de question de reconnaître à de telles entités un </w:t>
      </w:r>
      <w:r w:rsidRPr="006D25A4">
        <w:rPr>
          <w:i/>
          <w:lang w:val="fr-FR"/>
        </w:rPr>
        <w:t xml:space="preserve">locus </w:t>
      </w:r>
      <w:proofErr w:type="spellStart"/>
      <w:r w:rsidRPr="006D25A4">
        <w:rPr>
          <w:i/>
          <w:lang w:val="fr-FR"/>
        </w:rPr>
        <w:t>standi</w:t>
      </w:r>
      <w:proofErr w:type="spellEnd"/>
      <w:r w:rsidR="002C0E98" w:rsidRPr="006D25A4">
        <w:rPr>
          <w:i/>
          <w:lang w:val="fr-FR"/>
        </w:rPr>
        <w:t xml:space="preserve">, </w:t>
      </w:r>
      <w:r w:rsidR="002C0E98" w:rsidRPr="006D25A4">
        <w:rPr>
          <w:lang w:val="fr-FR"/>
        </w:rPr>
        <w:t xml:space="preserve">sur base de l’article 34 de la Convention, pour se plaindre de la violation de ces mêmes droits devant la Cour européenne des droits de l’Homme. Il y aurait – peut-être – un </w:t>
      </w:r>
      <w:r w:rsidR="002C0E98" w:rsidRPr="006D25A4">
        <w:rPr>
          <w:i/>
          <w:lang w:val="fr-FR"/>
        </w:rPr>
        <w:t xml:space="preserve">jus, </w:t>
      </w:r>
      <w:r w:rsidR="002C0E98" w:rsidRPr="006D25A4">
        <w:rPr>
          <w:lang w:val="fr-FR"/>
        </w:rPr>
        <w:t xml:space="preserve">mais en tous cas pas de </w:t>
      </w:r>
      <w:proofErr w:type="spellStart"/>
      <w:r w:rsidR="002C0E98" w:rsidRPr="006D25A4">
        <w:rPr>
          <w:i/>
          <w:lang w:val="fr-FR"/>
        </w:rPr>
        <w:t>remedium</w:t>
      </w:r>
      <w:proofErr w:type="spellEnd"/>
      <w:r w:rsidR="002C0E98" w:rsidRPr="006D25A4">
        <w:rPr>
          <w:i/>
          <w:lang w:val="fr-FR"/>
        </w:rPr>
        <w:t xml:space="preserve"> </w:t>
      </w:r>
      <w:r w:rsidR="002C0E98" w:rsidRPr="006D25A4">
        <w:rPr>
          <w:lang w:val="fr-FR"/>
        </w:rPr>
        <w:t>strasbourgeois.</w:t>
      </w:r>
    </w:p>
    <w:p w14:paraId="4C04B5FA" w14:textId="6BC62849" w:rsidR="002C0E98" w:rsidRPr="006D25A4" w:rsidRDefault="002C0E98">
      <w:pPr>
        <w:rPr>
          <w:lang w:val="fr-FR"/>
        </w:rPr>
      </w:pPr>
    </w:p>
    <w:p w14:paraId="786B1746" w14:textId="748B3945" w:rsidR="007140CB" w:rsidRPr="006D25A4" w:rsidRDefault="002C0E98" w:rsidP="007140CB">
      <w:pPr>
        <w:jc w:val="both"/>
        <w:rPr>
          <w:rStyle w:val="sb8d990e2"/>
          <w:color w:val="000000"/>
        </w:rPr>
      </w:pPr>
      <w:r w:rsidRPr="006D25A4">
        <w:rPr>
          <w:lang w:val="fr-FR"/>
        </w:rPr>
        <w:t>L’article 34 de la Convention ne reconna</w:t>
      </w:r>
      <w:r w:rsidR="008D408F" w:rsidRPr="006D25A4">
        <w:rPr>
          <w:lang w:val="fr-FR"/>
        </w:rPr>
        <w:t>î</w:t>
      </w:r>
      <w:r w:rsidRPr="006D25A4">
        <w:rPr>
          <w:lang w:val="fr-FR"/>
        </w:rPr>
        <w:t xml:space="preserve">t en effet de </w:t>
      </w:r>
      <w:r w:rsidR="008D408F" w:rsidRPr="006D25A4">
        <w:rPr>
          <w:lang w:val="fr-FR"/>
        </w:rPr>
        <w:t>droit de requête individuelle qu’au profit des « personnes physiques », de « groupe de particulier » et des « organisations non gouvernementale</w:t>
      </w:r>
      <w:r w:rsidR="008C02E0">
        <w:rPr>
          <w:lang w:val="fr-FR"/>
        </w:rPr>
        <w:t>s</w:t>
      </w:r>
      <w:r w:rsidR="008D408F" w:rsidRPr="006D25A4">
        <w:rPr>
          <w:lang w:val="fr-FR"/>
        </w:rPr>
        <w:t> ». Cette dernière not</w:t>
      </w:r>
      <w:r w:rsidR="00A506A6" w:rsidRPr="006D25A4">
        <w:rPr>
          <w:lang w:val="fr-FR"/>
        </w:rPr>
        <w:t xml:space="preserve">ion est une notion « autonome », dotée d’une signification « européenne » potentiellement distincte de celle qui lui est assignée par le droit </w:t>
      </w:r>
      <w:r w:rsidR="00A506A6" w:rsidRPr="006D25A4">
        <w:rPr>
          <w:lang w:val="fr-FR"/>
        </w:rPr>
        <w:lastRenderedPageBreak/>
        <w:t xml:space="preserve">interne de l’État mis en cause. </w:t>
      </w:r>
      <w:r w:rsidR="00050183" w:rsidRPr="006D25A4">
        <w:rPr>
          <w:lang w:val="fr-FR"/>
        </w:rPr>
        <w:t>Élaborée</w:t>
      </w:r>
      <w:r w:rsidR="00A506A6" w:rsidRPr="006D25A4">
        <w:rPr>
          <w:lang w:val="fr-FR"/>
        </w:rPr>
        <w:t xml:space="preserve"> au fil des espèces, la définition retenue repose sur un faisceau de critères que rappelle </w:t>
      </w:r>
      <w:r w:rsidR="007140CB" w:rsidRPr="006D25A4">
        <w:rPr>
          <w:lang w:val="fr-FR"/>
        </w:rPr>
        <w:t>la décision commentée. « </w:t>
      </w:r>
      <w:r w:rsidR="007140CB" w:rsidRPr="006D25A4">
        <w:rPr>
          <w:rStyle w:val="sb8d990e2"/>
          <w:color w:val="000000"/>
          <w:lang w:val="fr-FR"/>
        </w:rPr>
        <w:t>L</w:t>
      </w:r>
      <w:r w:rsidR="007140CB" w:rsidRPr="006D25A4">
        <w:rPr>
          <w:rStyle w:val="sb8d990e2"/>
          <w:color w:val="000000"/>
        </w:rPr>
        <w:t>es ‘organisations gouvernementales’ », précise cette dernière, sont « des personnes morales qui participent à l’exercice de la puissance publique ou qui gèrent un service public sous le contrôle des autorités. (Il y a) lieu de prendre en considération le statut juridique de la personne morale et, le cas échéant, les prérogatives qui lui sont données, la nature de l’activité qu’elle exerce et le contexte dans lequel s’inscrit celle-ci, ainsi que son degré d’indépendance par rapport aux autorités politiques ».</w:t>
      </w:r>
    </w:p>
    <w:p w14:paraId="1E30F3E7" w14:textId="5709B4B7" w:rsidR="007140CB" w:rsidRPr="006D25A4" w:rsidRDefault="007140CB" w:rsidP="007140CB">
      <w:pPr>
        <w:jc w:val="both"/>
        <w:rPr>
          <w:rStyle w:val="sb8d990e2"/>
          <w:color w:val="000000"/>
        </w:rPr>
      </w:pPr>
    </w:p>
    <w:p w14:paraId="7FCE7EEA" w14:textId="436ABA02" w:rsidR="00EA0195" w:rsidRPr="006D25A4" w:rsidRDefault="007140CB" w:rsidP="0018564E">
      <w:pPr>
        <w:jc w:val="both"/>
      </w:pPr>
      <w:r w:rsidRPr="006D25A4">
        <w:rPr>
          <w:rStyle w:val="sb8d990e2"/>
          <w:color w:val="000000"/>
        </w:rPr>
        <w:t>L’ « organisation gouvernementale » est donc celle qui, selon les critères précités, présente un « lien d’inféodation » avec l’État</w:t>
      </w:r>
      <w:r w:rsidR="00EA0195" w:rsidRPr="006D25A4">
        <w:rPr>
          <w:rStyle w:val="sb8d990e2"/>
          <w:color w:val="000000"/>
        </w:rPr>
        <w:t xml:space="preserve">, ou encore, </w:t>
      </w:r>
      <w:r w:rsidR="0018564E" w:rsidRPr="006D25A4">
        <w:rPr>
          <w:rStyle w:val="sb8d990e2"/>
          <w:color w:val="000000"/>
        </w:rPr>
        <w:t xml:space="preserve">et </w:t>
      </w:r>
      <w:r w:rsidR="00EA0195" w:rsidRPr="006D25A4">
        <w:rPr>
          <w:rStyle w:val="sb8d990e2"/>
          <w:color w:val="000000"/>
        </w:rPr>
        <w:t>pour reprendre</w:t>
      </w:r>
      <w:r w:rsidR="0018564E" w:rsidRPr="006D25A4">
        <w:rPr>
          <w:rStyle w:val="sb8d990e2"/>
          <w:color w:val="000000"/>
        </w:rPr>
        <w:t xml:space="preserve"> cette fois-ci</w:t>
      </w:r>
      <w:r w:rsidR="00EA0195" w:rsidRPr="006D25A4">
        <w:rPr>
          <w:rStyle w:val="sb8d990e2"/>
          <w:color w:val="000000"/>
        </w:rPr>
        <w:t xml:space="preserve"> les termes de la décision</w:t>
      </w:r>
      <w:r w:rsidR="008B2705">
        <w:rPr>
          <w:rStyle w:val="sb8d990e2"/>
          <w:color w:val="000000"/>
        </w:rPr>
        <w:t xml:space="preserve"> </w:t>
      </w:r>
      <w:r w:rsidR="008B2705">
        <w:rPr>
          <w:rStyle w:val="sb8d990e2"/>
          <w:i/>
          <w:color w:val="000000"/>
        </w:rPr>
        <w:t>Slovénie c. Croatie</w:t>
      </w:r>
      <w:r w:rsidR="00EA0195" w:rsidRPr="006D25A4">
        <w:rPr>
          <w:rStyle w:val="sb8d990e2"/>
          <w:color w:val="000000"/>
        </w:rPr>
        <w:t xml:space="preserve"> précitée du 1</w:t>
      </w:r>
      <w:r w:rsidR="008B2705">
        <w:rPr>
          <w:rStyle w:val="sb8d990e2"/>
          <w:color w:val="000000"/>
        </w:rPr>
        <w:t>8</w:t>
      </w:r>
      <w:r w:rsidR="00EA0195" w:rsidRPr="006D25A4">
        <w:rPr>
          <w:rStyle w:val="sb8d990e2"/>
          <w:color w:val="000000"/>
        </w:rPr>
        <w:t xml:space="preserve"> novembre 2020, ne bénéficie pas d’une « </w:t>
      </w:r>
      <w:r w:rsidR="00EA0195" w:rsidRPr="006D25A4">
        <w:rPr>
          <w:color w:val="000000"/>
          <w:shd w:val="clear" w:color="auto" w:fill="FFFFFF"/>
        </w:rPr>
        <w:t>indépendance institutionnelle et opérationnelle suffisante » vis-à-vis de l’État.</w:t>
      </w:r>
    </w:p>
    <w:p w14:paraId="5A92467D" w14:textId="77777777" w:rsidR="00EA0195" w:rsidRPr="006D25A4" w:rsidRDefault="00EA0195" w:rsidP="007140CB">
      <w:pPr>
        <w:jc w:val="both"/>
        <w:rPr>
          <w:rStyle w:val="sb8d990e2"/>
          <w:color w:val="000000"/>
        </w:rPr>
      </w:pPr>
    </w:p>
    <w:p w14:paraId="67D782AA" w14:textId="5E9EA592" w:rsidR="007140CB" w:rsidRPr="006D25A4" w:rsidRDefault="007140CB" w:rsidP="007140CB">
      <w:pPr>
        <w:jc w:val="both"/>
        <w:rPr>
          <w:rStyle w:val="sb8d990e2"/>
          <w:color w:val="000000"/>
        </w:rPr>
      </w:pPr>
      <w:r w:rsidRPr="006D25A4">
        <w:rPr>
          <w:rStyle w:val="sb8d990e2"/>
          <w:color w:val="000000"/>
        </w:rPr>
        <w:t xml:space="preserve">Toute la question est </w:t>
      </w:r>
      <w:r w:rsidR="0018564E" w:rsidRPr="006D25A4">
        <w:rPr>
          <w:rStyle w:val="sb8d990e2"/>
          <w:color w:val="000000"/>
        </w:rPr>
        <w:t xml:space="preserve">alors </w:t>
      </w:r>
      <w:r w:rsidRPr="006D25A4">
        <w:rPr>
          <w:rStyle w:val="sb8d990e2"/>
          <w:color w:val="000000"/>
        </w:rPr>
        <w:t xml:space="preserve">de savoir si, aux fins d’une telle </w:t>
      </w:r>
      <w:r w:rsidR="00EA0195" w:rsidRPr="006D25A4">
        <w:rPr>
          <w:rStyle w:val="sb8d990e2"/>
          <w:color w:val="000000"/>
        </w:rPr>
        <w:t>caractéris</w:t>
      </w:r>
      <w:r w:rsidRPr="006D25A4">
        <w:rPr>
          <w:rStyle w:val="sb8d990e2"/>
          <w:color w:val="000000"/>
        </w:rPr>
        <w:t xml:space="preserve">ation, l’identité de l’État concerné est parfaitement indifférente. </w:t>
      </w:r>
    </w:p>
    <w:p w14:paraId="45F0A2DE" w14:textId="3BA4F784" w:rsidR="007140CB" w:rsidRPr="006D25A4" w:rsidRDefault="007140CB" w:rsidP="007140CB">
      <w:pPr>
        <w:jc w:val="both"/>
        <w:rPr>
          <w:rStyle w:val="sb8d990e2"/>
          <w:color w:val="000000"/>
        </w:rPr>
      </w:pPr>
    </w:p>
    <w:p w14:paraId="42B846C3" w14:textId="487D04F1" w:rsidR="007140CB" w:rsidRPr="006D25A4" w:rsidRDefault="007140CB" w:rsidP="00EA0195">
      <w:pPr>
        <w:jc w:val="both"/>
        <w:rPr>
          <w:rStyle w:val="sb8d990e2"/>
          <w:color w:val="000000"/>
        </w:rPr>
      </w:pPr>
      <w:r w:rsidRPr="006D25A4">
        <w:rPr>
          <w:rStyle w:val="sb8d990e2"/>
          <w:color w:val="000000"/>
        </w:rPr>
        <w:t xml:space="preserve">Une interprétation purement textuelle de l’article 34 conduira à répondre l’affirmative. Pour reprendre les termes d’une décision </w:t>
      </w:r>
      <w:proofErr w:type="spellStart"/>
      <w:r w:rsidRPr="006D25A4">
        <w:rPr>
          <w:rStyle w:val="sb8d990e2"/>
          <w:i/>
          <w:color w:val="000000"/>
        </w:rPr>
        <w:t>Ljublanska</w:t>
      </w:r>
      <w:proofErr w:type="spellEnd"/>
      <w:r w:rsidRPr="006D25A4">
        <w:rPr>
          <w:rStyle w:val="sb8d990e2"/>
          <w:i/>
          <w:color w:val="000000"/>
        </w:rPr>
        <w:t xml:space="preserve"> Banka D.D. c. Croatie </w:t>
      </w:r>
      <w:r w:rsidRPr="006D25A4">
        <w:rPr>
          <w:rStyle w:val="sb8d990e2"/>
          <w:color w:val="000000"/>
        </w:rPr>
        <w:t>du 12 mai 2015</w:t>
      </w:r>
      <w:r w:rsidR="008B2705">
        <w:rPr>
          <w:rStyle w:val="Appelnotedebasdep"/>
          <w:color w:val="000000"/>
        </w:rPr>
        <w:footnoteReference w:id="23"/>
      </w:r>
      <w:r w:rsidR="004B1576" w:rsidRPr="006D25A4">
        <w:rPr>
          <w:rStyle w:val="sb8d990e2"/>
          <w:color w:val="000000"/>
        </w:rPr>
        <w:t>,</w:t>
      </w:r>
    </w:p>
    <w:p w14:paraId="49CAAB5D" w14:textId="7F1CE207" w:rsidR="004B1576" w:rsidRPr="006D25A4" w:rsidRDefault="004B1576" w:rsidP="007140CB">
      <w:pPr>
        <w:jc w:val="both"/>
        <w:rPr>
          <w:rStyle w:val="sb8d990e2"/>
          <w:color w:val="000000"/>
        </w:rPr>
      </w:pPr>
    </w:p>
    <w:p w14:paraId="2B4D4C79" w14:textId="5E4364AB" w:rsidR="004B1576" w:rsidRPr="008B2705" w:rsidRDefault="004B1576" w:rsidP="00EA0195">
      <w:pPr>
        <w:ind w:left="567"/>
        <w:jc w:val="both"/>
        <w:rPr>
          <w:rStyle w:val="sb8d990e2"/>
          <w:color w:val="000000"/>
          <w:sz w:val="20"/>
          <w:szCs w:val="20"/>
          <w:lang w:val="en-US"/>
        </w:rPr>
      </w:pPr>
      <w:proofErr w:type="gramStart"/>
      <w:r w:rsidRPr="008B2705">
        <w:rPr>
          <w:rStyle w:val="sb8d990e2"/>
          <w:color w:val="000000"/>
          <w:sz w:val="20"/>
          <w:szCs w:val="20"/>
          <w:lang w:val="en-US"/>
        </w:rPr>
        <w:t>« </w:t>
      </w:r>
      <w:r w:rsidRPr="008B2705">
        <w:rPr>
          <w:rStyle w:val="apple-converted-space"/>
          <w:color w:val="000000"/>
          <w:sz w:val="20"/>
          <w:szCs w:val="20"/>
          <w:lang w:val="en-US"/>
        </w:rPr>
        <w:t> </w:t>
      </w:r>
      <w:r w:rsidRPr="008B2705">
        <w:rPr>
          <w:rStyle w:val="sb8d990e2"/>
          <w:color w:val="000000"/>
          <w:sz w:val="20"/>
          <w:szCs w:val="20"/>
          <w:lang w:val="en-US"/>
        </w:rPr>
        <w:t>the</w:t>
      </w:r>
      <w:proofErr w:type="gramEnd"/>
      <w:r w:rsidRPr="008B2705">
        <w:rPr>
          <w:rStyle w:val="sb8d990e2"/>
          <w:color w:val="000000"/>
          <w:sz w:val="20"/>
          <w:szCs w:val="20"/>
          <w:lang w:val="en-US"/>
        </w:rPr>
        <w:t xml:space="preserve"> Court has already held that the rule that governmental bodies or public companies under the strict control of a State are not entitled to bring an application under Article 34 of the Convention, would apply even if the application was lodged by such company incorporated in a State which is not party to the Convention (…). Indeed, there is nothing in the text of Article 34 of the Convention to suggest that the term </w:t>
      </w:r>
      <w:r w:rsidR="008B2705" w:rsidRPr="008B2705">
        <w:rPr>
          <w:rStyle w:val="sb8d990e2"/>
          <w:color w:val="000000"/>
          <w:sz w:val="20"/>
          <w:szCs w:val="20"/>
          <w:lang w:val="en-US"/>
        </w:rPr>
        <w:t>‘</w:t>
      </w:r>
      <w:r w:rsidRPr="008B2705">
        <w:rPr>
          <w:rStyle w:val="sb8d990e2"/>
          <w:color w:val="000000"/>
          <w:sz w:val="20"/>
          <w:szCs w:val="20"/>
          <w:lang w:val="en-US"/>
        </w:rPr>
        <w:t xml:space="preserve">non-governmental </w:t>
      </w:r>
      <w:proofErr w:type="spellStart"/>
      <w:r w:rsidRPr="008B2705">
        <w:rPr>
          <w:rStyle w:val="sb8d990e2"/>
          <w:color w:val="000000"/>
          <w:sz w:val="20"/>
          <w:szCs w:val="20"/>
          <w:lang w:val="en-US"/>
        </w:rPr>
        <w:t>organisation</w:t>
      </w:r>
      <w:proofErr w:type="spellEnd"/>
      <w:r w:rsidR="008B2705" w:rsidRPr="008B2705">
        <w:rPr>
          <w:rStyle w:val="sb8d990e2"/>
          <w:color w:val="000000"/>
          <w:sz w:val="20"/>
          <w:szCs w:val="20"/>
          <w:lang w:val="en-US"/>
        </w:rPr>
        <w:t>’</w:t>
      </w:r>
      <w:r w:rsidRPr="008B2705">
        <w:rPr>
          <w:rStyle w:val="sb8d990e2"/>
          <w:color w:val="000000"/>
          <w:sz w:val="20"/>
          <w:szCs w:val="20"/>
          <w:lang w:val="en-US"/>
        </w:rPr>
        <w:t xml:space="preserve"> could be construed so as to exclude only those governmental </w:t>
      </w:r>
      <w:proofErr w:type="spellStart"/>
      <w:r w:rsidRPr="008B2705">
        <w:rPr>
          <w:rStyle w:val="sb8d990e2"/>
          <w:color w:val="000000"/>
          <w:sz w:val="20"/>
          <w:szCs w:val="20"/>
          <w:lang w:val="en-US"/>
        </w:rPr>
        <w:t>organisations</w:t>
      </w:r>
      <w:proofErr w:type="spellEnd"/>
      <w:r w:rsidRPr="008B2705">
        <w:rPr>
          <w:rStyle w:val="sb8d990e2"/>
          <w:color w:val="000000"/>
          <w:sz w:val="20"/>
          <w:szCs w:val="20"/>
          <w:lang w:val="en-US"/>
        </w:rPr>
        <w:t xml:space="preserve"> which could be regarded as a part of the respondent State</w:t>
      </w:r>
      <w:r w:rsidR="008B2705" w:rsidRPr="008B2705">
        <w:rPr>
          <w:rStyle w:val="sb8d990e2"/>
          <w:color w:val="000000"/>
          <w:sz w:val="20"/>
          <w:szCs w:val="20"/>
          <w:lang w:val="en-US"/>
        </w:rPr>
        <w:t xml:space="preserve"> »</w:t>
      </w:r>
      <w:r w:rsidRPr="008B2705">
        <w:rPr>
          <w:rStyle w:val="sb8d990e2"/>
          <w:color w:val="000000"/>
          <w:sz w:val="20"/>
          <w:szCs w:val="20"/>
          <w:lang w:val="en-US"/>
        </w:rPr>
        <w:t xml:space="preserve">. </w:t>
      </w:r>
    </w:p>
    <w:p w14:paraId="1B234565" w14:textId="164CF30F" w:rsidR="00EA0195" w:rsidRPr="006D25A4" w:rsidRDefault="00EA0195" w:rsidP="00EA0195">
      <w:pPr>
        <w:ind w:left="567"/>
        <w:jc w:val="both"/>
        <w:rPr>
          <w:rStyle w:val="sb8d990e2"/>
          <w:color w:val="000000"/>
          <w:lang w:val="en-US"/>
        </w:rPr>
      </w:pPr>
    </w:p>
    <w:p w14:paraId="6ABE8102" w14:textId="39D530EB" w:rsidR="00536B90" w:rsidRPr="006D25A4" w:rsidRDefault="00EA0195" w:rsidP="00E11A7E">
      <w:pPr>
        <w:jc w:val="both"/>
        <w:rPr>
          <w:rStyle w:val="sb8d990e2"/>
          <w:color w:val="000000"/>
        </w:rPr>
      </w:pPr>
      <w:r w:rsidRPr="006D25A4">
        <w:rPr>
          <w:rStyle w:val="sb8d990e2"/>
          <w:color w:val="000000"/>
        </w:rPr>
        <w:t>A cette</w:t>
      </w:r>
      <w:r w:rsidR="00536B90" w:rsidRPr="006D25A4">
        <w:rPr>
          <w:rStyle w:val="sb8d990e2"/>
          <w:color w:val="000000"/>
        </w:rPr>
        <w:t xml:space="preserve"> interprétation « textuelle » pourrait</w:t>
      </w:r>
      <w:r w:rsidR="006D25A4">
        <w:rPr>
          <w:rStyle w:val="sb8d990e2"/>
          <w:color w:val="000000"/>
        </w:rPr>
        <w:t>,</w:t>
      </w:r>
      <w:r w:rsidR="00536B90" w:rsidRPr="006D25A4">
        <w:rPr>
          <w:rStyle w:val="sb8d990e2"/>
          <w:color w:val="000000"/>
        </w:rPr>
        <w:t xml:space="preserve"> cependant, être opposée une interprétation  « téléologique », plus attachée à la finalité qu’à la lettre de l’article 34. Assez paradoxalement, cette interprétation téléologique est nourrie de différentes indications issues de la jurisprudence de la Cour européenne des droits de l’Homme</w:t>
      </w:r>
      <w:r w:rsidR="0018564E" w:rsidRPr="006D25A4">
        <w:rPr>
          <w:rStyle w:val="sb8d990e2"/>
          <w:color w:val="000000"/>
        </w:rPr>
        <w:t xml:space="preserve"> elle-même</w:t>
      </w:r>
      <w:r w:rsidR="00536B90" w:rsidRPr="006D25A4">
        <w:rPr>
          <w:rStyle w:val="sb8d990e2"/>
          <w:color w:val="000000"/>
        </w:rPr>
        <w:t>. Rappelant</w:t>
      </w:r>
      <w:r w:rsidR="00E11A7E" w:rsidRPr="006D25A4">
        <w:rPr>
          <w:rStyle w:val="sb8d990e2"/>
          <w:color w:val="000000"/>
        </w:rPr>
        <w:t xml:space="preserve"> l’impossibilité pour les</w:t>
      </w:r>
      <w:r w:rsidR="00536B90" w:rsidRPr="006D25A4">
        <w:rPr>
          <w:rStyle w:val="sb8d990e2"/>
          <w:color w:val="000000"/>
        </w:rPr>
        <w:t xml:space="preserve"> organes gouvernementaux ou sociétés publiques placés sous le contrôle strict de l’</w:t>
      </w:r>
      <w:proofErr w:type="spellStart"/>
      <w:r w:rsidR="00536B90" w:rsidRPr="006D25A4">
        <w:rPr>
          <w:rStyle w:val="sb8d990e2"/>
          <w:color w:val="000000"/>
        </w:rPr>
        <w:t>Etat</w:t>
      </w:r>
      <w:proofErr w:type="spellEnd"/>
      <w:r w:rsidR="00E11A7E" w:rsidRPr="006D25A4">
        <w:rPr>
          <w:rStyle w:val="sb8d990e2"/>
          <w:color w:val="000000"/>
        </w:rPr>
        <w:t xml:space="preserve"> d’</w:t>
      </w:r>
      <w:r w:rsidR="00536B90" w:rsidRPr="006D25A4">
        <w:rPr>
          <w:rStyle w:val="sb8d990e2"/>
          <w:color w:val="000000"/>
        </w:rPr>
        <w:t>introduire une requête au titre de l’article 34 de la Convention</w:t>
      </w:r>
      <w:r w:rsidR="00E11A7E" w:rsidRPr="006D25A4">
        <w:rPr>
          <w:rStyle w:val="sb8d990e2"/>
          <w:color w:val="000000"/>
        </w:rPr>
        <w:t xml:space="preserve">, l’arrêt </w:t>
      </w:r>
      <w:r w:rsidR="00E11A7E" w:rsidRPr="006D25A4">
        <w:rPr>
          <w:rStyle w:val="sb8d990e2"/>
          <w:i/>
          <w:color w:val="000000"/>
        </w:rPr>
        <w:t>Compagnie de navigation de la République islamique c. Turquie</w:t>
      </w:r>
      <w:r w:rsidR="008B2705">
        <w:rPr>
          <w:rStyle w:val="sb8d990e2"/>
          <w:i/>
          <w:color w:val="000000"/>
        </w:rPr>
        <w:t xml:space="preserve"> </w:t>
      </w:r>
      <w:r w:rsidR="008B2705">
        <w:rPr>
          <w:rStyle w:val="sb8d990e2"/>
          <w:color w:val="000000"/>
        </w:rPr>
        <w:t xml:space="preserve">du 13 </w:t>
      </w:r>
      <w:r w:rsidR="00EE58FC">
        <w:rPr>
          <w:rStyle w:val="sb8d990e2"/>
          <w:color w:val="000000"/>
        </w:rPr>
        <w:t>décembre</w:t>
      </w:r>
      <w:r w:rsidR="008B2705">
        <w:rPr>
          <w:rStyle w:val="sb8d990e2"/>
          <w:color w:val="000000"/>
        </w:rPr>
        <w:t xml:space="preserve"> 2007</w:t>
      </w:r>
      <w:r w:rsidR="00E11A7E" w:rsidRPr="006D25A4">
        <w:rPr>
          <w:rStyle w:val="sb8d990e2"/>
          <w:i/>
          <w:color w:val="000000"/>
        </w:rPr>
        <w:t xml:space="preserve"> </w:t>
      </w:r>
      <w:r w:rsidR="00E11A7E" w:rsidRPr="006D25A4">
        <w:rPr>
          <w:rStyle w:val="sb8d990e2"/>
          <w:color w:val="000000"/>
        </w:rPr>
        <w:t>énonce en effet que</w:t>
      </w:r>
      <w:r w:rsidR="00536B90" w:rsidRPr="006D25A4">
        <w:rPr>
          <w:rStyle w:val="sb8d990e2"/>
          <w:color w:val="000000"/>
        </w:rPr>
        <w:t xml:space="preserve"> </w:t>
      </w:r>
      <w:r w:rsidR="00E11A7E" w:rsidRPr="006D25A4">
        <w:rPr>
          <w:rStyle w:val="sb8d990e2"/>
          <w:color w:val="000000"/>
        </w:rPr>
        <w:t>« </w:t>
      </w:r>
      <w:r w:rsidR="00536B90" w:rsidRPr="006D25A4">
        <w:rPr>
          <w:rStyle w:val="sb8d990e2"/>
          <w:color w:val="000000"/>
        </w:rPr>
        <w:t>l’idée qui sous-tend ce principe est d’empêcher une Partie contractante d’être à la fois requérante et défenderesse devant la Cour</w:t>
      </w:r>
      <w:r w:rsidR="00E11A7E" w:rsidRPr="006D25A4">
        <w:rPr>
          <w:rStyle w:val="sb8d990e2"/>
          <w:color w:val="000000"/>
        </w:rPr>
        <w:t> »</w:t>
      </w:r>
      <w:r w:rsidR="008B2705">
        <w:rPr>
          <w:rStyle w:val="Appelnotedebasdep"/>
          <w:color w:val="000000"/>
        </w:rPr>
        <w:footnoteReference w:id="24"/>
      </w:r>
      <w:r w:rsidR="00E11A7E" w:rsidRPr="006D25A4">
        <w:rPr>
          <w:rStyle w:val="sb8d990e2"/>
          <w:color w:val="000000"/>
        </w:rPr>
        <w:t xml:space="preserve">. </w:t>
      </w:r>
      <w:r w:rsidR="00B27E96" w:rsidRPr="006D25A4">
        <w:rPr>
          <w:rStyle w:val="sb8d990e2"/>
          <w:color w:val="000000"/>
        </w:rPr>
        <w:t xml:space="preserve">Cette proposition, rappelée par la décision </w:t>
      </w:r>
      <w:r w:rsidR="00B27E96" w:rsidRPr="006D25A4">
        <w:rPr>
          <w:rStyle w:val="sb8d990e2"/>
          <w:i/>
          <w:color w:val="000000"/>
        </w:rPr>
        <w:t xml:space="preserve">Slovénie c. Croatie </w:t>
      </w:r>
      <w:r w:rsidR="00B27E96" w:rsidRPr="006D25A4">
        <w:rPr>
          <w:rStyle w:val="sb8d990e2"/>
          <w:color w:val="000000"/>
        </w:rPr>
        <w:t>précitée</w:t>
      </w:r>
      <w:r w:rsidR="008B2705">
        <w:rPr>
          <w:rStyle w:val="Appelnotedebasdep"/>
          <w:color w:val="000000"/>
        </w:rPr>
        <w:footnoteReference w:id="25"/>
      </w:r>
      <w:r w:rsidR="00B27E96" w:rsidRPr="006D25A4">
        <w:rPr>
          <w:rStyle w:val="sb8d990e2"/>
          <w:color w:val="000000"/>
        </w:rPr>
        <w:t xml:space="preserve">, </w:t>
      </w:r>
      <w:r w:rsidR="00E11A7E" w:rsidRPr="006D25A4">
        <w:rPr>
          <w:rStyle w:val="sb8d990e2"/>
          <w:color w:val="000000"/>
        </w:rPr>
        <w:t xml:space="preserve"> se comprend parfaitement au regard du principe de l’unité de responsabilité internationale de l’État. Mais elle contrarie l’interprétation textuelle large de l’article 34. A suivre en effet la finalité de cette règle, il n’y aurait aucun</w:t>
      </w:r>
      <w:r w:rsidR="008928B4" w:rsidRPr="006D25A4">
        <w:rPr>
          <w:rStyle w:val="sb8d990e2"/>
          <w:color w:val="000000"/>
        </w:rPr>
        <w:t>e</w:t>
      </w:r>
      <w:r w:rsidR="00E11A7E" w:rsidRPr="006D25A4">
        <w:rPr>
          <w:rStyle w:val="sb8d990e2"/>
          <w:color w:val="000000"/>
        </w:rPr>
        <w:t xml:space="preserve"> </w:t>
      </w:r>
      <w:r w:rsidR="00594654" w:rsidRPr="006D25A4">
        <w:rPr>
          <w:rStyle w:val="sb8d990e2"/>
          <w:color w:val="000000"/>
        </w:rPr>
        <w:t>raison valable</w:t>
      </w:r>
      <w:r w:rsidR="00E11A7E" w:rsidRPr="006D25A4">
        <w:rPr>
          <w:rStyle w:val="sb8d990e2"/>
          <w:color w:val="000000"/>
        </w:rPr>
        <w:t xml:space="preserve"> </w:t>
      </w:r>
      <w:r w:rsidR="008928B4" w:rsidRPr="006D25A4">
        <w:rPr>
          <w:rStyle w:val="sb8d990e2"/>
          <w:color w:val="000000"/>
        </w:rPr>
        <w:t>de refuser</w:t>
      </w:r>
      <w:r w:rsidR="00E11A7E" w:rsidRPr="006D25A4">
        <w:rPr>
          <w:rStyle w:val="sb8d990e2"/>
          <w:color w:val="000000"/>
        </w:rPr>
        <w:t xml:space="preserve"> qu’une organisation gouvernementale non dépendante de l’État défendeur – qu’elle se rattache à un état « autre », ou qu’elle s’identifie</w:t>
      </w:r>
      <w:r w:rsidR="0018564E" w:rsidRPr="006D25A4">
        <w:rPr>
          <w:rStyle w:val="sb8d990e2"/>
          <w:color w:val="000000"/>
        </w:rPr>
        <w:t xml:space="preserve"> carrément</w:t>
      </w:r>
      <w:r w:rsidR="00E11A7E" w:rsidRPr="006D25A4">
        <w:rPr>
          <w:rStyle w:val="sb8d990e2"/>
          <w:color w:val="000000"/>
        </w:rPr>
        <w:t xml:space="preserve"> à ce</w:t>
      </w:r>
      <w:r w:rsidR="00594654" w:rsidRPr="006D25A4">
        <w:rPr>
          <w:rStyle w:val="sb8d990e2"/>
          <w:color w:val="000000"/>
        </w:rPr>
        <w:t xml:space="preserve"> dernier, à l’instar de la République du Congo –, puisse se plaindre devant la Cour européenne des droits de l’Homme de la méconnaissance, par ledit </w:t>
      </w:r>
      <w:proofErr w:type="spellStart"/>
      <w:r w:rsidR="00594654" w:rsidRPr="006D25A4">
        <w:rPr>
          <w:rStyle w:val="sb8d990e2"/>
          <w:color w:val="000000"/>
        </w:rPr>
        <w:t>Etat</w:t>
      </w:r>
      <w:proofErr w:type="spellEnd"/>
      <w:r w:rsidR="00594654" w:rsidRPr="006D25A4">
        <w:rPr>
          <w:rStyle w:val="sb8d990e2"/>
          <w:color w:val="000000"/>
        </w:rPr>
        <w:t xml:space="preserve">, des droits qui lui sont </w:t>
      </w:r>
      <w:r w:rsidR="00D75250">
        <w:rPr>
          <w:rStyle w:val="sb8d990e2"/>
          <w:color w:val="000000"/>
        </w:rPr>
        <w:t>garantis</w:t>
      </w:r>
      <w:r w:rsidR="00594654" w:rsidRPr="006D25A4">
        <w:rPr>
          <w:rStyle w:val="sb8d990e2"/>
          <w:color w:val="000000"/>
        </w:rPr>
        <w:t xml:space="preserve"> par la Convention européenne, et</w:t>
      </w:r>
      <w:r w:rsidR="00D75250">
        <w:rPr>
          <w:rStyle w:val="sb8d990e2"/>
          <w:color w:val="000000"/>
        </w:rPr>
        <w:t xml:space="preserve"> </w:t>
      </w:r>
      <w:r w:rsidR="00594654" w:rsidRPr="006D25A4">
        <w:rPr>
          <w:rStyle w:val="sb8d990e2"/>
          <w:color w:val="000000"/>
        </w:rPr>
        <w:t xml:space="preserve">qu’au demeurant, ledit État lui </w:t>
      </w:r>
      <w:r w:rsidR="008928B4" w:rsidRPr="006D25A4">
        <w:rPr>
          <w:rStyle w:val="sb8d990e2"/>
          <w:color w:val="000000"/>
        </w:rPr>
        <w:t>a reconnu</w:t>
      </w:r>
      <w:r w:rsidR="00F006D9">
        <w:rPr>
          <w:rStyle w:val="sb8d990e2"/>
          <w:color w:val="000000"/>
        </w:rPr>
        <w:t>s</w:t>
      </w:r>
      <w:r w:rsidR="008928B4" w:rsidRPr="006D25A4">
        <w:rPr>
          <w:rStyle w:val="sb8d990e2"/>
          <w:color w:val="000000"/>
        </w:rPr>
        <w:t xml:space="preserve"> dans le cadre de la procédure interne</w:t>
      </w:r>
      <w:r w:rsidR="008B2705">
        <w:rPr>
          <w:rStyle w:val="Appelnotedebasdep"/>
          <w:color w:val="000000"/>
        </w:rPr>
        <w:footnoteReference w:id="26"/>
      </w:r>
      <w:r w:rsidR="008928B4" w:rsidRPr="006D25A4">
        <w:rPr>
          <w:rStyle w:val="sb8d990e2"/>
          <w:color w:val="000000"/>
        </w:rPr>
        <w:t>.</w:t>
      </w:r>
      <w:r w:rsidR="0018564E" w:rsidRPr="006D25A4">
        <w:rPr>
          <w:rStyle w:val="sb8d990e2"/>
          <w:color w:val="000000"/>
        </w:rPr>
        <w:t xml:space="preserve"> Il n’y a en effet, dans cette configuration, aucune confusion entre requérant et défendeur dans l’instance strasbourgeoise.</w:t>
      </w:r>
    </w:p>
    <w:p w14:paraId="38D3BE0F" w14:textId="2E2F1CF8" w:rsidR="008928B4" w:rsidRPr="006D25A4" w:rsidRDefault="008928B4" w:rsidP="00E11A7E">
      <w:pPr>
        <w:jc w:val="both"/>
        <w:rPr>
          <w:rStyle w:val="sb8d990e2"/>
          <w:color w:val="000000"/>
        </w:rPr>
      </w:pPr>
    </w:p>
    <w:p w14:paraId="60770F90" w14:textId="42C267F6" w:rsidR="008928B4" w:rsidRDefault="008928B4" w:rsidP="00E11A7E">
      <w:pPr>
        <w:jc w:val="both"/>
        <w:rPr>
          <w:rStyle w:val="sb8d990e2"/>
          <w:color w:val="000000"/>
        </w:rPr>
      </w:pPr>
      <w:r w:rsidRPr="006D25A4">
        <w:rPr>
          <w:rStyle w:val="sb8d990e2"/>
          <w:color w:val="000000"/>
        </w:rPr>
        <w:t>Interprétation textuelle ou interprétation téléologique ? A notre estime, la question méritait d’être posée, et gagnera</w:t>
      </w:r>
      <w:r w:rsidR="00F01A91">
        <w:rPr>
          <w:rStyle w:val="sb8d990e2"/>
          <w:color w:val="000000"/>
        </w:rPr>
        <w:t>it</w:t>
      </w:r>
      <w:r w:rsidRPr="006D25A4">
        <w:rPr>
          <w:rStyle w:val="sb8d990e2"/>
          <w:color w:val="000000"/>
        </w:rPr>
        <w:t xml:space="preserve"> à demeurer en débat, jusque et y compris devant la Cour européenne des droits de l’Homme. Pour l’heure en tous cas, l’on se trouve devant un étonnant paradoxe. Devant les juridictions belges, la République Démocratique du Congo a pu, sans difficulté apparente, réclamer la protection d</w:t>
      </w:r>
      <w:r w:rsidR="00AB3210">
        <w:rPr>
          <w:rStyle w:val="sb8d990e2"/>
          <w:color w:val="000000"/>
        </w:rPr>
        <w:t>u droit à un procès équitable tel que protégé par</w:t>
      </w:r>
      <w:r w:rsidRPr="006D25A4">
        <w:rPr>
          <w:rStyle w:val="sb8d990e2"/>
          <w:color w:val="000000"/>
        </w:rPr>
        <w:t xml:space="preserve"> l’article 6 de la Convention</w:t>
      </w:r>
      <w:r w:rsidR="006D25A4" w:rsidRPr="006D25A4">
        <w:rPr>
          <w:rStyle w:val="sb8d990e2"/>
          <w:color w:val="000000"/>
        </w:rPr>
        <w:t xml:space="preserve"> européenne des droits de l’Homme</w:t>
      </w:r>
      <w:r w:rsidRPr="006D25A4">
        <w:rPr>
          <w:rStyle w:val="sb8d990e2"/>
          <w:color w:val="000000"/>
        </w:rPr>
        <w:t>. Elle aurait pu, selon toute vraisemblance et au regard de la jurisprudence de ceux-ci</w:t>
      </w:r>
      <w:r w:rsidR="00D75250">
        <w:rPr>
          <w:rStyle w:val="Appelnotedebasdep"/>
          <w:color w:val="000000"/>
        </w:rPr>
        <w:footnoteReference w:id="27"/>
      </w:r>
      <w:r w:rsidRPr="006D25A4">
        <w:rPr>
          <w:rStyle w:val="sb8d990e2"/>
          <w:color w:val="000000"/>
        </w:rPr>
        <w:t>, en faire de même devant les juges du Ki</w:t>
      </w:r>
      <w:r w:rsidR="00B27E96" w:rsidRPr="006D25A4">
        <w:rPr>
          <w:rStyle w:val="sb8d990e2"/>
          <w:color w:val="000000"/>
        </w:rPr>
        <w:t>r</w:t>
      </w:r>
      <w:r w:rsidRPr="006D25A4">
        <w:rPr>
          <w:rStyle w:val="sb8d990e2"/>
          <w:color w:val="000000"/>
        </w:rPr>
        <w:t>chberg</w:t>
      </w:r>
      <w:r w:rsidR="00AB3210">
        <w:rPr>
          <w:rStyle w:val="sb8d990e2"/>
          <w:color w:val="000000"/>
        </w:rPr>
        <w:t>, sur la base de l’article 47 de la Charte des droits fondamentaux de l’Union européenne</w:t>
      </w:r>
      <w:r w:rsidRPr="006D25A4">
        <w:rPr>
          <w:rStyle w:val="sb8d990e2"/>
          <w:color w:val="000000"/>
        </w:rPr>
        <w:t>. Les portes strasbourgeoises lui demeureron</w:t>
      </w:r>
      <w:r w:rsidR="00B27E96" w:rsidRPr="006D25A4">
        <w:rPr>
          <w:rStyle w:val="sb8d990e2"/>
          <w:color w:val="000000"/>
        </w:rPr>
        <w:t xml:space="preserve">t, par contre, parfaitement closes. </w:t>
      </w:r>
    </w:p>
    <w:p w14:paraId="48FA18A2" w14:textId="3D8FD5B2" w:rsidR="006D25A4" w:rsidRDefault="006D25A4" w:rsidP="00E11A7E">
      <w:pPr>
        <w:jc w:val="both"/>
        <w:rPr>
          <w:rStyle w:val="sb8d990e2"/>
          <w:color w:val="000000"/>
        </w:rPr>
      </w:pPr>
    </w:p>
    <w:p w14:paraId="187E697F" w14:textId="15A225A0" w:rsidR="006D25A4" w:rsidRDefault="006D25A4" w:rsidP="006D25A4">
      <w:pPr>
        <w:jc w:val="right"/>
        <w:rPr>
          <w:rStyle w:val="sb8d990e2"/>
          <w:color w:val="000000"/>
        </w:rPr>
      </w:pPr>
      <w:r>
        <w:rPr>
          <w:rStyle w:val="sb8d990e2"/>
          <w:color w:val="000000"/>
        </w:rPr>
        <w:t>Sébastien Van Drooghenbroeck</w:t>
      </w:r>
    </w:p>
    <w:p w14:paraId="088A33F6" w14:textId="12AC137B" w:rsidR="006D25A4" w:rsidRDefault="006D25A4" w:rsidP="006D25A4">
      <w:pPr>
        <w:jc w:val="right"/>
        <w:rPr>
          <w:rStyle w:val="sb8d990e2"/>
          <w:color w:val="000000"/>
        </w:rPr>
      </w:pPr>
      <w:r>
        <w:rPr>
          <w:rStyle w:val="sb8d990e2"/>
          <w:color w:val="000000"/>
        </w:rPr>
        <w:t>Professeur ordinaire à l’Université Saint-Louis  Bruxelles</w:t>
      </w:r>
    </w:p>
    <w:p w14:paraId="6E74057C" w14:textId="641B953A" w:rsidR="008C02E0" w:rsidRDefault="008C02E0" w:rsidP="006D25A4">
      <w:pPr>
        <w:jc w:val="right"/>
        <w:rPr>
          <w:rStyle w:val="sb8d990e2"/>
          <w:color w:val="000000"/>
        </w:rPr>
      </w:pPr>
      <w:r>
        <w:rPr>
          <w:rStyle w:val="sb8d990e2"/>
          <w:color w:val="000000"/>
        </w:rPr>
        <w:t>Professeur invité à l’Université de Paris 2 (Panthéon Assas)</w:t>
      </w:r>
    </w:p>
    <w:p w14:paraId="2F9A7C98" w14:textId="62E91370" w:rsidR="006D25A4" w:rsidRPr="006D25A4" w:rsidRDefault="006D25A4" w:rsidP="006D25A4">
      <w:pPr>
        <w:jc w:val="right"/>
        <w:rPr>
          <w:rStyle w:val="sb8d990e2"/>
          <w:color w:val="000000"/>
        </w:rPr>
      </w:pPr>
      <w:r>
        <w:rPr>
          <w:rStyle w:val="sb8d990e2"/>
          <w:color w:val="000000"/>
        </w:rPr>
        <w:t>Assesseur au Conseil d’État</w:t>
      </w:r>
    </w:p>
    <w:p w14:paraId="3266F3B4" w14:textId="329FFEA8" w:rsidR="008928B4" w:rsidRPr="006D25A4" w:rsidRDefault="008928B4" w:rsidP="00E11A7E">
      <w:pPr>
        <w:jc w:val="both"/>
        <w:rPr>
          <w:rStyle w:val="sb8d990e2"/>
          <w:color w:val="000000"/>
        </w:rPr>
      </w:pPr>
    </w:p>
    <w:p w14:paraId="3EF94AB3" w14:textId="77777777" w:rsidR="008928B4" w:rsidRPr="006D25A4" w:rsidRDefault="008928B4" w:rsidP="00E11A7E">
      <w:pPr>
        <w:jc w:val="both"/>
      </w:pPr>
    </w:p>
    <w:p w14:paraId="211537D4" w14:textId="29680EA8" w:rsidR="00EA0195" w:rsidRPr="006D25A4" w:rsidRDefault="00EA0195" w:rsidP="00EA0195">
      <w:pPr>
        <w:jc w:val="both"/>
        <w:rPr>
          <w:rStyle w:val="sb8d990e2"/>
          <w:color w:val="000000"/>
        </w:rPr>
      </w:pPr>
    </w:p>
    <w:p w14:paraId="68B8D840" w14:textId="77777777" w:rsidR="00EA0195" w:rsidRPr="006D25A4" w:rsidRDefault="00EA0195" w:rsidP="00EA0195">
      <w:pPr>
        <w:ind w:left="567"/>
        <w:jc w:val="both"/>
      </w:pPr>
    </w:p>
    <w:p w14:paraId="12181F2E" w14:textId="4F7B9A6B" w:rsidR="004B1576" w:rsidRPr="006D25A4" w:rsidRDefault="004B1576" w:rsidP="007140CB">
      <w:pPr>
        <w:jc w:val="both"/>
        <w:rPr>
          <w:rStyle w:val="sb8d990e2"/>
          <w:color w:val="000000"/>
        </w:rPr>
      </w:pPr>
    </w:p>
    <w:p w14:paraId="28B6E78B" w14:textId="0BDD796B" w:rsidR="007140CB" w:rsidRPr="006D25A4" w:rsidRDefault="007140CB" w:rsidP="007140CB">
      <w:pPr>
        <w:rPr>
          <w:rStyle w:val="sb8d990e2"/>
          <w:color w:val="000000"/>
        </w:rPr>
      </w:pPr>
    </w:p>
    <w:p w14:paraId="4A87C102" w14:textId="77777777" w:rsidR="007140CB" w:rsidRPr="006D25A4" w:rsidRDefault="007140CB" w:rsidP="007140CB"/>
    <w:p w14:paraId="2C046B03" w14:textId="3F68D2CA" w:rsidR="002C0E98" w:rsidRPr="006D25A4" w:rsidRDefault="002C0E98"/>
    <w:p w14:paraId="1CA5379B" w14:textId="621D86DC" w:rsidR="00444EF2" w:rsidRPr="006D25A4" w:rsidRDefault="00444EF2"/>
    <w:sectPr w:rsidR="00444EF2" w:rsidRPr="006D25A4" w:rsidSect="00DB60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FA4D8F" w14:textId="77777777" w:rsidR="000E6444" w:rsidRDefault="000E6444" w:rsidP="0074528B">
      <w:r>
        <w:separator/>
      </w:r>
    </w:p>
  </w:endnote>
  <w:endnote w:type="continuationSeparator" w:id="0">
    <w:p w14:paraId="73D850E7" w14:textId="77777777" w:rsidR="000E6444" w:rsidRDefault="000E6444" w:rsidP="0074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AFF" w:usb1="C0007843" w:usb2="00000009" w:usb3="00000000" w:csb0="000001FF" w:csb1="00000000"/>
  </w:font>
  <w:font w:name="Wingdings">
    <w:altName w:val="Symbol"/>
    <w:panose1 w:val="05000000000000000000"/>
    <w:charset w:val="4D"/>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AFF" w:usb1="C000ACFF"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43E75" w14:textId="77777777" w:rsidR="000E6444" w:rsidRDefault="000E6444" w:rsidP="0074528B">
      <w:r>
        <w:separator/>
      </w:r>
    </w:p>
  </w:footnote>
  <w:footnote w:type="continuationSeparator" w:id="0">
    <w:p w14:paraId="76EA2EAE" w14:textId="77777777" w:rsidR="000E6444" w:rsidRDefault="000E6444" w:rsidP="0074528B">
      <w:r>
        <w:continuationSeparator/>
      </w:r>
    </w:p>
  </w:footnote>
  <w:footnote w:id="1">
    <w:p w14:paraId="742FD109" w14:textId="39E6ADD0" w:rsidR="00A63CBD" w:rsidRPr="00A63CBD" w:rsidRDefault="00A63CBD">
      <w:pPr>
        <w:pStyle w:val="Notedebasdepage"/>
      </w:pPr>
      <w:r>
        <w:rPr>
          <w:rStyle w:val="Appelnotedebasdep"/>
        </w:rPr>
        <w:footnoteRef/>
      </w:r>
      <w:r>
        <w:t xml:space="preserve"> </w:t>
      </w:r>
      <w:r w:rsidRPr="00777280">
        <w:t>En 2019, 38 480 requ</w:t>
      </w:r>
      <w:r>
        <w:t>ê</w:t>
      </w:r>
      <w:r w:rsidRPr="00777280">
        <w:t xml:space="preserve">tes ont </w:t>
      </w:r>
      <w:r>
        <w:t>é</w:t>
      </w:r>
      <w:r w:rsidRPr="00777280">
        <w:t>t</w:t>
      </w:r>
      <w:r>
        <w:t>é</w:t>
      </w:r>
      <w:r w:rsidRPr="00777280">
        <w:t xml:space="preserve"> d</w:t>
      </w:r>
      <w:r>
        <w:t>é</w:t>
      </w:r>
      <w:r w:rsidRPr="00777280">
        <w:t>clar</w:t>
      </w:r>
      <w:r>
        <w:t>é</w:t>
      </w:r>
      <w:r w:rsidRPr="00777280">
        <w:t>es irrecevables ou ray</w:t>
      </w:r>
      <w:r>
        <w:t>é</w:t>
      </w:r>
      <w:r w:rsidRPr="00777280">
        <w:t>es du r</w:t>
      </w:r>
      <w:r>
        <w:t>ô</w:t>
      </w:r>
      <w:r w:rsidRPr="00777280">
        <w:t>le</w:t>
      </w:r>
      <w:r>
        <w:t xml:space="preserve"> de la Cour</w:t>
      </w:r>
      <w:r w:rsidR="00ED16F1">
        <w:t>.</w:t>
      </w:r>
    </w:p>
  </w:footnote>
  <w:footnote w:id="2">
    <w:p w14:paraId="676210DA" w14:textId="35FCD128" w:rsidR="00A63CBD" w:rsidRPr="00A63CBD" w:rsidRDefault="00A63CBD" w:rsidP="00A63CBD">
      <w:pPr>
        <w:pStyle w:val="Notedebasdepage"/>
        <w:jc w:val="both"/>
      </w:pPr>
      <w:r>
        <w:rPr>
          <w:rStyle w:val="Appelnotedebasdep"/>
        </w:rPr>
        <w:footnoteRef/>
      </w:r>
      <w:r>
        <w:t xml:space="preserve"> </w:t>
      </w:r>
      <w:r w:rsidRPr="00777280">
        <w:t xml:space="preserve">Encore qu’une augmentation soit perceptible depuis quelques années. </w:t>
      </w:r>
      <w:proofErr w:type="spellStart"/>
      <w:r w:rsidRPr="00777280">
        <w:t>Voy</w:t>
      </w:r>
      <w:proofErr w:type="spellEnd"/>
      <w:r w:rsidRPr="00777280">
        <w:t xml:space="preserve">. </w:t>
      </w:r>
      <w:hyperlink r:id="rId1" w:history="1">
        <w:r w:rsidRPr="00777280">
          <w:t>https://www.echr.coe.int/Documents/InterState_applications_FRA.pdf</w:t>
        </w:r>
      </w:hyperlink>
    </w:p>
  </w:footnote>
  <w:footnote w:id="3">
    <w:p w14:paraId="2714CEAA" w14:textId="0EEF348B" w:rsidR="00AC5BF6" w:rsidRPr="00777280" w:rsidRDefault="00AC5BF6" w:rsidP="00777280">
      <w:pPr>
        <w:pStyle w:val="Notedebasdepage"/>
        <w:jc w:val="both"/>
      </w:pPr>
      <w:r w:rsidRPr="00777280">
        <w:rPr>
          <w:rStyle w:val="Appelnotedebasdep"/>
        </w:rPr>
        <w:footnoteRef/>
      </w:r>
      <w:r w:rsidRPr="00777280">
        <w:t xml:space="preserve"> </w:t>
      </w:r>
      <w:proofErr w:type="spellStart"/>
      <w:r w:rsidR="006C49E4" w:rsidRPr="00777280">
        <w:t>Voy</w:t>
      </w:r>
      <w:proofErr w:type="spellEnd"/>
      <w:r w:rsidR="006C49E4" w:rsidRPr="00777280">
        <w:t>. en effet J. Velu</w:t>
      </w:r>
      <w:r w:rsidR="0008162E" w:rsidRPr="00777280">
        <w:t xml:space="preserve">, « La Convention européenne des droits de l’Homme et les personnes morales de droit public », </w:t>
      </w:r>
      <w:proofErr w:type="spellStart"/>
      <w:r w:rsidR="0008162E" w:rsidRPr="00777280">
        <w:rPr>
          <w:i/>
        </w:rPr>
        <w:t>Miscellin</w:t>
      </w:r>
      <w:r w:rsidR="0082355D" w:rsidRPr="00777280">
        <w:rPr>
          <w:i/>
        </w:rPr>
        <w:t>ea</w:t>
      </w:r>
      <w:proofErr w:type="spellEnd"/>
      <w:r w:rsidR="0082355D" w:rsidRPr="00777280">
        <w:rPr>
          <w:i/>
        </w:rPr>
        <w:t xml:space="preserve"> W.J. </w:t>
      </w:r>
      <w:proofErr w:type="spellStart"/>
      <w:r w:rsidR="0082355D" w:rsidRPr="00777280">
        <w:rPr>
          <w:i/>
        </w:rPr>
        <w:t>Ganshof</w:t>
      </w:r>
      <w:proofErr w:type="spellEnd"/>
      <w:r w:rsidR="0082355D" w:rsidRPr="00777280">
        <w:rPr>
          <w:i/>
        </w:rPr>
        <w:t xml:space="preserve"> van der </w:t>
      </w:r>
      <w:proofErr w:type="spellStart"/>
      <w:r w:rsidR="0082355D" w:rsidRPr="00777280">
        <w:rPr>
          <w:i/>
        </w:rPr>
        <w:t>Meersch</w:t>
      </w:r>
      <w:proofErr w:type="spellEnd"/>
      <w:r w:rsidR="0082355D" w:rsidRPr="00777280">
        <w:rPr>
          <w:i/>
        </w:rPr>
        <w:t xml:space="preserve">, </w:t>
      </w:r>
      <w:r w:rsidR="0082355D" w:rsidRPr="00777280">
        <w:t xml:space="preserve">Bruxelles, </w:t>
      </w:r>
      <w:proofErr w:type="spellStart"/>
      <w:r w:rsidR="0082355D" w:rsidRPr="00777280">
        <w:t>Bruylant</w:t>
      </w:r>
      <w:proofErr w:type="spellEnd"/>
      <w:r w:rsidR="0082355D" w:rsidRPr="00777280">
        <w:t>, 1972, t. 1, pp. 589-617.</w:t>
      </w:r>
    </w:p>
  </w:footnote>
  <w:footnote w:id="4">
    <w:p w14:paraId="086A0317" w14:textId="61A59208" w:rsidR="00AC5BF6" w:rsidRPr="00777280" w:rsidRDefault="00AC5BF6" w:rsidP="00777280">
      <w:pPr>
        <w:pStyle w:val="Notedebasdepage"/>
        <w:jc w:val="both"/>
        <w:rPr>
          <w:iCs/>
        </w:rPr>
      </w:pPr>
      <w:r w:rsidRPr="00777280">
        <w:rPr>
          <w:rStyle w:val="Appelnotedebasdep"/>
        </w:rPr>
        <w:footnoteRef/>
      </w:r>
      <w:r w:rsidRPr="00777280">
        <w:t xml:space="preserve"> </w:t>
      </w:r>
      <w:proofErr w:type="spellStart"/>
      <w:r w:rsidR="006C49E4" w:rsidRPr="00777280">
        <w:t>Voy</w:t>
      </w:r>
      <w:proofErr w:type="spellEnd"/>
      <w:r w:rsidR="006C49E4" w:rsidRPr="00777280">
        <w:t xml:space="preserve">. en effet, </w:t>
      </w:r>
      <w:proofErr w:type="spellStart"/>
      <w:r w:rsidR="006C49E4" w:rsidRPr="00777280">
        <w:t>e.a</w:t>
      </w:r>
      <w:proofErr w:type="spellEnd"/>
      <w:r w:rsidR="006C49E4" w:rsidRPr="00777280">
        <w:t xml:space="preserve">., </w:t>
      </w:r>
      <w:r w:rsidR="0082355D" w:rsidRPr="00777280">
        <w:t xml:space="preserve">P.-O de </w:t>
      </w:r>
      <w:proofErr w:type="spellStart"/>
      <w:r w:rsidR="0082355D" w:rsidRPr="00777280">
        <w:t>Broux</w:t>
      </w:r>
      <w:proofErr w:type="spellEnd"/>
      <w:r w:rsidR="0082355D" w:rsidRPr="00777280">
        <w:t xml:space="preserve">, F. </w:t>
      </w:r>
      <w:proofErr w:type="spellStart"/>
      <w:r w:rsidR="0082355D" w:rsidRPr="00777280">
        <w:t>Belleflamme</w:t>
      </w:r>
      <w:proofErr w:type="spellEnd"/>
      <w:r w:rsidR="0082355D" w:rsidRPr="00777280">
        <w:t xml:space="preserve"> et M. El </w:t>
      </w:r>
      <w:proofErr w:type="spellStart"/>
      <w:r w:rsidR="0082355D" w:rsidRPr="00777280">
        <w:t>Berhoumi</w:t>
      </w:r>
      <w:proofErr w:type="spellEnd"/>
      <w:r w:rsidR="0082355D" w:rsidRPr="00777280">
        <w:t>, « Les personnes morales de droit privé et de droit public », in S. Van Drooghenbroeck (</w:t>
      </w:r>
      <w:proofErr w:type="spellStart"/>
      <w:r w:rsidR="0082355D" w:rsidRPr="00777280">
        <w:t>dir</w:t>
      </w:r>
      <w:proofErr w:type="spellEnd"/>
      <w:r w:rsidR="0082355D" w:rsidRPr="00777280">
        <w:t xml:space="preserve">.), </w:t>
      </w:r>
      <w:r w:rsidR="0082355D" w:rsidRPr="00777280">
        <w:rPr>
          <w:i/>
        </w:rPr>
        <w:t xml:space="preserve">Le droit international et européen des droits de l’Homme devant le juge national, </w:t>
      </w:r>
      <w:r w:rsidR="0082355D" w:rsidRPr="00777280">
        <w:t xml:space="preserve">Bruxelles, </w:t>
      </w:r>
      <w:proofErr w:type="spellStart"/>
      <w:r w:rsidR="0082355D" w:rsidRPr="00777280">
        <w:t>Larcier</w:t>
      </w:r>
      <w:proofErr w:type="spellEnd"/>
      <w:r w:rsidR="0082355D" w:rsidRPr="00777280">
        <w:t xml:space="preserve">, 2014, pp. </w:t>
      </w:r>
      <w:r w:rsidR="00F47995" w:rsidRPr="00777280">
        <w:t xml:space="preserve">58 et </w:t>
      </w:r>
      <w:proofErr w:type="spellStart"/>
      <w:r w:rsidR="00F47995" w:rsidRPr="00777280">
        <w:t>suiv</w:t>
      </w:r>
      <w:proofErr w:type="spellEnd"/>
      <w:r w:rsidR="00F47995" w:rsidRPr="00777280">
        <w:t>. et nombreuses références citées</w:t>
      </w:r>
      <w:r w:rsidR="00C71476" w:rsidRPr="00777280">
        <w:t xml:space="preserve"> ; P. Lemmens et N. Van Leuven, « Les bénéficiaires des droits constitutionnels », </w:t>
      </w:r>
      <w:r w:rsidR="00C71476" w:rsidRPr="00777280">
        <w:rPr>
          <w:i/>
          <w:iCs/>
        </w:rPr>
        <w:t xml:space="preserve">Les droits constitutionnels en Belgique, </w:t>
      </w:r>
      <w:r w:rsidR="00C71476" w:rsidRPr="00777280">
        <w:rPr>
          <w:iCs/>
        </w:rPr>
        <w:t xml:space="preserve">sous la </w:t>
      </w:r>
      <w:proofErr w:type="spellStart"/>
      <w:r w:rsidR="00C71476" w:rsidRPr="00777280">
        <w:rPr>
          <w:iCs/>
        </w:rPr>
        <w:t>dir</w:t>
      </w:r>
      <w:proofErr w:type="spellEnd"/>
      <w:r w:rsidR="00C71476" w:rsidRPr="00777280">
        <w:rPr>
          <w:iCs/>
        </w:rPr>
        <w:t xml:space="preserve">. de M. </w:t>
      </w:r>
      <w:proofErr w:type="spellStart"/>
      <w:r w:rsidR="00C71476" w:rsidRPr="00777280">
        <w:rPr>
          <w:iCs/>
        </w:rPr>
        <w:t>Verdussen</w:t>
      </w:r>
      <w:proofErr w:type="spellEnd"/>
      <w:r w:rsidR="00C71476" w:rsidRPr="00777280">
        <w:rPr>
          <w:iCs/>
        </w:rPr>
        <w:t xml:space="preserve"> et N. </w:t>
      </w:r>
      <w:proofErr w:type="spellStart"/>
      <w:r w:rsidR="00C71476" w:rsidRPr="00777280">
        <w:rPr>
          <w:iCs/>
        </w:rPr>
        <w:t>Bonbled</w:t>
      </w:r>
      <w:proofErr w:type="spellEnd"/>
      <w:r w:rsidR="00C71476" w:rsidRPr="00777280">
        <w:rPr>
          <w:iCs/>
        </w:rPr>
        <w:t xml:space="preserve">, vol. 1, Bruxelles, </w:t>
      </w:r>
      <w:proofErr w:type="spellStart"/>
      <w:r w:rsidR="00C71476" w:rsidRPr="00777280">
        <w:rPr>
          <w:iCs/>
        </w:rPr>
        <w:t>Bruylant</w:t>
      </w:r>
      <w:proofErr w:type="spellEnd"/>
      <w:r w:rsidR="00C71476" w:rsidRPr="00777280">
        <w:rPr>
          <w:iCs/>
        </w:rPr>
        <w:t xml:space="preserve">, 2011, pp. 125 et </w:t>
      </w:r>
      <w:proofErr w:type="spellStart"/>
      <w:r w:rsidR="00C71476" w:rsidRPr="00777280">
        <w:rPr>
          <w:iCs/>
        </w:rPr>
        <w:t>suiv</w:t>
      </w:r>
      <w:proofErr w:type="spellEnd"/>
      <w:r w:rsidR="00C71476" w:rsidRPr="00777280">
        <w:rPr>
          <w:iCs/>
        </w:rPr>
        <w:t>.</w:t>
      </w:r>
    </w:p>
  </w:footnote>
  <w:footnote w:id="5">
    <w:p w14:paraId="4D7AAEED" w14:textId="392A79C7" w:rsidR="009C728C" w:rsidRPr="00777280" w:rsidRDefault="009C728C" w:rsidP="00777280">
      <w:pPr>
        <w:pStyle w:val="Notedebasdepage"/>
        <w:jc w:val="both"/>
      </w:pPr>
      <w:r w:rsidRPr="00777280">
        <w:rPr>
          <w:rStyle w:val="Appelnotedebasdep"/>
        </w:rPr>
        <w:footnoteRef/>
      </w:r>
      <w:r w:rsidRPr="00462CEC">
        <w:t xml:space="preserve"> </w:t>
      </w:r>
      <w:proofErr w:type="spellStart"/>
      <w:r w:rsidR="00E429F6" w:rsidRPr="00462CEC">
        <w:t>Voy</w:t>
      </w:r>
      <w:proofErr w:type="spellEnd"/>
      <w:r w:rsidR="00E429F6" w:rsidRPr="00462CEC">
        <w:t xml:space="preserve"> </w:t>
      </w:r>
      <w:proofErr w:type="spellStart"/>
      <w:r w:rsidR="00E429F6" w:rsidRPr="00462CEC">
        <w:t>e.a</w:t>
      </w:r>
      <w:proofErr w:type="spellEnd"/>
      <w:r w:rsidR="00E429F6" w:rsidRPr="00462CEC">
        <w:t xml:space="preserve">, </w:t>
      </w:r>
      <w:proofErr w:type="spellStart"/>
      <w:r w:rsidR="00E429F6" w:rsidRPr="00462CEC">
        <w:t>Cass</w:t>
      </w:r>
      <w:proofErr w:type="spellEnd"/>
      <w:r w:rsidR="00F16EEC" w:rsidRPr="00462CEC">
        <w:t xml:space="preserve">. </w:t>
      </w:r>
      <w:r w:rsidR="00F16EEC" w:rsidRPr="00777280">
        <w:t>Fr.</w:t>
      </w:r>
      <w:r w:rsidR="00E429F6" w:rsidRPr="00777280">
        <w:t xml:space="preserve">. (assemblée plénière), 10 mai 2019, </w:t>
      </w:r>
      <w:r w:rsidR="00E429F6" w:rsidRPr="00777280">
        <w:rPr>
          <w:color w:val="000000"/>
        </w:rPr>
        <w:t>ECLI:FR:CCASS:2019:AP00645</w:t>
      </w:r>
    </w:p>
  </w:footnote>
  <w:footnote w:id="6">
    <w:p w14:paraId="642B7D46" w14:textId="2489791F" w:rsidR="009C728C" w:rsidRPr="00777280" w:rsidRDefault="009C728C" w:rsidP="00777280">
      <w:pPr>
        <w:pStyle w:val="Notedebasdepage"/>
        <w:jc w:val="both"/>
      </w:pPr>
      <w:r w:rsidRPr="00777280">
        <w:rPr>
          <w:rStyle w:val="Appelnotedebasdep"/>
        </w:rPr>
        <w:footnoteRef/>
      </w:r>
      <w:r w:rsidR="00E429F6" w:rsidRPr="00777280">
        <w:t xml:space="preserve"> </w:t>
      </w:r>
      <w:proofErr w:type="spellStart"/>
      <w:r w:rsidR="00E429F6" w:rsidRPr="00777280">
        <w:t>Voy</w:t>
      </w:r>
      <w:proofErr w:type="spellEnd"/>
      <w:r w:rsidR="00E429F6" w:rsidRPr="00777280">
        <w:t xml:space="preserve">. en effet les conclusions du premier avocat général D. </w:t>
      </w:r>
      <w:r w:rsidR="00E429F6" w:rsidRPr="00777280">
        <w:t xml:space="preserve">Cordier, et le rapport de Mme M-N </w:t>
      </w:r>
      <w:r w:rsidR="008C02E0">
        <w:t>Tellier</w:t>
      </w:r>
      <w:r w:rsidR="00E429F6" w:rsidRPr="00777280">
        <w:t>, publiés sur https://www.courdecassation.fr/jurisprudence_2/assemblee_pleniere_22/645_10_42391.html</w:t>
      </w:r>
      <w:r w:rsidRPr="00777280">
        <w:rPr>
          <w:color w:val="000000"/>
        </w:rPr>
        <w:t>.</w:t>
      </w:r>
    </w:p>
  </w:footnote>
  <w:footnote w:id="7">
    <w:p w14:paraId="22F0EF76" w14:textId="542A83AE" w:rsidR="00E429F6" w:rsidRPr="0023531C" w:rsidRDefault="00E429F6" w:rsidP="00777280">
      <w:pPr>
        <w:pStyle w:val="Notedebasdepage"/>
        <w:jc w:val="both"/>
        <w:rPr>
          <w:lang w:val="en-US"/>
        </w:rPr>
      </w:pPr>
      <w:r w:rsidRPr="00777280">
        <w:rPr>
          <w:rStyle w:val="Appelnotedebasdep"/>
        </w:rPr>
        <w:footnoteRef/>
      </w:r>
      <w:r w:rsidRPr="00777280">
        <w:t xml:space="preserve"> « </w:t>
      </w:r>
      <w:r w:rsidRPr="00777280">
        <w:rPr>
          <w:color w:val="000000"/>
          <w:shd w:val="clear" w:color="auto" w:fill="FFFFFF"/>
        </w:rPr>
        <w:t xml:space="preserve">D’où il suit </w:t>
      </w:r>
      <w:r w:rsidRPr="00777280">
        <w:t>qu’à</w:t>
      </w:r>
      <w:r w:rsidRPr="00777280">
        <w:rPr>
          <w:i/>
          <w:iCs/>
          <w:color w:val="000000"/>
          <w:shd w:val="clear" w:color="auto" w:fill="FFFFFF"/>
        </w:rPr>
        <w:t xml:space="preserve"> supposer que la Convention de sauvegarde des droits de l’homme et des libertés fondamentales puisse être invoquée</w:t>
      </w:r>
      <w:r w:rsidRPr="00777280">
        <w:rPr>
          <w:color w:val="000000"/>
          <w:shd w:val="clear" w:color="auto" w:fill="FFFFFF"/>
        </w:rPr>
        <w:t>, le moyen ne peut être accueilli en aucune de ses branches »</w:t>
      </w:r>
      <w:r w:rsidR="00F16EEC" w:rsidRPr="00777280">
        <w:rPr>
          <w:color w:val="000000"/>
          <w:shd w:val="clear" w:color="auto" w:fill="FFFFFF"/>
        </w:rPr>
        <w:t xml:space="preserve"> (</w:t>
      </w:r>
      <w:proofErr w:type="spellStart"/>
      <w:r w:rsidR="00F16EEC" w:rsidRPr="00777280">
        <w:rPr>
          <w:color w:val="000000"/>
          <w:shd w:val="clear" w:color="auto" w:fill="FFFFFF"/>
        </w:rPr>
        <w:t>Cass</w:t>
      </w:r>
      <w:proofErr w:type="spellEnd"/>
      <w:r w:rsidR="00F16EEC" w:rsidRPr="00777280">
        <w:rPr>
          <w:color w:val="000000"/>
          <w:shd w:val="clear" w:color="auto" w:fill="FFFFFF"/>
        </w:rPr>
        <w:t xml:space="preserve">. </w:t>
      </w:r>
      <w:r w:rsidR="00F16EEC" w:rsidRPr="0023531C">
        <w:rPr>
          <w:color w:val="000000"/>
          <w:shd w:val="clear" w:color="auto" w:fill="FFFFFF"/>
          <w:lang w:val="en-US"/>
        </w:rPr>
        <w:t xml:space="preserve">Fr., 10 </w:t>
      </w:r>
      <w:proofErr w:type="spellStart"/>
      <w:r w:rsidR="00F16EEC" w:rsidRPr="0023531C">
        <w:rPr>
          <w:color w:val="000000"/>
          <w:shd w:val="clear" w:color="auto" w:fill="FFFFFF"/>
          <w:lang w:val="en-US"/>
        </w:rPr>
        <w:t>mai</w:t>
      </w:r>
      <w:proofErr w:type="spellEnd"/>
      <w:r w:rsidR="00F16EEC" w:rsidRPr="0023531C">
        <w:rPr>
          <w:color w:val="000000"/>
          <w:shd w:val="clear" w:color="auto" w:fill="FFFFFF"/>
          <w:lang w:val="en-US"/>
        </w:rPr>
        <w:t xml:space="preserve"> 2019, </w:t>
      </w:r>
      <w:r w:rsidR="00F16EEC" w:rsidRPr="0023531C">
        <w:rPr>
          <w:i/>
          <w:color w:val="000000"/>
          <w:shd w:val="clear" w:color="auto" w:fill="FFFFFF"/>
          <w:lang w:val="en-US"/>
        </w:rPr>
        <w:t>op. cit.</w:t>
      </w:r>
      <w:r w:rsidR="008C02E0">
        <w:rPr>
          <w:i/>
          <w:color w:val="000000"/>
          <w:shd w:val="clear" w:color="auto" w:fill="FFFFFF"/>
          <w:lang w:val="en-US"/>
        </w:rPr>
        <w:t xml:space="preserve">, </w:t>
      </w:r>
      <w:proofErr w:type="spellStart"/>
      <w:r w:rsidR="008C02E0">
        <w:rPr>
          <w:color w:val="000000"/>
          <w:shd w:val="clear" w:color="auto" w:fill="FFFFFF"/>
          <w:lang w:val="en-US"/>
        </w:rPr>
        <w:t>notre</w:t>
      </w:r>
      <w:proofErr w:type="spellEnd"/>
      <w:r w:rsidR="008C02E0">
        <w:rPr>
          <w:color w:val="000000"/>
          <w:shd w:val="clear" w:color="auto" w:fill="FFFFFF"/>
          <w:lang w:val="en-US"/>
        </w:rPr>
        <w:t xml:space="preserve"> accent</w:t>
      </w:r>
      <w:r w:rsidR="00F16EEC" w:rsidRPr="0023531C">
        <w:rPr>
          <w:color w:val="000000"/>
          <w:shd w:val="clear" w:color="auto" w:fill="FFFFFF"/>
          <w:lang w:val="en-US"/>
        </w:rPr>
        <w:t>)</w:t>
      </w:r>
    </w:p>
  </w:footnote>
  <w:footnote w:id="8">
    <w:p w14:paraId="77DC5E38" w14:textId="0ABE7FCA" w:rsidR="00F47995" w:rsidRPr="00777280" w:rsidRDefault="00F47995" w:rsidP="00777280">
      <w:pPr>
        <w:pStyle w:val="Notedebasdepage"/>
        <w:jc w:val="both"/>
      </w:pPr>
      <w:r w:rsidRPr="00777280">
        <w:rPr>
          <w:rStyle w:val="Appelnotedebasdep"/>
        </w:rPr>
        <w:footnoteRef/>
      </w:r>
      <w:r w:rsidRPr="00777280">
        <w:rPr>
          <w:lang w:val="en-US"/>
        </w:rPr>
        <w:t xml:space="preserve"> </w:t>
      </w:r>
      <w:proofErr w:type="spellStart"/>
      <w:r w:rsidR="00F16EEC" w:rsidRPr="00777280">
        <w:rPr>
          <w:lang w:val="en-US"/>
        </w:rPr>
        <w:t>Voy</w:t>
      </w:r>
      <w:proofErr w:type="spellEnd"/>
      <w:r w:rsidR="00F16EEC" w:rsidRPr="00777280">
        <w:rPr>
          <w:lang w:val="en-US"/>
        </w:rPr>
        <w:t xml:space="preserve">. C. </w:t>
      </w:r>
      <w:proofErr w:type="spellStart"/>
      <w:r w:rsidR="00F16EEC" w:rsidRPr="00777280">
        <w:rPr>
          <w:lang w:val="en-US"/>
        </w:rPr>
        <w:t>Grabenwarter</w:t>
      </w:r>
      <w:proofErr w:type="spellEnd"/>
      <w:r w:rsidR="00F16EEC" w:rsidRPr="00777280">
        <w:rPr>
          <w:lang w:val="en-US"/>
        </w:rPr>
        <w:t xml:space="preserve">, </w:t>
      </w:r>
      <w:r w:rsidR="00F16EEC" w:rsidRPr="0023531C">
        <w:rPr>
          <w:i/>
          <w:iCs/>
          <w:lang w:val="en-US"/>
        </w:rPr>
        <w:t xml:space="preserve">European Convention on Human </w:t>
      </w:r>
      <w:proofErr w:type="gramStart"/>
      <w:r w:rsidR="00F16EEC" w:rsidRPr="0023531C">
        <w:rPr>
          <w:i/>
          <w:iCs/>
          <w:lang w:val="en-US"/>
        </w:rPr>
        <w:t>Rights :</w:t>
      </w:r>
      <w:proofErr w:type="gramEnd"/>
      <w:r w:rsidR="00F16EEC" w:rsidRPr="0023531C">
        <w:rPr>
          <w:i/>
          <w:iCs/>
          <w:lang w:val="en-US"/>
        </w:rPr>
        <w:t xml:space="preserve"> Commentary</w:t>
      </w:r>
      <w:r w:rsidR="0023531C">
        <w:rPr>
          <w:i/>
          <w:iCs/>
          <w:lang w:val="en-US"/>
        </w:rPr>
        <w:t xml:space="preserve">, </w:t>
      </w:r>
      <w:r w:rsidR="0023531C">
        <w:rPr>
          <w:iCs/>
          <w:lang w:val="en-US"/>
        </w:rPr>
        <w:t>CH Beck/Hart/Nomos/Helbi</w:t>
      </w:r>
      <w:r w:rsidR="009D2096">
        <w:rPr>
          <w:iCs/>
          <w:lang w:val="en-US"/>
        </w:rPr>
        <w:t>n</w:t>
      </w:r>
      <w:r w:rsidR="0023531C">
        <w:rPr>
          <w:iCs/>
          <w:lang w:val="en-US"/>
        </w:rPr>
        <w:t xml:space="preserve">g </w:t>
      </w:r>
      <w:proofErr w:type="spellStart"/>
      <w:r w:rsidR="0023531C">
        <w:rPr>
          <w:iCs/>
          <w:lang w:val="en-US"/>
        </w:rPr>
        <w:t>Lichtenhahn</w:t>
      </w:r>
      <w:proofErr w:type="spellEnd"/>
      <w:r w:rsidR="0023531C">
        <w:rPr>
          <w:iCs/>
          <w:lang w:val="en-US"/>
        </w:rPr>
        <w:t xml:space="preserve"> Verlag, </w:t>
      </w:r>
      <w:proofErr w:type="spellStart"/>
      <w:r w:rsidR="0023531C">
        <w:rPr>
          <w:iCs/>
          <w:lang w:val="en-US"/>
        </w:rPr>
        <w:t>Munchen</w:t>
      </w:r>
      <w:proofErr w:type="spellEnd"/>
      <w:r w:rsidR="0023531C">
        <w:rPr>
          <w:iCs/>
          <w:lang w:val="en-US"/>
        </w:rPr>
        <w:t>, 2014</w:t>
      </w:r>
      <w:r w:rsidR="00F16EEC" w:rsidRPr="00777280">
        <w:rPr>
          <w:lang w:val="en-US"/>
        </w:rPr>
        <w:t xml:space="preserve">, p. </w:t>
      </w:r>
      <w:r w:rsidR="0023531C">
        <w:rPr>
          <w:lang w:val="en-US"/>
        </w:rPr>
        <w:t>3</w:t>
      </w:r>
      <w:r w:rsidR="00F16EEC" w:rsidRPr="00777280">
        <w:rPr>
          <w:lang w:val="en-US"/>
        </w:rPr>
        <w:t xml:space="preserve">; </w:t>
      </w:r>
      <w:r w:rsidR="0023531C">
        <w:rPr>
          <w:lang w:val="en-US"/>
        </w:rPr>
        <w:t xml:space="preserve">W. </w:t>
      </w:r>
      <w:r w:rsidR="00F16EEC" w:rsidRPr="00777280">
        <w:rPr>
          <w:lang w:val="en-US"/>
        </w:rPr>
        <w:t>Schabas,</w:t>
      </w:r>
      <w:r w:rsidR="0023531C">
        <w:rPr>
          <w:lang w:val="en-US"/>
        </w:rPr>
        <w:t xml:space="preserve"> </w:t>
      </w:r>
      <w:r w:rsidR="0023531C">
        <w:rPr>
          <w:i/>
          <w:lang w:val="en-US"/>
        </w:rPr>
        <w:t xml:space="preserve">The European Convention on Human Rights. </w:t>
      </w:r>
      <w:r w:rsidR="0023531C" w:rsidRPr="007B486C">
        <w:rPr>
          <w:i/>
        </w:rPr>
        <w:t xml:space="preserve">A </w:t>
      </w:r>
      <w:proofErr w:type="spellStart"/>
      <w:r w:rsidR="0023531C" w:rsidRPr="007B486C">
        <w:rPr>
          <w:i/>
        </w:rPr>
        <w:t>Commentary</w:t>
      </w:r>
      <w:proofErr w:type="spellEnd"/>
      <w:r w:rsidR="0023531C" w:rsidRPr="007B486C">
        <w:rPr>
          <w:i/>
        </w:rPr>
        <w:t xml:space="preserve">, </w:t>
      </w:r>
      <w:r w:rsidR="0023531C" w:rsidRPr="007B486C">
        <w:t xml:space="preserve">Oxford, </w:t>
      </w:r>
      <w:proofErr w:type="spellStart"/>
      <w:r w:rsidR="0023531C" w:rsidRPr="007B486C">
        <w:t>University</w:t>
      </w:r>
      <w:proofErr w:type="spellEnd"/>
      <w:r w:rsidR="0023531C" w:rsidRPr="007B486C">
        <w:t xml:space="preserve"> </w:t>
      </w:r>
      <w:proofErr w:type="spellStart"/>
      <w:r w:rsidR="0023531C" w:rsidRPr="007B486C">
        <w:t>Press</w:t>
      </w:r>
      <w:proofErr w:type="spellEnd"/>
      <w:r w:rsidR="0023531C" w:rsidRPr="007B486C">
        <w:t>, 2015,</w:t>
      </w:r>
      <w:r w:rsidR="00F16EEC" w:rsidRPr="007B486C">
        <w:t xml:space="preserve"> p. 92. </w:t>
      </w:r>
      <w:r w:rsidR="00F16EEC" w:rsidRPr="00777280">
        <w:t xml:space="preserve">La Cour européenne des droits de l’Homme semble elle-même se rallier à cette lecture dans sa décision </w:t>
      </w:r>
      <w:r w:rsidR="00F16EEC" w:rsidRPr="008C02E0">
        <w:rPr>
          <w:i/>
          <w:iCs/>
        </w:rPr>
        <w:t>Slovénie c. Croatie</w:t>
      </w:r>
      <w:r w:rsidR="00F16EEC" w:rsidRPr="00777280">
        <w:t xml:space="preserve"> (</w:t>
      </w:r>
      <w:proofErr w:type="spellStart"/>
      <w:r w:rsidR="00F16EEC" w:rsidRPr="00777280">
        <w:t>req</w:t>
      </w:r>
      <w:proofErr w:type="spellEnd"/>
      <w:r w:rsidR="00F16EEC" w:rsidRPr="00777280">
        <w:t xml:space="preserve">. n° 54155/16), du 18 novembre 2020, § 65 </w:t>
      </w:r>
      <w:r w:rsidR="00F16EEC" w:rsidRPr="00777280">
        <w:rPr>
          <w:i/>
          <w:iCs/>
        </w:rPr>
        <w:t>in fine</w:t>
      </w:r>
    </w:p>
  </w:footnote>
  <w:footnote w:id="9">
    <w:p w14:paraId="169A4BB7" w14:textId="76BC361D" w:rsidR="000234EA" w:rsidRPr="007B486C" w:rsidRDefault="000234EA" w:rsidP="009D2096">
      <w:pPr>
        <w:pStyle w:val="Notedebasdepage"/>
        <w:jc w:val="both"/>
        <w:rPr>
          <w:lang w:val="nl-BE"/>
        </w:rPr>
      </w:pPr>
      <w:r>
        <w:rPr>
          <w:rStyle w:val="Appelnotedebasdep"/>
        </w:rPr>
        <w:footnoteRef/>
      </w:r>
      <w:r w:rsidRPr="007B486C">
        <w:rPr>
          <w:lang w:val="nl-BE"/>
        </w:rPr>
        <w:t xml:space="preserve"> J. Vande Lanotte et Y. Hack (dir.), </w:t>
      </w:r>
      <w:r w:rsidRPr="007B486C">
        <w:rPr>
          <w:i/>
          <w:lang w:val="nl-BE"/>
        </w:rPr>
        <w:t xml:space="preserve">Handboek EVRM, </w:t>
      </w:r>
      <w:r w:rsidRPr="007B486C">
        <w:rPr>
          <w:lang w:val="nl-BE"/>
        </w:rPr>
        <w:t xml:space="preserve">Deel 2, </w:t>
      </w:r>
      <w:r w:rsidRPr="007B486C">
        <w:rPr>
          <w:i/>
          <w:lang w:val="nl-BE"/>
        </w:rPr>
        <w:t xml:space="preserve">Artikelsgewijze Commentaar, </w:t>
      </w:r>
      <w:r w:rsidRPr="007B486C">
        <w:rPr>
          <w:lang w:val="nl-BE"/>
        </w:rPr>
        <w:t xml:space="preserve">vol. 1, Anvers, Intersentia, 2004, p. 18. </w:t>
      </w:r>
    </w:p>
  </w:footnote>
  <w:footnote w:id="10">
    <w:p w14:paraId="63E03FDA" w14:textId="4BE77D4B" w:rsidR="009D2096" w:rsidRPr="009D2096" w:rsidRDefault="009D2096" w:rsidP="009D2096">
      <w:pPr>
        <w:pStyle w:val="Notedebasdepage"/>
        <w:jc w:val="both"/>
      </w:pPr>
      <w:r>
        <w:rPr>
          <w:rStyle w:val="Appelnotedebasdep"/>
        </w:rPr>
        <w:footnoteRef/>
      </w:r>
      <w:r>
        <w:t xml:space="preserve"> </w:t>
      </w:r>
      <w:proofErr w:type="spellStart"/>
      <w:r>
        <w:t>Voy</w:t>
      </w:r>
      <w:proofErr w:type="spellEnd"/>
      <w:r>
        <w:t xml:space="preserve">. </w:t>
      </w:r>
      <w:proofErr w:type="spellStart"/>
      <w:r>
        <w:t>ég</w:t>
      </w:r>
      <w:proofErr w:type="spellEnd"/>
      <w:r>
        <w:t xml:space="preserve">. J.-F. </w:t>
      </w:r>
      <w:proofErr w:type="spellStart"/>
      <w:r>
        <w:t>Flauss</w:t>
      </w:r>
      <w:proofErr w:type="spellEnd"/>
      <w:r>
        <w:t xml:space="preserve">, « Contributions et taxes – Convention européenne des droits de l’Homme », </w:t>
      </w:r>
      <w:r>
        <w:rPr>
          <w:i/>
        </w:rPr>
        <w:t xml:space="preserve">AJDA, </w:t>
      </w:r>
      <w:r>
        <w:t>2001, p. 657.</w:t>
      </w:r>
    </w:p>
  </w:footnote>
  <w:footnote w:id="11">
    <w:p w14:paraId="3E78731A" w14:textId="0F7B2F71" w:rsidR="00C71476" w:rsidRPr="00777280" w:rsidRDefault="00C71476" w:rsidP="00777280">
      <w:pPr>
        <w:pStyle w:val="Notedebasdepage"/>
        <w:jc w:val="both"/>
      </w:pPr>
      <w:r w:rsidRPr="00777280">
        <w:rPr>
          <w:rStyle w:val="Appelnotedebasdep"/>
        </w:rPr>
        <w:footnoteRef/>
      </w:r>
      <w:r w:rsidRPr="00777280">
        <w:t xml:space="preserve"> J. Velu et R. </w:t>
      </w:r>
      <w:proofErr w:type="spellStart"/>
      <w:r w:rsidRPr="00777280">
        <w:t>Ergec</w:t>
      </w:r>
      <w:proofErr w:type="spellEnd"/>
      <w:r w:rsidRPr="00777280">
        <w:t xml:space="preserve">, </w:t>
      </w:r>
      <w:r w:rsidRPr="00777280">
        <w:rPr>
          <w:i/>
        </w:rPr>
        <w:t xml:space="preserve">La Convention européenne des droits de l’Homme, </w:t>
      </w:r>
      <w:r w:rsidRPr="00777280">
        <w:t xml:space="preserve">Bruxelles, </w:t>
      </w:r>
      <w:proofErr w:type="spellStart"/>
      <w:r w:rsidRPr="00777280">
        <w:t>Bruylant</w:t>
      </w:r>
      <w:proofErr w:type="spellEnd"/>
      <w:r w:rsidRPr="00777280">
        <w:t>, 1990, p.</w:t>
      </w:r>
      <w:r w:rsidR="00DD5C73">
        <w:t xml:space="preserve"> 72-73</w:t>
      </w:r>
    </w:p>
  </w:footnote>
  <w:footnote w:id="12">
    <w:p w14:paraId="5AE9D969" w14:textId="48F85D53" w:rsidR="00C71476" w:rsidRPr="00777280" w:rsidRDefault="00C71476" w:rsidP="00777280">
      <w:pPr>
        <w:pStyle w:val="Notedebasdepage"/>
        <w:jc w:val="both"/>
      </w:pPr>
      <w:r w:rsidRPr="00777280">
        <w:rPr>
          <w:rStyle w:val="Appelnotedebasdep"/>
        </w:rPr>
        <w:footnoteRef/>
      </w:r>
      <w:r w:rsidRPr="00777280">
        <w:t xml:space="preserve"> </w:t>
      </w:r>
      <w:r w:rsidRPr="00777280">
        <w:t>Dans ses conclusions précéd</w:t>
      </w:r>
      <w:r w:rsidR="008C02E0">
        <w:t>a</w:t>
      </w:r>
      <w:r w:rsidRPr="00777280">
        <w:t xml:space="preserve">nt </w:t>
      </w:r>
      <w:proofErr w:type="spellStart"/>
      <w:r w:rsidRPr="00777280">
        <w:t>Cass</w:t>
      </w:r>
      <w:proofErr w:type="spellEnd"/>
      <w:r w:rsidRPr="00777280">
        <w:t>. Fr (</w:t>
      </w:r>
      <w:proofErr w:type="spellStart"/>
      <w:r w:rsidRPr="00777280">
        <w:t>Ass</w:t>
      </w:r>
      <w:proofErr w:type="spellEnd"/>
      <w:r w:rsidRPr="00777280">
        <w:t xml:space="preserve">. </w:t>
      </w:r>
      <w:proofErr w:type="spellStart"/>
      <w:r w:rsidRPr="00777280">
        <w:t>Plén</w:t>
      </w:r>
      <w:proofErr w:type="spellEnd"/>
      <w:r w:rsidRPr="00777280">
        <w:t>.) du 10 mai 2019, le premier avocat général F. Cordier rappelait ainsi que des particuliers étaient parfaitement admissibles à invoquer à leur bénéfice la Convention européenne des droits de l’Homme à l’égard de la France, à une époque où celle-ci, quoiqu’ayant ratifié la Convention, n’avait pas encore accepté le droit de requête individuelle visé à l’article 25 (ancien) de celle-ci (voir en effet la note de bas de page n°107 des conclusions, publiées sur publiés sur https://www.courdecassation.fr/jurisprudence_2/assemblee_pleniere_22/645_10_42391.html</w:t>
      </w:r>
      <w:r w:rsidR="009D2096">
        <w:t>)</w:t>
      </w:r>
      <w:r w:rsidRPr="00777280">
        <w:rPr>
          <w:color w:val="000000"/>
        </w:rPr>
        <w:t>.</w:t>
      </w:r>
    </w:p>
  </w:footnote>
  <w:footnote w:id="13">
    <w:p w14:paraId="7E9354A4" w14:textId="1C12DA97" w:rsidR="006A3486" w:rsidRPr="007B486C" w:rsidRDefault="006A3486" w:rsidP="00777280">
      <w:pPr>
        <w:jc w:val="both"/>
        <w:rPr>
          <w:color w:val="000000" w:themeColor="text1"/>
          <w:sz w:val="20"/>
          <w:szCs w:val="20"/>
          <w:lang w:val="nl-BE"/>
        </w:rPr>
      </w:pPr>
      <w:r w:rsidRPr="00777280">
        <w:rPr>
          <w:rStyle w:val="Appelnotedebasdep"/>
          <w:color w:val="000000" w:themeColor="text1"/>
          <w:sz w:val="20"/>
          <w:szCs w:val="20"/>
        </w:rPr>
        <w:footnoteRef/>
      </w:r>
      <w:r w:rsidRPr="007B486C">
        <w:rPr>
          <w:color w:val="000000" w:themeColor="text1"/>
          <w:sz w:val="20"/>
          <w:szCs w:val="20"/>
          <w:lang w:val="nl-BE"/>
        </w:rPr>
        <w:t xml:space="preserve"> Cour d’appel de La Haye, 9 octobre 2018, ECLI:NL:GHDHA:2018:2591, pt. 35 : « </w:t>
      </w:r>
      <w:r w:rsidRPr="007B486C">
        <w:rPr>
          <w:color w:val="000000" w:themeColor="text1"/>
          <w:sz w:val="20"/>
          <w:szCs w:val="20"/>
          <w:shd w:val="clear" w:color="auto" w:fill="FFFFFF"/>
          <w:lang w:val="nl-BE"/>
        </w:rPr>
        <w:t>De rechtbank heeft, in navolging van de Staat, aan artikel 34 EVRM ontleend dat Urgenda geen rechtstreeks beroep toekomt op de artikelen 2 en 8 EVRM. Hiermee miskent de rechtbank dat artikel 34 EVRM (slechts) gaat over de toegang tot het EHRM. Blijkens dit artikel hebben burgers, NGO’s en groepen personen (en wel voor zover zij schending van hun in het EVRM gewaarborgde rechten claimen), toegang tot het hof in Straatsburg. Het EHRM legt dit artikel zo uit, kort samengevat, dat ‘algemeen belang acties’ niet zijn toegestaan en dat slechts de eiser die in zijn eigen belang is getroffen, toegang heeft tot het EHRM. Het EHRM heeft hiermee geen uitsluitsel gegeven over toegang tot de Nederlandse rechter. Dit kan ook niet. Hier gaat de Nederlandse rechter over. Dit betekent dat artikel 34 EVRM geen grondslag kan bieden voor ontzegging aan Urgenda in deze procedure van een beroep op de grondrechten van de artikelen 2 en 8 EVRM ».</w:t>
      </w:r>
    </w:p>
  </w:footnote>
  <w:footnote w:id="14">
    <w:p w14:paraId="04C9370F" w14:textId="2521E10A" w:rsidR="00AC6F83" w:rsidRPr="007B486C" w:rsidRDefault="00AC6F83" w:rsidP="00777280">
      <w:pPr>
        <w:jc w:val="both"/>
        <w:rPr>
          <w:color w:val="000000" w:themeColor="text1"/>
          <w:sz w:val="20"/>
          <w:szCs w:val="20"/>
          <w:lang w:val="nl-BE"/>
        </w:rPr>
      </w:pPr>
      <w:r w:rsidRPr="00777280">
        <w:rPr>
          <w:rStyle w:val="Appelnotedebasdep"/>
          <w:color w:val="000000" w:themeColor="text1"/>
          <w:sz w:val="20"/>
          <w:szCs w:val="20"/>
        </w:rPr>
        <w:footnoteRef/>
      </w:r>
      <w:r w:rsidRPr="007B486C">
        <w:rPr>
          <w:color w:val="000000" w:themeColor="text1"/>
          <w:sz w:val="20"/>
          <w:szCs w:val="20"/>
          <w:lang w:val="nl-BE"/>
        </w:rPr>
        <w:t xml:space="preserve"> Hoge Raad, 20 décembre 2019, ECLI:NL:HR:2019:2006 (pt. 5.9.3). Selon les conclusions du Ministère public en l’affaire (ECLI:NL:PHR:2019:887, pt. 3.34), « </w:t>
      </w:r>
      <w:r w:rsidRPr="007B486C">
        <w:rPr>
          <w:color w:val="000000" w:themeColor="text1"/>
          <w:sz w:val="20"/>
          <w:szCs w:val="20"/>
          <w:shd w:val="clear" w:color="auto" w:fill="FFFFFF"/>
          <w:lang w:val="nl-BE"/>
        </w:rPr>
        <w:t>Systematische interpretatie van het EVRM</w:t>
      </w:r>
      <w:r w:rsidRPr="007B486C">
        <w:rPr>
          <w:color w:val="000000" w:themeColor="text1"/>
          <w:sz w:val="20"/>
          <w:szCs w:val="20"/>
          <w:lang w:val="nl-BE"/>
        </w:rPr>
        <w:t xml:space="preserve"> (…) </w:t>
      </w:r>
      <w:r w:rsidRPr="007B486C">
        <w:rPr>
          <w:color w:val="000000" w:themeColor="text1"/>
          <w:sz w:val="20"/>
          <w:szCs w:val="20"/>
          <w:shd w:val="clear" w:color="auto" w:fill="FFFFFF"/>
          <w:lang w:val="nl-BE"/>
        </w:rPr>
        <w:t>lijkt ook niet te pleiten voor een lezing als die van de Staat, waarin het beschermingsbereik van art. 2 en 8 EVRM wordt beperkt door het slachtoffervereiste van art. 34 EVRM. Art. 2 en 8 EVRM staan in Titel I van het verdrag, getiteld “</w:t>
      </w:r>
      <w:r w:rsidRPr="007B486C">
        <w:rPr>
          <w:rStyle w:val="Accentuation1"/>
          <w:i/>
          <w:iCs/>
          <w:color w:val="000000" w:themeColor="text1"/>
          <w:sz w:val="20"/>
          <w:szCs w:val="20"/>
          <w:lang w:val="nl-BE"/>
        </w:rPr>
        <w:t>Rights and freedoms</w:t>
      </w:r>
      <w:r w:rsidRPr="007B486C">
        <w:rPr>
          <w:color w:val="000000" w:themeColor="text1"/>
          <w:sz w:val="20"/>
          <w:szCs w:val="20"/>
          <w:shd w:val="clear" w:color="auto" w:fill="FFFFFF"/>
          <w:lang w:val="nl-BE"/>
        </w:rPr>
        <w:t xml:space="preserve">”. </w:t>
      </w:r>
      <w:r w:rsidRPr="00777280">
        <w:rPr>
          <w:color w:val="000000" w:themeColor="text1"/>
          <w:sz w:val="20"/>
          <w:szCs w:val="20"/>
          <w:shd w:val="clear" w:color="auto" w:fill="FFFFFF"/>
          <w:lang w:val="en-US"/>
        </w:rPr>
        <w:t xml:space="preserve">Art. 34 EVRM </w:t>
      </w:r>
      <w:proofErr w:type="spellStart"/>
      <w:r w:rsidRPr="00777280">
        <w:rPr>
          <w:color w:val="000000" w:themeColor="text1"/>
          <w:sz w:val="20"/>
          <w:szCs w:val="20"/>
          <w:shd w:val="clear" w:color="auto" w:fill="FFFFFF"/>
          <w:lang w:val="en-US"/>
        </w:rPr>
        <w:t>staat</w:t>
      </w:r>
      <w:proofErr w:type="spellEnd"/>
      <w:r w:rsidRPr="00777280">
        <w:rPr>
          <w:color w:val="000000" w:themeColor="text1"/>
          <w:sz w:val="20"/>
          <w:szCs w:val="20"/>
          <w:shd w:val="clear" w:color="auto" w:fill="FFFFFF"/>
          <w:lang w:val="en-US"/>
        </w:rPr>
        <w:t xml:space="preserve"> in </w:t>
      </w:r>
      <w:proofErr w:type="spellStart"/>
      <w:r w:rsidRPr="00777280">
        <w:rPr>
          <w:color w:val="000000" w:themeColor="text1"/>
          <w:sz w:val="20"/>
          <w:szCs w:val="20"/>
          <w:shd w:val="clear" w:color="auto" w:fill="FFFFFF"/>
          <w:lang w:val="en-US"/>
        </w:rPr>
        <w:t>Titel</w:t>
      </w:r>
      <w:proofErr w:type="spellEnd"/>
      <w:r w:rsidRPr="00777280">
        <w:rPr>
          <w:color w:val="000000" w:themeColor="text1"/>
          <w:sz w:val="20"/>
          <w:szCs w:val="20"/>
          <w:shd w:val="clear" w:color="auto" w:fill="FFFFFF"/>
          <w:lang w:val="en-US"/>
        </w:rPr>
        <w:t xml:space="preserve"> II, </w:t>
      </w:r>
      <w:proofErr w:type="spellStart"/>
      <w:r w:rsidRPr="00777280">
        <w:rPr>
          <w:color w:val="000000" w:themeColor="text1"/>
          <w:sz w:val="20"/>
          <w:szCs w:val="20"/>
          <w:shd w:val="clear" w:color="auto" w:fill="FFFFFF"/>
          <w:lang w:val="en-US"/>
        </w:rPr>
        <w:t>getiteld</w:t>
      </w:r>
      <w:proofErr w:type="spellEnd"/>
      <w:r w:rsidRPr="00777280">
        <w:rPr>
          <w:color w:val="000000" w:themeColor="text1"/>
          <w:sz w:val="20"/>
          <w:szCs w:val="20"/>
          <w:shd w:val="clear" w:color="auto" w:fill="FFFFFF"/>
          <w:lang w:val="en-US"/>
        </w:rPr>
        <w:t xml:space="preserve"> “</w:t>
      </w:r>
      <w:r w:rsidRPr="00777280">
        <w:rPr>
          <w:rStyle w:val="Accentuation1"/>
          <w:i/>
          <w:iCs/>
          <w:color w:val="000000" w:themeColor="text1"/>
          <w:sz w:val="20"/>
          <w:szCs w:val="20"/>
          <w:lang w:val="en-US"/>
        </w:rPr>
        <w:t>European Court of Human Rights</w:t>
      </w:r>
      <w:r w:rsidRPr="00777280">
        <w:rPr>
          <w:color w:val="000000" w:themeColor="text1"/>
          <w:sz w:val="20"/>
          <w:szCs w:val="20"/>
          <w:shd w:val="clear" w:color="auto" w:fill="FFFFFF"/>
          <w:lang w:val="en-US"/>
        </w:rPr>
        <w:t xml:space="preserve">”. </w:t>
      </w:r>
      <w:r w:rsidRPr="007B486C">
        <w:rPr>
          <w:color w:val="000000" w:themeColor="text1"/>
          <w:sz w:val="20"/>
          <w:szCs w:val="20"/>
          <w:shd w:val="clear" w:color="auto" w:fill="FFFFFF"/>
          <w:lang w:val="nl-BE"/>
        </w:rPr>
        <w:t>Die laatste titel bevat procedurele bepalingen die de toegang tot het EHRM reguleren (…)”</w:t>
      </w:r>
    </w:p>
  </w:footnote>
  <w:footnote w:id="15">
    <w:p w14:paraId="0629E5CE" w14:textId="5DD40C60" w:rsidR="0039487A" w:rsidRPr="00777280" w:rsidRDefault="0039487A" w:rsidP="00777280">
      <w:pPr>
        <w:pStyle w:val="citation"/>
        <w:ind w:left="0"/>
      </w:pPr>
      <w:r w:rsidRPr="00777280">
        <w:rPr>
          <w:rStyle w:val="Appelnotedebasdep"/>
        </w:rPr>
        <w:footnoteRef/>
      </w:r>
      <w:r w:rsidRPr="00777280">
        <w:t xml:space="preserve"> C.E, avis n°29.180/3 donné le 27 avril 1999 sur une sur une proposition de loi "modifiant l’article 16 de la loi du 26 juillet 1962 relative à la procédure d’extrême urgence en matière d’expropriation pour cause d’utilité publiqu</w:t>
      </w:r>
      <w:r w:rsidR="00B21DC4" w:rsidRPr="00777280">
        <w:t>e’</w:t>
      </w:r>
      <w:r w:rsidRPr="00777280">
        <w:t xml:space="preserve"> (Doc. </w:t>
      </w:r>
      <w:proofErr w:type="spellStart"/>
      <w:proofErr w:type="gramStart"/>
      <w:r w:rsidRPr="00777280">
        <w:t>parl</w:t>
      </w:r>
      <w:proofErr w:type="spellEnd"/>
      <w:proofErr w:type="gramEnd"/>
      <w:r w:rsidRPr="00777280">
        <w:t>., Chambre, 1997-98, n°1719</w:t>
      </w:r>
      <w:r w:rsidRPr="00B36965">
        <w:t>-</w:t>
      </w:r>
      <w:r w:rsidR="00B36965" w:rsidRPr="00B36965">
        <w:t>6</w:t>
      </w:r>
      <w:r w:rsidRPr="00B36965">
        <w:t>)</w:t>
      </w:r>
      <w:r w:rsidR="00095AF7" w:rsidRPr="00B36965">
        <w:t>.</w:t>
      </w:r>
      <w:r w:rsidR="00095AF7" w:rsidRPr="00777280">
        <w:t xml:space="preserve"> </w:t>
      </w:r>
      <w:proofErr w:type="spellStart"/>
      <w:r w:rsidR="00095AF7" w:rsidRPr="00777280">
        <w:t>Voy</w:t>
      </w:r>
      <w:proofErr w:type="spellEnd"/>
      <w:r w:rsidR="00095AF7" w:rsidRPr="00777280">
        <w:t xml:space="preserve">. </w:t>
      </w:r>
      <w:proofErr w:type="spellStart"/>
      <w:proofErr w:type="gramStart"/>
      <w:r w:rsidR="00095AF7" w:rsidRPr="00777280">
        <w:t>ég</w:t>
      </w:r>
      <w:proofErr w:type="spellEnd"/>
      <w:proofErr w:type="gramEnd"/>
      <w:r w:rsidR="00095AF7" w:rsidRPr="00777280">
        <w:t xml:space="preserve">. </w:t>
      </w:r>
      <w:proofErr w:type="gramStart"/>
      <w:r w:rsidR="00095AF7" w:rsidRPr="00777280">
        <w:t>l’opinion</w:t>
      </w:r>
      <w:proofErr w:type="gramEnd"/>
      <w:r w:rsidR="00095AF7" w:rsidRPr="00777280">
        <w:t xml:space="preserve"> dissidente jointe par le Juge </w:t>
      </w:r>
      <w:proofErr w:type="spellStart"/>
      <w:r w:rsidR="00095AF7" w:rsidRPr="00777280">
        <w:t>Woityczek</w:t>
      </w:r>
      <w:proofErr w:type="spellEnd"/>
      <w:r w:rsidR="00095AF7" w:rsidRPr="00777280">
        <w:t xml:space="preserve"> à l’arrêt </w:t>
      </w:r>
      <w:proofErr w:type="spellStart"/>
      <w:r w:rsidR="00095AF7" w:rsidRPr="00777280">
        <w:rPr>
          <w:i/>
        </w:rPr>
        <w:t>Baka</w:t>
      </w:r>
      <w:proofErr w:type="spellEnd"/>
      <w:r w:rsidR="00095AF7" w:rsidRPr="00777280">
        <w:rPr>
          <w:i/>
        </w:rPr>
        <w:t xml:space="preserve"> c. Hong</w:t>
      </w:r>
      <w:r w:rsidR="00095AF7" w:rsidRPr="00777280">
        <w:t>rie du 23 juin 2016 : « Appliquer les garanties de l’article 10 au discours officiel signifierait que la manière dont s’exprime l’organe de l’État doit être considérée comme une question de liberté personnelle, et que tout propos non expressément prohibé serait permis. Aucune base légale spécifique ne serait nécessaire pour que les organes de l’État s’expriment et toute restriction du discours officiel devrait être conforme au paragraphe 2 de l’article 10 de la Convention. Le discours public pourrait alors, en principe, exprimer les opinions privées et servir l’intérêt personnel du titulaire du droit, y compris la poursuite de l’épanouissement personnel de l’intéressé. Une situation dans laquelle le discours officiel porterait atteinte aux droits d’un tiers ne pourrait pas être traitée comme une simple ingérence de l’État dans l’exercice par ce tiers de ses droits mais constituerait une situation de conflit entre la liberté d’expression du titulaire d’un poste public et les droits du tiers en question. Il faudrait alors mettre soigneusement en balance ces droits concurrents pour résoudre le conflit entre le premier et les seconds. L’approche de la majorité, qui consiste à appliquer l’article 10 au discours officiel, transforme une question d’exercice de pouvoir discrétionnaire en un acte libre couvert par les garanties de la liberté individuelle. L’extension des garanties de l’article 10 au discours officiel porte ainsi atteinte à la protection effective de l’individu contre l’État ».</w:t>
      </w:r>
    </w:p>
  </w:footnote>
  <w:footnote w:id="16">
    <w:p w14:paraId="680A8CE9" w14:textId="5B9B1A12" w:rsidR="00FD26A3" w:rsidRPr="00777280" w:rsidRDefault="00FD26A3" w:rsidP="00777280">
      <w:pPr>
        <w:pStyle w:val="Notedebasdepage"/>
        <w:jc w:val="both"/>
      </w:pPr>
      <w:r w:rsidRPr="00777280">
        <w:rPr>
          <w:rStyle w:val="Appelnotedebasdep"/>
        </w:rPr>
        <w:footnoteRef/>
      </w:r>
      <w:r w:rsidRPr="00777280">
        <w:t xml:space="preserve"> </w:t>
      </w:r>
      <w:r w:rsidR="006A3486" w:rsidRPr="00777280">
        <w:t xml:space="preserve">Cour </w:t>
      </w:r>
      <w:proofErr w:type="spellStart"/>
      <w:r w:rsidR="006A3486" w:rsidRPr="00777280">
        <w:t>eur</w:t>
      </w:r>
      <w:proofErr w:type="spellEnd"/>
      <w:r w:rsidR="006A3486" w:rsidRPr="00777280">
        <w:t xml:space="preserve">. </w:t>
      </w:r>
      <w:r w:rsidR="006A3486" w:rsidRPr="00777280">
        <w:t xml:space="preserve">D.H., (GC), décision </w:t>
      </w:r>
      <w:r w:rsidR="006A3486" w:rsidRPr="008C02E0">
        <w:rPr>
          <w:i/>
          <w:iCs/>
        </w:rPr>
        <w:t>Slovénie c. Croatie</w:t>
      </w:r>
      <w:r w:rsidR="006A3486" w:rsidRPr="00777280">
        <w:t xml:space="preserve">, </w:t>
      </w:r>
      <w:proofErr w:type="spellStart"/>
      <w:r w:rsidR="006A3486" w:rsidRPr="00777280">
        <w:t>req</w:t>
      </w:r>
      <w:proofErr w:type="spellEnd"/>
      <w:r w:rsidR="006A3486" w:rsidRPr="00777280">
        <w:t xml:space="preserve">. n° 54155/16), du 18 novembre 2020. </w:t>
      </w:r>
      <w:r w:rsidRPr="00777280">
        <w:t>Curieusement, le Communiqué de presse signale la décision comme étant datée du 16 décembre 2020.</w:t>
      </w:r>
    </w:p>
  </w:footnote>
  <w:footnote w:id="17">
    <w:p w14:paraId="3B63F930" w14:textId="4B7AC453" w:rsidR="0074528B" w:rsidRPr="00777280" w:rsidRDefault="0074528B" w:rsidP="00777280">
      <w:pPr>
        <w:jc w:val="both"/>
        <w:rPr>
          <w:sz w:val="20"/>
          <w:szCs w:val="20"/>
        </w:rPr>
      </w:pPr>
      <w:r w:rsidRPr="00777280">
        <w:rPr>
          <w:rStyle w:val="Appelnotedebasdep"/>
          <w:sz w:val="20"/>
          <w:szCs w:val="20"/>
        </w:rPr>
        <w:footnoteRef/>
      </w:r>
      <w:r w:rsidRPr="00777280">
        <w:rPr>
          <w:sz w:val="20"/>
          <w:szCs w:val="20"/>
        </w:rPr>
        <w:t xml:space="preserve"> </w:t>
      </w:r>
      <w:proofErr w:type="spellStart"/>
      <w:r w:rsidR="006A3486" w:rsidRPr="00777280">
        <w:rPr>
          <w:sz w:val="20"/>
          <w:szCs w:val="20"/>
        </w:rPr>
        <w:t>Voy</w:t>
      </w:r>
      <w:proofErr w:type="spellEnd"/>
      <w:r w:rsidR="006A3486" w:rsidRPr="00777280">
        <w:rPr>
          <w:sz w:val="20"/>
          <w:szCs w:val="20"/>
        </w:rPr>
        <w:t xml:space="preserve">. en effet le </w:t>
      </w:r>
      <w:r w:rsidRPr="00777280">
        <w:rPr>
          <w:sz w:val="20"/>
          <w:szCs w:val="20"/>
        </w:rPr>
        <w:t>§ 66</w:t>
      </w:r>
      <w:r w:rsidR="006A3486" w:rsidRPr="00777280">
        <w:rPr>
          <w:sz w:val="20"/>
          <w:szCs w:val="20"/>
        </w:rPr>
        <w:t xml:space="preserve"> de la décision</w:t>
      </w:r>
      <w:r w:rsidRPr="00777280">
        <w:rPr>
          <w:sz w:val="20"/>
          <w:szCs w:val="20"/>
        </w:rPr>
        <w:t xml:space="preserve"> : </w:t>
      </w:r>
      <w:r w:rsidR="006A3486" w:rsidRPr="00777280">
        <w:rPr>
          <w:sz w:val="20"/>
          <w:szCs w:val="20"/>
        </w:rPr>
        <w:t>« </w:t>
      </w:r>
      <w:r w:rsidRPr="00777280">
        <w:rPr>
          <w:rStyle w:val="sb8d990e2"/>
          <w:color w:val="000000"/>
          <w:sz w:val="20"/>
          <w:szCs w:val="20"/>
        </w:rPr>
        <w:t>Autrement dit, seuls les personnes physiques, les groupes de particuliers et les personnes morales pouvant être qualifiées d’’organisations non gouvernementales’ au sens de l’article 34 peuvent être titulaires des droits découlant de la Convention, mais pas un État contractant ni une personne morale qui doit être regardée comme une organisation</w:t>
      </w:r>
      <w:r w:rsidRPr="00777280">
        <w:rPr>
          <w:rStyle w:val="apple-converted-space"/>
          <w:color w:val="000000"/>
          <w:sz w:val="20"/>
          <w:szCs w:val="20"/>
        </w:rPr>
        <w:t> </w:t>
      </w:r>
      <w:r w:rsidRPr="00777280">
        <w:rPr>
          <w:rStyle w:val="sb8d990e2"/>
          <w:color w:val="000000"/>
          <w:sz w:val="20"/>
          <w:szCs w:val="20"/>
        </w:rPr>
        <w:t>gouvernementale (…). Toute autre conclusion serait contraire à l’objectif fondamental qui sous-tend la Convention et qui ressort à la fois de son article 1 et de son préambule »</w:t>
      </w:r>
    </w:p>
  </w:footnote>
  <w:footnote w:id="18">
    <w:p w14:paraId="08FA9047" w14:textId="75A834B9" w:rsidR="006A3486" w:rsidRPr="00777280" w:rsidRDefault="006A3486" w:rsidP="00777280">
      <w:pPr>
        <w:pStyle w:val="Notedebasdepage"/>
        <w:jc w:val="both"/>
        <w:rPr>
          <w:lang w:val="fr-FR"/>
        </w:rPr>
      </w:pPr>
      <w:r w:rsidRPr="00777280">
        <w:rPr>
          <w:rStyle w:val="Appelnotedebasdep"/>
        </w:rPr>
        <w:footnoteRef/>
      </w:r>
      <w:r w:rsidRPr="00777280">
        <w:t xml:space="preserve"> A tout le moins lorsque la définition même du droit ne fait pas obstacle à ce qu’une personne morale de droit public puisse en bénéficier, à l’instar de la liberté d’association. </w:t>
      </w:r>
      <w:proofErr w:type="spellStart"/>
      <w:r w:rsidRPr="00777280">
        <w:t>Voy</w:t>
      </w:r>
      <w:proofErr w:type="spellEnd"/>
      <w:r w:rsidRPr="00777280">
        <w:t>. en effet CC,</w:t>
      </w:r>
      <w:r w:rsidR="00B21DC4" w:rsidRPr="00777280">
        <w:t>, n° 18/90 23 mai 1990, pt. B.11.5 : « les modalités de fonctionnement d'un organe collégial de droit public ne relèvent en aucune manière de la liberté d'association qui est garantie par la Convention européenne des droits de l'Homme aux seules personnes physiques et morales de droit privé »</w:t>
      </w:r>
    </w:p>
  </w:footnote>
  <w:footnote w:id="19">
    <w:p w14:paraId="0DDFD477" w14:textId="62BDDD5D" w:rsidR="00DD5C73" w:rsidRPr="00DD5C73" w:rsidRDefault="00DD5C73">
      <w:pPr>
        <w:pStyle w:val="Notedebasdepage"/>
      </w:pPr>
      <w:r>
        <w:rPr>
          <w:rStyle w:val="Appelnotedebasdep"/>
        </w:rPr>
        <w:footnoteRef/>
      </w:r>
      <w:r>
        <w:t xml:space="preserve"> R. </w:t>
      </w:r>
      <w:proofErr w:type="spellStart"/>
      <w:r>
        <w:t>Ergec</w:t>
      </w:r>
      <w:proofErr w:type="spellEnd"/>
      <w:r>
        <w:t xml:space="preserve">, </w:t>
      </w:r>
      <w:r>
        <w:rPr>
          <w:i/>
        </w:rPr>
        <w:t xml:space="preserve">Convention européenne des droits de l’Homme, </w:t>
      </w:r>
      <w:r>
        <w:t>2</w:t>
      </w:r>
      <w:r w:rsidRPr="00DD5C73">
        <w:rPr>
          <w:vertAlign w:val="superscript"/>
        </w:rPr>
        <w:t>ème</w:t>
      </w:r>
      <w:r>
        <w:t xml:space="preserve"> éd., Bruxelles, </w:t>
      </w:r>
      <w:proofErr w:type="spellStart"/>
      <w:r>
        <w:t>Bruylant</w:t>
      </w:r>
      <w:proofErr w:type="spellEnd"/>
      <w:r>
        <w:t>, 2014, p. 88.</w:t>
      </w:r>
    </w:p>
  </w:footnote>
  <w:footnote w:id="20">
    <w:p w14:paraId="221D1720" w14:textId="3C672887" w:rsidR="00B21DC4" w:rsidRPr="0005327B" w:rsidRDefault="00B21DC4" w:rsidP="0005327B">
      <w:pPr>
        <w:pStyle w:val="Titre1"/>
        <w:spacing w:before="0"/>
        <w:jc w:val="both"/>
        <w:rPr>
          <w:rFonts w:ascii="Times New Roman" w:hAnsi="Times New Roman" w:cs="Times New Roman"/>
          <w:i/>
          <w:sz w:val="20"/>
          <w:szCs w:val="20"/>
          <w:lang w:val="en-US"/>
        </w:rPr>
      </w:pPr>
      <w:r w:rsidRPr="00777280">
        <w:rPr>
          <w:rStyle w:val="Appelnotedebasdep"/>
          <w:rFonts w:ascii="Times New Roman" w:hAnsi="Times New Roman" w:cs="Times New Roman"/>
          <w:color w:val="000000" w:themeColor="text1"/>
          <w:sz w:val="20"/>
          <w:szCs w:val="20"/>
        </w:rPr>
        <w:footnoteRef/>
      </w:r>
      <w:r w:rsidRPr="00777280">
        <w:rPr>
          <w:rFonts w:ascii="Times New Roman" w:hAnsi="Times New Roman" w:cs="Times New Roman"/>
          <w:color w:val="000000" w:themeColor="text1"/>
          <w:sz w:val="20"/>
          <w:szCs w:val="20"/>
        </w:rPr>
        <w:t xml:space="preserve"> </w:t>
      </w:r>
      <w:proofErr w:type="spellStart"/>
      <w:r w:rsidRPr="00777280">
        <w:rPr>
          <w:rFonts w:ascii="Times New Roman" w:hAnsi="Times New Roman" w:cs="Times New Roman"/>
          <w:color w:val="000000" w:themeColor="text1"/>
          <w:sz w:val="20"/>
          <w:szCs w:val="20"/>
          <w:lang w:val="fr-FR"/>
        </w:rPr>
        <w:t>Voy</w:t>
      </w:r>
      <w:proofErr w:type="spellEnd"/>
      <w:r w:rsidRPr="00777280">
        <w:rPr>
          <w:rFonts w:ascii="Times New Roman" w:hAnsi="Times New Roman" w:cs="Times New Roman"/>
          <w:color w:val="000000" w:themeColor="text1"/>
          <w:sz w:val="20"/>
          <w:szCs w:val="20"/>
          <w:lang w:val="fr-FR"/>
        </w:rPr>
        <w:t xml:space="preserve">. </w:t>
      </w:r>
      <w:proofErr w:type="gramStart"/>
      <w:r w:rsidRPr="00777280">
        <w:rPr>
          <w:rFonts w:ascii="Times New Roman" w:hAnsi="Times New Roman" w:cs="Times New Roman"/>
          <w:color w:val="000000" w:themeColor="text1"/>
          <w:sz w:val="20"/>
          <w:szCs w:val="20"/>
          <w:lang w:val="fr-FR"/>
        </w:rPr>
        <w:t>les</w:t>
      </w:r>
      <w:proofErr w:type="gramEnd"/>
      <w:r w:rsidRPr="00777280">
        <w:rPr>
          <w:rFonts w:ascii="Times New Roman" w:hAnsi="Times New Roman" w:cs="Times New Roman"/>
          <w:color w:val="000000" w:themeColor="text1"/>
          <w:sz w:val="20"/>
          <w:szCs w:val="20"/>
          <w:lang w:val="fr-FR"/>
        </w:rPr>
        <w:t xml:space="preserve"> nombreuses références à la jurisprudence reprises dans le rapport de Mme Tellier et les conclusions de M. Cordier (supra, </w:t>
      </w:r>
      <w:r w:rsidRPr="008C02E0">
        <w:rPr>
          <w:rFonts w:ascii="Times New Roman" w:hAnsi="Times New Roman" w:cs="Times New Roman"/>
          <w:color w:val="000000" w:themeColor="text1"/>
          <w:sz w:val="20"/>
          <w:szCs w:val="20"/>
          <w:lang w:val="fr-FR"/>
        </w:rPr>
        <w:t>note</w:t>
      </w:r>
      <w:r w:rsidR="008C02E0">
        <w:rPr>
          <w:rFonts w:ascii="Times New Roman" w:hAnsi="Times New Roman" w:cs="Times New Roman"/>
          <w:color w:val="000000" w:themeColor="text1"/>
          <w:sz w:val="20"/>
          <w:szCs w:val="20"/>
          <w:lang w:val="fr-FR"/>
        </w:rPr>
        <w:t xml:space="preserve"> 6</w:t>
      </w:r>
      <w:r w:rsidRPr="00777280">
        <w:rPr>
          <w:rFonts w:ascii="Times New Roman" w:hAnsi="Times New Roman" w:cs="Times New Roman"/>
          <w:color w:val="000000" w:themeColor="text1"/>
          <w:sz w:val="20"/>
          <w:szCs w:val="20"/>
          <w:lang w:val="fr-FR"/>
        </w:rPr>
        <w:t>), où l’on voit le Conseil d’État français ou la Cour de cassation française admettre qu’une personne morale de droit public puisse invoquer, à son bénéfice, la Convention européenne des droits de l’Homme.</w:t>
      </w:r>
      <w:r w:rsidR="00CD2929" w:rsidRPr="00777280">
        <w:rPr>
          <w:rFonts w:ascii="Times New Roman" w:hAnsi="Times New Roman" w:cs="Times New Roman"/>
          <w:color w:val="000000" w:themeColor="text1"/>
          <w:sz w:val="20"/>
          <w:szCs w:val="20"/>
          <w:lang w:val="fr-FR"/>
        </w:rPr>
        <w:t xml:space="preserve"> </w:t>
      </w:r>
      <w:r w:rsidR="00CD2929" w:rsidRPr="007B486C">
        <w:rPr>
          <w:rFonts w:ascii="Times New Roman" w:hAnsi="Times New Roman" w:cs="Times New Roman"/>
          <w:color w:val="000000" w:themeColor="text1"/>
          <w:sz w:val="20"/>
          <w:szCs w:val="20"/>
          <w:lang w:val="nl-BE"/>
        </w:rPr>
        <w:t xml:space="preserve">Voy. ég. Hoge Raad der Nederland, 22 janvier 1993, </w:t>
      </w:r>
      <w:r w:rsidR="00CD2929" w:rsidRPr="007B486C">
        <w:rPr>
          <w:rStyle w:val="f-autres-publications"/>
          <w:rFonts w:ascii="Times New Roman" w:hAnsi="Times New Roman" w:cs="Times New Roman"/>
          <w:i/>
          <w:iCs/>
          <w:color w:val="000000" w:themeColor="text1"/>
          <w:sz w:val="20"/>
          <w:szCs w:val="20"/>
          <w:lang w:val="nl-BE"/>
        </w:rPr>
        <w:t>Rechtspraak van de Week</w:t>
      </w:r>
      <w:r w:rsidR="00CD2929" w:rsidRPr="007B486C">
        <w:rPr>
          <w:rStyle w:val="apple-converted-space"/>
          <w:rFonts w:ascii="Times New Roman" w:hAnsi="Times New Roman" w:cs="Times New Roman"/>
          <w:color w:val="000000" w:themeColor="text1"/>
          <w:sz w:val="20"/>
          <w:szCs w:val="20"/>
          <w:lang w:val="nl-BE"/>
        </w:rPr>
        <w:t> </w:t>
      </w:r>
      <w:r w:rsidR="00CD2929" w:rsidRPr="007B486C">
        <w:rPr>
          <w:rStyle w:val="f-autres-publications"/>
          <w:rFonts w:ascii="Times New Roman" w:hAnsi="Times New Roman" w:cs="Times New Roman"/>
          <w:color w:val="000000" w:themeColor="text1"/>
          <w:sz w:val="20"/>
          <w:szCs w:val="20"/>
          <w:lang w:val="nl-BE"/>
        </w:rPr>
        <w:t>1993, 39;</w:t>
      </w:r>
      <w:r w:rsidR="00CD2929" w:rsidRPr="007B486C">
        <w:rPr>
          <w:rStyle w:val="apple-converted-space"/>
          <w:rFonts w:ascii="Times New Roman" w:hAnsi="Times New Roman" w:cs="Times New Roman"/>
          <w:color w:val="000000" w:themeColor="text1"/>
          <w:sz w:val="20"/>
          <w:szCs w:val="20"/>
          <w:lang w:val="nl-BE"/>
        </w:rPr>
        <w:t> </w:t>
      </w:r>
      <w:r w:rsidR="00CD2929" w:rsidRPr="007B486C">
        <w:rPr>
          <w:rStyle w:val="f-autres-publications"/>
          <w:rFonts w:ascii="Times New Roman" w:hAnsi="Times New Roman" w:cs="Times New Roman"/>
          <w:i/>
          <w:iCs/>
          <w:color w:val="000000" w:themeColor="text1"/>
          <w:sz w:val="20"/>
          <w:szCs w:val="20"/>
          <w:lang w:val="nl-BE"/>
        </w:rPr>
        <w:t>Administratiefrechtelijke Beslissingen</w:t>
      </w:r>
      <w:r w:rsidR="00CD2929" w:rsidRPr="007B486C">
        <w:rPr>
          <w:rStyle w:val="f-autres-publications"/>
          <w:rFonts w:ascii="Times New Roman" w:hAnsi="Times New Roman" w:cs="Times New Roman"/>
          <w:color w:val="000000" w:themeColor="text1"/>
          <w:sz w:val="20"/>
          <w:szCs w:val="20"/>
          <w:lang w:val="nl-BE"/>
        </w:rPr>
        <w:t>, 1993, 198;</w:t>
      </w:r>
      <w:r w:rsidR="00CD2929" w:rsidRPr="007B486C">
        <w:rPr>
          <w:rStyle w:val="apple-converted-space"/>
          <w:rFonts w:ascii="Times New Roman" w:hAnsi="Times New Roman" w:cs="Times New Roman"/>
          <w:color w:val="000000" w:themeColor="text1"/>
          <w:sz w:val="20"/>
          <w:szCs w:val="20"/>
          <w:lang w:val="nl-BE"/>
        </w:rPr>
        <w:t> </w:t>
      </w:r>
      <w:r w:rsidR="00CD2929" w:rsidRPr="007B486C">
        <w:rPr>
          <w:rStyle w:val="f-autres-publications"/>
          <w:rFonts w:ascii="Times New Roman" w:hAnsi="Times New Roman" w:cs="Times New Roman"/>
          <w:i/>
          <w:iCs/>
          <w:color w:val="000000" w:themeColor="text1"/>
          <w:sz w:val="20"/>
          <w:szCs w:val="20"/>
          <w:lang w:val="nl-BE"/>
        </w:rPr>
        <w:t>Nederlandse Jurisprudentie</w:t>
      </w:r>
      <w:r w:rsidR="00CD2929" w:rsidRPr="007B486C">
        <w:rPr>
          <w:rStyle w:val="f-autres-publications"/>
          <w:rFonts w:ascii="Times New Roman" w:hAnsi="Times New Roman" w:cs="Times New Roman"/>
          <w:color w:val="000000" w:themeColor="text1"/>
          <w:sz w:val="20"/>
          <w:szCs w:val="20"/>
          <w:lang w:val="nl-BE"/>
        </w:rPr>
        <w:t xml:space="preserve">, 1994, 734. Voy. ég. </w:t>
      </w:r>
      <w:r w:rsidR="00CD2929" w:rsidRPr="007B486C">
        <w:rPr>
          <w:rFonts w:ascii="Times New Roman" w:hAnsi="Times New Roman" w:cs="Times New Roman"/>
          <w:color w:val="000000" w:themeColor="text1"/>
          <w:sz w:val="20"/>
          <w:szCs w:val="20"/>
          <w:lang w:val="nl-BE"/>
        </w:rPr>
        <w:t xml:space="preserve">Hoge Raad der Nederland, 8 juillet 2005, ECLI:NL:HR:2005:AO9273. </w:t>
      </w:r>
      <w:proofErr w:type="spellStart"/>
      <w:r w:rsidR="00CD2929" w:rsidRPr="00777280">
        <w:rPr>
          <w:rFonts w:ascii="Times New Roman" w:hAnsi="Times New Roman" w:cs="Times New Roman"/>
          <w:color w:val="000000" w:themeColor="text1"/>
          <w:sz w:val="20"/>
          <w:szCs w:val="20"/>
        </w:rPr>
        <w:t>Comp</w:t>
      </w:r>
      <w:proofErr w:type="spellEnd"/>
      <w:r w:rsidR="00CD2929" w:rsidRPr="00777280">
        <w:rPr>
          <w:rFonts w:ascii="Times New Roman" w:hAnsi="Times New Roman" w:cs="Times New Roman"/>
          <w:color w:val="000000" w:themeColor="text1"/>
          <w:sz w:val="20"/>
          <w:szCs w:val="20"/>
        </w:rPr>
        <w:t>.</w:t>
      </w:r>
      <w:r w:rsidR="008C02E0">
        <w:rPr>
          <w:rFonts w:ascii="Times New Roman" w:hAnsi="Times New Roman" w:cs="Times New Roman"/>
          <w:color w:val="000000" w:themeColor="text1"/>
          <w:sz w:val="20"/>
          <w:szCs w:val="20"/>
        </w:rPr>
        <w:t>,</w:t>
      </w:r>
      <w:r w:rsidR="003758DD" w:rsidRPr="00777280">
        <w:rPr>
          <w:rFonts w:ascii="Times New Roman" w:hAnsi="Times New Roman" w:cs="Times New Roman"/>
          <w:color w:val="000000" w:themeColor="text1"/>
          <w:sz w:val="20"/>
          <w:szCs w:val="20"/>
        </w:rPr>
        <w:t xml:space="preserve"> pour une étude de droit comparé portant notamment sur la </w:t>
      </w:r>
      <w:r w:rsidR="003758DD" w:rsidRPr="0005327B">
        <w:rPr>
          <w:rFonts w:ascii="Times New Roman" w:hAnsi="Times New Roman" w:cs="Times New Roman"/>
          <w:color w:val="000000" w:themeColor="text1"/>
          <w:sz w:val="20"/>
          <w:szCs w:val="20"/>
        </w:rPr>
        <w:t xml:space="preserve">jurisprudence des Pays-Bas, du Portugal, de l’Espagne et de la Pologne, M. </w:t>
      </w:r>
      <w:proofErr w:type="spellStart"/>
      <w:r w:rsidR="003758DD" w:rsidRPr="0005327B">
        <w:rPr>
          <w:rFonts w:ascii="Times New Roman" w:hAnsi="Times New Roman" w:cs="Times New Roman"/>
          <w:color w:val="000000" w:themeColor="text1"/>
          <w:sz w:val="20"/>
          <w:szCs w:val="20"/>
        </w:rPr>
        <w:t>Julicher</w:t>
      </w:r>
      <w:proofErr w:type="spellEnd"/>
      <w:r w:rsidR="003758DD" w:rsidRPr="0005327B">
        <w:rPr>
          <w:rFonts w:ascii="Times New Roman" w:hAnsi="Times New Roman" w:cs="Times New Roman"/>
          <w:color w:val="000000" w:themeColor="text1"/>
          <w:sz w:val="20"/>
          <w:szCs w:val="20"/>
        </w:rPr>
        <w:t xml:space="preserve">, M. </w:t>
      </w:r>
      <w:proofErr w:type="spellStart"/>
      <w:r w:rsidR="003758DD" w:rsidRPr="0005327B">
        <w:rPr>
          <w:rFonts w:ascii="Times New Roman" w:hAnsi="Times New Roman" w:cs="Times New Roman"/>
          <w:color w:val="000000" w:themeColor="text1"/>
          <w:sz w:val="20"/>
          <w:szCs w:val="20"/>
        </w:rPr>
        <w:t>Henriques</w:t>
      </w:r>
      <w:proofErr w:type="spellEnd"/>
      <w:r w:rsidR="003758DD" w:rsidRPr="0005327B">
        <w:rPr>
          <w:rFonts w:ascii="Times New Roman" w:hAnsi="Times New Roman" w:cs="Times New Roman"/>
          <w:color w:val="000000" w:themeColor="text1"/>
          <w:sz w:val="20"/>
          <w:szCs w:val="20"/>
        </w:rPr>
        <w:t xml:space="preserve">, A. Amat </w:t>
      </w:r>
      <w:proofErr w:type="spellStart"/>
      <w:r w:rsidR="003758DD" w:rsidRPr="0005327B">
        <w:rPr>
          <w:rFonts w:ascii="Times New Roman" w:hAnsi="Times New Roman" w:cs="Times New Roman"/>
          <w:color w:val="000000" w:themeColor="text1"/>
          <w:sz w:val="20"/>
          <w:szCs w:val="20"/>
        </w:rPr>
        <w:t>Bial</w:t>
      </w:r>
      <w:proofErr w:type="spellEnd"/>
      <w:r w:rsidR="003758DD" w:rsidRPr="0005327B">
        <w:rPr>
          <w:rFonts w:ascii="Times New Roman" w:hAnsi="Times New Roman" w:cs="Times New Roman"/>
          <w:color w:val="000000" w:themeColor="text1"/>
          <w:sz w:val="20"/>
          <w:szCs w:val="20"/>
        </w:rPr>
        <w:t xml:space="preserve"> et P. </w:t>
      </w:r>
      <w:proofErr w:type="spellStart"/>
      <w:r w:rsidR="003758DD" w:rsidRPr="0005327B">
        <w:rPr>
          <w:rFonts w:ascii="Times New Roman" w:hAnsi="Times New Roman" w:cs="Times New Roman"/>
          <w:color w:val="000000" w:themeColor="text1"/>
          <w:sz w:val="20"/>
          <w:szCs w:val="20"/>
        </w:rPr>
        <w:t>Policastro</w:t>
      </w:r>
      <w:proofErr w:type="spellEnd"/>
      <w:r w:rsidR="003758DD" w:rsidRPr="0005327B">
        <w:rPr>
          <w:rFonts w:ascii="Times New Roman" w:hAnsi="Times New Roman" w:cs="Times New Roman"/>
          <w:color w:val="000000" w:themeColor="text1"/>
          <w:sz w:val="20"/>
          <w:szCs w:val="20"/>
        </w:rPr>
        <w:t xml:space="preserve">, « Protection of the EU-Charter for </w:t>
      </w:r>
      <w:proofErr w:type="spellStart"/>
      <w:r w:rsidR="003758DD" w:rsidRPr="0005327B">
        <w:rPr>
          <w:rFonts w:ascii="Times New Roman" w:hAnsi="Times New Roman" w:cs="Times New Roman"/>
          <w:color w:val="000000" w:themeColor="text1"/>
          <w:sz w:val="20"/>
          <w:szCs w:val="20"/>
        </w:rPr>
        <w:t>private</w:t>
      </w:r>
      <w:proofErr w:type="spellEnd"/>
      <w:r w:rsidR="003758DD" w:rsidRPr="0005327B">
        <w:rPr>
          <w:rFonts w:ascii="Times New Roman" w:hAnsi="Times New Roman" w:cs="Times New Roman"/>
          <w:color w:val="000000" w:themeColor="text1"/>
          <w:sz w:val="20"/>
          <w:szCs w:val="20"/>
        </w:rPr>
        <w:t xml:space="preserve"> </w:t>
      </w:r>
      <w:proofErr w:type="spellStart"/>
      <w:r w:rsidR="003758DD" w:rsidRPr="0005327B">
        <w:rPr>
          <w:rFonts w:ascii="Times New Roman" w:hAnsi="Times New Roman" w:cs="Times New Roman"/>
          <w:color w:val="000000" w:themeColor="text1"/>
          <w:sz w:val="20"/>
          <w:szCs w:val="20"/>
        </w:rPr>
        <w:t>legal</w:t>
      </w:r>
      <w:proofErr w:type="spellEnd"/>
      <w:r w:rsidR="003758DD" w:rsidRPr="0005327B">
        <w:rPr>
          <w:rFonts w:ascii="Times New Roman" w:hAnsi="Times New Roman" w:cs="Times New Roman"/>
          <w:color w:val="000000" w:themeColor="text1"/>
          <w:sz w:val="20"/>
          <w:szCs w:val="20"/>
        </w:rPr>
        <w:t xml:space="preserve"> </w:t>
      </w:r>
      <w:proofErr w:type="spellStart"/>
      <w:r w:rsidR="003758DD" w:rsidRPr="0005327B">
        <w:rPr>
          <w:rFonts w:ascii="Times New Roman" w:hAnsi="Times New Roman" w:cs="Times New Roman"/>
          <w:color w:val="000000" w:themeColor="text1"/>
          <w:sz w:val="20"/>
          <w:szCs w:val="20"/>
        </w:rPr>
        <w:t>entities</w:t>
      </w:r>
      <w:proofErr w:type="spellEnd"/>
      <w:r w:rsidR="003758DD" w:rsidRPr="0005327B">
        <w:rPr>
          <w:rFonts w:ascii="Times New Roman" w:hAnsi="Times New Roman" w:cs="Times New Roman"/>
          <w:color w:val="000000" w:themeColor="text1"/>
          <w:sz w:val="20"/>
          <w:szCs w:val="20"/>
        </w:rPr>
        <w:t xml:space="preserve"> and public </w:t>
      </w:r>
      <w:proofErr w:type="spellStart"/>
      <w:r w:rsidR="003758DD" w:rsidRPr="0005327B">
        <w:rPr>
          <w:rFonts w:ascii="Times New Roman" w:hAnsi="Times New Roman" w:cs="Times New Roman"/>
          <w:color w:val="000000" w:themeColor="text1"/>
          <w:sz w:val="20"/>
          <w:szCs w:val="20"/>
        </w:rPr>
        <w:t>authorities</w:t>
      </w:r>
      <w:proofErr w:type="spellEnd"/>
      <w:r w:rsidR="003758DD" w:rsidRPr="0005327B">
        <w:rPr>
          <w:rFonts w:ascii="Times New Roman" w:hAnsi="Times New Roman" w:cs="Times New Roman"/>
          <w:color w:val="000000" w:themeColor="text1"/>
          <w:sz w:val="20"/>
          <w:szCs w:val="20"/>
        </w:rPr>
        <w:t xml:space="preserve"> ? </w:t>
      </w:r>
      <w:r w:rsidR="003758DD" w:rsidRPr="0005327B">
        <w:rPr>
          <w:rFonts w:ascii="Times New Roman" w:hAnsi="Times New Roman" w:cs="Times New Roman"/>
          <w:color w:val="000000" w:themeColor="text1"/>
          <w:sz w:val="20"/>
          <w:szCs w:val="20"/>
          <w:lang w:val="en-US"/>
        </w:rPr>
        <w:t xml:space="preserve">The personal scope of fundamental rights within Europe Compared », </w:t>
      </w:r>
      <w:r w:rsidR="003758DD" w:rsidRPr="0005327B">
        <w:rPr>
          <w:rFonts w:ascii="Times New Roman" w:hAnsi="Times New Roman" w:cs="Times New Roman"/>
          <w:i/>
          <w:color w:val="000000" w:themeColor="text1"/>
          <w:sz w:val="20"/>
          <w:szCs w:val="20"/>
          <w:lang w:val="en-US"/>
        </w:rPr>
        <w:t xml:space="preserve">Utrecht Law Review, </w:t>
      </w:r>
      <w:r w:rsidR="003758DD" w:rsidRPr="0005327B">
        <w:rPr>
          <w:rFonts w:ascii="Times New Roman" w:hAnsi="Times New Roman" w:cs="Times New Roman"/>
          <w:color w:val="000000" w:themeColor="text1"/>
          <w:sz w:val="20"/>
          <w:szCs w:val="20"/>
          <w:lang w:val="en-US"/>
        </w:rPr>
        <w:t xml:space="preserve">Vol 15, n°1, 2019, pp. </w:t>
      </w:r>
    </w:p>
  </w:footnote>
  <w:footnote w:id="21">
    <w:p w14:paraId="2A938BFE" w14:textId="7C9DAE7C" w:rsidR="003758DD" w:rsidRPr="00777280" w:rsidRDefault="003758DD" w:rsidP="0005327B">
      <w:pPr>
        <w:jc w:val="both"/>
        <w:rPr>
          <w:sz w:val="20"/>
          <w:szCs w:val="20"/>
        </w:rPr>
      </w:pPr>
      <w:r w:rsidRPr="0005327B">
        <w:rPr>
          <w:rStyle w:val="Appelnotedebasdep"/>
          <w:sz w:val="20"/>
          <w:szCs w:val="20"/>
        </w:rPr>
        <w:footnoteRef/>
      </w:r>
      <w:r w:rsidRPr="0005327B">
        <w:rPr>
          <w:sz w:val="20"/>
          <w:szCs w:val="20"/>
        </w:rPr>
        <w:t xml:space="preserve"> </w:t>
      </w:r>
      <w:proofErr w:type="spellStart"/>
      <w:r w:rsidRPr="0005327B">
        <w:rPr>
          <w:sz w:val="20"/>
          <w:szCs w:val="20"/>
          <w:lang w:val="fr-FR"/>
        </w:rPr>
        <w:t>Voy</w:t>
      </w:r>
      <w:proofErr w:type="spellEnd"/>
      <w:r w:rsidRPr="0005327B">
        <w:rPr>
          <w:sz w:val="20"/>
          <w:szCs w:val="20"/>
          <w:lang w:val="fr-FR"/>
        </w:rPr>
        <w:t xml:space="preserve">. p. ex. </w:t>
      </w:r>
      <w:proofErr w:type="spellStart"/>
      <w:r w:rsidRPr="0005327B">
        <w:rPr>
          <w:rStyle w:val="sb8d990e2"/>
          <w:color w:val="000000"/>
          <w:sz w:val="20"/>
          <w:szCs w:val="20"/>
        </w:rPr>
        <w:t>Cass</w:t>
      </w:r>
      <w:proofErr w:type="spellEnd"/>
      <w:r w:rsidRPr="0005327B">
        <w:rPr>
          <w:sz w:val="20"/>
          <w:szCs w:val="20"/>
          <w:lang w:val="fr-FR"/>
        </w:rPr>
        <w:t xml:space="preserve">, 16 mai 2002, </w:t>
      </w:r>
      <w:r w:rsidRPr="0005327B">
        <w:rPr>
          <w:sz w:val="20"/>
          <w:szCs w:val="20"/>
        </w:rPr>
        <w:t xml:space="preserve">N° C.99.0515.N (Pourvoi en cassation introduit par la Commune de Brasschaat – Moyen pris de la violation de l’article 6 de la Convention) ; </w:t>
      </w:r>
      <w:proofErr w:type="spellStart"/>
      <w:r w:rsidRPr="0005327B">
        <w:rPr>
          <w:sz w:val="20"/>
          <w:szCs w:val="20"/>
        </w:rPr>
        <w:t>Cass</w:t>
      </w:r>
      <w:proofErr w:type="spellEnd"/>
      <w:r w:rsidRPr="0005327B">
        <w:rPr>
          <w:sz w:val="20"/>
          <w:szCs w:val="20"/>
        </w:rPr>
        <w:t xml:space="preserve">, 10 février 2017, </w:t>
      </w:r>
      <w:r w:rsidRPr="0005327B">
        <w:rPr>
          <w:color w:val="000000"/>
          <w:sz w:val="20"/>
          <w:szCs w:val="20"/>
          <w:shd w:val="clear" w:color="auto" w:fill="FFFFFF"/>
        </w:rPr>
        <w:t xml:space="preserve">F.15.0145.N (Région flamande – </w:t>
      </w:r>
      <w:r w:rsidR="00E55189" w:rsidRPr="0005327B">
        <w:rPr>
          <w:color w:val="000000"/>
          <w:sz w:val="20"/>
          <w:szCs w:val="20"/>
          <w:shd w:val="clear" w:color="auto" w:fill="FFFFFF"/>
        </w:rPr>
        <w:t xml:space="preserve">Moyen pris de la </w:t>
      </w:r>
      <w:r w:rsidRPr="0005327B">
        <w:rPr>
          <w:color w:val="000000"/>
          <w:sz w:val="20"/>
          <w:szCs w:val="20"/>
          <w:shd w:val="clear" w:color="auto" w:fill="FFFFFF"/>
        </w:rPr>
        <w:t xml:space="preserve">Violation du droit à un procès équitable) ; </w:t>
      </w:r>
      <w:proofErr w:type="spellStart"/>
      <w:r w:rsidRPr="0005327B">
        <w:rPr>
          <w:color w:val="000000"/>
          <w:sz w:val="20"/>
          <w:szCs w:val="20"/>
          <w:shd w:val="clear" w:color="auto" w:fill="FFFFFF"/>
        </w:rPr>
        <w:t>Cass</w:t>
      </w:r>
      <w:proofErr w:type="spellEnd"/>
      <w:r w:rsidRPr="0005327B">
        <w:rPr>
          <w:color w:val="000000"/>
          <w:sz w:val="20"/>
          <w:szCs w:val="20"/>
          <w:shd w:val="clear" w:color="auto" w:fill="FFFFFF"/>
        </w:rPr>
        <w:t xml:space="preserve">., 2 novembre 2012, </w:t>
      </w:r>
      <w:r w:rsidRPr="0005327B">
        <w:rPr>
          <w:color w:val="000000"/>
          <w:sz w:val="20"/>
          <w:szCs w:val="20"/>
        </w:rPr>
        <w:t>C.11.0018.N (</w:t>
      </w:r>
      <w:proofErr w:type="spellStart"/>
      <w:r w:rsidRPr="0005327B">
        <w:rPr>
          <w:color w:val="000000"/>
          <w:sz w:val="20"/>
          <w:szCs w:val="20"/>
        </w:rPr>
        <w:t>Etat</w:t>
      </w:r>
      <w:proofErr w:type="spellEnd"/>
      <w:r w:rsidRPr="0005327B">
        <w:rPr>
          <w:color w:val="000000"/>
          <w:sz w:val="20"/>
          <w:szCs w:val="20"/>
        </w:rPr>
        <w:t xml:space="preserve"> belge </w:t>
      </w:r>
      <w:r w:rsidR="00E55189" w:rsidRPr="0005327B">
        <w:rPr>
          <w:color w:val="000000"/>
          <w:sz w:val="20"/>
          <w:szCs w:val="20"/>
        </w:rPr>
        <w:t>–</w:t>
      </w:r>
      <w:r w:rsidRPr="0005327B">
        <w:rPr>
          <w:color w:val="000000"/>
          <w:sz w:val="20"/>
          <w:szCs w:val="20"/>
        </w:rPr>
        <w:t xml:space="preserve"> </w:t>
      </w:r>
      <w:r w:rsidR="00E55189" w:rsidRPr="0005327B">
        <w:rPr>
          <w:color w:val="000000"/>
          <w:sz w:val="20"/>
          <w:szCs w:val="20"/>
        </w:rPr>
        <w:t xml:space="preserve">Moyen pris de la violation de </w:t>
      </w:r>
      <w:r w:rsidR="00E55189" w:rsidRPr="0005327B">
        <w:rPr>
          <w:sz w:val="20"/>
          <w:szCs w:val="20"/>
        </w:rPr>
        <w:t>l’article 6 de la Convention)</w:t>
      </w:r>
    </w:p>
  </w:footnote>
  <w:footnote w:id="22">
    <w:p w14:paraId="53D66492" w14:textId="6007E228" w:rsidR="00777280" w:rsidRPr="00777280" w:rsidRDefault="00E55189" w:rsidP="00777280">
      <w:pPr>
        <w:jc w:val="both"/>
        <w:rPr>
          <w:color w:val="000000"/>
          <w:sz w:val="20"/>
          <w:szCs w:val="20"/>
        </w:rPr>
      </w:pPr>
      <w:r w:rsidRPr="00777280">
        <w:rPr>
          <w:rStyle w:val="Appelnotedebasdep"/>
          <w:sz w:val="20"/>
          <w:szCs w:val="20"/>
        </w:rPr>
        <w:footnoteRef/>
      </w:r>
      <w:r w:rsidRPr="00777280">
        <w:rPr>
          <w:sz w:val="20"/>
          <w:szCs w:val="20"/>
        </w:rPr>
        <w:t xml:space="preserve"> </w:t>
      </w:r>
      <w:proofErr w:type="spellStart"/>
      <w:r w:rsidRPr="00777280">
        <w:rPr>
          <w:sz w:val="20"/>
          <w:szCs w:val="20"/>
        </w:rPr>
        <w:t>Voy</w:t>
      </w:r>
      <w:proofErr w:type="spellEnd"/>
      <w:r w:rsidRPr="00777280">
        <w:rPr>
          <w:sz w:val="20"/>
          <w:szCs w:val="20"/>
        </w:rPr>
        <w:t xml:space="preserve">. en effet la synthèse jurisprudentielle réalisée par </w:t>
      </w:r>
      <w:bookmarkStart w:id="1" w:name="point53"/>
      <w:r w:rsidR="00777280" w:rsidRPr="00777280">
        <w:rPr>
          <w:sz w:val="20"/>
          <w:szCs w:val="20"/>
        </w:rPr>
        <w:t xml:space="preserve">le Tribunal dans l’affaire </w:t>
      </w:r>
      <w:r w:rsidR="00777280" w:rsidRPr="00777280">
        <w:rPr>
          <w:rStyle w:val="s6b621b36"/>
          <w:i/>
          <w:iCs/>
          <w:color w:val="000000"/>
          <w:sz w:val="20"/>
          <w:szCs w:val="20"/>
        </w:rPr>
        <w:t xml:space="preserve">Bank of </w:t>
      </w:r>
      <w:proofErr w:type="spellStart"/>
      <w:r w:rsidR="00777280" w:rsidRPr="00777280">
        <w:rPr>
          <w:rStyle w:val="s6b621b36"/>
          <w:i/>
          <w:iCs/>
          <w:color w:val="000000"/>
          <w:sz w:val="20"/>
          <w:szCs w:val="20"/>
        </w:rPr>
        <w:t>Industry</w:t>
      </w:r>
      <w:proofErr w:type="spellEnd"/>
      <w:r w:rsidR="00777280" w:rsidRPr="00777280">
        <w:rPr>
          <w:rStyle w:val="s6b621b36"/>
          <w:i/>
          <w:iCs/>
          <w:color w:val="000000"/>
          <w:sz w:val="20"/>
          <w:szCs w:val="20"/>
        </w:rPr>
        <w:t xml:space="preserve"> and Mine</w:t>
      </w:r>
      <w:r w:rsidR="00777280" w:rsidRPr="00777280">
        <w:rPr>
          <w:rStyle w:val="apple-converted-space"/>
          <w:color w:val="000000"/>
          <w:sz w:val="20"/>
          <w:szCs w:val="20"/>
        </w:rPr>
        <w:t> </w:t>
      </w:r>
      <w:r w:rsidR="00777280" w:rsidRPr="00777280">
        <w:rPr>
          <w:rStyle w:val="s6b621b36"/>
          <w:i/>
          <w:iCs/>
          <w:color w:val="000000"/>
          <w:sz w:val="20"/>
          <w:szCs w:val="20"/>
        </w:rPr>
        <w:t>c.</w:t>
      </w:r>
      <w:r w:rsidR="00777280" w:rsidRPr="00777280">
        <w:rPr>
          <w:rStyle w:val="apple-converted-space"/>
          <w:color w:val="000000"/>
          <w:sz w:val="20"/>
          <w:szCs w:val="20"/>
        </w:rPr>
        <w:t> </w:t>
      </w:r>
      <w:r w:rsidR="00777280" w:rsidRPr="00777280">
        <w:rPr>
          <w:rStyle w:val="s6b621b36"/>
          <w:i/>
          <w:iCs/>
          <w:color w:val="000000"/>
          <w:sz w:val="20"/>
          <w:szCs w:val="20"/>
        </w:rPr>
        <w:t>Conseil</w:t>
      </w:r>
      <w:r w:rsidR="00777280" w:rsidRPr="00777280">
        <w:rPr>
          <w:rStyle w:val="sb8d990e2"/>
          <w:color w:val="000000"/>
          <w:sz w:val="20"/>
          <w:szCs w:val="20"/>
        </w:rPr>
        <w:t>,</w:t>
      </w:r>
      <w:r w:rsidR="00777280" w:rsidRPr="00777280">
        <w:rPr>
          <w:rStyle w:val="apple-converted-space"/>
          <w:color w:val="000000"/>
          <w:sz w:val="20"/>
          <w:szCs w:val="20"/>
        </w:rPr>
        <w:t> </w:t>
      </w:r>
      <w:r w:rsidR="00777280" w:rsidRPr="00777280">
        <w:rPr>
          <w:rStyle w:val="sb8d990e2"/>
          <w:color w:val="000000"/>
          <w:sz w:val="20"/>
          <w:szCs w:val="20"/>
        </w:rPr>
        <w:t>affaire</w:t>
      </w:r>
      <w:r w:rsidR="00777280" w:rsidRPr="00777280">
        <w:rPr>
          <w:rStyle w:val="apple-converted-space"/>
          <w:color w:val="000000"/>
          <w:sz w:val="20"/>
          <w:szCs w:val="20"/>
        </w:rPr>
        <w:t> </w:t>
      </w:r>
      <w:r w:rsidR="00777280" w:rsidRPr="00777280">
        <w:rPr>
          <w:rStyle w:val="sb8d990e2"/>
          <w:color w:val="000000"/>
          <w:sz w:val="20"/>
          <w:szCs w:val="20"/>
        </w:rPr>
        <w:t xml:space="preserve">T-10/13, arrêt du Tribunal du 29 avril 2015, §§ 53 et </w:t>
      </w:r>
      <w:proofErr w:type="spellStart"/>
      <w:r w:rsidR="00777280" w:rsidRPr="00777280">
        <w:rPr>
          <w:rStyle w:val="sb8d990e2"/>
          <w:color w:val="000000"/>
          <w:sz w:val="20"/>
          <w:szCs w:val="20"/>
        </w:rPr>
        <w:t>suiv</w:t>
      </w:r>
      <w:bookmarkEnd w:id="1"/>
      <w:proofErr w:type="spellEnd"/>
      <w:r w:rsidR="00777280" w:rsidRPr="00777280">
        <w:rPr>
          <w:rStyle w:val="sb8d990e2"/>
          <w:color w:val="000000"/>
          <w:sz w:val="20"/>
          <w:szCs w:val="20"/>
        </w:rPr>
        <w:t>. « </w:t>
      </w:r>
      <w:r w:rsidR="00B36965">
        <w:rPr>
          <w:rStyle w:val="sb8d990e2"/>
          <w:color w:val="000000"/>
          <w:sz w:val="20"/>
          <w:szCs w:val="20"/>
        </w:rPr>
        <w:t xml:space="preserve"> 53. </w:t>
      </w:r>
      <w:r w:rsidRPr="00777280">
        <w:rPr>
          <w:color w:val="000000"/>
          <w:sz w:val="20"/>
          <w:szCs w:val="20"/>
        </w:rPr>
        <w:t>Selon la jurisprudence, ni la charte des droits fondamentaux de l’Union européenne ni le droit primaire de l’Union ne prévoient de dispositions excluant les personnes morales qui sont des émanations des États du bénéfice de la protection des droits fondamentaux. Au contraire, les dispositions de ladite charte qui sont pertinentes par rapport aux moyens soulevés par la requérante, et notamment ses articles 17, 41 et 47, garantissent les droits de « [t]</w:t>
      </w:r>
      <w:proofErr w:type="spellStart"/>
      <w:r w:rsidRPr="00777280">
        <w:rPr>
          <w:color w:val="000000"/>
          <w:sz w:val="20"/>
          <w:szCs w:val="20"/>
        </w:rPr>
        <w:t>oute</w:t>
      </w:r>
      <w:proofErr w:type="spellEnd"/>
      <w:r w:rsidRPr="00777280">
        <w:rPr>
          <w:color w:val="000000"/>
          <w:sz w:val="20"/>
          <w:szCs w:val="20"/>
        </w:rPr>
        <w:t xml:space="preserve"> personne », formulation qui inclut des personnes morales telles que la requérante (arrêt du 6 septembre 2013, Bank </w:t>
      </w:r>
      <w:proofErr w:type="spellStart"/>
      <w:r w:rsidRPr="00777280">
        <w:rPr>
          <w:color w:val="000000"/>
          <w:sz w:val="20"/>
          <w:szCs w:val="20"/>
        </w:rPr>
        <w:t>Melli</w:t>
      </w:r>
      <w:proofErr w:type="spellEnd"/>
      <w:r w:rsidRPr="00777280">
        <w:rPr>
          <w:color w:val="000000"/>
          <w:sz w:val="20"/>
          <w:szCs w:val="20"/>
        </w:rPr>
        <w:t xml:space="preserve"> Iran/Conseil, T</w:t>
      </w:r>
      <w:r w:rsidRPr="00777280">
        <w:rPr>
          <w:color w:val="000000"/>
          <w:sz w:val="20"/>
          <w:szCs w:val="20"/>
        </w:rPr>
        <w:noBreakHyphen/>
        <w:t>35/10 et T</w:t>
      </w:r>
      <w:r w:rsidRPr="00777280">
        <w:rPr>
          <w:color w:val="000000"/>
          <w:sz w:val="20"/>
          <w:szCs w:val="20"/>
        </w:rPr>
        <w:noBreakHyphen/>
        <w:t xml:space="preserve">7/11, </w:t>
      </w:r>
      <w:proofErr w:type="spellStart"/>
      <w:r w:rsidRPr="00777280">
        <w:rPr>
          <w:color w:val="000000"/>
          <w:sz w:val="20"/>
          <w:szCs w:val="20"/>
        </w:rPr>
        <w:t>Rec</w:t>
      </w:r>
      <w:proofErr w:type="spellEnd"/>
      <w:r w:rsidRPr="00777280">
        <w:rPr>
          <w:color w:val="000000"/>
          <w:sz w:val="20"/>
          <w:szCs w:val="20"/>
        </w:rPr>
        <w:t>, EU:T:2013:397, point 65).</w:t>
      </w:r>
    </w:p>
    <w:p w14:paraId="0CB1642A" w14:textId="77777777" w:rsidR="00777280" w:rsidRPr="00777280" w:rsidRDefault="00777280" w:rsidP="00777280">
      <w:pPr>
        <w:jc w:val="both"/>
        <w:rPr>
          <w:color w:val="000000"/>
          <w:sz w:val="20"/>
          <w:szCs w:val="20"/>
        </w:rPr>
      </w:pPr>
      <w:r w:rsidRPr="00777280">
        <w:rPr>
          <w:color w:val="000000"/>
          <w:sz w:val="20"/>
          <w:szCs w:val="20"/>
        </w:rPr>
        <w:t>54</w:t>
      </w:r>
      <w:r w:rsidR="00E55189" w:rsidRPr="00777280">
        <w:rPr>
          <w:color w:val="000000"/>
          <w:sz w:val="20"/>
          <w:szCs w:val="20"/>
        </w:rPr>
        <w:t> Le Conseil invoque néanmoins, dans ce contexte, l’article 34 de la convention de sauvegarde des droits de l’homme et des libertés fondamentales, signée à Rome le 4 novembre 1950 (ci-après la « CEDH »), qui n’admet pas la recevabilité des requêtes présentées devant la Cour européenne des droits de l’homme par des organisations gouvernementales.</w:t>
      </w:r>
    </w:p>
    <w:p w14:paraId="20EA5A74" w14:textId="77777777" w:rsidR="00777280" w:rsidRPr="00777280" w:rsidRDefault="00777280" w:rsidP="00777280">
      <w:pPr>
        <w:jc w:val="both"/>
        <w:rPr>
          <w:color w:val="000000"/>
          <w:sz w:val="20"/>
          <w:szCs w:val="20"/>
        </w:rPr>
      </w:pPr>
      <w:r w:rsidRPr="00777280">
        <w:rPr>
          <w:color w:val="000000"/>
          <w:sz w:val="20"/>
          <w:szCs w:val="20"/>
        </w:rPr>
        <w:t xml:space="preserve">55. </w:t>
      </w:r>
      <w:r w:rsidR="00E55189" w:rsidRPr="00777280">
        <w:rPr>
          <w:color w:val="000000"/>
          <w:sz w:val="20"/>
          <w:szCs w:val="20"/>
        </w:rPr>
        <w:t>Or, d’une part, l’article 34 de la CEDH est une disposition procédurale qui n’est pas applicable aux procédures devant le juge de l’Union. D’autre part, selon la jurisprudence de la Cour européenne des droits de l’homme, le but de cette disposition est d’éviter qu’un État partie à la CEDH soit à la fois requérant et défendeur devant ladite Cour (voir, en ce sens, Cour EDH, Compagnie de navigation de la République islamique d’Iran c. Turquie, 13 décembre 2007,</w:t>
      </w:r>
      <w:r w:rsidR="00E55189" w:rsidRPr="00777280">
        <w:rPr>
          <w:rStyle w:val="apple-converted-space"/>
          <w:color w:val="000000"/>
          <w:sz w:val="20"/>
          <w:szCs w:val="20"/>
        </w:rPr>
        <w:t> </w:t>
      </w:r>
      <w:r w:rsidR="00E55189" w:rsidRPr="00777280">
        <w:rPr>
          <w:i/>
          <w:iCs/>
          <w:color w:val="000000"/>
          <w:sz w:val="20"/>
          <w:szCs w:val="20"/>
        </w:rPr>
        <w:t>Recueil des arrêts et décisions</w:t>
      </w:r>
      <w:r w:rsidR="00E55189" w:rsidRPr="00777280">
        <w:rPr>
          <w:color w:val="000000"/>
          <w:sz w:val="20"/>
          <w:szCs w:val="20"/>
        </w:rPr>
        <w:t>, 2007</w:t>
      </w:r>
      <w:r w:rsidR="00E55189" w:rsidRPr="00777280">
        <w:rPr>
          <w:color w:val="000000"/>
          <w:sz w:val="20"/>
          <w:szCs w:val="20"/>
        </w:rPr>
        <w:noBreakHyphen/>
        <w:t xml:space="preserve">V, § 81). Ce raisonnement n’est pas applicable au cas d’espèce (arrêt Bank </w:t>
      </w:r>
      <w:proofErr w:type="spellStart"/>
      <w:r w:rsidR="00E55189" w:rsidRPr="00777280">
        <w:rPr>
          <w:color w:val="000000"/>
          <w:sz w:val="20"/>
          <w:szCs w:val="20"/>
        </w:rPr>
        <w:t>Melli</w:t>
      </w:r>
      <w:proofErr w:type="spellEnd"/>
      <w:r w:rsidR="00E55189" w:rsidRPr="00777280">
        <w:rPr>
          <w:color w:val="000000"/>
          <w:sz w:val="20"/>
          <w:szCs w:val="20"/>
        </w:rPr>
        <w:t xml:space="preserve"> Iran/Conseil, point 53 supra, EU:T:2013:397, point 67).</w:t>
      </w:r>
    </w:p>
    <w:p w14:paraId="25CBC6DE" w14:textId="77777777" w:rsidR="00777280" w:rsidRPr="00777280" w:rsidRDefault="00777280" w:rsidP="00777280">
      <w:pPr>
        <w:jc w:val="both"/>
        <w:rPr>
          <w:color w:val="000000"/>
          <w:sz w:val="20"/>
          <w:szCs w:val="20"/>
        </w:rPr>
      </w:pPr>
      <w:r w:rsidRPr="00777280">
        <w:rPr>
          <w:color w:val="000000"/>
          <w:sz w:val="20"/>
          <w:szCs w:val="20"/>
        </w:rPr>
        <w:t xml:space="preserve">56. </w:t>
      </w:r>
      <w:r w:rsidR="00E55189" w:rsidRPr="00777280">
        <w:rPr>
          <w:color w:val="000000"/>
          <w:sz w:val="20"/>
          <w:szCs w:val="20"/>
        </w:rPr>
        <w:t>Le Conseil fait également valoir que la règle qu’il invoque est justifiée par le fait qu’un État est garant du respect des droits fondamentaux sur son territoire, mais ne peut pas bénéficier de tels droits.</w:t>
      </w:r>
    </w:p>
    <w:p w14:paraId="17A851A6" w14:textId="77777777" w:rsidR="00777280" w:rsidRPr="00777280" w:rsidRDefault="00777280" w:rsidP="00777280">
      <w:pPr>
        <w:jc w:val="both"/>
        <w:rPr>
          <w:color w:val="000000"/>
          <w:sz w:val="20"/>
          <w:szCs w:val="20"/>
        </w:rPr>
      </w:pPr>
      <w:r w:rsidRPr="00777280">
        <w:rPr>
          <w:color w:val="000000"/>
          <w:sz w:val="20"/>
          <w:szCs w:val="20"/>
        </w:rPr>
        <w:t xml:space="preserve">57. </w:t>
      </w:r>
      <w:r w:rsidR="00E55189" w:rsidRPr="00777280">
        <w:rPr>
          <w:color w:val="000000"/>
          <w:sz w:val="20"/>
          <w:szCs w:val="20"/>
        </w:rPr>
        <w:t xml:space="preserve">Toutefois, à supposer même que cette justification trouve à s’appliquer en ce qui concerne une situation interne, la circonstance selon laquelle un État est le garant du respect des droits fondamentaux sur son propre territoire est sans pertinence s’agissant de l’étendue des droits dont peuvent bénéficier des personnes morales qui sont des émanations de ce même État sur le territoire des États tiers (arrêt Bank </w:t>
      </w:r>
      <w:proofErr w:type="spellStart"/>
      <w:r w:rsidR="00E55189" w:rsidRPr="00777280">
        <w:rPr>
          <w:color w:val="000000"/>
          <w:sz w:val="20"/>
          <w:szCs w:val="20"/>
        </w:rPr>
        <w:t>Melli</w:t>
      </w:r>
      <w:proofErr w:type="spellEnd"/>
      <w:r w:rsidR="00E55189" w:rsidRPr="00777280">
        <w:rPr>
          <w:color w:val="000000"/>
          <w:sz w:val="20"/>
          <w:szCs w:val="20"/>
        </w:rPr>
        <w:t xml:space="preserve"> Iran/Conseil, point 53 supra, EU:T:2013:397, point 69).</w:t>
      </w:r>
    </w:p>
    <w:p w14:paraId="74E9EA24" w14:textId="4F32B97B" w:rsidR="00E55189" w:rsidRPr="00777280" w:rsidRDefault="00777280" w:rsidP="00777280">
      <w:pPr>
        <w:jc w:val="both"/>
        <w:rPr>
          <w:sz w:val="20"/>
          <w:szCs w:val="20"/>
        </w:rPr>
      </w:pPr>
      <w:r w:rsidRPr="00777280">
        <w:rPr>
          <w:color w:val="000000"/>
          <w:sz w:val="20"/>
          <w:szCs w:val="20"/>
        </w:rPr>
        <w:t>58.</w:t>
      </w:r>
      <w:r w:rsidR="00E55189" w:rsidRPr="00777280">
        <w:rPr>
          <w:color w:val="000000"/>
          <w:sz w:val="20"/>
          <w:szCs w:val="20"/>
        </w:rPr>
        <w:t xml:space="preserve"> Au vu de ce qui précède, il y a lieu de considérer que le droit de l’Union ne comporte pas de règle empêchant des personnes morales qui sont des émanations des États tiers d’invoquer à leur profit les protections et les garanties liées aux droits fondamentaux. Par conséquent, même à supposer que la requérante, en tant qu’entité publique, soit une émanation de l’État iranien, elle peut invoquer ces mêmes droits devant le juge de l’Union, pour autant qu’ils soient compatibles avec sa qualité de personne morale (voir, en ce sens, arrêt Bank </w:t>
      </w:r>
      <w:proofErr w:type="spellStart"/>
      <w:r w:rsidR="00E55189" w:rsidRPr="00777280">
        <w:rPr>
          <w:color w:val="000000"/>
          <w:sz w:val="20"/>
          <w:szCs w:val="20"/>
        </w:rPr>
        <w:t>Melli</w:t>
      </w:r>
      <w:proofErr w:type="spellEnd"/>
      <w:r w:rsidR="00E55189" w:rsidRPr="00777280">
        <w:rPr>
          <w:color w:val="000000"/>
          <w:sz w:val="20"/>
          <w:szCs w:val="20"/>
        </w:rPr>
        <w:t xml:space="preserve"> Iran/Conseil, point 53 supra, EU:T:2013:397, point 70).</w:t>
      </w:r>
    </w:p>
    <w:p w14:paraId="010D868C" w14:textId="627C7679" w:rsidR="00E55189" w:rsidRPr="00777280" w:rsidRDefault="00777280" w:rsidP="00777280">
      <w:pPr>
        <w:pStyle w:val="Notedebasdepage"/>
        <w:jc w:val="both"/>
      </w:pPr>
      <w:proofErr w:type="spellStart"/>
      <w:r w:rsidRPr="00777280">
        <w:t>Voy</w:t>
      </w:r>
      <w:proofErr w:type="spellEnd"/>
      <w:r w:rsidRPr="00777280">
        <w:t xml:space="preserve">. </w:t>
      </w:r>
      <w:proofErr w:type="spellStart"/>
      <w:r w:rsidRPr="00777280">
        <w:t>ég</w:t>
      </w:r>
      <w:proofErr w:type="spellEnd"/>
      <w:r w:rsidRPr="00777280">
        <w:t xml:space="preserve">. les autres références citées par la Cour européenne des droits de l’Homme dans la décision </w:t>
      </w:r>
      <w:r w:rsidRPr="00777280">
        <w:rPr>
          <w:i/>
        </w:rPr>
        <w:t xml:space="preserve">Slovénie c. Croatie </w:t>
      </w:r>
      <w:r w:rsidRPr="00777280">
        <w:t>du 18 novembre 2020, §§ 26 à 30</w:t>
      </w:r>
    </w:p>
  </w:footnote>
  <w:footnote w:id="23">
    <w:p w14:paraId="7F335EB9" w14:textId="3F8785FA" w:rsidR="008B2705" w:rsidRPr="008B2705" w:rsidRDefault="008B2705">
      <w:pPr>
        <w:pStyle w:val="Notedebasdepage"/>
        <w:rPr>
          <w:lang w:val="fr-FR"/>
        </w:rPr>
      </w:pPr>
      <w:r>
        <w:rPr>
          <w:rStyle w:val="Appelnotedebasdep"/>
        </w:rPr>
        <w:footnoteRef/>
      </w:r>
      <w:r>
        <w:t xml:space="preserve"> </w:t>
      </w:r>
      <w:proofErr w:type="spellStart"/>
      <w:r>
        <w:rPr>
          <w:lang w:val="fr-FR"/>
        </w:rPr>
        <w:t>Req</w:t>
      </w:r>
      <w:proofErr w:type="spellEnd"/>
      <w:r>
        <w:rPr>
          <w:lang w:val="fr-FR"/>
        </w:rPr>
        <w:t xml:space="preserve">. </w:t>
      </w:r>
      <w:proofErr w:type="gramStart"/>
      <w:r>
        <w:rPr>
          <w:lang w:val="fr-FR"/>
        </w:rPr>
        <w:t>n</w:t>
      </w:r>
      <w:proofErr w:type="gramEnd"/>
      <w:r>
        <w:rPr>
          <w:lang w:val="fr-FR"/>
        </w:rPr>
        <w:t>°29003/07</w:t>
      </w:r>
    </w:p>
  </w:footnote>
  <w:footnote w:id="24">
    <w:p w14:paraId="539DF72E" w14:textId="26EF6AD0" w:rsidR="008B2705" w:rsidRPr="008B2705" w:rsidRDefault="008B2705">
      <w:pPr>
        <w:pStyle w:val="Notedebasdepage"/>
      </w:pPr>
      <w:r>
        <w:rPr>
          <w:rStyle w:val="Appelnotedebasdep"/>
        </w:rPr>
        <w:footnoteRef/>
      </w:r>
      <w:r>
        <w:t xml:space="preserve"> Cour </w:t>
      </w:r>
      <w:proofErr w:type="spellStart"/>
      <w:r>
        <w:t>eur</w:t>
      </w:r>
      <w:proofErr w:type="spellEnd"/>
      <w:r>
        <w:t xml:space="preserve">. D.H., arrêt </w:t>
      </w:r>
      <w:r w:rsidRPr="006D25A4">
        <w:rPr>
          <w:rStyle w:val="sb8d990e2"/>
          <w:i/>
          <w:color w:val="000000"/>
        </w:rPr>
        <w:t>Compagnie de navigation de la République islamique c. Turquie</w:t>
      </w:r>
      <w:r>
        <w:rPr>
          <w:rStyle w:val="sb8d990e2"/>
          <w:i/>
          <w:color w:val="000000"/>
        </w:rPr>
        <w:t xml:space="preserve"> </w:t>
      </w:r>
      <w:r>
        <w:rPr>
          <w:rStyle w:val="sb8d990e2"/>
          <w:color w:val="000000"/>
        </w:rPr>
        <w:t xml:space="preserve">du 13 </w:t>
      </w:r>
      <w:proofErr w:type="spellStart"/>
      <w:r>
        <w:rPr>
          <w:rStyle w:val="sb8d990e2"/>
          <w:color w:val="000000"/>
        </w:rPr>
        <w:t>décemhre</w:t>
      </w:r>
      <w:proofErr w:type="spellEnd"/>
      <w:r>
        <w:rPr>
          <w:rStyle w:val="sb8d990e2"/>
          <w:color w:val="000000"/>
        </w:rPr>
        <w:t xml:space="preserve"> 2007, § 81</w:t>
      </w:r>
    </w:p>
  </w:footnote>
  <w:footnote w:id="25">
    <w:p w14:paraId="5812B775" w14:textId="2D692533" w:rsidR="008B2705" w:rsidRPr="008B2705" w:rsidRDefault="008B2705">
      <w:pPr>
        <w:pStyle w:val="Notedebasdepage"/>
        <w:rPr>
          <w:lang w:val="fr-FR"/>
        </w:rPr>
      </w:pPr>
      <w:r>
        <w:rPr>
          <w:rStyle w:val="Appelnotedebasdep"/>
        </w:rPr>
        <w:footnoteRef/>
      </w:r>
      <w:r>
        <w:t xml:space="preserve"> </w:t>
      </w:r>
      <w:proofErr w:type="spellStart"/>
      <w:r>
        <w:rPr>
          <w:lang w:val="fr-FR"/>
        </w:rPr>
        <w:t>Voy</w:t>
      </w:r>
      <w:proofErr w:type="spellEnd"/>
      <w:r>
        <w:rPr>
          <w:lang w:val="fr-FR"/>
        </w:rPr>
        <w:t xml:space="preserve">. </w:t>
      </w:r>
      <w:proofErr w:type="gramStart"/>
      <w:r>
        <w:rPr>
          <w:lang w:val="fr-FR"/>
        </w:rPr>
        <w:t>en</w:t>
      </w:r>
      <w:proofErr w:type="gramEnd"/>
      <w:r>
        <w:rPr>
          <w:lang w:val="fr-FR"/>
        </w:rPr>
        <w:t xml:space="preserve"> effet le § 61 de la décision.</w:t>
      </w:r>
    </w:p>
  </w:footnote>
  <w:footnote w:id="26">
    <w:p w14:paraId="5E54113D" w14:textId="5C8A928A" w:rsidR="008B2705" w:rsidRPr="008B2705" w:rsidRDefault="008B2705">
      <w:pPr>
        <w:pStyle w:val="Notedebasdepage"/>
        <w:rPr>
          <w:lang w:val="fr-FR"/>
        </w:rPr>
      </w:pPr>
      <w:r>
        <w:rPr>
          <w:rStyle w:val="Appelnotedebasdep"/>
        </w:rPr>
        <w:footnoteRef/>
      </w:r>
      <w:r>
        <w:t xml:space="preserve"> </w:t>
      </w:r>
      <w:proofErr w:type="spellStart"/>
      <w:r>
        <w:rPr>
          <w:lang w:val="fr-FR"/>
        </w:rPr>
        <w:t>Voy</w:t>
      </w:r>
      <w:proofErr w:type="spellEnd"/>
      <w:r>
        <w:rPr>
          <w:lang w:val="fr-FR"/>
        </w:rPr>
        <w:t xml:space="preserve">. </w:t>
      </w:r>
      <w:proofErr w:type="gramStart"/>
      <w:r>
        <w:rPr>
          <w:lang w:val="fr-FR"/>
        </w:rPr>
        <w:t>le</w:t>
      </w:r>
      <w:proofErr w:type="gramEnd"/>
      <w:r>
        <w:rPr>
          <w:lang w:val="fr-FR"/>
        </w:rPr>
        <w:t xml:space="preserve"> raisonnement du Tribunal dans l’arrêt du 21 avril 2015 mentionné ci-dessus, note </w:t>
      </w:r>
      <w:r w:rsidR="008C02E0">
        <w:rPr>
          <w:lang w:val="fr-FR"/>
        </w:rPr>
        <w:t>22.</w:t>
      </w:r>
    </w:p>
  </w:footnote>
  <w:footnote w:id="27">
    <w:p w14:paraId="050B7F0C" w14:textId="4B24AD9F" w:rsidR="00D75250" w:rsidRPr="00D75250" w:rsidRDefault="00D75250">
      <w:pPr>
        <w:pStyle w:val="Notedebasdepage"/>
        <w:rPr>
          <w:lang w:val="fr-FR"/>
        </w:rPr>
      </w:pPr>
      <w:r>
        <w:rPr>
          <w:rStyle w:val="Appelnotedebasdep"/>
        </w:rPr>
        <w:footnoteRef/>
      </w:r>
      <w:r>
        <w:t xml:space="preserve"> </w:t>
      </w:r>
      <w:proofErr w:type="spellStart"/>
      <w:r>
        <w:rPr>
          <w:lang w:val="fr-FR"/>
        </w:rPr>
        <w:t>Voy</w:t>
      </w:r>
      <w:proofErr w:type="spellEnd"/>
      <w:r>
        <w:rPr>
          <w:lang w:val="fr-FR"/>
        </w:rPr>
        <w:t xml:space="preserve">. </w:t>
      </w:r>
      <w:proofErr w:type="gramStart"/>
      <w:r>
        <w:rPr>
          <w:lang w:val="fr-FR"/>
        </w:rPr>
        <w:t>ci</w:t>
      </w:r>
      <w:proofErr w:type="gramEnd"/>
      <w:r>
        <w:rPr>
          <w:lang w:val="fr-FR"/>
        </w:rPr>
        <w:t xml:space="preserve">-dessus, note </w:t>
      </w:r>
      <w:r w:rsidR="008C02E0">
        <w:rPr>
          <w:lang w:val="fr-FR"/>
        </w:rPr>
        <w:t>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33B35"/>
    <w:multiLevelType w:val="multilevel"/>
    <w:tmpl w:val="1DD0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F5BFC"/>
    <w:multiLevelType w:val="multilevel"/>
    <w:tmpl w:val="8B2457E6"/>
    <w:lvl w:ilvl="0">
      <w:start w:val="1"/>
      <w:numFmt w:val="none"/>
      <w:suff w:val="nothing"/>
      <w:lvlText w:val="%1"/>
      <w:lvlJc w:val="left"/>
      <w:pPr>
        <w:ind w:left="0" w:firstLine="0"/>
      </w:pPr>
      <w:rPr>
        <w:rFonts w:hint="default"/>
      </w:rPr>
    </w:lvl>
    <w:lvl w:ilvl="1">
      <w:start w:val="1"/>
      <w:numFmt w:val="upperRoman"/>
      <w:suff w:val="space"/>
      <w:lvlText w:val="%2."/>
      <w:lvlJc w:val="left"/>
      <w:pPr>
        <w:ind w:left="357" w:hanging="357"/>
      </w:pPr>
      <w:rPr>
        <w:rFonts w:hint="default"/>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mc:AlternateContent>
        <mc:Choice Requires="w14">
          <w:numFmt w:val="custom" w:format="α, β, γ, ..."/>
        </mc:Choice>
        <mc:Fallback>
          <w:numFmt w:val="decimal"/>
        </mc:Fallback>
      </mc:AlternateContent>
      <w:lvlText w:val="%7)"/>
      <w:lvlJc w:val="left"/>
      <w:pPr>
        <w:ind w:left="1372" w:hanging="334"/>
      </w:pPr>
      <w:rPr>
        <w:rFonts w:asciiTheme="minorHAnsi" w:hAnsiTheme="minorHAnsi" w:hint="default"/>
        <w:b w:val="0"/>
        <w:i w:val="0"/>
      </w:rPr>
    </w:lvl>
    <w:lvl w:ilvl="7">
      <w:start w:val="1"/>
      <w:numFmt w:val="bullet"/>
      <w:lvlText w:val="‒"/>
      <w:lvlJc w:val="left"/>
      <w:pPr>
        <w:ind w:left="1418" w:hanging="182"/>
      </w:pPr>
      <w:rPr>
        <w:rFonts w:ascii="Times New Roman" w:hAnsi="Times New Roman" w:cs="Times New Roman" w:hint="default"/>
        <w:color w:val="auto"/>
      </w:rPr>
    </w:lvl>
    <w:lvl w:ilvl="8">
      <w:start w:val="1"/>
      <w:numFmt w:val="bullet"/>
      <w:lvlText w:val="▪"/>
      <w:lvlJc w:val="left"/>
      <w:pPr>
        <w:ind w:left="1644" w:hanging="221"/>
      </w:pPr>
      <w:rPr>
        <w:rFonts w:ascii="Times New Roman" w:hAnsi="Times New Roman" w:cs="Times New Roman" w:hint="default"/>
        <w:color w:val="auto"/>
      </w:rPr>
    </w:lvl>
  </w:abstractNum>
  <w:abstractNum w:abstractNumId="2" w15:restartNumberingAfterBreak="0">
    <w:nsid w:val="56B9429C"/>
    <w:multiLevelType w:val="multilevel"/>
    <w:tmpl w:val="4CD28D7E"/>
    <w:lvl w:ilvl="0">
      <w:start w:val="1"/>
      <w:numFmt w:val="none"/>
      <w:pStyle w:val="JuHHead"/>
      <w:suff w:val="nothing"/>
      <w:lvlText w:val=""/>
      <w:lvlJc w:val="left"/>
      <w:pPr>
        <w:ind w:left="0" w:firstLine="0"/>
      </w:pPr>
      <w:rPr>
        <w:rFonts w:hint="default"/>
      </w:rPr>
    </w:lvl>
    <w:lvl w:ilvl="1">
      <w:start w:val="1"/>
      <w:numFmt w:val="upperRoman"/>
      <w:pStyle w:val="JuHIRoman"/>
      <w:suff w:val="space"/>
      <w:lvlText w:val="%2."/>
      <w:lvlJc w:val="left"/>
      <w:pPr>
        <w:ind w:left="357" w:hanging="357"/>
      </w:pPr>
      <w:rPr>
        <w:rFonts w:hint="default"/>
        <w:sz w:val="24"/>
      </w:rPr>
    </w:lvl>
    <w:lvl w:ilvl="2">
      <w:start w:val="1"/>
      <w:numFmt w:val="upperLetter"/>
      <w:pStyle w:val="JuHA"/>
      <w:lvlText w:val="%3."/>
      <w:lvlJc w:val="left"/>
      <w:pPr>
        <w:ind w:left="584" w:hanging="352"/>
      </w:pPr>
      <w:rPr>
        <w:rFonts w:hint="default"/>
      </w:rPr>
    </w:lvl>
    <w:lvl w:ilvl="3">
      <w:start w:val="1"/>
      <w:numFmt w:val="decimal"/>
      <w:pStyle w:val="JuH1"/>
      <w:lvlText w:val="%4."/>
      <w:lvlJc w:val="left"/>
      <w:pPr>
        <w:ind w:left="731" w:hanging="300"/>
      </w:pPr>
      <w:rPr>
        <w:rFonts w:hint="default"/>
      </w:rPr>
    </w:lvl>
    <w:lvl w:ilvl="4">
      <w:start w:val="1"/>
      <w:numFmt w:val="lowerLetter"/>
      <w:pStyle w:val="JuHa0"/>
      <w:lvlText w:val="%5)"/>
      <w:lvlJc w:val="left"/>
      <w:pPr>
        <w:ind w:left="975" w:hanging="340"/>
      </w:pPr>
      <w:rPr>
        <w:rFonts w:hint="default"/>
      </w:rPr>
    </w:lvl>
    <w:lvl w:ilvl="5">
      <w:start w:val="1"/>
      <w:numFmt w:val="lowerRoman"/>
      <w:pStyle w:val="JuHi"/>
      <w:suff w:val="space"/>
      <w:lvlText w:val="%6."/>
      <w:lvlJc w:val="left"/>
      <w:pPr>
        <w:ind w:left="1191" w:hanging="358"/>
      </w:pPr>
      <w:rPr>
        <w:rFonts w:hint="default"/>
      </w:rPr>
    </w:lvl>
    <w:lvl w:ilvl="6">
      <w:start w:val="1"/>
      <w:numFmt w:val="lowerLetter"/>
      <w:pStyle w:val="JuHalpha"/>
      <w:lvlText w:val="%7)"/>
      <w:lvlJc w:val="left"/>
      <w:pPr>
        <w:ind w:left="1372" w:hanging="334"/>
      </w:pPr>
      <w:rPr>
        <w:rFonts w:ascii="Symbol" w:hAnsi="Symbol" w:hint="default"/>
        <w:sz w:val="20"/>
      </w:rPr>
    </w:lvl>
    <w:lvl w:ilvl="7">
      <w:start w:val="1"/>
      <w:numFmt w:val="bullet"/>
      <w:pStyle w:val="JuH"/>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3" w15:restartNumberingAfterBreak="0">
    <w:nsid w:val="61FE1D7E"/>
    <w:multiLevelType w:val="hybridMultilevel"/>
    <w:tmpl w:val="5EE29228"/>
    <w:lvl w:ilvl="0" w:tplc="FA7CEB0A">
      <w:start w:val="1"/>
      <w:numFmt w:val="upperRoman"/>
      <w:lvlText w:val="%1."/>
      <w:lvlJc w:val="left"/>
      <w:pPr>
        <w:ind w:left="1080" w:hanging="72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830"/>
    <w:rsid w:val="00000165"/>
    <w:rsid w:val="000234EA"/>
    <w:rsid w:val="00050183"/>
    <w:rsid w:val="0005327B"/>
    <w:rsid w:val="0008162E"/>
    <w:rsid w:val="0008713E"/>
    <w:rsid w:val="00095AF7"/>
    <w:rsid w:val="000A7EA6"/>
    <w:rsid w:val="000E2830"/>
    <w:rsid w:val="000E6444"/>
    <w:rsid w:val="000F0F38"/>
    <w:rsid w:val="00172FC4"/>
    <w:rsid w:val="00181C2C"/>
    <w:rsid w:val="0018564E"/>
    <w:rsid w:val="0021475F"/>
    <w:rsid w:val="0023531C"/>
    <w:rsid w:val="00243106"/>
    <w:rsid w:val="002C0E98"/>
    <w:rsid w:val="002C4D45"/>
    <w:rsid w:val="003701A2"/>
    <w:rsid w:val="003758DD"/>
    <w:rsid w:val="0039487A"/>
    <w:rsid w:val="003C1D6C"/>
    <w:rsid w:val="003D215B"/>
    <w:rsid w:val="003F111B"/>
    <w:rsid w:val="003F1657"/>
    <w:rsid w:val="00437930"/>
    <w:rsid w:val="00444EF2"/>
    <w:rsid w:val="00462CEC"/>
    <w:rsid w:val="004B1576"/>
    <w:rsid w:val="004C646A"/>
    <w:rsid w:val="004E3F47"/>
    <w:rsid w:val="005059CC"/>
    <w:rsid w:val="00522F1F"/>
    <w:rsid w:val="00536B90"/>
    <w:rsid w:val="00594654"/>
    <w:rsid w:val="005C500C"/>
    <w:rsid w:val="005D5C21"/>
    <w:rsid w:val="006A3486"/>
    <w:rsid w:val="006C0F3B"/>
    <w:rsid w:val="006C49E4"/>
    <w:rsid w:val="006D25A4"/>
    <w:rsid w:val="006F7AED"/>
    <w:rsid w:val="007140CB"/>
    <w:rsid w:val="0074528B"/>
    <w:rsid w:val="00777280"/>
    <w:rsid w:val="007B486C"/>
    <w:rsid w:val="0082355D"/>
    <w:rsid w:val="008928B4"/>
    <w:rsid w:val="008B2705"/>
    <w:rsid w:val="008C02E0"/>
    <w:rsid w:val="008D408F"/>
    <w:rsid w:val="008D412F"/>
    <w:rsid w:val="00940288"/>
    <w:rsid w:val="009C728C"/>
    <w:rsid w:val="009D2096"/>
    <w:rsid w:val="009E2FD4"/>
    <w:rsid w:val="00A02E9C"/>
    <w:rsid w:val="00A071BE"/>
    <w:rsid w:val="00A27425"/>
    <w:rsid w:val="00A506A6"/>
    <w:rsid w:val="00A562B2"/>
    <w:rsid w:val="00A63CBD"/>
    <w:rsid w:val="00A64617"/>
    <w:rsid w:val="00AB3210"/>
    <w:rsid w:val="00AC5BF6"/>
    <w:rsid w:val="00AC6F83"/>
    <w:rsid w:val="00B14AB1"/>
    <w:rsid w:val="00B151E6"/>
    <w:rsid w:val="00B21DC4"/>
    <w:rsid w:val="00B27E96"/>
    <w:rsid w:val="00B36965"/>
    <w:rsid w:val="00B874A0"/>
    <w:rsid w:val="00C136FB"/>
    <w:rsid w:val="00C71476"/>
    <w:rsid w:val="00CD2929"/>
    <w:rsid w:val="00D75250"/>
    <w:rsid w:val="00DB607A"/>
    <w:rsid w:val="00DD5C73"/>
    <w:rsid w:val="00E11A7E"/>
    <w:rsid w:val="00E429F6"/>
    <w:rsid w:val="00E55189"/>
    <w:rsid w:val="00EA0195"/>
    <w:rsid w:val="00ED16F1"/>
    <w:rsid w:val="00EE58FC"/>
    <w:rsid w:val="00F006D9"/>
    <w:rsid w:val="00F01A91"/>
    <w:rsid w:val="00F16EEC"/>
    <w:rsid w:val="00F47995"/>
    <w:rsid w:val="00FD26A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1FC1"/>
  <w15:chartTrackingRefBased/>
  <w15:docId w15:val="{B68A2E93-E709-DE40-9769-29A29EA0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EEC"/>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AC6F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AC6F83"/>
    <w:pPr>
      <w:spacing w:before="100" w:beforeAutospacing="1" w:after="100" w:afterAutospacing="1"/>
      <w:outlineLvl w:val="1"/>
    </w:pPr>
    <w:rPr>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1475F"/>
    <w:rPr>
      <w:rFonts w:eastAsiaTheme="minorHAnsi"/>
      <w:sz w:val="18"/>
      <w:szCs w:val="18"/>
      <w:lang w:eastAsia="en-US"/>
    </w:rPr>
  </w:style>
  <w:style w:type="character" w:customStyle="1" w:styleId="TextedebullesCar">
    <w:name w:val="Texte de bulles Car"/>
    <w:basedOn w:val="Policepardfaut"/>
    <w:link w:val="Textedebulles"/>
    <w:uiPriority w:val="99"/>
    <w:semiHidden/>
    <w:rsid w:val="0021475F"/>
    <w:rPr>
      <w:rFonts w:ascii="Times New Roman" w:hAnsi="Times New Roman" w:cs="Times New Roman"/>
      <w:sz w:val="18"/>
      <w:szCs w:val="18"/>
    </w:rPr>
  </w:style>
  <w:style w:type="paragraph" w:styleId="Paragraphedeliste">
    <w:name w:val="List Paragraph"/>
    <w:basedOn w:val="Normal"/>
    <w:uiPriority w:val="34"/>
    <w:qFormat/>
    <w:rsid w:val="000A7EA6"/>
    <w:pPr>
      <w:ind w:left="720"/>
      <w:contextualSpacing/>
    </w:pPr>
    <w:rPr>
      <w:rFonts w:asciiTheme="minorHAnsi" w:eastAsiaTheme="minorHAnsi" w:hAnsiTheme="minorHAnsi" w:cstheme="minorBidi"/>
      <w:lang w:eastAsia="en-US"/>
    </w:rPr>
  </w:style>
  <w:style w:type="character" w:customStyle="1" w:styleId="sb8d990e2">
    <w:name w:val="sb8d990e2"/>
    <w:basedOn w:val="Policepardfaut"/>
    <w:rsid w:val="007140CB"/>
  </w:style>
  <w:style w:type="character" w:customStyle="1" w:styleId="apple-converted-space">
    <w:name w:val="apple-converted-space"/>
    <w:basedOn w:val="Policepardfaut"/>
    <w:rsid w:val="007140CB"/>
  </w:style>
  <w:style w:type="character" w:customStyle="1" w:styleId="s6b621b36">
    <w:name w:val="s6b621b36"/>
    <w:basedOn w:val="Policepardfaut"/>
    <w:rsid w:val="004B1576"/>
  </w:style>
  <w:style w:type="character" w:styleId="Lienhypertexte">
    <w:name w:val="Hyperlink"/>
    <w:basedOn w:val="Policepardfaut"/>
    <w:uiPriority w:val="99"/>
    <w:unhideWhenUsed/>
    <w:rsid w:val="004B1576"/>
    <w:rPr>
      <w:color w:val="0000FF"/>
      <w:u w:val="single"/>
    </w:rPr>
  </w:style>
  <w:style w:type="paragraph" w:styleId="Notedebasdepage">
    <w:name w:val="footnote text"/>
    <w:basedOn w:val="Normal"/>
    <w:link w:val="NotedebasdepageCar"/>
    <w:uiPriority w:val="99"/>
    <w:semiHidden/>
    <w:unhideWhenUsed/>
    <w:rsid w:val="0074528B"/>
    <w:rPr>
      <w:sz w:val="20"/>
      <w:szCs w:val="20"/>
    </w:rPr>
  </w:style>
  <w:style w:type="character" w:customStyle="1" w:styleId="NotedebasdepageCar">
    <w:name w:val="Note de bas de page Car"/>
    <w:basedOn w:val="Policepardfaut"/>
    <w:link w:val="Notedebasdepage"/>
    <w:uiPriority w:val="99"/>
    <w:semiHidden/>
    <w:rsid w:val="0074528B"/>
    <w:rPr>
      <w:rFonts w:ascii="Times New Roman" w:eastAsia="Times New Roman" w:hAnsi="Times New Roman" w:cs="Times New Roman"/>
      <w:sz w:val="20"/>
      <w:szCs w:val="20"/>
      <w:lang w:eastAsia="fr-FR"/>
    </w:rPr>
  </w:style>
  <w:style w:type="character" w:styleId="Appelnotedebasdep">
    <w:name w:val="footnote reference"/>
    <w:basedOn w:val="Policepardfaut"/>
    <w:uiPriority w:val="99"/>
    <w:semiHidden/>
    <w:unhideWhenUsed/>
    <w:rsid w:val="0074528B"/>
    <w:rPr>
      <w:vertAlign w:val="superscript"/>
    </w:rPr>
  </w:style>
  <w:style w:type="paragraph" w:styleId="NormalWeb">
    <w:name w:val="Normal (Web)"/>
    <w:basedOn w:val="Normal"/>
    <w:uiPriority w:val="99"/>
    <w:unhideWhenUsed/>
    <w:rsid w:val="00FD26A3"/>
    <w:pPr>
      <w:spacing w:before="100" w:beforeAutospacing="1" w:after="100" w:afterAutospacing="1"/>
    </w:pPr>
  </w:style>
  <w:style w:type="character" w:styleId="Mentionnonrsolue">
    <w:name w:val="Unresolved Mention"/>
    <w:basedOn w:val="Policepardfaut"/>
    <w:uiPriority w:val="99"/>
    <w:semiHidden/>
    <w:unhideWhenUsed/>
    <w:rsid w:val="00FD26A3"/>
    <w:rPr>
      <w:color w:val="605E5C"/>
      <w:shd w:val="clear" w:color="auto" w:fill="E1DFDD"/>
    </w:rPr>
  </w:style>
  <w:style w:type="paragraph" w:customStyle="1" w:styleId="active">
    <w:name w:val="active"/>
    <w:basedOn w:val="Normal"/>
    <w:rsid w:val="009C728C"/>
    <w:pPr>
      <w:spacing w:before="100" w:beforeAutospacing="1" w:after="100" w:afterAutospacing="1"/>
    </w:pPr>
  </w:style>
  <w:style w:type="character" w:customStyle="1" w:styleId="Titre2Car">
    <w:name w:val="Titre 2 Car"/>
    <w:basedOn w:val="Policepardfaut"/>
    <w:link w:val="Titre2"/>
    <w:uiPriority w:val="9"/>
    <w:rsid w:val="00AC6F83"/>
    <w:rPr>
      <w:rFonts w:ascii="Times New Roman" w:eastAsia="Times New Roman" w:hAnsi="Times New Roman" w:cs="Times New Roman"/>
      <w:b/>
      <w:bCs/>
      <w:sz w:val="36"/>
      <w:szCs w:val="36"/>
      <w:lang w:eastAsia="fr-FR"/>
    </w:rPr>
  </w:style>
  <w:style w:type="character" w:customStyle="1" w:styleId="Titre1Car">
    <w:name w:val="Titre 1 Car"/>
    <w:basedOn w:val="Policepardfaut"/>
    <w:link w:val="Titre1"/>
    <w:uiPriority w:val="9"/>
    <w:rsid w:val="00AC6F83"/>
    <w:rPr>
      <w:rFonts w:asciiTheme="majorHAnsi" w:eastAsiaTheme="majorEastAsia" w:hAnsiTheme="majorHAnsi" w:cstheme="majorBidi"/>
      <w:color w:val="2F5496" w:themeColor="accent1" w:themeShade="BF"/>
      <w:sz w:val="32"/>
      <w:szCs w:val="32"/>
      <w:lang w:eastAsia="fr-FR"/>
    </w:rPr>
  </w:style>
  <w:style w:type="character" w:customStyle="1" w:styleId="Accentuation1">
    <w:name w:val="Accentuation1"/>
    <w:basedOn w:val="Policepardfaut"/>
    <w:rsid w:val="00AC6F83"/>
  </w:style>
  <w:style w:type="paragraph" w:customStyle="1" w:styleId="citation">
    <w:name w:val="citation"/>
    <w:basedOn w:val="Normal"/>
    <w:rsid w:val="00095AF7"/>
    <w:pPr>
      <w:widowControl w:val="0"/>
      <w:tabs>
        <w:tab w:val="left" w:pos="567"/>
      </w:tabs>
      <w:ind w:left="567"/>
      <w:jc w:val="both"/>
    </w:pPr>
    <w:rPr>
      <w:rFonts w:eastAsia="MS Mincho"/>
      <w:sz w:val="20"/>
      <w:szCs w:val="20"/>
      <w:lang w:val="fr-FR"/>
    </w:rPr>
  </w:style>
  <w:style w:type="character" w:customStyle="1" w:styleId="f-autres-publications">
    <w:name w:val="f-autres-publications"/>
    <w:basedOn w:val="Policepardfaut"/>
    <w:rsid w:val="00CD2929"/>
  </w:style>
  <w:style w:type="paragraph" w:customStyle="1" w:styleId="c01pointnumerotealtn">
    <w:name w:val="c01pointnumerotealtn"/>
    <w:basedOn w:val="Normal"/>
    <w:rsid w:val="00E55189"/>
    <w:pPr>
      <w:spacing w:before="100" w:beforeAutospacing="1" w:after="100" w:afterAutospacing="1"/>
    </w:pPr>
  </w:style>
  <w:style w:type="paragraph" w:customStyle="1" w:styleId="JuHHead">
    <w:name w:val="Ju_H_Head"/>
    <w:aliases w:val="_Head_1"/>
    <w:basedOn w:val="Normal"/>
    <w:next w:val="JuPara"/>
    <w:uiPriority w:val="17"/>
    <w:qFormat/>
    <w:rsid w:val="00D75250"/>
    <w:pPr>
      <w:keepNext/>
      <w:keepLines/>
      <w:numPr>
        <w:numId w:val="3"/>
      </w:numPr>
      <w:spacing w:before="100" w:beforeAutospacing="1" w:after="240"/>
      <w:jc w:val="both"/>
      <w:outlineLvl w:val="0"/>
    </w:pPr>
    <w:rPr>
      <w:rFonts w:asciiTheme="minorHAnsi" w:eastAsiaTheme="minorEastAsia" w:hAnsiTheme="minorHAnsi" w:cstheme="minorBidi"/>
      <w:caps/>
      <w:sz w:val="28"/>
      <w:szCs w:val="22"/>
      <w:lang w:val="fr-FR" w:eastAsia="en-US"/>
    </w:rPr>
  </w:style>
  <w:style w:type="paragraph" w:customStyle="1" w:styleId="JuHIRoman">
    <w:name w:val="Ju_H_I_Roman"/>
    <w:aliases w:val="_Head_2"/>
    <w:basedOn w:val="Normal"/>
    <w:next w:val="JuPara"/>
    <w:uiPriority w:val="17"/>
    <w:qFormat/>
    <w:rsid w:val="00D75250"/>
    <w:pPr>
      <w:keepNext/>
      <w:keepLines/>
      <w:numPr>
        <w:ilvl w:val="1"/>
        <w:numId w:val="3"/>
      </w:numPr>
      <w:spacing w:before="100" w:beforeAutospacing="1" w:after="240"/>
      <w:jc w:val="both"/>
      <w:outlineLvl w:val="1"/>
    </w:pPr>
    <w:rPr>
      <w:rFonts w:asciiTheme="minorHAnsi" w:eastAsiaTheme="minorEastAsia" w:hAnsiTheme="minorHAnsi" w:cstheme="minorBidi"/>
      <w:caps/>
      <w:szCs w:val="22"/>
      <w:lang w:val="fr-FR" w:eastAsia="en-US"/>
    </w:rPr>
  </w:style>
  <w:style w:type="paragraph" w:customStyle="1" w:styleId="JuHA">
    <w:name w:val="Ju_H_A"/>
    <w:aliases w:val="_Head_3"/>
    <w:basedOn w:val="Normal"/>
    <w:next w:val="JuPara"/>
    <w:uiPriority w:val="17"/>
    <w:qFormat/>
    <w:rsid w:val="00D75250"/>
    <w:pPr>
      <w:keepNext/>
      <w:keepLines/>
      <w:numPr>
        <w:ilvl w:val="2"/>
        <w:numId w:val="3"/>
      </w:numPr>
      <w:spacing w:before="100" w:beforeAutospacing="1" w:after="240"/>
      <w:jc w:val="both"/>
      <w:outlineLvl w:val="2"/>
    </w:pPr>
    <w:rPr>
      <w:rFonts w:asciiTheme="minorHAnsi" w:eastAsiaTheme="minorEastAsia" w:hAnsiTheme="minorHAnsi" w:cstheme="minorBidi"/>
      <w:b/>
      <w:szCs w:val="22"/>
      <w:lang w:val="fr-FR" w:eastAsia="en-US"/>
    </w:rPr>
  </w:style>
  <w:style w:type="paragraph" w:customStyle="1" w:styleId="JuH1">
    <w:name w:val="Ju_H_1."/>
    <w:aliases w:val="_Head_4"/>
    <w:basedOn w:val="Normal"/>
    <w:next w:val="JuPara"/>
    <w:uiPriority w:val="17"/>
    <w:rsid w:val="00D75250"/>
    <w:pPr>
      <w:keepNext/>
      <w:keepLines/>
      <w:numPr>
        <w:ilvl w:val="3"/>
        <w:numId w:val="3"/>
      </w:numPr>
      <w:spacing w:before="100" w:beforeAutospacing="1" w:after="120"/>
      <w:jc w:val="both"/>
      <w:outlineLvl w:val="3"/>
    </w:pPr>
    <w:rPr>
      <w:rFonts w:asciiTheme="minorHAnsi" w:eastAsiaTheme="minorEastAsia" w:hAnsiTheme="minorHAnsi" w:cstheme="minorBidi"/>
      <w:i/>
      <w:szCs w:val="22"/>
      <w:lang w:val="fr-FR" w:eastAsia="en-US"/>
    </w:rPr>
  </w:style>
  <w:style w:type="paragraph" w:customStyle="1" w:styleId="JuHa0">
    <w:name w:val="Ju_H_a"/>
    <w:aliases w:val="_Head_5"/>
    <w:basedOn w:val="Normal"/>
    <w:next w:val="JuPara"/>
    <w:uiPriority w:val="17"/>
    <w:rsid w:val="00D75250"/>
    <w:pPr>
      <w:keepNext/>
      <w:keepLines/>
      <w:numPr>
        <w:ilvl w:val="4"/>
        <w:numId w:val="3"/>
      </w:numPr>
      <w:spacing w:before="100" w:beforeAutospacing="1" w:after="120"/>
      <w:jc w:val="both"/>
      <w:outlineLvl w:val="4"/>
    </w:pPr>
    <w:rPr>
      <w:rFonts w:asciiTheme="minorHAnsi" w:eastAsiaTheme="minorEastAsia" w:hAnsiTheme="minorHAnsi" w:cstheme="minorBidi"/>
      <w:b/>
      <w:sz w:val="20"/>
      <w:szCs w:val="22"/>
      <w:lang w:val="fr-FR" w:eastAsia="en-US"/>
    </w:rPr>
  </w:style>
  <w:style w:type="paragraph" w:customStyle="1" w:styleId="JuHi">
    <w:name w:val="Ju_H_i"/>
    <w:aliases w:val="_Head_6"/>
    <w:basedOn w:val="Normal"/>
    <w:next w:val="JuPara"/>
    <w:uiPriority w:val="17"/>
    <w:rsid w:val="00D75250"/>
    <w:pPr>
      <w:keepNext/>
      <w:keepLines/>
      <w:numPr>
        <w:ilvl w:val="5"/>
        <w:numId w:val="3"/>
      </w:numPr>
      <w:spacing w:before="100" w:beforeAutospacing="1" w:after="120"/>
      <w:jc w:val="both"/>
      <w:outlineLvl w:val="5"/>
    </w:pPr>
    <w:rPr>
      <w:rFonts w:asciiTheme="minorHAnsi" w:eastAsiaTheme="minorEastAsia" w:hAnsiTheme="minorHAnsi" w:cstheme="minorBidi"/>
      <w:i/>
      <w:sz w:val="20"/>
      <w:szCs w:val="22"/>
      <w:lang w:val="fr-FR" w:eastAsia="en-US"/>
    </w:rPr>
  </w:style>
  <w:style w:type="paragraph" w:customStyle="1" w:styleId="JuHalpha">
    <w:name w:val="Ju_H_alpha"/>
    <w:aliases w:val="_Head_7"/>
    <w:basedOn w:val="Normal"/>
    <w:next w:val="JuPara"/>
    <w:uiPriority w:val="17"/>
    <w:rsid w:val="00D75250"/>
    <w:pPr>
      <w:keepNext/>
      <w:keepLines/>
      <w:numPr>
        <w:ilvl w:val="6"/>
        <w:numId w:val="3"/>
      </w:numPr>
      <w:spacing w:before="100" w:beforeAutospacing="1" w:after="120"/>
      <w:jc w:val="both"/>
      <w:outlineLvl w:val="6"/>
    </w:pPr>
    <w:rPr>
      <w:rFonts w:asciiTheme="minorHAnsi" w:eastAsiaTheme="minorEastAsia" w:hAnsiTheme="minorHAnsi" w:cstheme="minorBidi"/>
      <w:sz w:val="20"/>
      <w:szCs w:val="22"/>
      <w:lang w:val="fr-FR" w:eastAsia="en-US"/>
    </w:rPr>
  </w:style>
  <w:style w:type="paragraph" w:customStyle="1" w:styleId="JuH">
    <w:name w:val="Ju_H_–"/>
    <w:aliases w:val="_Head_8"/>
    <w:basedOn w:val="Normal"/>
    <w:next w:val="JuPara"/>
    <w:uiPriority w:val="17"/>
    <w:rsid w:val="00D75250"/>
    <w:pPr>
      <w:keepNext/>
      <w:keepLines/>
      <w:numPr>
        <w:ilvl w:val="7"/>
        <w:numId w:val="3"/>
      </w:numPr>
      <w:spacing w:before="100" w:beforeAutospacing="1" w:after="120"/>
      <w:jc w:val="both"/>
      <w:outlineLvl w:val="7"/>
    </w:pPr>
    <w:rPr>
      <w:rFonts w:asciiTheme="minorHAnsi" w:eastAsiaTheme="minorEastAsia" w:hAnsiTheme="minorHAnsi" w:cstheme="minorBidi"/>
      <w:i/>
      <w:sz w:val="20"/>
      <w:szCs w:val="22"/>
      <w:lang w:val="fr-FR" w:eastAsia="en-US"/>
    </w:rPr>
  </w:style>
  <w:style w:type="paragraph" w:customStyle="1" w:styleId="JuParaLast">
    <w:name w:val="Ju_Para_Last"/>
    <w:aliases w:val="_Para_Spaced"/>
    <w:basedOn w:val="Normal"/>
    <w:uiPriority w:val="5"/>
    <w:qFormat/>
    <w:rsid w:val="00D75250"/>
    <w:pPr>
      <w:keepNext/>
      <w:keepLines/>
      <w:spacing w:before="240" w:after="240"/>
      <w:ind w:firstLine="284"/>
      <w:jc w:val="both"/>
    </w:pPr>
    <w:rPr>
      <w:rFonts w:asciiTheme="minorHAnsi" w:eastAsiaTheme="minorHAnsi" w:hAnsiTheme="minorHAnsi" w:cstheme="minorBidi"/>
      <w:szCs w:val="22"/>
      <w:lang w:val="fr-FR" w:eastAsia="en-US"/>
    </w:rPr>
  </w:style>
  <w:style w:type="paragraph" w:customStyle="1" w:styleId="JuPara">
    <w:name w:val="Ju_Para"/>
    <w:aliases w:val="_Para"/>
    <w:basedOn w:val="Normal"/>
    <w:link w:val="JuParaChar"/>
    <w:uiPriority w:val="4"/>
    <w:qFormat/>
    <w:rsid w:val="00D75250"/>
    <w:pPr>
      <w:ind w:firstLine="284"/>
      <w:jc w:val="both"/>
    </w:pPr>
    <w:rPr>
      <w:rFonts w:asciiTheme="minorHAnsi" w:eastAsiaTheme="minorEastAsia" w:hAnsiTheme="minorHAnsi" w:cstheme="minorBidi"/>
      <w:szCs w:val="22"/>
      <w:lang w:val="fr-FR" w:eastAsia="en-US"/>
    </w:rPr>
  </w:style>
  <w:style w:type="character" w:customStyle="1" w:styleId="JuParaChar">
    <w:name w:val="Ju_Para Char"/>
    <w:aliases w:val="_Para Char"/>
    <w:link w:val="JuPara"/>
    <w:uiPriority w:val="4"/>
    <w:rsid w:val="00D75250"/>
    <w:rPr>
      <w:rFonts w:eastAsiaTheme="minorEastAsia"/>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514208">
      <w:bodyDiv w:val="1"/>
      <w:marLeft w:val="0"/>
      <w:marRight w:val="0"/>
      <w:marTop w:val="0"/>
      <w:marBottom w:val="0"/>
      <w:divBdr>
        <w:top w:val="none" w:sz="0" w:space="0" w:color="auto"/>
        <w:left w:val="none" w:sz="0" w:space="0" w:color="auto"/>
        <w:bottom w:val="none" w:sz="0" w:space="0" w:color="auto"/>
        <w:right w:val="none" w:sz="0" w:space="0" w:color="auto"/>
      </w:divBdr>
    </w:div>
    <w:div w:id="142894794">
      <w:bodyDiv w:val="1"/>
      <w:marLeft w:val="0"/>
      <w:marRight w:val="0"/>
      <w:marTop w:val="0"/>
      <w:marBottom w:val="0"/>
      <w:divBdr>
        <w:top w:val="none" w:sz="0" w:space="0" w:color="auto"/>
        <w:left w:val="none" w:sz="0" w:space="0" w:color="auto"/>
        <w:bottom w:val="none" w:sz="0" w:space="0" w:color="auto"/>
        <w:right w:val="none" w:sz="0" w:space="0" w:color="auto"/>
      </w:divBdr>
    </w:div>
    <w:div w:id="151914484">
      <w:bodyDiv w:val="1"/>
      <w:marLeft w:val="0"/>
      <w:marRight w:val="0"/>
      <w:marTop w:val="0"/>
      <w:marBottom w:val="0"/>
      <w:divBdr>
        <w:top w:val="none" w:sz="0" w:space="0" w:color="auto"/>
        <w:left w:val="none" w:sz="0" w:space="0" w:color="auto"/>
        <w:bottom w:val="none" w:sz="0" w:space="0" w:color="auto"/>
        <w:right w:val="none" w:sz="0" w:space="0" w:color="auto"/>
      </w:divBdr>
    </w:div>
    <w:div w:id="412747030">
      <w:bodyDiv w:val="1"/>
      <w:marLeft w:val="0"/>
      <w:marRight w:val="0"/>
      <w:marTop w:val="0"/>
      <w:marBottom w:val="0"/>
      <w:divBdr>
        <w:top w:val="none" w:sz="0" w:space="0" w:color="auto"/>
        <w:left w:val="none" w:sz="0" w:space="0" w:color="auto"/>
        <w:bottom w:val="none" w:sz="0" w:space="0" w:color="auto"/>
        <w:right w:val="none" w:sz="0" w:space="0" w:color="auto"/>
      </w:divBdr>
    </w:div>
    <w:div w:id="429617757">
      <w:bodyDiv w:val="1"/>
      <w:marLeft w:val="0"/>
      <w:marRight w:val="0"/>
      <w:marTop w:val="0"/>
      <w:marBottom w:val="0"/>
      <w:divBdr>
        <w:top w:val="none" w:sz="0" w:space="0" w:color="auto"/>
        <w:left w:val="none" w:sz="0" w:space="0" w:color="auto"/>
        <w:bottom w:val="none" w:sz="0" w:space="0" w:color="auto"/>
        <w:right w:val="none" w:sz="0" w:space="0" w:color="auto"/>
      </w:divBdr>
      <w:divsChild>
        <w:div w:id="129785962">
          <w:marLeft w:val="0"/>
          <w:marRight w:val="0"/>
          <w:marTop w:val="0"/>
          <w:marBottom w:val="0"/>
          <w:divBdr>
            <w:top w:val="none" w:sz="0" w:space="0" w:color="auto"/>
            <w:left w:val="none" w:sz="0" w:space="0" w:color="auto"/>
            <w:bottom w:val="none" w:sz="0" w:space="0" w:color="auto"/>
            <w:right w:val="none" w:sz="0" w:space="0" w:color="auto"/>
          </w:divBdr>
          <w:divsChild>
            <w:div w:id="310673350">
              <w:marLeft w:val="0"/>
              <w:marRight w:val="0"/>
              <w:marTop w:val="0"/>
              <w:marBottom w:val="0"/>
              <w:divBdr>
                <w:top w:val="none" w:sz="0" w:space="0" w:color="auto"/>
                <w:left w:val="none" w:sz="0" w:space="0" w:color="auto"/>
                <w:bottom w:val="none" w:sz="0" w:space="0" w:color="auto"/>
                <w:right w:val="none" w:sz="0" w:space="0" w:color="auto"/>
              </w:divBdr>
            </w:div>
          </w:divsChild>
        </w:div>
        <w:div w:id="1697846631">
          <w:marLeft w:val="0"/>
          <w:marRight w:val="0"/>
          <w:marTop w:val="225"/>
          <w:marBottom w:val="0"/>
          <w:divBdr>
            <w:top w:val="single" w:sz="6" w:space="11" w:color="DADADA"/>
            <w:left w:val="none" w:sz="0" w:space="0" w:color="auto"/>
            <w:bottom w:val="none" w:sz="0" w:space="0" w:color="auto"/>
            <w:right w:val="none" w:sz="0" w:space="0" w:color="auto"/>
          </w:divBdr>
        </w:div>
      </w:divsChild>
    </w:div>
    <w:div w:id="541866802">
      <w:bodyDiv w:val="1"/>
      <w:marLeft w:val="0"/>
      <w:marRight w:val="0"/>
      <w:marTop w:val="0"/>
      <w:marBottom w:val="0"/>
      <w:divBdr>
        <w:top w:val="none" w:sz="0" w:space="0" w:color="auto"/>
        <w:left w:val="none" w:sz="0" w:space="0" w:color="auto"/>
        <w:bottom w:val="none" w:sz="0" w:space="0" w:color="auto"/>
        <w:right w:val="none" w:sz="0" w:space="0" w:color="auto"/>
      </w:divBdr>
    </w:div>
    <w:div w:id="732586407">
      <w:bodyDiv w:val="1"/>
      <w:marLeft w:val="0"/>
      <w:marRight w:val="0"/>
      <w:marTop w:val="0"/>
      <w:marBottom w:val="0"/>
      <w:divBdr>
        <w:top w:val="none" w:sz="0" w:space="0" w:color="auto"/>
        <w:left w:val="none" w:sz="0" w:space="0" w:color="auto"/>
        <w:bottom w:val="none" w:sz="0" w:space="0" w:color="auto"/>
        <w:right w:val="none" w:sz="0" w:space="0" w:color="auto"/>
      </w:divBdr>
    </w:div>
    <w:div w:id="804665473">
      <w:bodyDiv w:val="1"/>
      <w:marLeft w:val="0"/>
      <w:marRight w:val="0"/>
      <w:marTop w:val="0"/>
      <w:marBottom w:val="0"/>
      <w:divBdr>
        <w:top w:val="none" w:sz="0" w:space="0" w:color="auto"/>
        <w:left w:val="none" w:sz="0" w:space="0" w:color="auto"/>
        <w:bottom w:val="none" w:sz="0" w:space="0" w:color="auto"/>
        <w:right w:val="none" w:sz="0" w:space="0" w:color="auto"/>
      </w:divBdr>
    </w:div>
    <w:div w:id="816075457">
      <w:bodyDiv w:val="1"/>
      <w:marLeft w:val="0"/>
      <w:marRight w:val="0"/>
      <w:marTop w:val="0"/>
      <w:marBottom w:val="0"/>
      <w:divBdr>
        <w:top w:val="none" w:sz="0" w:space="0" w:color="auto"/>
        <w:left w:val="none" w:sz="0" w:space="0" w:color="auto"/>
        <w:bottom w:val="none" w:sz="0" w:space="0" w:color="auto"/>
        <w:right w:val="none" w:sz="0" w:space="0" w:color="auto"/>
      </w:divBdr>
    </w:div>
    <w:div w:id="824249898">
      <w:bodyDiv w:val="1"/>
      <w:marLeft w:val="0"/>
      <w:marRight w:val="0"/>
      <w:marTop w:val="0"/>
      <w:marBottom w:val="0"/>
      <w:divBdr>
        <w:top w:val="none" w:sz="0" w:space="0" w:color="auto"/>
        <w:left w:val="none" w:sz="0" w:space="0" w:color="auto"/>
        <w:bottom w:val="none" w:sz="0" w:space="0" w:color="auto"/>
        <w:right w:val="none" w:sz="0" w:space="0" w:color="auto"/>
      </w:divBdr>
    </w:div>
    <w:div w:id="908611044">
      <w:bodyDiv w:val="1"/>
      <w:marLeft w:val="0"/>
      <w:marRight w:val="0"/>
      <w:marTop w:val="0"/>
      <w:marBottom w:val="0"/>
      <w:divBdr>
        <w:top w:val="none" w:sz="0" w:space="0" w:color="auto"/>
        <w:left w:val="none" w:sz="0" w:space="0" w:color="auto"/>
        <w:bottom w:val="none" w:sz="0" w:space="0" w:color="auto"/>
        <w:right w:val="none" w:sz="0" w:space="0" w:color="auto"/>
      </w:divBdr>
    </w:div>
    <w:div w:id="998534833">
      <w:bodyDiv w:val="1"/>
      <w:marLeft w:val="0"/>
      <w:marRight w:val="0"/>
      <w:marTop w:val="0"/>
      <w:marBottom w:val="0"/>
      <w:divBdr>
        <w:top w:val="none" w:sz="0" w:space="0" w:color="auto"/>
        <w:left w:val="none" w:sz="0" w:space="0" w:color="auto"/>
        <w:bottom w:val="none" w:sz="0" w:space="0" w:color="auto"/>
        <w:right w:val="none" w:sz="0" w:space="0" w:color="auto"/>
      </w:divBdr>
    </w:div>
    <w:div w:id="1029986909">
      <w:bodyDiv w:val="1"/>
      <w:marLeft w:val="0"/>
      <w:marRight w:val="0"/>
      <w:marTop w:val="0"/>
      <w:marBottom w:val="0"/>
      <w:divBdr>
        <w:top w:val="none" w:sz="0" w:space="0" w:color="auto"/>
        <w:left w:val="none" w:sz="0" w:space="0" w:color="auto"/>
        <w:bottom w:val="none" w:sz="0" w:space="0" w:color="auto"/>
        <w:right w:val="none" w:sz="0" w:space="0" w:color="auto"/>
      </w:divBdr>
    </w:div>
    <w:div w:id="1227300049">
      <w:bodyDiv w:val="1"/>
      <w:marLeft w:val="0"/>
      <w:marRight w:val="0"/>
      <w:marTop w:val="0"/>
      <w:marBottom w:val="0"/>
      <w:divBdr>
        <w:top w:val="none" w:sz="0" w:space="0" w:color="auto"/>
        <w:left w:val="none" w:sz="0" w:space="0" w:color="auto"/>
        <w:bottom w:val="none" w:sz="0" w:space="0" w:color="auto"/>
        <w:right w:val="none" w:sz="0" w:space="0" w:color="auto"/>
      </w:divBdr>
      <w:divsChild>
        <w:div w:id="1288321247">
          <w:marLeft w:val="0"/>
          <w:marRight w:val="0"/>
          <w:marTop w:val="0"/>
          <w:marBottom w:val="0"/>
          <w:divBdr>
            <w:top w:val="none" w:sz="0" w:space="0" w:color="auto"/>
            <w:left w:val="none" w:sz="0" w:space="0" w:color="auto"/>
            <w:bottom w:val="none" w:sz="0" w:space="0" w:color="auto"/>
            <w:right w:val="none" w:sz="0" w:space="0" w:color="auto"/>
          </w:divBdr>
          <w:divsChild>
            <w:div w:id="54817281">
              <w:marLeft w:val="0"/>
              <w:marRight w:val="0"/>
              <w:marTop w:val="0"/>
              <w:marBottom w:val="0"/>
              <w:divBdr>
                <w:top w:val="none" w:sz="0" w:space="0" w:color="auto"/>
                <w:left w:val="none" w:sz="0" w:space="0" w:color="auto"/>
                <w:bottom w:val="none" w:sz="0" w:space="0" w:color="auto"/>
                <w:right w:val="none" w:sz="0" w:space="0" w:color="auto"/>
              </w:divBdr>
              <w:divsChild>
                <w:div w:id="7202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80891">
      <w:bodyDiv w:val="1"/>
      <w:marLeft w:val="0"/>
      <w:marRight w:val="0"/>
      <w:marTop w:val="0"/>
      <w:marBottom w:val="0"/>
      <w:divBdr>
        <w:top w:val="none" w:sz="0" w:space="0" w:color="auto"/>
        <w:left w:val="none" w:sz="0" w:space="0" w:color="auto"/>
        <w:bottom w:val="none" w:sz="0" w:space="0" w:color="auto"/>
        <w:right w:val="none" w:sz="0" w:space="0" w:color="auto"/>
      </w:divBdr>
    </w:div>
    <w:div w:id="1366558686">
      <w:bodyDiv w:val="1"/>
      <w:marLeft w:val="0"/>
      <w:marRight w:val="0"/>
      <w:marTop w:val="0"/>
      <w:marBottom w:val="0"/>
      <w:divBdr>
        <w:top w:val="none" w:sz="0" w:space="0" w:color="auto"/>
        <w:left w:val="none" w:sz="0" w:space="0" w:color="auto"/>
        <w:bottom w:val="none" w:sz="0" w:space="0" w:color="auto"/>
        <w:right w:val="none" w:sz="0" w:space="0" w:color="auto"/>
      </w:divBdr>
      <w:divsChild>
        <w:div w:id="894707283">
          <w:marLeft w:val="0"/>
          <w:marRight w:val="0"/>
          <w:marTop w:val="0"/>
          <w:marBottom w:val="0"/>
          <w:divBdr>
            <w:top w:val="none" w:sz="0" w:space="0" w:color="auto"/>
            <w:left w:val="none" w:sz="0" w:space="0" w:color="auto"/>
            <w:bottom w:val="none" w:sz="0" w:space="0" w:color="auto"/>
            <w:right w:val="none" w:sz="0" w:space="0" w:color="auto"/>
          </w:divBdr>
          <w:divsChild>
            <w:div w:id="1365475251">
              <w:marLeft w:val="0"/>
              <w:marRight w:val="0"/>
              <w:marTop w:val="0"/>
              <w:marBottom w:val="0"/>
              <w:divBdr>
                <w:top w:val="none" w:sz="0" w:space="0" w:color="auto"/>
                <w:left w:val="none" w:sz="0" w:space="0" w:color="auto"/>
                <w:bottom w:val="none" w:sz="0" w:space="0" w:color="auto"/>
                <w:right w:val="none" w:sz="0" w:space="0" w:color="auto"/>
              </w:divBdr>
              <w:divsChild>
                <w:div w:id="188490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240556">
      <w:bodyDiv w:val="1"/>
      <w:marLeft w:val="0"/>
      <w:marRight w:val="0"/>
      <w:marTop w:val="0"/>
      <w:marBottom w:val="0"/>
      <w:divBdr>
        <w:top w:val="none" w:sz="0" w:space="0" w:color="auto"/>
        <w:left w:val="none" w:sz="0" w:space="0" w:color="auto"/>
        <w:bottom w:val="none" w:sz="0" w:space="0" w:color="auto"/>
        <w:right w:val="none" w:sz="0" w:space="0" w:color="auto"/>
      </w:divBdr>
    </w:div>
    <w:div w:id="1431898616">
      <w:bodyDiv w:val="1"/>
      <w:marLeft w:val="0"/>
      <w:marRight w:val="0"/>
      <w:marTop w:val="0"/>
      <w:marBottom w:val="0"/>
      <w:divBdr>
        <w:top w:val="none" w:sz="0" w:space="0" w:color="auto"/>
        <w:left w:val="none" w:sz="0" w:space="0" w:color="auto"/>
        <w:bottom w:val="none" w:sz="0" w:space="0" w:color="auto"/>
        <w:right w:val="none" w:sz="0" w:space="0" w:color="auto"/>
      </w:divBdr>
    </w:div>
    <w:div w:id="1497650936">
      <w:bodyDiv w:val="1"/>
      <w:marLeft w:val="0"/>
      <w:marRight w:val="0"/>
      <w:marTop w:val="0"/>
      <w:marBottom w:val="0"/>
      <w:divBdr>
        <w:top w:val="none" w:sz="0" w:space="0" w:color="auto"/>
        <w:left w:val="none" w:sz="0" w:space="0" w:color="auto"/>
        <w:bottom w:val="none" w:sz="0" w:space="0" w:color="auto"/>
        <w:right w:val="none" w:sz="0" w:space="0" w:color="auto"/>
      </w:divBdr>
    </w:div>
    <w:div w:id="1610972263">
      <w:bodyDiv w:val="1"/>
      <w:marLeft w:val="0"/>
      <w:marRight w:val="0"/>
      <w:marTop w:val="0"/>
      <w:marBottom w:val="0"/>
      <w:divBdr>
        <w:top w:val="none" w:sz="0" w:space="0" w:color="auto"/>
        <w:left w:val="none" w:sz="0" w:space="0" w:color="auto"/>
        <w:bottom w:val="none" w:sz="0" w:space="0" w:color="auto"/>
        <w:right w:val="none" w:sz="0" w:space="0" w:color="auto"/>
      </w:divBdr>
    </w:div>
    <w:div w:id="1748645153">
      <w:bodyDiv w:val="1"/>
      <w:marLeft w:val="0"/>
      <w:marRight w:val="0"/>
      <w:marTop w:val="0"/>
      <w:marBottom w:val="0"/>
      <w:divBdr>
        <w:top w:val="none" w:sz="0" w:space="0" w:color="auto"/>
        <w:left w:val="none" w:sz="0" w:space="0" w:color="auto"/>
        <w:bottom w:val="none" w:sz="0" w:space="0" w:color="auto"/>
        <w:right w:val="none" w:sz="0" w:space="0" w:color="auto"/>
      </w:divBdr>
    </w:div>
    <w:div w:id="1928533353">
      <w:bodyDiv w:val="1"/>
      <w:marLeft w:val="0"/>
      <w:marRight w:val="0"/>
      <w:marTop w:val="0"/>
      <w:marBottom w:val="0"/>
      <w:divBdr>
        <w:top w:val="none" w:sz="0" w:space="0" w:color="auto"/>
        <w:left w:val="none" w:sz="0" w:space="0" w:color="auto"/>
        <w:bottom w:val="none" w:sz="0" w:space="0" w:color="auto"/>
        <w:right w:val="none" w:sz="0" w:space="0" w:color="auto"/>
      </w:divBdr>
      <w:divsChild>
        <w:div w:id="20059944">
          <w:marLeft w:val="0"/>
          <w:marRight w:val="0"/>
          <w:marTop w:val="0"/>
          <w:marBottom w:val="0"/>
          <w:divBdr>
            <w:top w:val="none" w:sz="0" w:space="0" w:color="auto"/>
            <w:left w:val="none" w:sz="0" w:space="0" w:color="auto"/>
            <w:bottom w:val="none" w:sz="0" w:space="0" w:color="auto"/>
            <w:right w:val="none" w:sz="0" w:space="0" w:color="auto"/>
          </w:divBdr>
          <w:divsChild>
            <w:div w:id="1191794250">
              <w:marLeft w:val="0"/>
              <w:marRight w:val="0"/>
              <w:marTop w:val="0"/>
              <w:marBottom w:val="0"/>
              <w:divBdr>
                <w:top w:val="none" w:sz="0" w:space="0" w:color="auto"/>
                <w:left w:val="none" w:sz="0" w:space="0" w:color="auto"/>
                <w:bottom w:val="none" w:sz="0" w:space="0" w:color="auto"/>
                <w:right w:val="none" w:sz="0" w:space="0" w:color="auto"/>
              </w:divBdr>
              <w:divsChild>
                <w:div w:id="131710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155747">
      <w:bodyDiv w:val="1"/>
      <w:marLeft w:val="0"/>
      <w:marRight w:val="0"/>
      <w:marTop w:val="0"/>
      <w:marBottom w:val="0"/>
      <w:divBdr>
        <w:top w:val="none" w:sz="0" w:space="0" w:color="auto"/>
        <w:left w:val="none" w:sz="0" w:space="0" w:color="auto"/>
        <w:bottom w:val="none" w:sz="0" w:space="0" w:color="auto"/>
        <w:right w:val="none" w:sz="0" w:space="0" w:color="auto"/>
      </w:divBdr>
    </w:div>
    <w:div w:id="210005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echr.coe.int/Documents/InterState_applications_FRA.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3289</Words>
  <Characters>18090</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Sébastien Van Drooghenbroeck</dc:creator>
  <cp:keywords/>
  <dc:description/>
  <cp:lastModifiedBy>Sébastien Van Drooghenbroeck</cp:lastModifiedBy>
  <cp:revision>2</cp:revision>
  <cp:lastPrinted>2020-12-21T09:22:00Z</cp:lastPrinted>
  <dcterms:created xsi:type="dcterms:W3CDTF">2020-12-21T11:46:00Z</dcterms:created>
  <dcterms:modified xsi:type="dcterms:W3CDTF">2020-12-21T11:46:00Z</dcterms:modified>
</cp:coreProperties>
</file>