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06E66" w14:textId="77777777" w:rsidR="006A793E" w:rsidRPr="006A793E" w:rsidRDefault="006A793E" w:rsidP="00B2663F">
      <w:pPr>
        <w:pStyle w:val="Titre1"/>
        <w:spacing w:before="69" w:after="240" w:line="257" w:lineRule="exact"/>
        <w:ind w:left="0"/>
        <w:jc w:val="both"/>
        <w:rPr>
          <w:rFonts w:ascii="Times New Roman" w:hAnsi="Times New Roman" w:cs="Times New Roman"/>
          <w:i/>
          <w:iCs/>
        </w:rPr>
      </w:pPr>
      <w:r w:rsidRPr="006A793E">
        <w:rPr>
          <w:rFonts w:ascii="Times New Roman" w:hAnsi="Times New Roman" w:cs="Times New Roman"/>
          <w:i/>
          <w:iCs/>
        </w:rPr>
        <w:t>Note sous C</w:t>
      </w:r>
      <w:r w:rsidRPr="006A793E">
        <w:rPr>
          <w:rFonts w:ascii="Times New Roman" w:hAnsi="Times New Roman" w:cs="Times New Roman"/>
          <w:i/>
          <w:iCs/>
        </w:rPr>
        <w:t>ass</w:t>
      </w:r>
      <w:r w:rsidRPr="006A793E">
        <w:rPr>
          <w:rFonts w:ascii="Times New Roman" w:hAnsi="Times New Roman" w:cs="Times New Roman"/>
          <w:i/>
          <w:iCs/>
        </w:rPr>
        <w:t>.</w:t>
      </w:r>
      <w:r w:rsidRPr="006A793E">
        <w:rPr>
          <w:rFonts w:ascii="Times New Roman" w:hAnsi="Times New Roman" w:cs="Times New Roman"/>
          <w:i/>
          <w:iCs/>
        </w:rPr>
        <w:t xml:space="preserve"> (1re chambre), 27/05/2016</w:t>
      </w:r>
    </w:p>
    <w:p w14:paraId="48953C02" w14:textId="551252D4" w:rsidR="00B65ECB" w:rsidRPr="00605E9A" w:rsidRDefault="00EB0807" w:rsidP="00605E9A">
      <w:pPr>
        <w:pStyle w:val="Titre1"/>
        <w:spacing w:before="69" w:line="257" w:lineRule="exact"/>
        <w:ind w:left="0"/>
        <w:jc w:val="both"/>
        <w:rPr>
          <w:rFonts w:ascii="Times New Roman" w:hAnsi="Times New Roman" w:cs="Times New Roman"/>
          <w:b w:val="0"/>
        </w:rPr>
      </w:pPr>
      <w:r w:rsidRPr="00605E9A">
        <w:rPr>
          <w:rFonts w:ascii="Times New Roman" w:hAnsi="Times New Roman" w:cs="Times New Roman"/>
        </w:rPr>
        <w:t>La question de la nature du préjudice couvert par</w:t>
      </w:r>
      <w:r w:rsidR="0097723D" w:rsidRPr="00605E9A">
        <w:rPr>
          <w:rFonts w:ascii="Times New Roman" w:hAnsi="Times New Roman" w:cs="Times New Roman"/>
        </w:rPr>
        <w:t xml:space="preserve"> </w:t>
      </w:r>
      <w:r w:rsidRPr="00605E9A">
        <w:rPr>
          <w:rFonts w:ascii="Times New Roman" w:hAnsi="Times New Roman" w:cs="Times New Roman"/>
        </w:rPr>
        <w:t>l’indemnité complémentaire due à l’agent commercial : une controverse aujourd’hui tranchée</w:t>
      </w:r>
    </w:p>
    <w:p w14:paraId="4B0126FA" w14:textId="77777777" w:rsidR="0097723D" w:rsidRPr="00605E9A" w:rsidRDefault="0097723D" w:rsidP="00605E9A">
      <w:pPr>
        <w:spacing w:before="21" w:line="180" w:lineRule="auto"/>
        <w:jc w:val="both"/>
        <w:rPr>
          <w:rFonts w:ascii="Times New Roman" w:hAnsi="Times New Roman" w:cs="Times New Roman"/>
          <w:b/>
          <w:sz w:val="24"/>
          <w:szCs w:val="24"/>
        </w:rPr>
      </w:pPr>
    </w:p>
    <w:p w14:paraId="202C0035" w14:textId="3C200A04" w:rsidR="00B65ECB" w:rsidRPr="00605E9A" w:rsidRDefault="00EB0807" w:rsidP="00605E9A">
      <w:pPr>
        <w:pStyle w:val="Corpsdetexte"/>
        <w:spacing w:before="61" w:line="208" w:lineRule="auto"/>
        <w:ind w:right="235"/>
        <w:rPr>
          <w:rFonts w:ascii="Times New Roman" w:hAnsi="Times New Roman" w:cs="Times New Roman"/>
          <w:sz w:val="24"/>
          <w:szCs w:val="24"/>
        </w:rPr>
      </w:pPr>
      <w:r w:rsidRPr="00605E9A">
        <w:rPr>
          <w:rFonts w:ascii="Times New Roman" w:hAnsi="Times New Roman" w:cs="Times New Roman"/>
          <w:sz w:val="24"/>
          <w:szCs w:val="24"/>
        </w:rPr>
        <w:t>Cet arrêt met fin à une controverse</w:t>
      </w:r>
      <w:r w:rsidR="0097723D" w:rsidRPr="00605E9A">
        <w:rPr>
          <w:rStyle w:val="Appelnotedebasdep"/>
          <w:rFonts w:ascii="Times New Roman" w:hAnsi="Times New Roman" w:cs="Times New Roman"/>
          <w:sz w:val="24"/>
          <w:szCs w:val="24"/>
        </w:rPr>
        <w:footnoteReference w:id="1"/>
      </w:r>
      <w:r w:rsidRPr="00605E9A">
        <w:rPr>
          <w:rFonts w:ascii="Times New Roman" w:hAnsi="Times New Roman" w:cs="Times New Roman"/>
          <w:sz w:val="24"/>
          <w:szCs w:val="24"/>
        </w:rPr>
        <w:t xml:space="preserve"> qui a longtemps animé la doctrine et la jurisprudence quant à l’étendue du préjudice que couvre exactement l’indemnité complémentaire pouvant revenir à l’agent commercial en vertu de l’article X.19 du Code de droit économique.</w:t>
      </w:r>
    </w:p>
    <w:p w14:paraId="3AAB6F93" w14:textId="77777777" w:rsidR="0097723D" w:rsidRPr="00605E9A" w:rsidRDefault="0097723D" w:rsidP="00605E9A">
      <w:pPr>
        <w:pStyle w:val="Corpsdetexte"/>
        <w:spacing w:before="61" w:line="208" w:lineRule="auto"/>
        <w:ind w:right="235"/>
        <w:rPr>
          <w:rFonts w:ascii="Times New Roman" w:hAnsi="Times New Roman" w:cs="Times New Roman"/>
          <w:sz w:val="24"/>
          <w:szCs w:val="24"/>
        </w:rPr>
      </w:pPr>
    </w:p>
    <w:p w14:paraId="5310B5D0" w14:textId="738D155E" w:rsidR="00B65ECB" w:rsidRPr="00605E9A" w:rsidRDefault="00EB0807" w:rsidP="00605E9A">
      <w:pPr>
        <w:spacing w:before="55" w:line="208" w:lineRule="auto"/>
        <w:ind w:right="233"/>
        <w:jc w:val="both"/>
        <w:rPr>
          <w:rFonts w:ascii="Times New Roman" w:hAnsi="Times New Roman" w:cs="Times New Roman"/>
          <w:sz w:val="24"/>
          <w:szCs w:val="24"/>
        </w:rPr>
      </w:pPr>
      <w:r w:rsidRPr="00605E9A">
        <w:rPr>
          <w:rFonts w:ascii="Times New Roman" w:hAnsi="Times New Roman" w:cs="Times New Roman"/>
          <w:sz w:val="24"/>
          <w:szCs w:val="24"/>
        </w:rPr>
        <w:t xml:space="preserve">On le sait, cette disposition précise que « </w:t>
      </w:r>
      <w:r w:rsidRPr="00605E9A">
        <w:rPr>
          <w:rFonts w:ascii="Times New Roman" w:hAnsi="Times New Roman" w:cs="Times New Roman"/>
          <w:i/>
          <w:sz w:val="24"/>
          <w:szCs w:val="24"/>
        </w:rPr>
        <w:t xml:space="preserve">pour autant que l’agent commercial ait droit à l’indemnité d’éviction visée à l’article X.18 et que le montant de cette indemnité ne couvre pas l’intégralité du préjudice réellement subi, l’agent commercial peut, mais à charge de prouver l’étendue du préjudice allégué, obtenir en plus de cette indemnité, des dommages et intérêts à concurrence de la différence entre le montant du préjudice subi et celui de cette indemnité </w:t>
      </w:r>
      <w:r w:rsidRPr="00605E9A">
        <w:rPr>
          <w:rFonts w:ascii="Times New Roman" w:hAnsi="Times New Roman" w:cs="Times New Roman"/>
          <w:sz w:val="24"/>
          <w:szCs w:val="24"/>
        </w:rPr>
        <w:t>».</w:t>
      </w:r>
    </w:p>
    <w:p w14:paraId="0679B45C" w14:textId="77777777" w:rsidR="0097723D" w:rsidRPr="00605E9A" w:rsidRDefault="0097723D" w:rsidP="00605E9A">
      <w:pPr>
        <w:spacing w:before="55" w:line="208" w:lineRule="auto"/>
        <w:ind w:right="233"/>
        <w:jc w:val="both"/>
        <w:rPr>
          <w:rFonts w:ascii="Times New Roman" w:hAnsi="Times New Roman" w:cs="Times New Roman"/>
          <w:sz w:val="24"/>
          <w:szCs w:val="24"/>
        </w:rPr>
      </w:pPr>
    </w:p>
    <w:p w14:paraId="431BCE1F" w14:textId="0608CE9E" w:rsidR="00B65ECB" w:rsidRPr="00605E9A" w:rsidRDefault="00EB0807" w:rsidP="00605E9A">
      <w:pPr>
        <w:pStyle w:val="Corpsdetexte"/>
        <w:spacing w:before="53" w:line="208" w:lineRule="auto"/>
        <w:ind w:right="239"/>
        <w:rPr>
          <w:rFonts w:ascii="Times New Roman" w:hAnsi="Times New Roman" w:cs="Times New Roman"/>
          <w:sz w:val="24"/>
          <w:szCs w:val="24"/>
        </w:rPr>
      </w:pPr>
      <w:r w:rsidRPr="00605E9A">
        <w:rPr>
          <w:rFonts w:ascii="Times New Roman" w:hAnsi="Times New Roman" w:cs="Times New Roman"/>
          <w:sz w:val="24"/>
          <w:szCs w:val="24"/>
        </w:rPr>
        <w:t>Les questions se posaient donc de savoir, d’une part, quelle était la nature de ce préjudice complémentaire dont l’agent pouvait ainsi poursuivre la réparation, et d’autre part, quelles étaient les limites éventuelles de cette dernière.</w:t>
      </w:r>
    </w:p>
    <w:p w14:paraId="1AEB48C9" w14:textId="77777777" w:rsidR="0097723D" w:rsidRPr="00605E9A" w:rsidRDefault="0097723D" w:rsidP="00605E9A">
      <w:pPr>
        <w:pStyle w:val="Corpsdetexte"/>
        <w:spacing w:before="53" w:line="208" w:lineRule="auto"/>
        <w:ind w:right="239"/>
        <w:rPr>
          <w:rFonts w:ascii="Times New Roman" w:hAnsi="Times New Roman" w:cs="Times New Roman"/>
          <w:sz w:val="24"/>
          <w:szCs w:val="24"/>
        </w:rPr>
      </w:pPr>
    </w:p>
    <w:p w14:paraId="1CBF41C6" w14:textId="2A349A20" w:rsidR="00B65ECB" w:rsidRPr="00605E9A" w:rsidRDefault="00EB0807" w:rsidP="00605E9A">
      <w:pPr>
        <w:pStyle w:val="Titre2"/>
        <w:numPr>
          <w:ilvl w:val="0"/>
          <w:numId w:val="2"/>
        </w:numPr>
        <w:tabs>
          <w:tab w:val="left" w:pos="388"/>
        </w:tabs>
        <w:spacing w:before="80"/>
        <w:ind w:left="0" w:firstLine="0"/>
        <w:rPr>
          <w:rFonts w:ascii="Times New Roman" w:hAnsi="Times New Roman" w:cs="Times New Roman"/>
          <w:sz w:val="24"/>
          <w:szCs w:val="24"/>
        </w:rPr>
      </w:pPr>
      <w:r w:rsidRPr="00605E9A">
        <w:rPr>
          <w:rFonts w:ascii="Times New Roman" w:hAnsi="Times New Roman" w:cs="Times New Roman"/>
          <w:sz w:val="24"/>
          <w:szCs w:val="24"/>
        </w:rPr>
        <w:t>Une controverse jurisprudentielle et doctrinale</w:t>
      </w:r>
    </w:p>
    <w:p w14:paraId="64E2DE9E" w14:textId="77777777" w:rsidR="0097723D" w:rsidRPr="00605E9A" w:rsidRDefault="0097723D" w:rsidP="00605E9A">
      <w:pPr>
        <w:pStyle w:val="Titre2"/>
        <w:tabs>
          <w:tab w:val="left" w:pos="388"/>
        </w:tabs>
        <w:spacing w:before="80"/>
        <w:ind w:left="0" w:firstLine="0"/>
        <w:rPr>
          <w:rFonts w:ascii="Times New Roman" w:hAnsi="Times New Roman" w:cs="Times New Roman"/>
          <w:sz w:val="24"/>
          <w:szCs w:val="24"/>
        </w:rPr>
      </w:pPr>
    </w:p>
    <w:p w14:paraId="704AF97B" w14:textId="6E832E6F" w:rsidR="00B65ECB" w:rsidRPr="00605E9A" w:rsidRDefault="00EB0807" w:rsidP="00605E9A">
      <w:pPr>
        <w:pStyle w:val="Corpsdetexte"/>
        <w:spacing w:before="24"/>
        <w:rPr>
          <w:rFonts w:ascii="Times New Roman" w:hAnsi="Times New Roman" w:cs="Times New Roman"/>
          <w:sz w:val="24"/>
          <w:szCs w:val="24"/>
        </w:rPr>
      </w:pPr>
      <w:r w:rsidRPr="00605E9A">
        <w:rPr>
          <w:rFonts w:ascii="Times New Roman" w:hAnsi="Times New Roman" w:cs="Times New Roman"/>
          <w:sz w:val="24"/>
          <w:szCs w:val="24"/>
        </w:rPr>
        <w:t>Trois thèses furent développées à cet égard.</w:t>
      </w:r>
    </w:p>
    <w:p w14:paraId="39994CC3" w14:textId="77777777" w:rsidR="0097723D" w:rsidRPr="00605E9A" w:rsidRDefault="0097723D" w:rsidP="00605E9A">
      <w:pPr>
        <w:pStyle w:val="Corpsdetexte"/>
        <w:spacing w:before="24"/>
        <w:rPr>
          <w:rFonts w:ascii="Times New Roman" w:hAnsi="Times New Roman" w:cs="Times New Roman"/>
          <w:sz w:val="24"/>
          <w:szCs w:val="24"/>
        </w:rPr>
      </w:pPr>
    </w:p>
    <w:p w14:paraId="0751D880" w14:textId="0835EDD5" w:rsidR="00B65ECB" w:rsidRPr="00605E9A" w:rsidRDefault="00EB0807" w:rsidP="00605E9A">
      <w:pPr>
        <w:pStyle w:val="Corpsdetexte"/>
        <w:spacing w:before="52" w:line="208" w:lineRule="auto"/>
        <w:ind w:right="232"/>
        <w:rPr>
          <w:rFonts w:ascii="Times New Roman" w:hAnsi="Times New Roman" w:cs="Times New Roman"/>
          <w:sz w:val="24"/>
          <w:szCs w:val="24"/>
        </w:rPr>
      </w:pPr>
      <w:r w:rsidRPr="00605E9A">
        <w:rPr>
          <w:rFonts w:ascii="Times New Roman" w:hAnsi="Times New Roman" w:cs="Times New Roman"/>
          <w:sz w:val="24"/>
          <w:szCs w:val="24"/>
        </w:rPr>
        <w:t xml:space="preserve">La première tendait à considérer que le préjudice supplémentaire susceptible d’être réparé devait être distinct de celui réparé par l’indemnité de clientèle, par exemple parce que le contrat </w:t>
      </w:r>
      <w:r w:rsidRPr="00605E9A">
        <w:rPr>
          <w:rFonts w:ascii="Times New Roman" w:hAnsi="Times New Roman" w:cs="Times New Roman"/>
          <w:sz w:val="24"/>
          <w:szCs w:val="24"/>
        </w:rPr>
        <w:lastRenderedPageBreak/>
        <w:t>d’agence aurait pris fin dans des conditions « qui privent l’agent commercial des commissions dont l’exécution normale du contrat lui aurait permis de bénéficier tout en procurant au commettant des avantages substantiels liés à l’activité de l’agent commercial, et/ou dans des conditions qui n’ont pas permis à l’agent commercial d’amortir les frais et dépenses qu’il a engagés pour l’exécution du contrat sur la recommandation du commettant »</w:t>
      </w:r>
      <w:r w:rsidR="0097723D" w:rsidRPr="00605E9A">
        <w:rPr>
          <w:rStyle w:val="Appelnotedebasdep"/>
          <w:rFonts w:ascii="Times New Roman" w:hAnsi="Times New Roman" w:cs="Times New Roman"/>
          <w:sz w:val="24"/>
          <w:szCs w:val="24"/>
        </w:rPr>
        <w:footnoteReference w:id="2"/>
      </w:r>
      <w:r w:rsidRPr="00605E9A">
        <w:rPr>
          <w:rFonts w:ascii="Times New Roman" w:hAnsi="Times New Roman" w:cs="Times New Roman"/>
          <w:sz w:val="24"/>
          <w:szCs w:val="24"/>
        </w:rPr>
        <w:t>.</w:t>
      </w:r>
    </w:p>
    <w:p w14:paraId="542688C7" w14:textId="77777777" w:rsidR="0097723D" w:rsidRPr="00605E9A" w:rsidRDefault="0097723D" w:rsidP="00605E9A">
      <w:pPr>
        <w:pStyle w:val="Corpsdetexte"/>
        <w:spacing w:before="52" w:line="208" w:lineRule="auto"/>
        <w:ind w:right="232"/>
        <w:rPr>
          <w:rFonts w:ascii="Times New Roman" w:hAnsi="Times New Roman" w:cs="Times New Roman"/>
          <w:sz w:val="24"/>
          <w:szCs w:val="24"/>
        </w:rPr>
      </w:pPr>
    </w:p>
    <w:p w14:paraId="69EB60DE" w14:textId="1997CD5A" w:rsidR="00B65ECB" w:rsidRPr="00605E9A" w:rsidRDefault="00EB0807" w:rsidP="00605E9A">
      <w:pPr>
        <w:pStyle w:val="Corpsdetexte"/>
        <w:spacing w:before="51" w:line="208" w:lineRule="auto"/>
        <w:ind w:right="234"/>
        <w:rPr>
          <w:rFonts w:ascii="Times New Roman" w:hAnsi="Times New Roman" w:cs="Times New Roman"/>
          <w:sz w:val="24"/>
          <w:szCs w:val="24"/>
        </w:rPr>
      </w:pPr>
      <w:r w:rsidRPr="00605E9A">
        <w:rPr>
          <w:rFonts w:ascii="Times New Roman" w:hAnsi="Times New Roman" w:cs="Times New Roman"/>
          <w:sz w:val="24"/>
          <w:szCs w:val="24"/>
        </w:rPr>
        <w:t xml:space="preserve">Un second courant considérait quant à lui que le préjudice susceptible d’être réparé devait être </w:t>
      </w:r>
      <w:r w:rsidRPr="00605E9A">
        <w:rPr>
          <w:rFonts w:ascii="Times New Roman" w:hAnsi="Times New Roman" w:cs="Times New Roman"/>
          <w:i/>
          <w:sz w:val="24"/>
          <w:szCs w:val="24"/>
        </w:rPr>
        <w:t xml:space="preserve">de même nature </w:t>
      </w:r>
      <w:r w:rsidRPr="00605E9A">
        <w:rPr>
          <w:rFonts w:ascii="Times New Roman" w:hAnsi="Times New Roman" w:cs="Times New Roman"/>
          <w:sz w:val="24"/>
          <w:szCs w:val="24"/>
        </w:rPr>
        <w:t>que celui couvert par l’indemnité de clientèle : l’agent ne pouvait dès lors obtenir que l’indemnisation du dommage résultant de la perte de clientèle qu’il avait apportée ou développée, dommage se traduisant par la perte de commissions sur lesquelles il aurait pu normalement compter en cas de poursuite de la relation contractuelle et ce, dans la mesure où cette perte de clientèle serait d’une ampleur exceptionnelle</w:t>
      </w:r>
      <w:r w:rsidR="0097723D" w:rsidRPr="00605E9A">
        <w:rPr>
          <w:rStyle w:val="Appelnotedebasdep"/>
          <w:rFonts w:ascii="Times New Roman" w:hAnsi="Times New Roman" w:cs="Times New Roman"/>
          <w:sz w:val="24"/>
          <w:szCs w:val="24"/>
        </w:rPr>
        <w:footnoteReference w:id="3"/>
      </w:r>
      <w:r w:rsidRPr="00605E9A">
        <w:rPr>
          <w:rFonts w:ascii="Times New Roman" w:hAnsi="Times New Roman" w:cs="Times New Roman"/>
          <w:sz w:val="24"/>
          <w:szCs w:val="24"/>
        </w:rPr>
        <w:t>.</w:t>
      </w:r>
    </w:p>
    <w:p w14:paraId="0AF00AFF" w14:textId="77777777" w:rsidR="0097723D" w:rsidRPr="00605E9A" w:rsidRDefault="0097723D" w:rsidP="00605E9A">
      <w:pPr>
        <w:pStyle w:val="Corpsdetexte"/>
        <w:spacing w:before="51" w:line="208" w:lineRule="auto"/>
        <w:ind w:right="234"/>
        <w:rPr>
          <w:rFonts w:ascii="Times New Roman" w:hAnsi="Times New Roman" w:cs="Times New Roman"/>
          <w:sz w:val="24"/>
          <w:szCs w:val="24"/>
        </w:rPr>
      </w:pPr>
    </w:p>
    <w:p w14:paraId="1C06BB6B" w14:textId="42783031" w:rsidR="00B65ECB" w:rsidRPr="00605E9A" w:rsidRDefault="00EB0807" w:rsidP="00605E9A">
      <w:pPr>
        <w:pStyle w:val="Corpsdetexte"/>
        <w:spacing w:before="52" w:line="208" w:lineRule="auto"/>
        <w:ind w:right="234"/>
        <w:rPr>
          <w:rFonts w:ascii="Times New Roman" w:hAnsi="Times New Roman" w:cs="Times New Roman"/>
          <w:sz w:val="24"/>
          <w:szCs w:val="24"/>
        </w:rPr>
      </w:pPr>
      <w:r w:rsidRPr="00605E9A">
        <w:rPr>
          <w:rFonts w:ascii="Times New Roman" w:hAnsi="Times New Roman" w:cs="Times New Roman"/>
          <w:sz w:val="24"/>
          <w:szCs w:val="24"/>
        </w:rPr>
        <w:t xml:space="preserve">Enfin, selon une troisième interprétation, la nature du préjudice était </w:t>
      </w:r>
      <w:r w:rsidRPr="00605E9A">
        <w:rPr>
          <w:rFonts w:ascii="Times New Roman" w:hAnsi="Times New Roman" w:cs="Times New Roman"/>
          <w:i/>
          <w:sz w:val="24"/>
          <w:szCs w:val="24"/>
        </w:rPr>
        <w:t>indifférente</w:t>
      </w:r>
      <w:r w:rsidRPr="00605E9A">
        <w:rPr>
          <w:rFonts w:ascii="Times New Roman" w:hAnsi="Times New Roman" w:cs="Times New Roman"/>
          <w:sz w:val="24"/>
          <w:szCs w:val="24"/>
        </w:rPr>
        <w:t>, comme semble le suggérer le texte même de l’article X.19 du Code de droit économique : à condition de remplir les conditions d’exigibilité de l’indemnité d’éviction,</w:t>
      </w:r>
      <w:r w:rsidR="0097723D" w:rsidRPr="00605E9A">
        <w:rPr>
          <w:rFonts w:ascii="Times New Roman" w:hAnsi="Times New Roman" w:cs="Times New Roman"/>
          <w:sz w:val="24"/>
          <w:szCs w:val="24"/>
        </w:rPr>
        <w:t xml:space="preserve"> </w:t>
      </w:r>
      <w:r w:rsidRPr="00605E9A">
        <w:rPr>
          <w:rFonts w:ascii="Times New Roman" w:hAnsi="Times New Roman" w:cs="Times New Roman"/>
          <w:sz w:val="24"/>
          <w:szCs w:val="24"/>
        </w:rPr>
        <w:t>l’agent commercial était en droit de revendiquer la réparation de « l’intégralité du préjudice réellement subi » et établi.</w:t>
      </w:r>
    </w:p>
    <w:p w14:paraId="17DDA4A4" w14:textId="77777777" w:rsidR="0097723D" w:rsidRPr="00605E9A" w:rsidRDefault="0097723D" w:rsidP="00605E9A">
      <w:pPr>
        <w:pStyle w:val="Corpsdetexte"/>
        <w:spacing w:before="52" w:line="208" w:lineRule="auto"/>
        <w:ind w:right="234"/>
        <w:rPr>
          <w:rFonts w:ascii="Times New Roman" w:hAnsi="Times New Roman" w:cs="Times New Roman"/>
          <w:sz w:val="24"/>
          <w:szCs w:val="24"/>
        </w:rPr>
      </w:pPr>
    </w:p>
    <w:p w14:paraId="4950A640" w14:textId="11C0C9E5" w:rsidR="00B65ECB" w:rsidRPr="00605E9A" w:rsidRDefault="00EB0807" w:rsidP="00605E9A">
      <w:pPr>
        <w:pStyle w:val="Corpsdetexte"/>
        <w:spacing w:before="59" w:line="220" w:lineRule="auto"/>
        <w:ind w:right="127"/>
        <w:rPr>
          <w:rFonts w:ascii="Times New Roman" w:hAnsi="Times New Roman" w:cs="Times New Roman"/>
          <w:sz w:val="24"/>
          <w:szCs w:val="24"/>
        </w:rPr>
      </w:pPr>
      <w:r w:rsidRPr="00605E9A">
        <w:rPr>
          <w:rFonts w:ascii="Times New Roman" w:hAnsi="Times New Roman" w:cs="Times New Roman"/>
          <w:w w:val="95"/>
          <w:sz w:val="24"/>
          <w:szCs w:val="24"/>
        </w:rPr>
        <w:t xml:space="preserve">Cette controverse touchait également à la question de savoir si le plafond de douze mois de commissions prévu en matière d’indemnité d’éviction constituait ou non un plafond absolu, la première thèse y répondant par la positive, la seconde remettant </w:t>
      </w:r>
      <w:r w:rsidRPr="00605E9A">
        <w:rPr>
          <w:rFonts w:ascii="Times New Roman" w:hAnsi="Times New Roman" w:cs="Times New Roman"/>
          <w:sz w:val="24"/>
          <w:szCs w:val="24"/>
        </w:rPr>
        <w:t>en cause l’existence-même d’un tel plafond.</w:t>
      </w:r>
    </w:p>
    <w:p w14:paraId="2C0E0A58" w14:textId="77777777" w:rsidR="00605E9A" w:rsidRPr="00605E9A" w:rsidRDefault="00605E9A" w:rsidP="00605E9A">
      <w:pPr>
        <w:pStyle w:val="Corpsdetexte"/>
        <w:spacing w:before="59" w:line="220" w:lineRule="auto"/>
        <w:ind w:right="127"/>
        <w:rPr>
          <w:rFonts w:ascii="Times New Roman" w:hAnsi="Times New Roman" w:cs="Times New Roman"/>
          <w:sz w:val="24"/>
          <w:szCs w:val="24"/>
        </w:rPr>
      </w:pPr>
    </w:p>
    <w:p w14:paraId="380C1C27" w14:textId="6399791A" w:rsidR="00605E9A" w:rsidRPr="00605E9A" w:rsidRDefault="00EB0807" w:rsidP="00605E9A">
      <w:pPr>
        <w:pStyle w:val="Titre2"/>
        <w:numPr>
          <w:ilvl w:val="0"/>
          <w:numId w:val="2"/>
        </w:numPr>
        <w:tabs>
          <w:tab w:val="left" w:pos="501"/>
        </w:tabs>
        <w:spacing w:before="92"/>
        <w:ind w:left="0" w:firstLine="0"/>
        <w:rPr>
          <w:rFonts w:ascii="Times New Roman" w:hAnsi="Times New Roman" w:cs="Times New Roman"/>
          <w:sz w:val="24"/>
          <w:szCs w:val="24"/>
        </w:rPr>
      </w:pPr>
      <w:r w:rsidRPr="00605E9A">
        <w:rPr>
          <w:rFonts w:ascii="Times New Roman" w:hAnsi="Times New Roman" w:cs="Times New Roman"/>
          <w:w w:val="95"/>
          <w:sz w:val="24"/>
          <w:szCs w:val="24"/>
        </w:rPr>
        <w:t>La solution de la Cour de cassation</w:t>
      </w:r>
    </w:p>
    <w:p w14:paraId="11C7BE54" w14:textId="77777777" w:rsidR="00605E9A" w:rsidRPr="00605E9A" w:rsidRDefault="00605E9A" w:rsidP="00605E9A">
      <w:pPr>
        <w:jc w:val="both"/>
      </w:pPr>
    </w:p>
    <w:p w14:paraId="3E5EAA30" w14:textId="7057E4F7" w:rsidR="00B65ECB" w:rsidRPr="00605E9A" w:rsidRDefault="00EB0807" w:rsidP="00605E9A">
      <w:pPr>
        <w:pStyle w:val="Corpsdetexte"/>
        <w:spacing w:before="54" w:line="220" w:lineRule="auto"/>
        <w:ind w:right="119"/>
        <w:rPr>
          <w:rFonts w:ascii="Times New Roman" w:hAnsi="Times New Roman" w:cs="Times New Roman"/>
          <w:sz w:val="24"/>
          <w:szCs w:val="24"/>
        </w:rPr>
      </w:pPr>
      <w:r w:rsidRPr="00605E9A">
        <w:rPr>
          <w:rFonts w:ascii="Times New Roman" w:hAnsi="Times New Roman" w:cs="Times New Roman"/>
          <w:w w:val="95"/>
          <w:sz w:val="24"/>
          <w:szCs w:val="24"/>
        </w:rPr>
        <w:t>La Cour de cassation pencha finalement pour la première thèse en se fondant sur un arrêt de la Cour de justice de l’Union européenne du 3 décembre 2015</w:t>
      </w:r>
      <w:r w:rsidR="007C1F4F" w:rsidRPr="00605E9A">
        <w:rPr>
          <w:rStyle w:val="Appelnotedebasdep"/>
          <w:rFonts w:ascii="Times New Roman" w:hAnsi="Times New Roman" w:cs="Times New Roman"/>
          <w:w w:val="95"/>
          <w:sz w:val="24"/>
          <w:szCs w:val="24"/>
        </w:rPr>
        <w:footnoteReference w:id="4"/>
      </w:r>
      <w:r w:rsidRPr="00605E9A">
        <w:rPr>
          <w:rFonts w:ascii="Times New Roman" w:hAnsi="Times New Roman" w:cs="Times New Roman"/>
          <w:w w:val="95"/>
          <w:sz w:val="24"/>
          <w:szCs w:val="24"/>
        </w:rPr>
        <w:t xml:space="preserve">, qui avait alors </w:t>
      </w:r>
      <w:r w:rsidRPr="00605E9A">
        <w:rPr>
          <w:rFonts w:ascii="Times New Roman" w:hAnsi="Times New Roman" w:cs="Times New Roman"/>
          <w:sz w:val="24"/>
          <w:szCs w:val="24"/>
        </w:rPr>
        <w:t xml:space="preserve">dit pour droit que « l’article 17, </w:t>
      </w:r>
      <w:r w:rsidRPr="00605E9A">
        <w:rPr>
          <w:rFonts w:ascii="Times New Roman" w:hAnsi="Times New Roman" w:cs="Times New Roman"/>
          <w:sz w:val="24"/>
          <w:szCs w:val="24"/>
        </w:rPr>
        <w:lastRenderedPageBreak/>
        <w:t xml:space="preserve">paragraphe 2, de la directive [dont l’article X.19 du Code de droit économique constitue, on le rappelle, la transposition en droit belge] doit être interprété en ce sens qu’il ne s’oppose pas à une réglementation nationale </w:t>
      </w:r>
      <w:r w:rsidRPr="00605E9A">
        <w:rPr>
          <w:rFonts w:ascii="Times New Roman" w:hAnsi="Times New Roman" w:cs="Times New Roman"/>
          <w:w w:val="95"/>
          <w:sz w:val="24"/>
          <w:szCs w:val="24"/>
        </w:rPr>
        <w:t xml:space="preserve">prévoyant que l’agent commercial a droit, lors de la cessation du contrat d’agence, à la fois à une indemnité de clientèle limitée au maximum à une année de sa rémunération et, si cette indemnité ne couvre pas l’intégralité du préjudice réellement subi, à l’octroi de dommages et intérêts complémentaires, pour autant qu’une telle réglementation </w:t>
      </w:r>
      <w:r w:rsidRPr="00605E9A">
        <w:rPr>
          <w:rFonts w:ascii="Times New Roman" w:hAnsi="Times New Roman" w:cs="Times New Roman"/>
          <w:sz w:val="24"/>
          <w:szCs w:val="24"/>
        </w:rPr>
        <w:t>n’aboutit pas à une double indemnisation de l’agent au titre de la perte des commissions à la suite de la rupture dudit contrat » (</w:t>
      </w:r>
      <w:proofErr w:type="spellStart"/>
      <w:r w:rsidRPr="00605E9A">
        <w:rPr>
          <w:rFonts w:ascii="Times New Roman" w:hAnsi="Times New Roman" w:cs="Times New Roman"/>
          <w:sz w:val="24"/>
          <w:szCs w:val="24"/>
        </w:rPr>
        <w:t>voy</w:t>
      </w:r>
      <w:proofErr w:type="spellEnd"/>
      <w:r w:rsidRPr="00605E9A">
        <w:rPr>
          <w:rFonts w:ascii="Times New Roman" w:hAnsi="Times New Roman" w:cs="Times New Roman"/>
          <w:sz w:val="24"/>
          <w:szCs w:val="24"/>
        </w:rPr>
        <w:t xml:space="preserve">. </w:t>
      </w:r>
      <w:proofErr w:type="gramStart"/>
      <w:r w:rsidRPr="00605E9A">
        <w:rPr>
          <w:rFonts w:ascii="Times New Roman" w:hAnsi="Times New Roman" w:cs="Times New Roman"/>
          <w:sz w:val="24"/>
          <w:szCs w:val="24"/>
        </w:rPr>
        <w:t>considérant</w:t>
      </w:r>
      <w:proofErr w:type="gramEnd"/>
      <w:r w:rsidRPr="00605E9A">
        <w:rPr>
          <w:rFonts w:ascii="Times New Roman" w:hAnsi="Times New Roman" w:cs="Times New Roman"/>
          <w:sz w:val="24"/>
          <w:szCs w:val="24"/>
        </w:rPr>
        <w:t xml:space="preserve"> 35).</w:t>
      </w:r>
    </w:p>
    <w:p w14:paraId="76F7B8C2" w14:textId="77777777" w:rsidR="002E094D" w:rsidRPr="00605E9A" w:rsidRDefault="002E094D" w:rsidP="00605E9A">
      <w:pPr>
        <w:pStyle w:val="Corpsdetexte"/>
        <w:spacing w:before="54" w:line="220" w:lineRule="auto"/>
        <w:ind w:right="119"/>
        <w:rPr>
          <w:rFonts w:ascii="Times New Roman" w:hAnsi="Times New Roman" w:cs="Times New Roman"/>
          <w:sz w:val="24"/>
          <w:szCs w:val="24"/>
        </w:rPr>
      </w:pPr>
    </w:p>
    <w:p w14:paraId="50B3CE8D" w14:textId="0AF44D53" w:rsidR="00B65ECB" w:rsidRPr="00605E9A" w:rsidRDefault="00EB0807" w:rsidP="00605E9A">
      <w:pPr>
        <w:pStyle w:val="Corpsdetexte"/>
        <w:spacing w:before="57" w:line="220" w:lineRule="auto"/>
        <w:ind w:right="120"/>
        <w:rPr>
          <w:rFonts w:ascii="Times New Roman" w:hAnsi="Times New Roman" w:cs="Times New Roman"/>
          <w:sz w:val="24"/>
          <w:szCs w:val="24"/>
        </w:rPr>
      </w:pPr>
      <w:r w:rsidRPr="00605E9A">
        <w:rPr>
          <w:rFonts w:ascii="Times New Roman" w:hAnsi="Times New Roman" w:cs="Times New Roman"/>
          <w:sz w:val="24"/>
          <w:szCs w:val="24"/>
        </w:rPr>
        <w:t xml:space="preserve">Partant de cette décision de la Cour de justice, la Cour de cassation en conclut que l’indemnité complémentaire ne peut réparer qu’un préjudice </w:t>
      </w:r>
      <w:r w:rsidRPr="00605E9A">
        <w:rPr>
          <w:rFonts w:ascii="Times New Roman" w:hAnsi="Times New Roman" w:cs="Times New Roman"/>
          <w:i/>
          <w:sz w:val="24"/>
          <w:szCs w:val="24"/>
        </w:rPr>
        <w:t xml:space="preserve">distinct </w:t>
      </w:r>
      <w:r w:rsidRPr="00605E9A">
        <w:rPr>
          <w:rFonts w:ascii="Times New Roman" w:hAnsi="Times New Roman" w:cs="Times New Roman"/>
          <w:sz w:val="24"/>
          <w:szCs w:val="24"/>
        </w:rPr>
        <w:t>de celui couvert par l’indemnité d’éviction visée à l’article X.18 du Code de droit économique.</w:t>
      </w:r>
    </w:p>
    <w:p w14:paraId="4CC057F5" w14:textId="77777777" w:rsidR="002E094D" w:rsidRPr="00605E9A" w:rsidRDefault="002E094D" w:rsidP="00605E9A">
      <w:pPr>
        <w:pStyle w:val="Corpsdetexte"/>
        <w:spacing w:before="57" w:line="220" w:lineRule="auto"/>
        <w:ind w:right="120"/>
        <w:rPr>
          <w:rFonts w:ascii="Times New Roman" w:hAnsi="Times New Roman" w:cs="Times New Roman"/>
          <w:sz w:val="24"/>
          <w:szCs w:val="24"/>
        </w:rPr>
      </w:pPr>
    </w:p>
    <w:p w14:paraId="1D07CC45" w14:textId="0C418349" w:rsidR="00B65ECB" w:rsidRPr="00605E9A" w:rsidRDefault="00EB0807" w:rsidP="00605E9A">
      <w:pPr>
        <w:pStyle w:val="Corpsdetexte"/>
        <w:spacing w:before="59" w:line="220" w:lineRule="auto"/>
        <w:ind w:right="120"/>
        <w:rPr>
          <w:rFonts w:ascii="Times New Roman" w:hAnsi="Times New Roman" w:cs="Times New Roman"/>
          <w:sz w:val="24"/>
          <w:szCs w:val="24"/>
        </w:rPr>
      </w:pPr>
      <w:r w:rsidRPr="00605E9A">
        <w:rPr>
          <w:rFonts w:ascii="Times New Roman" w:hAnsi="Times New Roman" w:cs="Times New Roman"/>
          <w:sz w:val="24"/>
          <w:szCs w:val="24"/>
        </w:rPr>
        <w:t>Elle refusa dès lors de censurer l’arrêt de la cour d’appel de Bruxelles du 31 janvier 2014</w:t>
      </w:r>
      <w:r w:rsidR="007C1F4F" w:rsidRPr="00605E9A">
        <w:rPr>
          <w:rStyle w:val="Appelnotedebasdep"/>
          <w:rFonts w:ascii="Times New Roman" w:hAnsi="Times New Roman" w:cs="Times New Roman"/>
          <w:sz w:val="24"/>
          <w:szCs w:val="24"/>
        </w:rPr>
        <w:footnoteReference w:id="5"/>
      </w:r>
      <w:r w:rsidRPr="00605E9A">
        <w:rPr>
          <w:rFonts w:ascii="Times New Roman" w:hAnsi="Times New Roman" w:cs="Times New Roman"/>
          <w:sz w:val="24"/>
          <w:szCs w:val="24"/>
        </w:rPr>
        <w:t xml:space="preserve"> faisant l’objet du pourvoi, qui avait alors fait droit à une demande d’indemnité </w:t>
      </w:r>
      <w:r w:rsidRPr="00605E9A">
        <w:rPr>
          <w:rFonts w:ascii="Times New Roman" w:hAnsi="Times New Roman" w:cs="Times New Roman"/>
          <w:w w:val="95"/>
          <w:sz w:val="24"/>
          <w:szCs w:val="24"/>
        </w:rPr>
        <w:t>complémentaire d’un agent bancaire en considérant que la résiliation, par un établis</w:t>
      </w:r>
      <w:r w:rsidRPr="00605E9A">
        <w:rPr>
          <w:rFonts w:ascii="Times New Roman" w:hAnsi="Times New Roman" w:cs="Times New Roman"/>
          <w:sz w:val="24"/>
          <w:szCs w:val="24"/>
        </w:rPr>
        <w:t xml:space="preserve">sement de crédit, d’un contrat d’agence commerciale ayant pour objet la distribution </w:t>
      </w:r>
      <w:r w:rsidRPr="00605E9A">
        <w:rPr>
          <w:rFonts w:ascii="Times New Roman" w:hAnsi="Times New Roman" w:cs="Times New Roman"/>
          <w:w w:val="95"/>
          <w:sz w:val="24"/>
          <w:szCs w:val="24"/>
        </w:rPr>
        <w:t>de crédits, peut entraîner dans le chef de l’agent un préjudice supplémentaire constitué par la perte de revenus provenant d’une autre convention d’agence commerciale relative à la négociation d’assurances « solde restant dû</w:t>
      </w:r>
      <w:r w:rsidR="00465AAD">
        <w:rPr>
          <w:rFonts w:ascii="Times New Roman" w:hAnsi="Times New Roman" w:cs="Times New Roman"/>
          <w:w w:val="95"/>
          <w:sz w:val="24"/>
          <w:szCs w:val="24"/>
        </w:rPr>
        <w:t> »</w:t>
      </w:r>
      <w:r w:rsidR="007C1F4F" w:rsidRPr="00605E9A">
        <w:rPr>
          <w:rStyle w:val="Appelnotedebasdep"/>
          <w:rFonts w:ascii="Times New Roman" w:hAnsi="Times New Roman" w:cs="Times New Roman"/>
          <w:w w:val="95"/>
          <w:sz w:val="24"/>
          <w:szCs w:val="24"/>
        </w:rPr>
        <w:footnoteReference w:id="6"/>
      </w:r>
      <w:r w:rsidRPr="00605E9A">
        <w:rPr>
          <w:rFonts w:ascii="Times New Roman" w:hAnsi="Times New Roman" w:cs="Times New Roman"/>
          <w:w w:val="95"/>
          <w:sz w:val="24"/>
          <w:szCs w:val="24"/>
        </w:rPr>
        <w:t>, ce préjudice supplémen</w:t>
      </w:r>
      <w:r w:rsidRPr="00605E9A">
        <w:rPr>
          <w:rFonts w:ascii="Times New Roman" w:hAnsi="Times New Roman" w:cs="Times New Roman"/>
          <w:sz w:val="24"/>
          <w:szCs w:val="24"/>
        </w:rPr>
        <w:t>taire correspondant exactement à la mesure du préjudice excédentaire devant être couvert par l’indemnité complémentaire.</w:t>
      </w:r>
    </w:p>
    <w:p w14:paraId="0221826A" w14:textId="77777777" w:rsidR="002E094D" w:rsidRPr="00605E9A" w:rsidRDefault="002E094D" w:rsidP="00605E9A">
      <w:pPr>
        <w:pStyle w:val="Corpsdetexte"/>
        <w:spacing w:before="59" w:line="220" w:lineRule="auto"/>
        <w:ind w:right="120"/>
        <w:rPr>
          <w:rFonts w:ascii="Times New Roman" w:hAnsi="Times New Roman" w:cs="Times New Roman"/>
          <w:sz w:val="24"/>
          <w:szCs w:val="24"/>
        </w:rPr>
      </w:pPr>
    </w:p>
    <w:p w14:paraId="1FA60970" w14:textId="28661CD9" w:rsidR="00B65ECB" w:rsidRPr="00605E9A" w:rsidRDefault="00EB0807" w:rsidP="00605E9A">
      <w:pPr>
        <w:pStyle w:val="Corpsdetexte"/>
        <w:spacing w:before="57" w:line="220" w:lineRule="auto"/>
        <w:ind w:right="121"/>
        <w:rPr>
          <w:rFonts w:ascii="Times New Roman" w:hAnsi="Times New Roman" w:cs="Times New Roman"/>
          <w:sz w:val="24"/>
          <w:szCs w:val="24"/>
        </w:rPr>
      </w:pPr>
      <w:r w:rsidRPr="00605E9A">
        <w:rPr>
          <w:rFonts w:ascii="Times New Roman" w:hAnsi="Times New Roman" w:cs="Times New Roman"/>
          <w:w w:val="95"/>
          <w:sz w:val="24"/>
          <w:szCs w:val="24"/>
        </w:rPr>
        <w:t>La Cour de cassation considéra, en effet, que la cour d’appel avait légalement justifié sa décision d’accorder des dommages et intérêts complémentaires sur la base de ce que « le préjudice consistant en la perte des revenus produits par les assurances</w:t>
      </w:r>
      <w:r w:rsidR="002E094D" w:rsidRPr="00605E9A">
        <w:rPr>
          <w:rFonts w:ascii="Times New Roman" w:hAnsi="Times New Roman" w:cs="Times New Roman"/>
          <w:w w:val="95"/>
          <w:sz w:val="24"/>
          <w:szCs w:val="24"/>
        </w:rPr>
        <w:t xml:space="preserve"> </w:t>
      </w:r>
      <w:r w:rsidRPr="00605E9A">
        <w:rPr>
          <w:rFonts w:ascii="Times New Roman" w:hAnsi="Times New Roman" w:cs="Times New Roman"/>
          <w:sz w:val="24"/>
          <w:szCs w:val="24"/>
        </w:rPr>
        <w:t xml:space="preserve">M. constitue un préjudice distinct de celui qui est réparé par l’indemnité d’éviction, </w:t>
      </w:r>
      <w:r w:rsidRPr="00605E9A">
        <w:rPr>
          <w:rFonts w:ascii="Times New Roman" w:hAnsi="Times New Roman" w:cs="Times New Roman"/>
          <w:w w:val="95"/>
          <w:sz w:val="24"/>
          <w:szCs w:val="24"/>
        </w:rPr>
        <w:t xml:space="preserve">qui ne compense que la perte de revenus pour les produits bancaires faisant l’objet </w:t>
      </w:r>
      <w:r w:rsidRPr="00605E9A">
        <w:rPr>
          <w:rFonts w:ascii="Times New Roman" w:hAnsi="Times New Roman" w:cs="Times New Roman"/>
          <w:sz w:val="24"/>
          <w:szCs w:val="24"/>
        </w:rPr>
        <w:t>du contrat d’agence avec la demanderesse ».</w:t>
      </w:r>
    </w:p>
    <w:p w14:paraId="7FC736A8" w14:textId="31009DF5" w:rsidR="002E094D" w:rsidRPr="00605E9A" w:rsidRDefault="002E094D" w:rsidP="00605E9A">
      <w:pPr>
        <w:pStyle w:val="Corpsdetexte"/>
        <w:spacing w:before="57" w:line="220" w:lineRule="auto"/>
        <w:ind w:right="121"/>
        <w:rPr>
          <w:rFonts w:ascii="Times New Roman" w:hAnsi="Times New Roman" w:cs="Times New Roman"/>
          <w:sz w:val="24"/>
          <w:szCs w:val="24"/>
        </w:rPr>
      </w:pPr>
    </w:p>
    <w:p w14:paraId="7FB88D1A" w14:textId="660A1B20" w:rsidR="00405D93" w:rsidRPr="00605E9A" w:rsidRDefault="00405D93" w:rsidP="00605E9A">
      <w:pPr>
        <w:pStyle w:val="Corpsdetexte"/>
        <w:spacing w:before="57" w:line="220" w:lineRule="auto"/>
        <w:ind w:right="121"/>
        <w:rPr>
          <w:rFonts w:ascii="Times New Roman" w:hAnsi="Times New Roman" w:cs="Times New Roman"/>
          <w:sz w:val="24"/>
          <w:szCs w:val="24"/>
        </w:rPr>
      </w:pPr>
    </w:p>
    <w:p w14:paraId="3FC4C3F0" w14:textId="25506BE3" w:rsidR="00B65ECB" w:rsidRPr="00605E9A" w:rsidRDefault="00EB0807" w:rsidP="00605E9A">
      <w:pPr>
        <w:pStyle w:val="Titre2"/>
        <w:numPr>
          <w:ilvl w:val="0"/>
          <w:numId w:val="2"/>
        </w:numPr>
        <w:tabs>
          <w:tab w:val="left" w:pos="501"/>
        </w:tabs>
        <w:spacing w:before="91"/>
        <w:ind w:left="0" w:firstLine="0"/>
        <w:rPr>
          <w:rFonts w:ascii="Times New Roman" w:hAnsi="Times New Roman" w:cs="Times New Roman"/>
          <w:sz w:val="24"/>
          <w:szCs w:val="24"/>
        </w:rPr>
      </w:pPr>
      <w:r w:rsidRPr="00605E9A">
        <w:rPr>
          <w:rFonts w:ascii="Times New Roman" w:hAnsi="Times New Roman" w:cs="Times New Roman"/>
          <w:w w:val="90"/>
          <w:sz w:val="24"/>
          <w:szCs w:val="24"/>
        </w:rPr>
        <w:t>Appréciation</w:t>
      </w:r>
    </w:p>
    <w:p w14:paraId="5398E694" w14:textId="77777777" w:rsidR="002E094D" w:rsidRPr="00605E9A" w:rsidRDefault="002E094D" w:rsidP="00605E9A">
      <w:pPr>
        <w:pStyle w:val="Corpsdetexte"/>
        <w:spacing w:before="55" w:line="220" w:lineRule="auto"/>
        <w:ind w:right="121"/>
        <w:rPr>
          <w:rFonts w:ascii="Times New Roman" w:hAnsi="Times New Roman" w:cs="Times New Roman"/>
          <w:sz w:val="24"/>
          <w:szCs w:val="24"/>
        </w:rPr>
      </w:pPr>
    </w:p>
    <w:p w14:paraId="1EEAD85D" w14:textId="1888CFCF" w:rsidR="00B65ECB" w:rsidRPr="00605E9A" w:rsidRDefault="00EB0807" w:rsidP="00605E9A">
      <w:pPr>
        <w:pStyle w:val="Corpsdetexte"/>
        <w:spacing w:before="55" w:line="220" w:lineRule="auto"/>
        <w:ind w:right="121"/>
        <w:rPr>
          <w:rFonts w:ascii="Times New Roman" w:hAnsi="Times New Roman" w:cs="Times New Roman"/>
          <w:sz w:val="24"/>
          <w:szCs w:val="24"/>
        </w:rPr>
      </w:pPr>
      <w:r w:rsidRPr="00605E9A">
        <w:rPr>
          <w:rFonts w:ascii="Times New Roman" w:hAnsi="Times New Roman" w:cs="Times New Roman"/>
          <w:sz w:val="24"/>
          <w:szCs w:val="24"/>
        </w:rPr>
        <w:t>La question de la nature du préjudice pouvant être réparé par l’indemnité complémentaire et celle d’un éventuel plafond à cette réparation, paraissent donc désormais clairement tranchées</w:t>
      </w:r>
      <w:r w:rsidR="007F31E1" w:rsidRPr="00605E9A">
        <w:rPr>
          <w:rFonts w:ascii="Times New Roman" w:hAnsi="Times New Roman" w:cs="Times New Roman"/>
          <w:sz w:val="24"/>
          <w:szCs w:val="24"/>
        </w:rPr>
        <w:t>.</w:t>
      </w:r>
    </w:p>
    <w:p w14:paraId="327B3796" w14:textId="77777777" w:rsidR="00B65ECB" w:rsidRPr="00605E9A" w:rsidRDefault="00B65ECB" w:rsidP="00605E9A">
      <w:pPr>
        <w:pStyle w:val="Corpsdetexte"/>
        <w:rPr>
          <w:rFonts w:ascii="Times New Roman" w:hAnsi="Times New Roman" w:cs="Times New Roman"/>
          <w:sz w:val="24"/>
          <w:szCs w:val="24"/>
        </w:rPr>
      </w:pPr>
    </w:p>
    <w:p w14:paraId="3C103A21" w14:textId="2BD2A651" w:rsidR="00B65ECB" w:rsidRPr="00605E9A" w:rsidRDefault="00EB0807" w:rsidP="00605E9A">
      <w:pPr>
        <w:pStyle w:val="Corpsdetexte"/>
        <w:spacing w:before="84" w:line="208" w:lineRule="auto"/>
        <w:ind w:right="233"/>
        <w:rPr>
          <w:rFonts w:ascii="Times New Roman" w:hAnsi="Times New Roman" w:cs="Times New Roman"/>
          <w:sz w:val="24"/>
          <w:szCs w:val="24"/>
        </w:rPr>
      </w:pPr>
      <w:r w:rsidRPr="00605E9A">
        <w:rPr>
          <w:rFonts w:ascii="Times New Roman" w:hAnsi="Times New Roman" w:cs="Times New Roman"/>
          <w:sz w:val="24"/>
          <w:szCs w:val="24"/>
        </w:rPr>
        <w:t xml:space="preserve">Il résulte tant de la jurisprudence de la Cour de justice de l’Union européenne que de celle de la Cour de cassation belge que les dommages et intérêts complémentaires prévus par l’article X.19 du Code de droit économique ne peuvent viser que la réparation d’un préjudice </w:t>
      </w:r>
      <w:r w:rsidRPr="00605E9A">
        <w:rPr>
          <w:rFonts w:ascii="Times New Roman" w:hAnsi="Times New Roman" w:cs="Times New Roman"/>
          <w:i/>
          <w:sz w:val="24"/>
          <w:szCs w:val="24"/>
        </w:rPr>
        <w:t xml:space="preserve">distinct </w:t>
      </w:r>
      <w:r w:rsidRPr="00605E9A">
        <w:rPr>
          <w:rFonts w:ascii="Times New Roman" w:hAnsi="Times New Roman" w:cs="Times New Roman"/>
          <w:sz w:val="24"/>
          <w:szCs w:val="24"/>
        </w:rPr>
        <w:t>de celui réparé par l’indemnité d’éviction. Aucun de ces deux arrêts n’émet par ailleurs de réserve quant au fait que le montant de l’indemnisation pouvant être accordé à ce titre à l’agent devrait être plafonné, de façon telle que le cumul de l’indemnité d’éviction et de l’indemnité complémentaire n’excède pas douze mois de rémunération moyenne.</w:t>
      </w:r>
    </w:p>
    <w:p w14:paraId="4B433024" w14:textId="77777777" w:rsidR="002E094D" w:rsidRPr="00605E9A" w:rsidRDefault="002E094D" w:rsidP="00605E9A">
      <w:pPr>
        <w:pStyle w:val="Corpsdetexte"/>
        <w:spacing w:before="84" w:line="208" w:lineRule="auto"/>
        <w:ind w:right="233"/>
        <w:rPr>
          <w:rFonts w:ascii="Times New Roman" w:hAnsi="Times New Roman" w:cs="Times New Roman"/>
          <w:sz w:val="24"/>
          <w:szCs w:val="24"/>
        </w:rPr>
      </w:pPr>
    </w:p>
    <w:p w14:paraId="5592C626" w14:textId="0782F6E0" w:rsidR="00B65ECB" w:rsidRPr="00605E9A" w:rsidRDefault="00EB0807" w:rsidP="00605E9A">
      <w:pPr>
        <w:pStyle w:val="Corpsdetexte"/>
        <w:spacing w:before="50" w:line="208" w:lineRule="auto"/>
        <w:ind w:right="233"/>
        <w:rPr>
          <w:rFonts w:ascii="Times New Roman" w:hAnsi="Times New Roman" w:cs="Times New Roman"/>
          <w:sz w:val="24"/>
          <w:szCs w:val="24"/>
        </w:rPr>
      </w:pPr>
      <w:r w:rsidRPr="00605E9A">
        <w:rPr>
          <w:rFonts w:ascii="Times New Roman" w:hAnsi="Times New Roman" w:cs="Times New Roman"/>
          <w:sz w:val="24"/>
          <w:szCs w:val="24"/>
        </w:rPr>
        <w:t>Il reste néanmoins que, en subordonnant le droit à une indemnité complémentaire à la condition préalable que l’agent ait bien droit à une indemnité d’éviction, le régime légal a pour effet que l’agent qui ne serait pas dans les conditions pour pouvoir bénéficier d’une indemnité de clientèle, mais qui souffrirait néanmoins d’un réel préjudice suite à la résiliation (par exemple en raison de l’existence d’investissements non encore amortis, ou encore parce qu’il doit lui-même licencier du personnel) ne pourrait prétendre à une telle indemnité complémentaire. On le voit, le choix du système d’indemnité d’éviction plutôt que de celui de la réparation du préjudice subi par l’agent, laissé au libre choix des États membres par la directive du 18 décembre 1986, peut avoir pour effet de défavoriser considérablement l’agent commercial dans de pareilles circonstances.</w:t>
      </w:r>
    </w:p>
    <w:p w14:paraId="5A8BF3D0" w14:textId="7D109C8A" w:rsidR="007C1F4F" w:rsidRDefault="007C1F4F" w:rsidP="00605E9A">
      <w:pPr>
        <w:pStyle w:val="Corpsdetexte"/>
        <w:spacing w:before="50" w:line="208" w:lineRule="auto"/>
        <w:ind w:right="233"/>
        <w:rPr>
          <w:rFonts w:ascii="Times New Roman" w:hAnsi="Times New Roman" w:cs="Times New Roman"/>
          <w:sz w:val="24"/>
          <w:szCs w:val="24"/>
        </w:rPr>
      </w:pPr>
    </w:p>
    <w:p w14:paraId="01524E80" w14:textId="77777777" w:rsidR="00465AAD" w:rsidRPr="00605E9A" w:rsidRDefault="00465AAD" w:rsidP="00605E9A">
      <w:pPr>
        <w:pStyle w:val="Corpsdetexte"/>
        <w:spacing w:before="50" w:line="208" w:lineRule="auto"/>
        <w:ind w:right="233"/>
        <w:rPr>
          <w:rFonts w:ascii="Times New Roman" w:hAnsi="Times New Roman" w:cs="Times New Roman"/>
          <w:sz w:val="24"/>
          <w:szCs w:val="24"/>
        </w:rPr>
      </w:pPr>
    </w:p>
    <w:p w14:paraId="51E8BDAB" w14:textId="77777777" w:rsidR="00605E9A" w:rsidRPr="00605E9A" w:rsidRDefault="00EB0807" w:rsidP="00465AAD">
      <w:pPr>
        <w:tabs>
          <w:tab w:val="left" w:pos="5854"/>
        </w:tabs>
        <w:spacing w:before="83" w:line="228" w:lineRule="exact"/>
        <w:jc w:val="right"/>
        <w:rPr>
          <w:rFonts w:ascii="Times New Roman" w:hAnsi="Times New Roman" w:cs="Times New Roman"/>
          <w:i/>
          <w:iCs/>
          <w:sz w:val="24"/>
          <w:szCs w:val="24"/>
        </w:rPr>
      </w:pPr>
      <w:r w:rsidRPr="00605E9A">
        <w:rPr>
          <w:rFonts w:ascii="Times New Roman" w:hAnsi="Times New Roman" w:cs="Times New Roman"/>
          <w:i/>
          <w:iCs/>
          <w:sz w:val="24"/>
          <w:szCs w:val="24"/>
        </w:rPr>
        <w:t>Alice DEJOLLIE</w:t>
      </w:r>
      <w:r w:rsidR="00405D93" w:rsidRPr="00605E9A">
        <w:rPr>
          <w:rFonts w:ascii="Times New Roman" w:hAnsi="Times New Roman" w:cs="Times New Roman"/>
          <w:i/>
          <w:iCs/>
          <w:sz w:val="24"/>
          <w:szCs w:val="24"/>
        </w:rPr>
        <w:t>R</w:t>
      </w:r>
    </w:p>
    <w:p w14:paraId="7AC8888D" w14:textId="6BE7B1DC" w:rsidR="00B65ECB" w:rsidRPr="00605E9A" w:rsidRDefault="00EB0807" w:rsidP="00465AAD">
      <w:pPr>
        <w:tabs>
          <w:tab w:val="left" w:pos="5854"/>
        </w:tabs>
        <w:spacing w:before="83" w:line="228" w:lineRule="exact"/>
        <w:jc w:val="right"/>
        <w:rPr>
          <w:rFonts w:ascii="Times New Roman" w:hAnsi="Times New Roman" w:cs="Times New Roman"/>
          <w:i/>
          <w:iCs/>
          <w:sz w:val="24"/>
          <w:szCs w:val="24"/>
        </w:rPr>
      </w:pPr>
      <w:r w:rsidRPr="00605E9A">
        <w:rPr>
          <w:rFonts w:ascii="Times New Roman" w:hAnsi="Times New Roman" w:cs="Times New Roman"/>
          <w:i/>
          <w:iCs/>
          <w:sz w:val="24"/>
          <w:szCs w:val="24"/>
        </w:rPr>
        <w:t>Patrick KILESTE</w:t>
      </w:r>
    </w:p>
    <w:p w14:paraId="23B15269" w14:textId="77777777" w:rsidR="00605E9A" w:rsidRPr="00605E9A" w:rsidRDefault="00605E9A" w:rsidP="00465AAD">
      <w:pPr>
        <w:pStyle w:val="Corpsdetexte"/>
        <w:tabs>
          <w:tab w:val="left" w:pos="4450"/>
        </w:tabs>
        <w:spacing w:line="228" w:lineRule="exact"/>
        <w:jc w:val="right"/>
        <w:rPr>
          <w:rFonts w:ascii="Times New Roman" w:hAnsi="Times New Roman" w:cs="Times New Roman"/>
          <w:i/>
          <w:iCs/>
          <w:sz w:val="24"/>
          <w:szCs w:val="24"/>
        </w:rPr>
      </w:pPr>
    </w:p>
    <w:p w14:paraId="7A2B86E0" w14:textId="5355F553" w:rsidR="00B65ECB" w:rsidRPr="00605E9A" w:rsidRDefault="007C1F4F" w:rsidP="00465AAD">
      <w:pPr>
        <w:pStyle w:val="Corpsdetexte"/>
        <w:tabs>
          <w:tab w:val="left" w:pos="4450"/>
        </w:tabs>
        <w:spacing w:line="228" w:lineRule="exact"/>
        <w:jc w:val="right"/>
        <w:rPr>
          <w:rFonts w:ascii="Times New Roman" w:hAnsi="Times New Roman" w:cs="Times New Roman"/>
          <w:i/>
          <w:iCs/>
          <w:sz w:val="24"/>
          <w:szCs w:val="24"/>
        </w:rPr>
      </w:pPr>
      <w:r w:rsidRPr="00605E9A">
        <w:rPr>
          <w:rFonts w:ascii="Times New Roman" w:hAnsi="Times New Roman" w:cs="Times New Roman"/>
          <w:i/>
          <w:iCs/>
          <w:sz w:val="24"/>
          <w:szCs w:val="24"/>
        </w:rPr>
        <w:t xml:space="preserve">Avocats </w:t>
      </w:r>
      <w:r w:rsidR="00EB0807" w:rsidRPr="00605E9A">
        <w:rPr>
          <w:rFonts w:ascii="Times New Roman" w:hAnsi="Times New Roman" w:cs="Times New Roman"/>
          <w:i/>
          <w:iCs/>
          <w:sz w:val="24"/>
          <w:szCs w:val="24"/>
        </w:rPr>
        <w:t>au barreau de Bruxelle</w:t>
      </w:r>
      <w:r w:rsidRPr="00605E9A">
        <w:rPr>
          <w:rFonts w:ascii="Times New Roman" w:hAnsi="Times New Roman" w:cs="Times New Roman"/>
          <w:i/>
          <w:iCs/>
          <w:sz w:val="24"/>
          <w:szCs w:val="24"/>
        </w:rPr>
        <w:t>s</w:t>
      </w:r>
    </w:p>
    <w:p w14:paraId="72E230BD" w14:textId="77777777" w:rsidR="00B65ECB" w:rsidRPr="00605E9A" w:rsidRDefault="00B65ECB" w:rsidP="00605E9A">
      <w:pPr>
        <w:pStyle w:val="Corpsdetexte"/>
        <w:rPr>
          <w:rFonts w:ascii="Times New Roman" w:hAnsi="Times New Roman" w:cs="Times New Roman"/>
          <w:i/>
          <w:iCs/>
          <w:sz w:val="24"/>
          <w:szCs w:val="24"/>
        </w:rPr>
      </w:pPr>
    </w:p>
    <w:sectPr w:rsidR="00B65ECB" w:rsidRPr="00605E9A" w:rsidSect="007F31E1">
      <w:headerReference w:type="default" r:id="rId7"/>
      <w:footerReference w:type="default" r:id="rId8"/>
      <w:type w:val="continuous"/>
      <w:pgSz w:w="8790" w:h="13610"/>
      <w:pgMar w:top="1135" w:right="993" w:bottom="38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9D3FD" w14:textId="77777777" w:rsidR="00EB0807" w:rsidRDefault="00EB0807">
      <w:r>
        <w:separator/>
      </w:r>
    </w:p>
  </w:endnote>
  <w:endnote w:type="continuationSeparator" w:id="0">
    <w:p w14:paraId="40B6DE48" w14:textId="77777777" w:rsidR="00EB0807" w:rsidRDefault="00EB0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4A4FA" w14:textId="64C2B298" w:rsidR="00B65ECB" w:rsidRDefault="00B65ECB">
    <w:pPr>
      <w:pStyle w:val="Corpsdetexte"/>
      <w:spacing w:line="14" w:lineRule="auto"/>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76474F" w14:textId="77777777" w:rsidR="00EB0807" w:rsidRDefault="00EB0807">
      <w:r>
        <w:separator/>
      </w:r>
    </w:p>
  </w:footnote>
  <w:footnote w:type="continuationSeparator" w:id="0">
    <w:p w14:paraId="050182AB" w14:textId="77777777" w:rsidR="00EB0807" w:rsidRDefault="00EB0807">
      <w:r>
        <w:continuationSeparator/>
      </w:r>
    </w:p>
  </w:footnote>
  <w:footnote w:id="1">
    <w:p w14:paraId="342D222E" w14:textId="4F22E77B" w:rsidR="0097723D" w:rsidRPr="00405D93" w:rsidRDefault="0097723D" w:rsidP="002E094D">
      <w:pPr>
        <w:ind w:right="234"/>
        <w:jc w:val="both"/>
        <w:rPr>
          <w:rFonts w:ascii="Times New Roman" w:hAnsi="Times New Roman" w:cs="Times New Roman"/>
          <w:sz w:val="18"/>
          <w:szCs w:val="18"/>
        </w:rPr>
      </w:pPr>
      <w:r w:rsidRPr="00405D93">
        <w:rPr>
          <w:rStyle w:val="Appelnotedebasdep"/>
          <w:rFonts w:ascii="Times New Roman" w:hAnsi="Times New Roman" w:cs="Times New Roman"/>
          <w:sz w:val="18"/>
          <w:szCs w:val="18"/>
        </w:rPr>
        <w:footnoteRef/>
      </w:r>
      <w:r w:rsidRPr="00405D93">
        <w:rPr>
          <w:rFonts w:ascii="Times New Roman" w:hAnsi="Times New Roman" w:cs="Times New Roman"/>
          <w:sz w:val="18"/>
          <w:szCs w:val="18"/>
        </w:rPr>
        <w:t xml:space="preserve"> P.</w:t>
      </w:r>
      <w:r w:rsidRPr="00405D93">
        <w:rPr>
          <w:rFonts w:ascii="Times New Roman" w:hAnsi="Times New Roman" w:cs="Times New Roman"/>
          <w:spacing w:val="1"/>
          <w:sz w:val="18"/>
          <w:szCs w:val="18"/>
        </w:rPr>
        <w:t xml:space="preserve"> </w:t>
      </w:r>
      <w:r w:rsidRPr="00405D93">
        <w:rPr>
          <w:rFonts w:ascii="Times New Roman" w:hAnsi="Times New Roman" w:cs="Times New Roman"/>
          <w:sz w:val="18"/>
          <w:szCs w:val="18"/>
        </w:rPr>
        <w:t>CRAHAY,</w:t>
      </w:r>
      <w:r w:rsidRPr="00405D93">
        <w:rPr>
          <w:rFonts w:ascii="Times New Roman" w:hAnsi="Times New Roman" w:cs="Times New Roman"/>
          <w:spacing w:val="-6"/>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La</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loi</w:t>
      </w:r>
      <w:r w:rsidRPr="00405D93">
        <w:rPr>
          <w:rFonts w:ascii="Times New Roman" w:hAnsi="Times New Roman" w:cs="Times New Roman"/>
          <w:spacing w:val="-8"/>
          <w:sz w:val="18"/>
          <w:szCs w:val="18"/>
        </w:rPr>
        <w:t xml:space="preserve"> </w:t>
      </w:r>
      <w:r w:rsidRPr="00405D93">
        <w:rPr>
          <w:rFonts w:ascii="Times New Roman" w:hAnsi="Times New Roman" w:cs="Times New Roman"/>
          <w:sz w:val="18"/>
          <w:szCs w:val="18"/>
        </w:rPr>
        <w:t>relative</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au</w:t>
      </w:r>
      <w:r w:rsidRPr="00405D93">
        <w:rPr>
          <w:rFonts w:ascii="Times New Roman" w:hAnsi="Times New Roman" w:cs="Times New Roman"/>
          <w:spacing w:val="-8"/>
          <w:sz w:val="18"/>
          <w:szCs w:val="18"/>
        </w:rPr>
        <w:t xml:space="preserve"> </w:t>
      </w:r>
      <w:r w:rsidRPr="00405D93">
        <w:rPr>
          <w:rFonts w:ascii="Times New Roman" w:hAnsi="Times New Roman" w:cs="Times New Roman"/>
          <w:sz w:val="18"/>
          <w:szCs w:val="18"/>
        </w:rPr>
        <w:t>contrat</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d’agence</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commerciale</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résiliation</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indemnité</w:t>
      </w:r>
      <w:r w:rsidRPr="00405D93">
        <w:rPr>
          <w:rFonts w:ascii="Times New Roman" w:hAnsi="Times New Roman" w:cs="Times New Roman"/>
          <w:spacing w:val="-8"/>
          <w:sz w:val="18"/>
          <w:szCs w:val="18"/>
        </w:rPr>
        <w:t xml:space="preserve"> </w:t>
      </w:r>
      <w:r w:rsidRPr="00405D93">
        <w:rPr>
          <w:rFonts w:ascii="Times New Roman" w:hAnsi="Times New Roman" w:cs="Times New Roman"/>
          <w:sz w:val="18"/>
          <w:szCs w:val="18"/>
        </w:rPr>
        <w:t>d’éviction</w:t>
      </w:r>
      <w:r w:rsidRPr="00405D93">
        <w:rPr>
          <w:rFonts w:ascii="Times New Roman" w:hAnsi="Times New Roman" w:cs="Times New Roman"/>
          <w:spacing w:val="-7"/>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6"/>
          <w:sz w:val="18"/>
          <w:szCs w:val="18"/>
        </w:rPr>
        <w:t xml:space="preserve"> </w:t>
      </w:r>
      <w:r w:rsidRPr="00405D93">
        <w:rPr>
          <w:rFonts w:ascii="Times New Roman" w:hAnsi="Times New Roman" w:cs="Times New Roman"/>
          <w:i/>
          <w:sz w:val="18"/>
          <w:szCs w:val="18"/>
        </w:rPr>
        <w:t>R.D.C.</w:t>
      </w:r>
      <w:r w:rsidRPr="00405D93">
        <w:rPr>
          <w:rFonts w:ascii="Times New Roman" w:hAnsi="Times New Roman" w:cs="Times New Roman"/>
          <w:sz w:val="18"/>
          <w:szCs w:val="18"/>
        </w:rPr>
        <w:t xml:space="preserve">, 1995, pp. 873 et 874, n° 84 ; P. DE KEYSER et N. BEAUFILS, « Agence commerciale et représentation commerciale. La loi du 13 avril 1995 », </w:t>
      </w:r>
      <w:r w:rsidRPr="00405D93">
        <w:rPr>
          <w:rFonts w:ascii="Times New Roman" w:hAnsi="Times New Roman" w:cs="Times New Roman"/>
          <w:i/>
          <w:sz w:val="18"/>
          <w:szCs w:val="18"/>
        </w:rPr>
        <w:t>J.T.T.</w:t>
      </w:r>
      <w:r w:rsidRPr="00405D93">
        <w:rPr>
          <w:rFonts w:ascii="Times New Roman" w:hAnsi="Times New Roman" w:cs="Times New Roman"/>
          <w:sz w:val="18"/>
          <w:szCs w:val="18"/>
        </w:rPr>
        <w:t xml:space="preserve">, 1996, p. 10 ; S. WILLEMART et M. WILLEMART, </w:t>
      </w:r>
      <w:r w:rsidRPr="00405D93">
        <w:rPr>
          <w:rFonts w:ascii="Times New Roman" w:hAnsi="Times New Roman" w:cs="Times New Roman"/>
          <w:i/>
          <w:sz w:val="18"/>
          <w:szCs w:val="18"/>
        </w:rPr>
        <w:t>La concession de vente et l’agence commerciale</w:t>
      </w:r>
      <w:r w:rsidRPr="00405D93">
        <w:rPr>
          <w:rFonts w:ascii="Times New Roman" w:hAnsi="Times New Roman" w:cs="Times New Roman"/>
          <w:sz w:val="18"/>
          <w:szCs w:val="18"/>
        </w:rPr>
        <w:t xml:space="preserve">, Dossiers du J.T., n° 8, Bruxelles, Larcier, 1995, pp. 128 à 130 ; M. DAMBRE, « De </w:t>
      </w:r>
      <w:proofErr w:type="spellStart"/>
      <w:r w:rsidRPr="00405D93">
        <w:rPr>
          <w:rFonts w:ascii="Times New Roman" w:hAnsi="Times New Roman" w:cs="Times New Roman"/>
          <w:sz w:val="18"/>
          <w:szCs w:val="18"/>
        </w:rPr>
        <w:t>nieuwe</w:t>
      </w:r>
      <w:proofErr w:type="spellEnd"/>
      <w:r w:rsidRPr="00405D93">
        <w:rPr>
          <w:rFonts w:ascii="Times New Roman" w:hAnsi="Times New Roman" w:cs="Times New Roman"/>
          <w:sz w:val="18"/>
          <w:szCs w:val="18"/>
        </w:rPr>
        <w:t xml:space="preserve"> </w:t>
      </w:r>
      <w:proofErr w:type="spellStart"/>
      <w:r w:rsidRPr="00405D93">
        <w:rPr>
          <w:rFonts w:ascii="Times New Roman" w:hAnsi="Times New Roman" w:cs="Times New Roman"/>
          <w:sz w:val="18"/>
          <w:szCs w:val="18"/>
        </w:rPr>
        <w:t>handelsagentuurovereenkomstenwet</w:t>
      </w:r>
      <w:proofErr w:type="spellEnd"/>
      <w:r w:rsidRPr="00405D93">
        <w:rPr>
          <w:rFonts w:ascii="Times New Roman" w:hAnsi="Times New Roman" w:cs="Times New Roman"/>
          <w:sz w:val="18"/>
          <w:szCs w:val="18"/>
        </w:rPr>
        <w:t xml:space="preserve"> », </w:t>
      </w:r>
      <w:r w:rsidRPr="00405D93">
        <w:rPr>
          <w:rFonts w:ascii="Times New Roman" w:hAnsi="Times New Roman" w:cs="Times New Roman"/>
          <w:i/>
          <w:sz w:val="18"/>
          <w:szCs w:val="18"/>
        </w:rPr>
        <w:t>R.W.</w:t>
      </w:r>
      <w:r w:rsidRPr="00405D93">
        <w:rPr>
          <w:rFonts w:ascii="Times New Roman" w:hAnsi="Times New Roman" w:cs="Times New Roman"/>
          <w:sz w:val="18"/>
          <w:szCs w:val="18"/>
        </w:rPr>
        <w:t xml:space="preserve">, 1995-1996, p. 1411, n° 72 ; C. VERBRAEKEN et A. De SCHOUTHEETE, </w:t>
      </w:r>
      <w:r w:rsidRPr="00405D93">
        <w:rPr>
          <w:rFonts w:ascii="Times New Roman" w:hAnsi="Times New Roman" w:cs="Times New Roman"/>
          <w:i/>
          <w:sz w:val="18"/>
          <w:szCs w:val="18"/>
        </w:rPr>
        <w:t>Manuel des contrats de distribution commerciale</w:t>
      </w:r>
      <w:r w:rsidRPr="00405D93">
        <w:rPr>
          <w:rFonts w:ascii="Times New Roman" w:hAnsi="Times New Roman" w:cs="Times New Roman"/>
          <w:sz w:val="18"/>
          <w:szCs w:val="18"/>
        </w:rPr>
        <w:t xml:space="preserve">, Bruxelles, Kluwer, 1997, p. 143 ; A. DE THEUX, </w:t>
      </w:r>
      <w:r w:rsidRPr="00405D93">
        <w:rPr>
          <w:rFonts w:ascii="Times New Roman" w:hAnsi="Times New Roman" w:cs="Times New Roman"/>
          <w:i/>
          <w:sz w:val="18"/>
          <w:szCs w:val="18"/>
        </w:rPr>
        <w:t>La fin du contrat</w:t>
      </w:r>
      <w:r w:rsidRPr="00405D93">
        <w:rPr>
          <w:rFonts w:ascii="Times New Roman" w:hAnsi="Times New Roman" w:cs="Times New Roman"/>
          <w:i/>
          <w:spacing w:val="-11"/>
          <w:sz w:val="18"/>
          <w:szCs w:val="18"/>
        </w:rPr>
        <w:t xml:space="preserve"> </w:t>
      </w:r>
      <w:r w:rsidRPr="00405D93">
        <w:rPr>
          <w:rFonts w:ascii="Times New Roman" w:hAnsi="Times New Roman" w:cs="Times New Roman"/>
          <w:i/>
          <w:sz w:val="18"/>
          <w:szCs w:val="18"/>
        </w:rPr>
        <w:t>d’agence</w:t>
      </w:r>
      <w:r w:rsidRPr="00405D93">
        <w:rPr>
          <w:rFonts w:ascii="Times New Roman" w:hAnsi="Times New Roman" w:cs="Times New Roman"/>
          <w:i/>
          <w:spacing w:val="-11"/>
          <w:sz w:val="18"/>
          <w:szCs w:val="18"/>
        </w:rPr>
        <w:t xml:space="preserve"> </w:t>
      </w:r>
      <w:r w:rsidRPr="00405D93">
        <w:rPr>
          <w:rFonts w:ascii="Times New Roman" w:hAnsi="Times New Roman" w:cs="Times New Roman"/>
          <w:i/>
          <w:sz w:val="18"/>
          <w:szCs w:val="18"/>
        </w:rPr>
        <w:t>commerciale</w:t>
      </w:r>
      <w:r w:rsidRPr="00405D93">
        <w:rPr>
          <w:rFonts w:ascii="Times New Roman" w:hAnsi="Times New Roman" w:cs="Times New Roman"/>
          <w:sz w:val="18"/>
          <w:szCs w:val="18"/>
        </w:rPr>
        <w:t>,</w:t>
      </w:r>
      <w:r w:rsidRPr="00405D93">
        <w:rPr>
          <w:rFonts w:ascii="Times New Roman" w:hAnsi="Times New Roman" w:cs="Times New Roman"/>
          <w:spacing w:val="-2"/>
          <w:sz w:val="18"/>
          <w:szCs w:val="18"/>
        </w:rPr>
        <w:t xml:space="preserve"> </w:t>
      </w:r>
      <w:r w:rsidRPr="00405D93">
        <w:rPr>
          <w:rFonts w:ascii="Times New Roman" w:hAnsi="Times New Roman" w:cs="Times New Roman"/>
          <w:sz w:val="18"/>
          <w:szCs w:val="18"/>
        </w:rPr>
        <w:t>Bruxelles,</w:t>
      </w:r>
      <w:r w:rsidRPr="00405D93">
        <w:rPr>
          <w:rFonts w:ascii="Times New Roman" w:hAnsi="Times New Roman" w:cs="Times New Roman"/>
          <w:spacing w:val="-3"/>
          <w:sz w:val="18"/>
          <w:szCs w:val="18"/>
        </w:rPr>
        <w:t xml:space="preserve"> </w:t>
      </w:r>
      <w:r w:rsidRPr="00405D93">
        <w:rPr>
          <w:rFonts w:ascii="Times New Roman" w:hAnsi="Times New Roman" w:cs="Times New Roman"/>
          <w:sz w:val="18"/>
          <w:szCs w:val="18"/>
        </w:rPr>
        <w:t>Bruylant,</w:t>
      </w:r>
      <w:r w:rsidRPr="00405D93">
        <w:rPr>
          <w:rFonts w:ascii="Times New Roman" w:hAnsi="Times New Roman" w:cs="Times New Roman"/>
          <w:spacing w:val="-2"/>
          <w:sz w:val="18"/>
          <w:szCs w:val="18"/>
        </w:rPr>
        <w:t xml:space="preserve"> </w:t>
      </w:r>
      <w:r w:rsidRPr="00405D93">
        <w:rPr>
          <w:rFonts w:ascii="Times New Roman" w:hAnsi="Times New Roman" w:cs="Times New Roman"/>
          <w:sz w:val="18"/>
          <w:szCs w:val="18"/>
        </w:rPr>
        <w:t>1997,</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pp.</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106</w:t>
      </w:r>
      <w:r w:rsidRPr="00405D93">
        <w:rPr>
          <w:rFonts w:ascii="Times New Roman" w:hAnsi="Times New Roman" w:cs="Times New Roman"/>
          <w:spacing w:val="-4"/>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s.</w:t>
      </w:r>
      <w:r w:rsidRPr="00405D93">
        <w:rPr>
          <w:rFonts w:ascii="Times New Roman" w:hAnsi="Times New Roman" w:cs="Times New Roman"/>
          <w:spacing w:val="-4"/>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E.</w:t>
      </w:r>
      <w:r w:rsidRPr="00405D93">
        <w:rPr>
          <w:rFonts w:ascii="Times New Roman" w:hAnsi="Times New Roman" w:cs="Times New Roman"/>
          <w:spacing w:val="-1"/>
          <w:sz w:val="18"/>
          <w:szCs w:val="18"/>
        </w:rPr>
        <w:t xml:space="preserve"> </w:t>
      </w:r>
      <w:r w:rsidRPr="00405D93">
        <w:rPr>
          <w:rFonts w:ascii="Times New Roman" w:hAnsi="Times New Roman" w:cs="Times New Roman"/>
          <w:sz w:val="18"/>
          <w:szCs w:val="18"/>
        </w:rPr>
        <w:t>DURSIN</w:t>
      </w:r>
      <w:r w:rsidRPr="00405D93">
        <w:rPr>
          <w:rFonts w:ascii="Times New Roman" w:hAnsi="Times New Roman" w:cs="Times New Roman"/>
          <w:spacing w:val="2"/>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K.</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VAN</w:t>
      </w:r>
      <w:r w:rsidRPr="00405D93">
        <w:rPr>
          <w:rFonts w:ascii="Times New Roman" w:hAnsi="Times New Roman" w:cs="Times New Roman"/>
          <w:spacing w:val="-4"/>
          <w:sz w:val="18"/>
          <w:szCs w:val="18"/>
        </w:rPr>
        <w:t xml:space="preserve"> </w:t>
      </w:r>
      <w:r w:rsidRPr="00405D93">
        <w:rPr>
          <w:rFonts w:ascii="Times New Roman" w:hAnsi="Times New Roman" w:cs="Times New Roman"/>
          <w:sz w:val="18"/>
          <w:szCs w:val="18"/>
        </w:rPr>
        <w:t>DEN</w:t>
      </w:r>
      <w:r w:rsidRPr="00405D93">
        <w:rPr>
          <w:rFonts w:ascii="Times New Roman" w:hAnsi="Times New Roman" w:cs="Times New Roman"/>
          <w:spacing w:val="-4"/>
          <w:sz w:val="18"/>
          <w:szCs w:val="18"/>
        </w:rPr>
        <w:t xml:space="preserve"> </w:t>
      </w:r>
      <w:r w:rsidRPr="00405D93">
        <w:rPr>
          <w:rFonts w:ascii="Times New Roman" w:hAnsi="Times New Roman" w:cs="Times New Roman"/>
          <w:sz w:val="18"/>
          <w:szCs w:val="18"/>
        </w:rPr>
        <w:t>BROECK,</w:t>
      </w:r>
      <w:r w:rsidRPr="00405D93">
        <w:rPr>
          <w:rFonts w:ascii="Times New Roman" w:hAnsi="Times New Roman" w:cs="Times New Roman"/>
          <w:spacing w:val="-3"/>
          <w:sz w:val="18"/>
          <w:szCs w:val="18"/>
        </w:rPr>
        <w:t xml:space="preserve"> </w:t>
      </w:r>
      <w:proofErr w:type="spellStart"/>
      <w:r w:rsidRPr="00405D93">
        <w:rPr>
          <w:rFonts w:ascii="Times New Roman" w:hAnsi="Times New Roman" w:cs="Times New Roman"/>
          <w:i/>
          <w:sz w:val="18"/>
          <w:szCs w:val="18"/>
        </w:rPr>
        <w:t>Handelsagentuurovereenkomst</w:t>
      </w:r>
      <w:proofErr w:type="spellEnd"/>
      <w:r w:rsidRPr="00405D93">
        <w:rPr>
          <w:rFonts w:ascii="Times New Roman" w:hAnsi="Times New Roman" w:cs="Times New Roman"/>
          <w:i/>
          <w:spacing w:val="8"/>
          <w:sz w:val="18"/>
          <w:szCs w:val="18"/>
        </w:rPr>
        <w:t xml:space="preserve"> </w:t>
      </w:r>
      <w:r w:rsidRPr="00405D93">
        <w:rPr>
          <w:rFonts w:ascii="Times New Roman" w:hAnsi="Times New Roman" w:cs="Times New Roman"/>
          <w:i/>
          <w:sz w:val="18"/>
          <w:szCs w:val="18"/>
        </w:rPr>
        <w:t>(</w:t>
      </w:r>
      <w:proofErr w:type="spellStart"/>
      <w:r w:rsidRPr="00405D93">
        <w:rPr>
          <w:rFonts w:ascii="Times New Roman" w:hAnsi="Times New Roman" w:cs="Times New Roman"/>
          <w:i/>
          <w:sz w:val="18"/>
          <w:szCs w:val="18"/>
        </w:rPr>
        <w:t>Wet</w:t>
      </w:r>
      <w:proofErr w:type="spellEnd"/>
      <w:r w:rsidRPr="00405D93">
        <w:rPr>
          <w:rFonts w:ascii="Times New Roman" w:hAnsi="Times New Roman" w:cs="Times New Roman"/>
          <w:i/>
          <w:spacing w:val="9"/>
          <w:sz w:val="18"/>
          <w:szCs w:val="18"/>
        </w:rPr>
        <w:t xml:space="preserve"> </w:t>
      </w:r>
      <w:r w:rsidRPr="00405D93">
        <w:rPr>
          <w:rFonts w:ascii="Times New Roman" w:hAnsi="Times New Roman" w:cs="Times New Roman"/>
          <w:i/>
          <w:sz w:val="18"/>
          <w:szCs w:val="18"/>
        </w:rPr>
        <w:t>van</w:t>
      </w:r>
      <w:r w:rsidRPr="00405D93">
        <w:rPr>
          <w:rFonts w:ascii="Times New Roman" w:hAnsi="Times New Roman" w:cs="Times New Roman"/>
          <w:i/>
          <w:spacing w:val="9"/>
          <w:sz w:val="18"/>
          <w:szCs w:val="18"/>
        </w:rPr>
        <w:t xml:space="preserve"> </w:t>
      </w:r>
      <w:r w:rsidRPr="00405D93">
        <w:rPr>
          <w:rFonts w:ascii="Times New Roman" w:hAnsi="Times New Roman" w:cs="Times New Roman"/>
          <w:i/>
          <w:sz w:val="18"/>
          <w:szCs w:val="18"/>
        </w:rPr>
        <w:t>13</w:t>
      </w:r>
      <w:r w:rsidRPr="00405D93">
        <w:rPr>
          <w:rFonts w:ascii="Times New Roman" w:hAnsi="Times New Roman" w:cs="Times New Roman"/>
          <w:i/>
          <w:spacing w:val="10"/>
          <w:sz w:val="18"/>
          <w:szCs w:val="18"/>
        </w:rPr>
        <w:t xml:space="preserve"> </w:t>
      </w:r>
      <w:proofErr w:type="spellStart"/>
      <w:r w:rsidRPr="00405D93">
        <w:rPr>
          <w:rFonts w:ascii="Times New Roman" w:hAnsi="Times New Roman" w:cs="Times New Roman"/>
          <w:i/>
          <w:sz w:val="18"/>
          <w:szCs w:val="18"/>
        </w:rPr>
        <w:t>april</w:t>
      </w:r>
      <w:proofErr w:type="spellEnd"/>
      <w:r w:rsidRPr="00405D93">
        <w:rPr>
          <w:rFonts w:ascii="Times New Roman" w:hAnsi="Times New Roman" w:cs="Times New Roman"/>
          <w:i/>
          <w:spacing w:val="9"/>
          <w:sz w:val="18"/>
          <w:szCs w:val="18"/>
        </w:rPr>
        <w:t xml:space="preserve"> </w:t>
      </w:r>
      <w:r w:rsidRPr="00405D93">
        <w:rPr>
          <w:rFonts w:ascii="Times New Roman" w:hAnsi="Times New Roman" w:cs="Times New Roman"/>
          <w:i/>
          <w:sz w:val="18"/>
          <w:szCs w:val="18"/>
        </w:rPr>
        <w:t>1995)</w:t>
      </w:r>
      <w:r w:rsidRPr="00405D93">
        <w:rPr>
          <w:rFonts w:ascii="Times New Roman" w:hAnsi="Times New Roman" w:cs="Times New Roman"/>
          <w:sz w:val="18"/>
          <w:szCs w:val="18"/>
        </w:rPr>
        <w:t>,</w:t>
      </w:r>
      <w:r w:rsidRPr="00405D93">
        <w:rPr>
          <w:rFonts w:ascii="Times New Roman" w:hAnsi="Times New Roman" w:cs="Times New Roman"/>
          <w:spacing w:val="10"/>
          <w:sz w:val="18"/>
          <w:szCs w:val="18"/>
        </w:rPr>
        <w:t xml:space="preserve"> </w:t>
      </w:r>
      <w:r w:rsidRPr="00405D93">
        <w:rPr>
          <w:rFonts w:ascii="Times New Roman" w:hAnsi="Times New Roman" w:cs="Times New Roman"/>
          <w:sz w:val="18"/>
          <w:szCs w:val="18"/>
        </w:rPr>
        <w:t>Gand,</w:t>
      </w:r>
      <w:r w:rsidRPr="00405D93">
        <w:rPr>
          <w:rFonts w:ascii="Times New Roman" w:hAnsi="Times New Roman" w:cs="Times New Roman"/>
          <w:spacing w:val="9"/>
          <w:sz w:val="18"/>
          <w:szCs w:val="18"/>
        </w:rPr>
        <w:t xml:space="preserve"> </w:t>
      </w:r>
      <w:proofErr w:type="spellStart"/>
      <w:r w:rsidRPr="00405D93">
        <w:rPr>
          <w:rFonts w:ascii="Times New Roman" w:hAnsi="Times New Roman" w:cs="Times New Roman"/>
          <w:sz w:val="18"/>
          <w:szCs w:val="18"/>
        </w:rPr>
        <w:t>Mys</w:t>
      </w:r>
      <w:proofErr w:type="spellEnd"/>
      <w:r w:rsidRPr="00405D93">
        <w:rPr>
          <w:rFonts w:ascii="Times New Roman" w:hAnsi="Times New Roman" w:cs="Times New Roman"/>
          <w:spacing w:val="10"/>
          <w:sz w:val="18"/>
          <w:szCs w:val="18"/>
        </w:rPr>
        <w:t xml:space="preserve"> </w:t>
      </w:r>
      <w:r w:rsidRPr="00405D93">
        <w:rPr>
          <w:rFonts w:ascii="Times New Roman" w:hAnsi="Times New Roman" w:cs="Times New Roman"/>
          <w:sz w:val="18"/>
          <w:szCs w:val="18"/>
        </w:rPr>
        <w:t>&amp;</w:t>
      </w:r>
      <w:r w:rsidRPr="00405D93">
        <w:rPr>
          <w:rFonts w:ascii="Times New Roman" w:hAnsi="Times New Roman" w:cs="Times New Roman"/>
          <w:spacing w:val="10"/>
          <w:sz w:val="18"/>
          <w:szCs w:val="18"/>
        </w:rPr>
        <w:t xml:space="preserve"> </w:t>
      </w:r>
      <w:proofErr w:type="spellStart"/>
      <w:r w:rsidRPr="00405D93">
        <w:rPr>
          <w:rFonts w:ascii="Times New Roman" w:hAnsi="Times New Roman" w:cs="Times New Roman"/>
          <w:sz w:val="18"/>
          <w:szCs w:val="18"/>
        </w:rPr>
        <w:t>Breesch</w:t>
      </w:r>
      <w:proofErr w:type="spellEnd"/>
      <w:r w:rsidRPr="00405D93">
        <w:rPr>
          <w:rFonts w:ascii="Times New Roman" w:hAnsi="Times New Roman" w:cs="Times New Roman"/>
          <w:sz w:val="18"/>
          <w:szCs w:val="18"/>
        </w:rPr>
        <w:t>,</w:t>
      </w:r>
      <w:r w:rsidRPr="00405D93">
        <w:rPr>
          <w:rFonts w:ascii="Times New Roman" w:hAnsi="Times New Roman" w:cs="Times New Roman"/>
          <w:spacing w:val="10"/>
          <w:sz w:val="18"/>
          <w:szCs w:val="18"/>
        </w:rPr>
        <w:t xml:space="preserve"> </w:t>
      </w:r>
      <w:r w:rsidRPr="00405D93">
        <w:rPr>
          <w:rFonts w:ascii="Times New Roman" w:hAnsi="Times New Roman" w:cs="Times New Roman"/>
          <w:sz w:val="18"/>
          <w:szCs w:val="18"/>
        </w:rPr>
        <w:t>1997,</w:t>
      </w:r>
      <w:r w:rsidRPr="00405D93">
        <w:rPr>
          <w:rFonts w:ascii="Times New Roman" w:hAnsi="Times New Roman" w:cs="Times New Roman"/>
          <w:spacing w:val="10"/>
          <w:sz w:val="18"/>
          <w:szCs w:val="18"/>
        </w:rPr>
        <w:t xml:space="preserve"> </w:t>
      </w:r>
      <w:r w:rsidRPr="00405D93">
        <w:rPr>
          <w:rFonts w:ascii="Times New Roman" w:hAnsi="Times New Roman" w:cs="Times New Roman"/>
          <w:sz w:val="18"/>
          <w:szCs w:val="18"/>
        </w:rPr>
        <w:t>p.</w:t>
      </w:r>
      <w:r w:rsidRPr="00405D93">
        <w:rPr>
          <w:rFonts w:ascii="Times New Roman" w:hAnsi="Times New Roman" w:cs="Times New Roman"/>
          <w:spacing w:val="10"/>
          <w:sz w:val="18"/>
          <w:szCs w:val="18"/>
        </w:rPr>
        <w:t xml:space="preserve"> </w:t>
      </w:r>
      <w:r w:rsidRPr="00405D93">
        <w:rPr>
          <w:rFonts w:ascii="Times New Roman" w:hAnsi="Times New Roman" w:cs="Times New Roman"/>
          <w:sz w:val="18"/>
          <w:szCs w:val="18"/>
        </w:rPr>
        <w:t>360,</w:t>
      </w:r>
      <w:r w:rsidRPr="00405D93">
        <w:rPr>
          <w:rFonts w:ascii="Times New Roman" w:hAnsi="Times New Roman" w:cs="Times New Roman"/>
          <w:spacing w:val="8"/>
          <w:sz w:val="18"/>
          <w:szCs w:val="18"/>
        </w:rPr>
        <w:t xml:space="preserve"> </w:t>
      </w:r>
      <w:r w:rsidRPr="00405D93">
        <w:rPr>
          <w:rFonts w:ascii="Times New Roman" w:hAnsi="Times New Roman" w:cs="Times New Roman"/>
          <w:sz w:val="18"/>
          <w:szCs w:val="18"/>
        </w:rPr>
        <w:t>n°</w:t>
      </w:r>
      <w:r w:rsidRPr="00405D93">
        <w:rPr>
          <w:rFonts w:ascii="Times New Roman" w:hAnsi="Times New Roman" w:cs="Times New Roman"/>
          <w:spacing w:val="5"/>
          <w:sz w:val="18"/>
          <w:szCs w:val="18"/>
        </w:rPr>
        <w:t xml:space="preserve"> </w:t>
      </w:r>
      <w:r w:rsidRPr="00405D93">
        <w:rPr>
          <w:rFonts w:ascii="Times New Roman" w:hAnsi="Times New Roman" w:cs="Times New Roman"/>
          <w:sz w:val="18"/>
          <w:szCs w:val="18"/>
        </w:rPr>
        <w:t>626</w:t>
      </w:r>
      <w:r w:rsidRPr="00405D93">
        <w:rPr>
          <w:rFonts w:ascii="Times New Roman" w:hAnsi="Times New Roman" w:cs="Times New Roman"/>
          <w:spacing w:val="8"/>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8"/>
          <w:sz w:val="18"/>
          <w:szCs w:val="18"/>
        </w:rPr>
        <w:t xml:space="preserve"> </w:t>
      </w:r>
      <w:r w:rsidRPr="00405D93">
        <w:rPr>
          <w:rFonts w:ascii="Times New Roman" w:hAnsi="Times New Roman" w:cs="Times New Roman"/>
          <w:sz w:val="18"/>
          <w:szCs w:val="18"/>
        </w:rPr>
        <w:t>S.</w:t>
      </w:r>
      <w:r w:rsidRPr="00405D93">
        <w:rPr>
          <w:rFonts w:ascii="Times New Roman" w:hAnsi="Times New Roman" w:cs="Times New Roman"/>
          <w:spacing w:val="9"/>
          <w:sz w:val="18"/>
          <w:szCs w:val="18"/>
        </w:rPr>
        <w:t xml:space="preserve"> </w:t>
      </w:r>
      <w:r w:rsidRPr="00405D93">
        <w:rPr>
          <w:rFonts w:ascii="Times New Roman" w:hAnsi="Times New Roman" w:cs="Times New Roman"/>
          <w:sz w:val="18"/>
          <w:szCs w:val="18"/>
        </w:rPr>
        <w:t>WILLEMART</w:t>
      </w:r>
      <w:r w:rsidRPr="00405D93">
        <w:rPr>
          <w:rFonts w:ascii="Times New Roman" w:hAnsi="Times New Roman" w:cs="Times New Roman"/>
          <w:spacing w:val="14"/>
          <w:sz w:val="18"/>
          <w:szCs w:val="18"/>
        </w:rPr>
        <w:t xml:space="preserve"> </w:t>
      </w:r>
      <w:r w:rsidRPr="00405D93">
        <w:rPr>
          <w:rFonts w:ascii="Times New Roman" w:hAnsi="Times New Roman" w:cs="Times New Roman"/>
          <w:sz w:val="18"/>
          <w:szCs w:val="18"/>
        </w:rPr>
        <w:t>et</w:t>
      </w:r>
      <w:r w:rsidR="002E094D" w:rsidRPr="00405D93">
        <w:rPr>
          <w:rFonts w:ascii="Times New Roman" w:hAnsi="Times New Roman" w:cs="Times New Roman"/>
          <w:sz w:val="18"/>
          <w:szCs w:val="18"/>
        </w:rPr>
        <w:t xml:space="preserve"> </w:t>
      </w:r>
      <w:r w:rsidRPr="00405D93">
        <w:rPr>
          <w:rFonts w:ascii="Times New Roman" w:hAnsi="Times New Roman" w:cs="Times New Roman"/>
          <w:sz w:val="18"/>
          <w:szCs w:val="18"/>
        </w:rPr>
        <w:t xml:space="preserve">M. WILLEMART, </w:t>
      </w:r>
      <w:r w:rsidRPr="00405D93">
        <w:rPr>
          <w:rFonts w:ascii="Times New Roman" w:hAnsi="Times New Roman" w:cs="Times New Roman"/>
          <w:i/>
          <w:sz w:val="18"/>
          <w:szCs w:val="18"/>
        </w:rPr>
        <w:t>Le contrat d’agence commerciale</w:t>
      </w:r>
      <w:r w:rsidRPr="00405D93">
        <w:rPr>
          <w:rFonts w:ascii="Times New Roman" w:hAnsi="Times New Roman" w:cs="Times New Roman"/>
          <w:sz w:val="18"/>
          <w:szCs w:val="18"/>
        </w:rPr>
        <w:t>, Dossiers du J.T., n° 52, Bruxelles, Larcier, 2005, p. 87.</w:t>
      </w:r>
    </w:p>
  </w:footnote>
  <w:footnote w:id="2">
    <w:p w14:paraId="17F1BEC0" w14:textId="21C20A25" w:rsidR="0097723D" w:rsidRPr="00405D93" w:rsidRDefault="0097723D" w:rsidP="002E094D">
      <w:pPr>
        <w:ind w:right="244"/>
        <w:jc w:val="both"/>
        <w:rPr>
          <w:rFonts w:ascii="Times New Roman" w:hAnsi="Times New Roman" w:cs="Times New Roman"/>
          <w:sz w:val="18"/>
          <w:szCs w:val="18"/>
        </w:rPr>
      </w:pPr>
      <w:r w:rsidRPr="00405D93">
        <w:rPr>
          <w:rStyle w:val="Appelnotedebasdep"/>
          <w:rFonts w:ascii="Times New Roman" w:hAnsi="Times New Roman" w:cs="Times New Roman"/>
          <w:sz w:val="18"/>
          <w:szCs w:val="18"/>
        </w:rPr>
        <w:footnoteRef/>
      </w:r>
      <w:r w:rsidRPr="00405D93">
        <w:rPr>
          <w:rFonts w:ascii="Times New Roman" w:hAnsi="Times New Roman" w:cs="Times New Roman"/>
          <w:sz w:val="18"/>
          <w:szCs w:val="18"/>
        </w:rPr>
        <w:t xml:space="preserve"> Article 17.3 de la directive du Conseil du 18 décembre 1986 relative à la coordination des droits des États membres concernant les agents commerciaux indépendants, </w:t>
      </w:r>
      <w:r w:rsidRPr="00405D93">
        <w:rPr>
          <w:rFonts w:ascii="Times New Roman" w:hAnsi="Times New Roman" w:cs="Times New Roman"/>
          <w:i/>
          <w:sz w:val="18"/>
          <w:szCs w:val="18"/>
        </w:rPr>
        <w:t>J.O.U.E.</w:t>
      </w:r>
      <w:r w:rsidRPr="00405D93">
        <w:rPr>
          <w:rFonts w:ascii="Times New Roman" w:hAnsi="Times New Roman" w:cs="Times New Roman"/>
          <w:sz w:val="18"/>
          <w:szCs w:val="18"/>
        </w:rPr>
        <w:t>, L. 382, 31 décembre 1986, pp. 17 à 21.</w:t>
      </w:r>
    </w:p>
  </w:footnote>
  <w:footnote w:id="3">
    <w:p w14:paraId="61E20BEA" w14:textId="58320398" w:rsidR="0097723D" w:rsidRPr="00405D93" w:rsidRDefault="0097723D" w:rsidP="002E094D">
      <w:pPr>
        <w:ind w:right="233"/>
        <w:jc w:val="both"/>
        <w:rPr>
          <w:rFonts w:ascii="Times New Roman" w:hAnsi="Times New Roman" w:cs="Times New Roman"/>
          <w:sz w:val="18"/>
          <w:szCs w:val="18"/>
        </w:rPr>
      </w:pPr>
      <w:r w:rsidRPr="00405D93">
        <w:rPr>
          <w:rStyle w:val="Appelnotedebasdep"/>
          <w:rFonts w:ascii="Times New Roman" w:hAnsi="Times New Roman" w:cs="Times New Roman"/>
          <w:sz w:val="18"/>
          <w:szCs w:val="18"/>
        </w:rPr>
        <w:footnoteRef/>
      </w:r>
      <w:r w:rsidRPr="00405D93">
        <w:rPr>
          <w:rFonts w:ascii="Times New Roman" w:hAnsi="Times New Roman" w:cs="Times New Roman"/>
          <w:sz w:val="18"/>
          <w:szCs w:val="18"/>
        </w:rPr>
        <w:t xml:space="preserve"> La</w:t>
      </w:r>
      <w:r w:rsidRPr="00405D93">
        <w:rPr>
          <w:rFonts w:ascii="Times New Roman" w:hAnsi="Times New Roman" w:cs="Times New Roman"/>
          <w:spacing w:val="-15"/>
          <w:sz w:val="18"/>
          <w:szCs w:val="18"/>
        </w:rPr>
        <w:t xml:space="preserve"> </w:t>
      </w:r>
      <w:r w:rsidRPr="00405D93">
        <w:rPr>
          <w:rFonts w:ascii="Times New Roman" w:hAnsi="Times New Roman" w:cs="Times New Roman"/>
          <w:sz w:val="18"/>
          <w:szCs w:val="18"/>
        </w:rPr>
        <w:t>cour</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d’appel</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d’Anvers</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a</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rendu</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deux</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arrêts</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qui</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font</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sienne</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cette</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interprétation</w:t>
      </w:r>
      <w:r w:rsidRPr="00405D93">
        <w:rPr>
          <w:rFonts w:ascii="Times New Roman" w:hAnsi="Times New Roman" w:cs="Times New Roman"/>
          <w:spacing w:val="-17"/>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16"/>
          <w:sz w:val="18"/>
          <w:szCs w:val="18"/>
        </w:rPr>
        <w:t xml:space="preserve"> </w:t>
      </w:r>
      <w:proofErr w:type="spellStart"/>
      <w:r w:rsidRPr="00405D93">
        <w:rPr>
          <w:rFonts w:ascii="Times New Roman" w:hAnsi="Times New Roman" w:cs="Times New Roman"/>
          <w:sz w:val="18"/>
          <w:szCs w:val="18"/>
        </w:rPr>
        <w:t>voy</w:t>
      </w:r>
      <w:proofErr w:type="spellEnd"/>
      <w:r w:rsidRPr="00405D93">
        <w:rPr>
          <w:rFonts w:ascii="Times New Roman" w:hAnsi="Times New Roman" w:cs="Times New Roman"/>
          <w:sz w:val="18"/>
          <w:szCs w:val="18"/>
        </w:rPr>
        <w:t>.</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Anvers,</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11</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 xml:space="preserve">octobre 2004, inédit, R.G. n° 2003/1661, cité par K. VAN DEN BROEK, </w:t>
      </w:r>
      <w:r w:rsidR="00405D93">
        <w:rPr>
          <w:rFonts w:ascii="Times New Roman" w:hAnsi="Times New Roman" w:cs="Times New Roman"/>
          <w:sz w:val="18"/>
          <w:szCs w:val="18"/>
        </w:rPr>
        <w:t>« </w:t>
      </w:r>
      <w:proofErr w:type="spellStart"/>
      <w:r w:rsidRPr="00405D93">
        <w:rPr>
          <w:rFonts w:ascii="Times New Roman" w:hAnsi="Times New Roman" w:cs="Times New Roman"/>
          <w:sz w:val="18"/>
          <w:szCs w:val="18"/>
        </w:rPr>
        <w:t>Actualia</w:t>
      </w:r>
      <w:proofErr w:type="spellEnd"/>
      <w:r w:rsidRPr="00405D93">
        <w:rPr>
          <w:rFonts w:ascii="Times New Roman" w:hAnsi="Times New Roman" w:cs="Times New Roman"/>
          <w:sz w:val="18"/>
          <w:szCs w:val="18"/>
        </w:rPr>
        <w:t xml:space="preserve"> </w:t>
      </w:r>
      <w:proofErr w:type="spellStart"/>
      <w:r w:rsidRPr="00405D93">
        <w:rPr>
          <w:rFonts w:ascii="Times New Roman" w:hAnsi="Times New Roman" w:cs="Times New Roman"/>
          <w:sz w:val="18"/>
          <w:szCs w:val="18"/>
        </w:rPr>
        <w:t>Handelsagentuur</w:t>
      </w:r>
      <w:proofErr w:type="spellEnd"/>
      <w:r w:rsidRPr="00405D93">
        <w:rPr>
          <w:rFonts w:ascii="Times New Roman" w:hAnsi="Times New Roman" w:cs="Times New Roman"/>
          <w:sz w:val="18"/>
          <w:szCs w:val="18"/>
        </w:rPr>
        <w:t xml:space="preserve"> », </w:t>
      </w:r>
      <w:r w:rsidRPr="00405D93">
        <w:rPr>
          <w:rFonts w:ascii="Times New Roman" w:hAnsi="Times New Roman" w:cs="Times New Roman"/>
          <w:i/>
          <w:sz w:val="18"/>
          <w:szCs w:val="18"/>
        </w:rPr>
        <w:t xml:space="preserve">in </w:t>
      </w:r>
      <w:proofErr w:type="spellStart"/>
      <w:r w:rsidRPr="00405D93">
        <w:rPr>
          <w:rFonts w:ascii="Times New Roman" w:hAnsi="Times New Roman" w:cs="Times New Roman"/>
          <w:i/>
          <w:sz w:val="18"/>
          <w:szCs w:val="18"/>
        </w:rPr>
        <w:t>Actualia</w:t>
      </w:r>
      <w:proofErr w:type="spellEnd"/>
      <w:r w:rsidRPr="00405D93">
        <w:rPr>
          <w:rFonts w:ascii="Times New Roman" w:hAnsi="Times New Roman" w:cs="Times New Roman"/>
          <w:i/>
          <w:sz w:val="18"/>
          <w:szCs w:val="18"/>
        </w:rPr>
        <w:t xml:space="preserve"> </w:t>
      </w:r>
      <w:proofErr w:type="spellStart"/>
      <w:r w:rsidRPr="00405D93">
        <w:rPr>
          <w:rFonts w:ascii="Times New Roman" w:hAnsi="Times New Roman" w:cs="Times New Roman"/>
          <w:i/>
          <w:sz w:val="18"/>
          <w:szCs w:val="18"/>
        </w:rPr>
        <w:t>Handelstussenpersonert</w:t>
      </w:r>
      <w:proofErr w:type="spellEnd"/>
      <w:r w:rsidRPr="00405D93">
        <w:rPr>
          <w:rFonts w:ascii="Times New Roman" w:hAnsi="Times New Roman" w:cs="Times New Roman"/>
          <w:sz w:val="18"/>
          <w:szCs w:val="18"/>
        </w:rPr>
        <w:t xml:space="preserve">, Anvers, </w:t>
      </w:r>
      <w:proofErr w:type="spellStart"/>
      <w:r w:rsidRPr="00405D93">
        <w:rPr>
          <w:rFonts w:ascii="Times New Roman" w:hAnsi="Times New Roman" w:cs="Times New Roman"/>
          <w:sz w:val="18"/>
          <w:szCs w:val="18"/>
        </w:rPr>
        <w:t>Intersentia</w:t>
      </w:r>
      <w:proofErr w:type="spellEnd"/>
      <w:r w:rsidRPr="00405D93">
        <w:rPr>
          <w:rFonts w:ascii="Times New Roman" w:hAnsi="Times New Roman" w:cs="Times New Roman"/>
          <w:sz w:val="18"/>
          <w:szCs w:val="18"/>
        </w:rPr>
        <w:t xml:space="preserve">, 2006, pp. 148 et 149, et Anvers, 14 février 2005, </w:t>
      </w:r>
      <w:proofErr w:type="spellStart"/>
      <w:r w:rsidRPr="00405D93">
        <w:rPr>
          <w:rFonts w:ascii="Times New Roman" w:hAnsi="Times New Roman" w:cs="Times New Roman"/>
          <w:i/>
          <w:sz w:val="18"/>
          <w:szCs w:val="18"/>
        </w:rPr>
        <w:t>N.j.W</w:t>
      </w:r>
      <w:proofErr w:type="spellEnd"/>
      <w:r w:rsidRPr="00405D93">
        <w:rPr>
          <w:rFonts w:ascii="Times New Roman" w:hAnsi="Times New Roman" w:cs="Times New Roman"/>
          <w:i/>
          <w:sz w:val="18"/>
          <w:szCs w:val="18"/>
        </w:rPr>
        <w:t>.</w:t>
      </w:r>
      <w:r w:rsidRPr="00405D93">
        <w:rPr>
          <w:rFonts w:ascii="Times New Roman" w:hAnsi="Times New Roman" w:cs="Times New Roman"/>
          <w:sz w:val="18"/>
          <w:szCs w:val="18"/>
        </w:rPr>
        <w:t>, 2005, p.</w:t>
      </w:r>
      <w:r w:rsidRPr="00405D93">
        <w:rPr>
          <w:rFonts w:ascii="Times New Roman" w:hAnsi="Times New Roman" w:cs="Times New Roman"/>
          <w:spacing w:val="6"/>
          <w:sz w:val="18"/>
          <w:szCs w:val="18"/>
        </w:rPr>
        <w:t xml:space="preserve"> </w:t>
      </w:r>
      <w:r w:rsidRPr="00405D93">
        <w:rPr>
          <w:rFonts w:ascii="Times New Roman" w:hAnsi="Times New Roman" w:cs="Times New Roman"/>
          <w:sz w:val="18"/>
          <w:szCs w:val="18"/>
        </w:rPr>
        <w:t>669.</w:t>
      </w:r>
    </w:p>
  </w:footnote>
  <w:footnote w:id="4">
    <w:p w14:paraId="37484F29" w14:textId="3C0292C8" w:rsidR="007C1F4F" w:rsidRPr="00405D93" w:rsidRDefault="007C1F4F" w:rsidP="002E094D">
      <w:pPr>
        <w:ind w:right="125"/>
        <w:jc w:val="both"/>
        <w:rPr>
          <w:rFonts w:ascii="Times New Roman" w:hAnsi="Times New Roman" w:cs="Times New Roman"/>
          <w:sz w:val="18"/>
          <w:szCs w:val="18"/>
        </w:rPr>
      </w:pPr>
      <w:r w:rsidRPr="00405D93">
        <w:rPr>
          <w:rStyle w:val="Appelnotedebasdep"/>
          <w:rFonts w:ascii="Times New Roman" w:hAnsi="Times New Roman" w:cs="Times New Roman"/>
          <w:sz w:val="18"/>
          <w:szCs w:val="18"/>
        </w:rPr>
        <w:footnoteRef/>
      </w:r>
      <w:r w:rsidRPr="00405D93">
        <w:rPr>
          <w:rFonts w:ascii="Times New Roman" w:hAnsi="Times New Roman" w:cs="Times New Roman"/>
          <w:sz w:val="18"/>
          <w:szCs w:val="18"/>
        </w:rPr>
        <w:t xml:space="preserve"> </w:t>
      </w:r>
      <w:r w:rsidRPr="00405D93">
        <w:rPr>
          <w:rFonts w:ascii="Times New Roman" w:hAnsi="Times New Roman" w:cs="Times New Roman"/>
          <w:w w:val="95"/>
          <w:sz w:val="18"/>
          <w:szCs w:val="18"/>
        </w:rPr>
        <w:t>C.J.U.E.,</w:t>
      </w:r>
      <w:r w:rsidRPr="00405D93">
        <w:rPr>
          <w:rFonts w:ascii="Times New Roman" w:hAnsi="Times New Roman" w:cs="Times New Roman"/>
          <w:spacing w:val="-9"/>
          <w:w w:val="95"/>
          <w:sz w:val="18"/>
          <w:szCs w:val="18"/>
        </w:rPr>
        <w:t xml:space="preserve"> </w:t>
      </w:r>
      <w:proofErr w:type="spellStart"/>
      <w:r w:rsidRPr="00405D93">
        <w:rPr>
          <w:rFonts w:ascii="Times New Roman" w:hAnsi="Times New Roman" w:cs="Times New Roman"/>
          <w:w w:val="95"/>
          <w:sz w:val="18"/>
          <w:szCs w:val="18"/>
        </w:rPr>
        <w:t>Quenon</w:t>
      </w:r>
      <w:proofErr w:type="spellEnd"/>
      <w:r w:rsidRPr="00405D93">
        <w:rPr>
          <w:rFonts w:ascii="Times New Roman" w:hAnsi="Times New Roman" w:cs="Times New Roman"/>
          <w:spacing w:val="-8"/>
          <w:w w:val="95"/>
          <w:sz w:val="18"/>
          <w:szCs w:val="18"/>
        </w:rPr>
        <w:t xml:space="preserve"> </w:t>
      </w:r>
      <w:r w:rsidRPr="00405D93">
        <w:rPr>
          <w:rFonts w:ascii="Times New Roman" w:hAnsi="Times New Roman" w:cs="Times New Roman"/>
          <w:w w:val="95"/>
          <w:sz w:val="18"/>
          <w:szCs w:val="18"/>
        </w:rPr>
        <w:t>K.</w:t>
      </w:r>
      <w:r w:rsidRPr="00405D93">
        <w:rPr>
          <w:rFonts w:ascii="Times New Roman" w:hAnsi="Times New Roman" w:cs="Times New Roman"/>
          <w:spacing w:val="-8"/>
          <w:w w:val="95"/>
          <w:sz w:val="18"/>
          <w:szCs w:val="18"/>
        </w:rPr>
        <w:t xml:space="preserve"> </w:t>
      </w:r>
      <w:r w:rsidRPr="00405D93">
        <w:rPr>
          <w:rFonts w:ascii="Times New Roman" w:hAnsi="Times New Roman" w:cs="Times New Roman"/>
          <w:w w:val="95"/>
          <w:sz w:val="18"/>
          <w:szCs w:val="18"/>
        </w:rPr>
        <w:t>S.P.R.L.</w:t>
      </w:r>
      <w:r w:rsidRPr="00405D93">
        <w:rPr>
          <w:rFonts w:ascii="Times New Roman" w:hAnsi="Times New Roman" w:cs="Times New Roman"/>
          <w:spacing w:val="-9"/>
          <w:w w:val="95"/>
          <w:sz w:val="18"/>
          <w:szCs w:val="18"/>
        </w:rPr>
        <w:t xml:space="preserve"> </w:t>
      </w:r>
      <w:r w:rsidRPr="00405D93">
        <w:rPr>
          <w:rFonts w:ascii="Times New Roman" w:hAnsi="Times New Roman" w:cs="Times New Roman"/>
          <w:w w:val="95"/>
          <w:sz w:val="18"/>
          <w:szCs w:val="18"/>
        </w:rPr>
        <w:t>c.</w:t>
      </w:r>
      <w:r w:rsidRPr="00405D93">
        <w:rPr>
          <w:rFonts w:ascii="Times New Roman" w:hAnsi="Times New Roman" w:cs="Times New Roman"/>
          <w:spacing w:val="-8"/>
          <w:w w:val="95"/>
          <w:sz w:val="18"/>
          <w:szCs w:val="18"/>
        </w:rPr>
        <w:t xml:space="preserve"> </w:t>
      </w:r>
      <w:proofErr w:type="spellStart"/>
      <w:r w:rsidRPr="00405D93">
        <w:rPr>
          <w:rFonts w:ascii="Times New Roman" w:hAnsi="Times New Roman" w:cs="Times New Roman"/>
          <w:w w:val="95"/>
          <w:sz w:val="18"/>
          <w:szCs w:val="18"/>
        </w:rPr>
        <w:t>Beobank</w:t>
      </w:r>
      <w:proofErr w:type="spellEnd"/>
      <w:r w:rsidRPr="00405D93">
        <w:rPr>
          <w:rFonts w:ascii="Times New Roman" w:hAnsi="Times New Roman" w:cs="Times New Roman"/>
          <w:spacing w:val="-8"/>
          <w:w w:val="95"/>
          <w:sz w:val="18"/>
          <w:szCs w:val="18"/>
        </w:rPr>
        <w:t xml:space="preserve"> </w:t>
      </w:r>
      <w:r w:rsidRPr="00405D93">
        <w:rPr>
          <w:rFonts w:ascii="Times New Roman" w:hAnsi="Times New Roman" w:cs="Times New Roman"/>
          <w:w w:val="95"/>
          <w:sz w:val="18"/>
          <w:szCs w:val="18"/>
        </w:rPr>
        <w:t>S.A.,</w:t>
      </w:r>
      <w:r w:rsidRPr="00405D93">
        <w:rPr>
          <w:rFonts w:ascii="Times New Roman" w:hAnsi="Times New Roman" w:cs="Times New Roman"/>
          <w:spacing w:val="-8"/>
          <w:w w:val="95"/>
          <w:sz w:val="18"/>
          <w:szCs w:val="18"/>
        </w:rPr>
        <w:t xml:space="preserve"> </w:t>
      </w:r>
      <w:r w:rsidRPr="00405D93">
        <w:rPr>
          <w:rFonts w:ascii="Times New Roman" w:hAnsi="Times New Roman" w:cs="Times New Roman"/>
          <w:w w:val="95"/>
          <w:sz w:val="18"/>
          <w:szCs w:val="18"/>
        </w:rPr>
        <w:t>anciennement</w:t>
      </w:r>
      <w:r w:rsidRPr="00405D93">
        <w:rPr>
          <w:rFonts w:ascii="Times New Roman" w:hAnsi="Times New Roman" w:cs="Times New Roman"/>
          <w:spacing w:val="-9"/>
          <w:w w:val="95"/>
          <w:sz w:val="18"/>
          <w:szCs w:val="18"/>
        </w:rPr>
        <w:t xml:space="preserve"> </w:t>
      </w:r>
      <w:r w:rsidRPr="00405D93">
        <w:rPr>
          <w:rFonts w:ascii="Times New Roman" w:hAnsi="Times New Roman" w:cs="Times New Roman"/>
          <w:w w:val="95"/>
          <w:sz w:val="18"/>
          <w:szCs w:val="18"/>
        </w:rPr>
        <w:t>Citibank</w:t>
      </w:r>
      <w:r w:rsidRPr="00405D93">
        <w:rPr>
          <w:rFonts w:ascii="Times New Roman" w:hAnsi="Times New Roman" w:cs="Times New Roman"/>
          <w:spacing w:val="-8"/>
          <w:w w:val="95"/>
          <w:sz w:val="18"/>
          <w:szCs w:val="18"/>
        </w:rPr>
        <w:t xml:space="preserve"> </w:t>
      </w:r>
      <w:proofErr w:type="spellStart"/>
      <w:r w:rsidRPr="00405D93">
        <w:rPr>
          <w:rFonts w:ascii="Times New Roman" w:hAnsi="Times New Roman" w:cs="Times New Roman"/>
          <w:w w:val="95"/>
          <w:sz w:val="18"/>
          <w:szCs w:val="18"/>
        </w:rPr>
        <w:t>Belgium</w:t>
      </w:r>
      <w:proofErr w:type="spellEnd"/>
      <w:r w:rsidRPr="00405D93">
        <w:rPr>
          <w:rFonts w:ascii="Times New Roman" w:hAnsi="Times New Roman" w:cs="Times New Roman"/>
          <w:spacing w:val="-9"/>
          <w:w w:val="95"/>
          <w:sz w:val="18"/>
          <w:szCs w:val="18"/>
        </w:rPr>
        <w:t xml:space="preserve"> </w:t>
      </w:r>
      <w:r w:rsidRPr="00405D93">
        <w:rPr>
          <w:rFonts w:ascii="Times New Roman" w:hAnsi="Times New Roman" w:cs="Times New Roman"/>
          <w:w w:val="95"/>
          <w:sz w:val="18"/>
          <w:szCs w:val="18"/>
        </w:rPr>
        <w:t>S.A.,</w:t>
      </w:r>
      <w:r w:rsidRPr="00405D93">
        <w:rPr>
          <w:rFonts w:ascii="Times New Roman" w:hAnsi="Times New Roman" w:cs="Times New Roman"/>
          <w:spacing w:val="-8"/>
          <w:w w:val="95"/>
          <w:sz w:val="18"/>
          <w:szCs w:val="18"/>
        </w:rPr>
        <w:t xml:space="preserve"> </w:t>
      </w:r>
      <w:proofErr w:type="spellStart"/>
      <w:r w:rsidRPr="00405D93">
        <w:rPr>
          <w:rFonts w:ascii="Times New Roman" w:hAnsi="Times New Roman" w:cs="Times New Roman"/>
          <w:w w:val="95"/>
          <w:sz w:val="18"/>
          <w:szCs w:val="18"/>
        </w:rPr>
        <w:t>Metlife</w:t>
      </w:r>
      <w:proofErr w:type="spellEnd"/>
      <w:r w:rsidRPr="00405D93">
        <w:rPr>
          <w:rFonts w:ascii="Times New Roman" w:hAnsi="Times New Roman" w:cs="Times New Roman"/>
          <w:spacing w:val="-10"/>
          <w:w w:val="95"/>
          <w:sz w:val="18"/>
          <w:szCs w:val="18"/>
        </w:rPr>
        <w:t xml:space="preserve"> </w:t>
      </w:r>
      <w:proofErr w:type="spellStart"/>
      <w:r w:rsidRPr="00405D93">
        <w:rPr>
          <w:rFonts w:ascii="Times New Roman" w:hAnsi="Times New Roman" w:cs="Times New Roman"/>
          <w:w w:val="95"/>
          <w:sz w:val="18"/>
          <w:szCs w:val="18"/>
        </w:rPr>
        <w:t>Insurance</w:t>
      </w:r>
      <w:proofErr w:type="spellEnd"/>
      <w:r w:rsidRPr="00405D93">
        <w:rPr>
          <w:rFonts w:ascii="Times New Roman" w:hAnsi="Times New Roman" w:cs="Times New Roman"/>
          <w:spacing w:val="-10"/>
          <w:w w:val="95"/>
          <w:sz w:val="18"/>
          <w:szCs w:val="18"/>
        </w:rPr>
        <w:t xml:space="preserve"> </w:t>
      </w:r>
      <w:r w:rsidRPr="00405D93">
        <w:rPr>
          <w:rFonts w:ascii="Times New Roman" w:hAnsi="Times New Roman" w:cs="Times New Roman"/>
          <w:w w:val="95"/>
          <w:sz w:val="18"/>
          <w:szCs w:val="18"/>
        </w:rPr>
        <w:t xml:space="preserve">S.A., </w:t>
      </w:r>
      <w:r w:rsidRPr="00405D93">
        <w:rPr>
          <w:rFonts w:ascii="Times New Roman" w:hAnsi="Times New Roman" w:cs="Times New Roman"/>
          <w:sz w:val="18"/>
          <w:szCs w:val="18"/>
        </w:rPr>
        <w:t>anciennement</w:t>
      </w:r>
      <w:r w:rsidRPr="00405D93">
        <w:rPr>
          <w:rFonts w:ascii="Times New Roman" w:hAnsi="Times New Roman" w:cs="Times New Roman"/>
          <w:spacing w:val="-23"/>
          <w:sz w:val="18"/>
          <w:szCs w:val="18"/>
        </w:rPr>
        <w:t xml:space="preserve"> </w:t>
      </w:r>
      <w:proofErr w:type="spellStart"/>
      <w:r w:rsidRPr="00405D93">
        <w:rPr>
          <w:rFonts w:ascii="Times New Roman" w:hAnsi="Times New Roman" w:cs="Times New Roman"/>
          <w:sz w:val="18"/>
          <w:szCs w:val="18"/>
        </w:rPr>
        <w:t>Citilife</w:t>
      </w:r>
      <w:proofErr w:type="spellEnd"/>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S.A.,</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3</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décembre</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2015,</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C-338/14,</w:t>
      </w:r>
      <w:r w:rsidRPr="00405D93">
        <w:rPr>
          <w:rFonts w:ascii="Times New Roman" w:hAnsi="Times New Roman" w:cs="Times New Roman"/>
          <w:spacing w:val="-22"/>
          <w:sz w:val="18"/>
          <w:szCs w:val="18"/>
        </w:rPr>
        <w:t xml:space="preserve"> </w:t>
      </w:r>
      <w:r w:rsidRPr="00405D93">
        <w:rPr>
          <w:rFonts w:ascii="Times New Roman" w:hAnsi="Times New Roman" w:cs="Times New Roman"/>
          <w:i/>
          <w:sz w:val="18"/>
          <w:szCs w:val="18"/>
        </w:rPr>
        <w:t>J.O.U.E.</w:t>
      </w:r>
      <w:r w:rsidRPr="00405D93">
        <w:rPr>
          <w:rFonts w:ascii="Times New Roman" w:hAnsi="Times New Roman" w:cs="Times New Roman"/>
          <w:sz w:val="18"/>
          <w:szCs w:val="18"/>
        </w:rPr>
        <w:t>,</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1</w:t>
      </w:r>
      <w:r w:rsidRPr="00405D93">
        <w:rPr>
          <w:rFonts w:ascii="Times New Roman" w:hAnsi="Times New Roman" w:cs="Times New Roman"/>
          <w:sz w:val="18"/>
          <w:szCs w:val="18"/>
          <w:vertAlign w:val="superscript"/>
        </w:rPr>
        <w:t>er</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février</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2016</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(dispositif),</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p.</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7.</w:t>
      </w:r>
    </w:p>
  </w:footnote>
  <w:footnote w:id="5">
    <w:p w14:paraId="2964A260" w14:textId="56AF8F3B" w:rsidR="007C1F4F" w:rsidRPr="00405D93" w:rsidRDefault="007C1F4F" w:rsidP="002E094D">
      <w:pPr>
        <w:jc w:val="both"/>
        <w:rPr>
          <w:rFonts w:ascii="Times New Roman" w:hAnsi="Times New Roman" w:cs="Times New Roman"/>
          <w:sz w:val="18"/>
          <w:szCs w:val="18"/>
        </w:rPr>
      </w:pPr>
      <w:r w:rsidRPr="00405D93">
        <w:rPr>
          <w:rStyle w:val="Appelnotedebasdep"/>
          <w:rFonts w:ascii="Times New Roman" w:hAnsi="Times New Roman" w:cs="Times New Roman"/>
          <w:sz w:val="18"/>
          <w:szCs w:val="18"/>
        </w:rPr>
        <w:footnoteRef/>
      </w:r>
      <w:r w:rsidRPr="00405D93">
        <w:rPr>
          <w:rFonts w:ascii="Times New Roman" w:hAnsi="Times New Roman" w:cs="Times New Roman"/>
          <w:sz w:val="18"/>
          <w:szCs w:val="18"/>
        </w:rPr>
        <w:t xml:space="preserve"> Bruxelles</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(9</w:t>
      </w:r>
      <w:r w:rsidRPr="00405D93">
        <w:rPr>
          <w:rFonts w:ascii="Times New Roman" w:hAnsi="Times New Roman" w:cs="Times New Roman"/>
          <w:sz w:val="18"/>
          <w:szCs w:val="18"/>
          <w:vertAlign w:val="superscript"/>
        </w:rPr>
        <w:t>e</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ch.),</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31</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janvier</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2014,</w:t>
      </w:r>
      <w:r w:rsidRPr="00405D93">
        <w:rPr>
          <w:rFonts w:ascii="Times New Roman" w:hAnsi="Times New Roman" w:cs="Times New Roman"/>
          <w:spacing w:val="-22"/>
          <w:sz w:val="18"/>
          <w:szCs w:val="18"/>
        </w:rPr>
        <w:t xml:space="preserve"> </w:t>
      </w:r>
      <w:r w:rsidRPr="00405D93">
        <w:rPr>
          <w:rFonts w:ascii="Times New Roman" w:hAnsi="Times New Roman" w:cs="Times New Roman"/>
          <w:i/>
          <w:sz w:val="18"/>
          <w:szCs w:val="18"/>
        </w:rPr>
        <w:t>For.</w:t>
      </w:r>
      <w:r w:rsidRPr="00405D93">
        <w:rPr>
          <w:rFonts w:ascii="Times New Roman" w:hAnsi="Times New Roman" w:cs="Times New Roman"/>
          <w:i/>
          <w:spacing w:val="-24"/>
          <w:sz w:val="18"/>
          <w:szCs w:val="18"/>
        </w:rPr>
        <w:t xml:space="preserve"> </w:t>
      </w:r>
      <w:proofErr w:type="spellStart"/>
      <w:r w:rsidRPr="00405D93">
        <w:rPr>
          <w:rFonts w:ascii="Times New Roman" w:hAnsi="Times New Roman" w:cs="Times New Roman"/>
          <w:i/>
          <w:sz w:val="18"/>
          <w:szCs w:val="18"/>
        </w:rPr>
        <w:t>ass</w:t>
      </w:r>
      <w:proofErr w:type="spellEnd"/>
      <w:r w:rsidRPr="00405D93">
        <w:rPr>
          <w:rFonts w:ascii="Times New Roman" w:hAnsi="Times New Roman" w:cs="Times New Roman"/>
          <w:i/>
          <w:sz w:val="18"/>
          <w:szCs w:val="18"/>
        </w:rPr>
        <w:t>.</w:t>
      </w:r>
      <w:r w:rsidRPr="00405D93">
        <w:rPr>
          <w:rFonts w:ascii="Times New Roman" w:hAnsi="Times New Roman" w:cs="Times New Roman"/>
          <w:sz w:val="18"/>
          <w:szCs w:val="18"/>
        </w:rPr>
        <w:t>,</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2014/146,</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p.</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173</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note</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P.</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KILESTE</w:t>
      </w:r>
      <w:r w:rsidRPr="00405D93">
        <w:rPr>
          <w:rFonts w:ascii="Times New Roman" w:hAnsi="Times New Roman" w:cs="Times New Roman"/>
          <w:spacing w:val="-16"/>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N.</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GODIN,</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L’indemnité</w:t>
      </w:r>
      <w:r w:rsidR="002E094D" w:rsidRPr="00405D93">
        <w:rPr>
          <w:rFonts w:ascii="Times New Roman" w:hAnsi="Times New Roman" w:cs="Times New Roman"/>
          <w:sz w:val="18"/>
          <w:szCs w:val="18"/>
        </w:rPr>
        <w:t xml:space="preserve"> </w:t>
      </w:r>
      <w:r w:rsidRPr="00405D93">
        <w:rPr>
          <w:rFonts w:ascii="Times New Roman" w:hAnsi="Times New Roman" w:cs="Times New Roman"/>
          <w:w w:val="95"/>
          <w:sz w:val="18"/>
          <w:szCs w:val="18"/>
        </w:rPr>
        <w:t>complémentaire</w:t>
      </w:r>
      <w:r w:rsidRPr="00405D93">
        <w:rPr>
          <w:rFonts w:ascii="Times New Roman" w:hAnsi="Times New Roman" w:cs="Times New Roman"/>
          <w:spacing w:val="-23"/>
          <w:w w:val="95"/>
          <w:sz w:val="18"/>
          <w:szCs w:val="18"/>
        </w:rPr>
        <w:t xml:space="preserve"> </w:t>
      </w:r>
      <w:r w:rsidRPr="00405D93">
        <w:rPr>
          <w:rFonts w:ascii="Times New Roman" w:hAnsi="Times New Roman" w:cs="Times New Roman"/>
          <w:w w:val="95"/>
          <w:sz w:val="18"/>
          <w:szCs w:val="18"/>
        </w:rPr>
        <w:t>dans</w:t>
      </w:r>
      <w:r w:rsidRPr="00405D93">
        <w:rPr>
          <w:rFonts w:ascii="Times New Roman" w:hAnsi="Times New Roman" w:cs="Times New Roman"/>
          <w:spacing w:val="-20"/>
          <w:w w:val="95"/>
          <w:sz w:val="18"/>
          <w:szCs w:val="18"/>
        </w:rPr>
        <w:t xml:space="preserve"> </w:t>
      </w:r>
      <w:r w:rsidRPr="00405D93">
        <w:rPr>
          <w:rFonts w:ascii="Times New Roman" w:hAnsi="Times New Roman" w:cs="Times New Roman"/>
          <w:w w:val="95"/>
          <w:sz w:val="18"/>
          <w:szCs w:val="18"/>
        </w:rPr>
        <w:t>le</w:t>
      </w:r>
      <w:r w:rsidRPr="00405D93">
        <w:rPr>
          <w:rFonts w:ascii="Times New Roman" w:hAnsi="Times New Roman" w:cs="Times New Roman"/>
          <w:spacing w:val="-22"/>
          <w:w w:val="95"/>
          <w:sz w:val="18"/>
          <w:szCs w:val="18"/>
        </w:rPr>
        <w:t xml:space="preserve"> </w:t>
      </w:r>
      <w:r w:rsidRPr="00405D93">
        <w:rPr>
          <w:rFonts w:ascii="Times New Roman" w:hAnsi="Times New Roman" w:cs="Times New Roman"/>
          <w:w w:val="95"/>
          <w:sz w:val="18"/>
          <w:szCs w:val="18"/>
        </w:rPr>
        <w:t>contrat</w:t>
      </w:r>
      <w:r w:rsidRPr="00405D93">
        <w:rPr>
          <w:rFonts w:ascii="Times New Roman" w:hAnsi="Times New Roman" w:cs="Times New Roman"/>
          <w:spacing w:val="-22"/>
          <w:w w:val="95"/>
          <w:sz w:val="18"/>
          <w:szCs w:val="18"/>
        </w:rPr>
        <w:t xml:space="preserve"> </w:t>
      </w:r>
      <w:r w:rsidRPr="00405D93">
        <w:rPr>
          <w:rFonts w:ascii="Times New Roman" w:hAnsi="Times New Roman" w:cs="Times New Roman"/>
          <w:w w:val="95"/>
          <w:sz w:val="18"/>
          <w:szCs w:val="18"/>
        </w:rPr>
        <w:t>d’agence</w:t>
      </w:r>
      <w:r w:rsidRPr="00405D93">
        <w:rPr>
          <w:rFonts w:ascii="Times New Roman" w:hAnsi="Times New Roman" w:cs="Times New Roman"/>
          <w:spacing w:val="-22"/>
          <w:w w:val="95"/>
          <w:sz w:val="18"/>
          <w:szCs w:val="18"/>
        </w:rPr>
        <w:t xml:space="preserve"> </w:t>
      </w:r>
      <w:r w:rsidRPr="00405D93">
        <w:rPr>
          <w:rFonts w:ascii="Times New Roman" w:hAnsi="Times New Roman" w:cs="Times New Roman"/>
          <w:w w:val="95"/>
          <w:sz w:val="18"/>
          <w:szCs w:val="18"/>
        </w:rPr>
        <w:t>commerciale</w:t>
      </w:r>
      <w:r w:rsidRPr="00405D93">
        <w:rPr>
          <w:rFonts w:ascii="Times New Roman" w:hAnsi="Times New Roman" w:cs="Times New Roman"/>
          <w:spacing w:val="-22"/>
          <w:w w:val="95"/>
          <w:sz w:val="18"/>
          <w:szCs w:val="18"/>
        </w:rPr>
        <w:t xml:space="preserve"> </w:t>
      </w:r>
      <w:r w:rsidRPr="00405D93">
        <w:rPr>
          <w:rFonts w:ascii="Times New Roman" w:hAnsi="Times New Roman" w:cs="Times New Roman"/>
          <w:w w:val="95"/>
          <w:sz w:val="18"/>
          <w:szCs w:val="18"/>
        </w:rPr>
        <w:t>»,</w:t>
      </w:r>
      <w:r w:rsidRPr="00405D93">
        <w:rPr>
          <w:rFonts w:ascii="Times New Roman" w:hAnsi="Times New Roman" w:cs="Times New Roman"/>
          <w:spacing w:val="-22"/>
          <w:w w:val="95"/>
          <w:sz w:val="18"/>
          <w:szCs w:val="18"/>
        </w:rPr>
        <w:t xml:space="preserve"> </w:t>
      </w:r>
      <w:r w:rsidRPr="00405D93">
        <w:rPr>
          <w:rFonts w:ascii="Times New Roman" w:hAnsi="Times New Roman" w:cs="Times New Roman"/>
          <w:w w:val="95"/>
          <w:sz w:val="18"/>
          <w:szCs w:val="18"/>
        </w:rPr>
        <w:t>;</w:t>
      </w:r>
      <w:r w:rsidRPr="00405D93">
        <w:rPr>
          <w:rFonts w:ascii="Times New Roman" w:hAnsi="Times New Roman" w:cs="Times New Roman"/>
          <w:spacing w:val="-21"/>
          <w:w w:val="95"/>
          <w:sz w:val="18"/>
          <w:szCs w:val="18"/>
        </w:rPr>
        <w:t xml:space="preserve"> </w:t>
      </w:r>
      <w:r w:rsidRPr="00405D93">
        <w:rPr>
          <w:rFonts w:ascii="Times New Roman" w:hAnsi="Times New Roman" w:cs="Times New Roman"/>
          <w:w w:val="95"/>
          <w:sz w:val="18"/>
          <w:szCs w:val="18"/>
        </w:rPr>
        <w:t>sur</w:t>
      </w:r>
      <w:r w:rsidRPr="00405D93">
        <w:rPr>
          <w:rFonts w:ascii="Times New Roman" w:hAnsi="Times New Roman" w:cs="Times New Roman"/>
          <w:spacing w:val="-23"/>
          <w:w w:val="95"/>
          <w:sz w:val="18"/>
          <w:szCs w:val="18"/>
        </w:rPr>
        <w:t xml:space="preserve"> </w:t>
      </w:r>
      <w:r w:rsidRPr="00405D93">
        <w:rPr>
          <w:rFonts w:ascii="Times New Roman" w:hAnsi="Times New Roman" w:cs="Times New Roman"/>
          <w:w w:val="95"/>
          <w:sz w:val="18"/>
          <w:szCs w:val="18"/>
        </w:rPr>
        <w:t>cet</w:t>
      </w:r>
      <w:r w:rsidRPr="00405D93">
        <w:rPr>
          <w:rFonts w:ascii="Times New Roman" w:hAnsi="Times New Roman" w:cs="Times New Roman"/>
          <w:spacing w:val="-23"/>
          <w:w w:val="95"/>
          <w:sz w:val="18"/>
          <w:szCs w:val="18"/>
        </w:rPr>
        <w:t xml:space="preserve"> </w:t>
      </w:r>
      <w:r w:rsidRPr="00405D93">
        <w:rPr>
          <w:rFonts w:ascii="Times New Roman" w:hAnsi="Times New Roman" w:cs="Times New Roman"/>
          <w:w w:val="95"/>
          <w:sz w:val="18"/>
          <w:szCs w:val="18"/>
        </w:rPr>
        <w:t>arrêt,</w:t>
      </w:r>
      <w:r w:rsidRPr="00405D93">
        <w:rPr>
          <w:rFonts w:ascii="Times New Roman" w:hAnsi="Times New Roman" w:cs="Times New Roman"/>
          <w:spacing w:val="-23"/>
          <w:w w:val="95"/>
          <w:sz w:val="18"/>
          <w:szCs w:val="18"/>
        </w:rPr>
        <w:t xml:space="preserve"> </w:t>
      </w:r>
      <w:proofErr w:type="spellStart"/>
      <w:r w:rsidRPr="00405D93">
        <w:rPr>
          <w:rFonts w:ascii="Times New Roman" w:hAnsi="Times New Roman" w:cs="Times New Roman"/>
          <w:w w:val="95"/>
          <w:sz w:val="18"/>
          <w:szCs w:val="18"/>
        </w:rPr>
        <w:t>voy</w:t>
      </w:r>
      <w:proofErr w:type="spellEnd"/>
      <w:r w:rsidRPr="00405D93">
        <w:rPr>
          <w:rFonts w:ascii="Times New Roman" w:hAnsi="Times New Roman" w:cs="Times New Roman"/>
          <w:w w:val="95"/>
          <w:sz w:val="18"/>
          <w:szCs w:val="18"/>
        </w:rPr>
        <w:t>.</w:t>
      </w:r>
      <w:r w:rsidRPr="00405D93">
        <w:rPr>
          <w:rFonts w:ascii="Times New Roman" w:hAnsi="Times New Roman" w:cs="Times New Roman"/>
          <w:spacing w:val="-23"/>
          <w:w w:val="95"/>
          <w:sz w:val="18"/>
          <w:szCs w:val="18"/>
        </w:rPr>
        <w:t xml:space="preserve"> </w:t>
      </w:r>
      <w:proofErr w:type="gramStart"/>
      <w:r w:rsidRPr="00405D93">
        <w:rPr>
          <w:rFonts w:ascii="Times New Roman" w:hAnsi="Times New Roman" w:cs="Times New Roman"/>
          <w:w w:val="95"/>
          <w:sz w:val="18"/>
          <w:szCs w:val="18"/>
        </w:rPr>
        <w:t>également</w:t>
      </w:r>
      <w:proofErr w:type="gramEnd"/>
      <w:r w:rsidRPr="00405D93">
        <w:rPr>
          <w:rFonts w:ascii="Times New Roman" w:hAnsi="Times New Roman" w:cs="Times New Roman"/>
          <w:spacing w:val="-23"/>
          <w:w w:val="95"/>
          <w:sz w:val="18"/>
          <w:szCs w:val="18"/>
        </w:rPr>
        <w:t xml:space="preserve"> </w:t>
      </w:r>
      <w:r w:rsidRPr="00405D93">
        <w:rPr>
          <w:rFonts w:ascii="Times New Roman" w:hAnsi="Times New Roman" w:cs="Times New Roman"/>
          <w:w w:val="95"/>
          <w:sz w:val="18"/>
          <w:szCs w:val="18"/>
        </w:rPr>
        <w:t>A.-P.</w:t>
      </w:r>
      <w:r w:rsidRPr="00405D93">
        <w:rPr>
          <w:rFonts w:ascii="Times New Roman" w:hAnsi="Times New Roman" w:cs="Times New Roman"/>
          <w:spacing w:val="-22"/>
          <w:w w:val="95"/>
          <w:sz w:val="18"/>
          <w:szCs w:val="18"/>
        </w:rPr>
        <w:t xml:space="preserve"> </w:t>
      </w:r>
      <w:r w:rsidRPr="00405D93">
        <w:rPr>
          <w:rFonts w:ascii="Times New Roman" w:hAnsi="Times New Roman" w:cs="Times New Roman"/>
          <w:w w:val="95"/>
          <w:sz w:val="18"/>
          <w:szCs w:val="18"/>
        </w:rPr>
        <w:t>ANDRÉ-DUMONT,</w:t>
      </w:r>
      <w:r w:rsidR="002E094D" w:rsidRPr="00405D93">
        <w:rPr>
          <w:rFonts w:ascii="Times New Roman" w:hAnsi="Times New Roman" w:cs="Times New Roman"/>
          <w:w w:val="95"/>
          <w:sz w:val="18"/>
          <w:szCs w:val="18"/>
        </w:rPr>
        <w:t xml:space="preserve"> </w:t>
      </w:r>
      <w:r w:rsidRPr="00405D93">
        <w:rPr>
          <w:rFonts w:ascii="Times New Roman" w:hAnsi="Times New Roman" w:cs="Times New Roman"/>
          <w:w w:val="95"/>
          <w:sz w:val="18"/>
          <w:szCs w:val="18"/>
        </w:rPr>
        <w:t>«</w:t>
      </w:r>
      <w:r w:rsidRPr="00405D93">
        <w:rPr>
          <w:rFonts w:ascii="Times New Roman" w:hAnsi="Times New Roman" w:cs="Times New Roman"/>
          <w:spacing w:val="-20"/>
          <w:w w:val="95"/>
          <w:sz w:val="18"/>
          <w:szCs w:val="18"/>
        </w:rPr>
        <w:t xml:space="preserve"> </w:t>
      </w:r>
      <w:r w:rsidRPr="00405D93">
        <w:rPr>
          <w:rFonts w:ascii="Times New Roman" w:hAnsi="Times New Roman" w:cs="Times New Roman"/>
          <w:w w:val="95"/>
          <w:sz w:val="18"/>
          <w:szCs w:val="18"/>
        </w:rPr>
        <w:t>Quand</w:t>
      </w:r>
      <w:r w:rsidRPr="00405D93">
        <w:rPr>
          <w:rFonts w:ascii="Times New Roman" w:hAnsi="Times New Roman" w:cs="Times New Roman"/>
          <w:spacing w:val="-16"/>
          <w:w w:val="95"/>
          <w:sz w:val="18"/>
          <w:szCs w:val="18"/>
        </w:rPr>
        <w:t xml:space="preserve"> </w:t>
      </w:r>
      <w:r w:rsidRPr="00405D93">
        <w:rPr>
          <w:rFonts w:ascii="Times New Roman" w:hAnsi="Times New Roman" w:cs="Times New Roman"/>
          <w:w w:val="95"/>
          <w:sz w:val="18"/>
          <w:szCs w:val="18"/>
        </w:rPr>
        <w:t>y</w:t>
      </w:r>
      <w:r w:rsidRPr="00405D93">
        <w:rPr>
          <w:rFonts w:ascii="Times New Roman" w:hAnsi="Times New Roman" w:cs="Times New Roman"/>
          <w:spacing w:val="-15"/>
          <w:w w:val="95"/>
          <w:sz w:val="18"/>
          <w:szCs w:val="18"/>
        </w:rPr>
        <w:t xml:space="preserve"> </w:t>
      </w:r>
      <w:r w:rsidRPr="00405D93">
        <w:rPr>
          <w:rFonts w:ascii="Times New Roman" w:hAnsi="Times New Roman" w:cs="Times New Roman"/>
          <w:w w:val="95"/>
          <w:sz w:val="18"/>
          <w:szCs w:val="18"/>
        </w:rPr>
        <w:t>a-t-il</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indépendance</w:t>
      </w:r>
      <w:r w:rsidRPr="00405D93">
        <w:rPr>
          <w:rFonts w:ascii="Times New Roman" w:hAnsi="Times New Roman" w:cs="Times New Roman"/>
          <w:spacing w:val="-16"/>
          <w:w w:val="95"/>
          <w:sz w:val="18"/>
          <w:szCs w:val="18"/>
        </w:rPr>
        <w:t xml:space="preserve"> </w:t>
      </w:r>
      <w:r w:rsidRPr="00405D93">
        <w:rPr>
          <w:rFonts w:ascii="Times New Roman" w:hAnsi="Times New Roman" w:cs="Times New Roman"/>
          <w:w w:val="95"/>
          <w:sz w:val="18"/>
          <w:szCs w:val="18"/>
        </w:rPr>
        <w:t>de</w:t>
      </w:r>
      <w:r w:rsidR="002E094D"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contrats</w:t>
      </w:r>
      <w:r w:rsidRPr="00405D93">
        <w:rPr>
          <w:rFonts w:ascii="Times New Roman" w:hAnsi="Times New Roman" w:cs="Times New Roman"/>
          <w:spacing w:val="-15"/>
          <w:w w:val="95"/>
          <w:sz w:val="18"/>
          <w:szCs w:val="18"/>
        </w:rPr>
        <w:t xml:space="preserve"> </w:t>
      </w:r>
      <w:r w:rsidRPr="00405D93">
        <w:rPr>
          <w:rFonts w:ascii="Times New Roman" w:hAnsi="Times New Roman" w:cs="Times New Roman"/>
          <w:w w:val="95"/>
          <w:sz w:val="18"/>
          <w:szCs w:val="18"/>
        </w:rPr>
        <w:t>d’agence</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w:t>
      </w:r>
      <w:r w:rsidRPr="00405D93">
        <w:rPr>
          <w:rFonts w:ascii="Times New Roman" w:hAnsi="Times New Roman" w:cs="Times New Roman"/>
          <w:spacing w:val="-18"/>
          <w:w w:val="95"/>
          <w:sz w:val="18"/>
          <w:szCs w:val="18"/>
        </w:rPr>
        <w:t xml:space="preserve"> </w:t>
      </w:r>
      <w:r w:rsidRPr="00405D93">
        <w:rPr>
          <w:rFonts w:ascii="Times New Roman" w:hAnsi="Times New Roman" w:cs="Times New Roman"/>
          <w:w w:val="95"/>
          <w:sz w:val="18"/>
          <w:szCs w:val="18"/>
        </w:rPr>
        <w:t>note</w:t>
      </w:r>
      <w:r w:rsidRPr="00405D93">
        <w:rPr>
          <w:rFonts w:ascii="Times New Roman" w:hAnsi="Times New Roman" w:cs="Times New Roman"/>
          <w:spacing w:val="-18"/>
          <w:w w:val="95"/>
          <w:sz w:val="18"/>
          <w:szCs w:val="18"/>
        </w:rPr>
        <w:t xml:space="preserve"> </w:t>
      </w:r>
      <w:r w:rsidRPr="00405D93">
        <w:rPr>
          <w:rFonts w:ascii="Times New Roman" w:hAnsi="Times New Roman" w:cs="Times New Roman"/>
          <w:w w:val="95"/>
          <w:sz w:val="18"/>
          <w:szCs w:val="18"/>
        </w:rPr>
        <w:t>sous</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Bruxelles,</w:t>
      </w:r>
      <w:r w:rsidRPr="00405D93">
        <w:rPr>
          <w:rFonts w:ascii="Times New Roman" w:hAnsi="Times New Roman" w:cs="Times New Roman"/>
          <w:spacing w:val="-18"/>
          <w:w w:val="95"/>
          <w:sz w:val="18"/>
          <w:szCs w:val="18"/>
        </w:rPr>
        <w:t xml:space="preserve"> </w:t>
      </w:r>
      <w:r w:rsidRPr="00405D93">
        <w:rPr>
          <w:rFonts w:ascii="Times New Roman" w:hAnsi="Times New Roman" w:cs="Times New Roman"/>
          <w:w w:val="95"/>
          <w:sz w:val="18"/>
          <w:szCs w:val="18"/>
        </w:rPr>
        <w:t>31</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janvier</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2014,</w:t>
      </w:r>
      <w:r w:rsidRPr="00405D93">
        <w:rPr>
          <w:rFonts w:ascii="Times New Roman" w:hAnsi="Times New Roman" w:cs="Times New Roman"/>
          <w:spacing w:val="-13"/>
          <w:w w:val="95"/>
          <w:sz w:val="18"/>
          <w:szCs w:val="18"/>
        </w:rPr>
        <w:t xml:space="preserve"> </w:t>
      </w:r>
      <w:r w:rsidRPr="00405D93">
        <w:rPr>
          <w:rFonts w:ascii="Times New Roman" w:hAnsi="Times New Roman" w:cs="Times New Roman"/>
          <w:i/>
          <w:w w:val="95"/>
          <w:sz w:val="18"/>
          <w:szCs w:val="18"/>
        </w:rPr>
        <w:t>R.D.C.</w:t>
      </w:r>
      <w:r w:rsidRPr="00405D93">
        <w:rPr>
          <w:rFonts w:ascii="Times New Roman" w:hAnsi="Times New Roman" w:cs="Times New Roman"/>
          <w:w w:val="95"/>
          <w:sz w:val="18"/>
          <w:szCs w:val="18"/>
        </w:rPr>
        <w:t>,</w:t>
      </w:r>
      <w:r w:rsidRPr="00405D93">
        <w:rPr>
          <w:rFonts w:ascii="Times New Roman" w:hAnsi="Times New Roman" w:cs="Times New Roman"/>
          <w:spacing w:val="-17"/>
          <w:w w:val="95"/>
          <w:sz w:val="18"/>
          <w:szCs w:val="18"/>
        </w:rPr>
        <w:t xml:space="preserve"> </w:t>
      </w:r>
      <w:r w:rsidRPr="00405D93">
        <w:rPr>
          <w:rFonts w:ascii="Times New Roman" w:hAnsi="Times New Roman" w:cs="Times New Roman"/>
          <w:w w:val="95"/>
          <w:sz w:val="18"/>
          <w:szCs w:val="18"/>
        </w:rPr>
        <w:t xml:space="preserve">2016/3, </w:t>
      </w:r>
      <w:r w:rsidRPr="00405D93">
        <w:rPr>
          <w:rFonts w:ascii="Times New Roman" w:hAnsi="Times New Roman" w:cs="Times New Roman"/>
          <w:sz w:val="18"/>
          <w:szCs w:val="18"/>
        </w:rPr>
        <w:t>pp. 296 à</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300.</w:t>
      </w:r>
    </w:p>
  </w:footnote>
  <w:footnote w:id="6">
    <w:p w14:paraId="498AAAEE" w14:textId="74624D1A" w:rsidR="007C1F4F" w:rsidRPr="00405D93" w:rsidRDefault="007C1F4F" w:rsidP="002E094D">
      <w:pPr>
        <w:ind w:right="122"/>
        <w:jc w:val="both"/>
        <w:rPr>
          <w:rFonts w:ascii="Times New Roman" w:hAnsi="Times New Roman" w:cs="Times New Roman"/>
          <w:sz w:val="18"/>
          <w:szCs w:val="18"/>
        </w:rPr>
      </w:pPr>
      <w:r w:rsidRPr="00405D93">
        <w:rPr>
          <w:rStyle w:val="Appelnotedebasdep"/>
          <w:rFonts w:ascii="Times New Roman" w:hAnsi="Times New Roman" w:cs="Times New Roman"/>
          <w:sz w:val="18"/>
          <w:szCs w:val="18"/>
        </w:rPr>
        <w:footnoteRef/>
      </w:r>
      <w:r w:rsidRPr="00405D93">
        <w:rPr>
          <w:rFonts w:ascii="Times New Roman" w:hAnsi="Times New Roman" w:cs="Times New Roman"/>
          <w:sz w:val="18"/>
          <w:szCs w:val="18"/>
        </w:rPr>
        <w:t xml:space="preserve"> L’agent</w:t>
      </w:r>
      <w:r w:rsidRPr="00405D93">
        <w:rPr>
          <w:rFonts w:ascii="Times New Roman" w:hAnsi="Times New Roman" w:cs="Times New Roman"/>
          <w:spacing w:val="-20"/>
          <w:sz w:val="18"/>
          <w:szCs w:val="18"/>
        </w:rPr>
        <w:t xml:space="preserve"> </w:t>
      </w:r>
      <w:r w:rsidRPr="00405D93">
        <w:rPr>
          <w:rFonts w:ascii="Times New Roman" w:hAnsi="Times New Roman" w:cs="Times New Roman"/>
          <w:sz w:val="18"/>
          <w:szCs w:val="18"/>
        </w:rPr>
        <w:t>soutenait</w:t>
      </w:r>
      <w:r w:rsidRPr="00405D93">
        <w:rPr>
          <w:rFonts w:ascii="Times New Roman" w:hAnsi="Times New Roman" w:cs="Times New Roman"/>
          <w:spacing w:val="-20"/>
          <w:sz w:val="18"/>
          <w:szCs w:val="18"/>
        </w:rPr>
        <w:t xml:space="preserve"> </w:t>
      </w:r>
      <w:r w:rsidRPr="00405D93">
        <w:rPr>
          <w:rFonts w:ascii="Times New Roman" w:hAnsi="Times New Roman" w:cs="Times New Roman"/>
          <w:sz w:val="18"/>
          <w:szCs w:val="18"/>
        </w:rPr>
        <w:t>à</w:t>
      </w:r>
      <w:r w:rsidRPr="00405D93">
        <w:rPr>
          <w:rFonts w:ascii="Times New Roman" w:hAnsi="Times New Roman" w:cs="Times New Roman"/>
          <w:spacing w:val="-20"/>
          <w:sz w:val="18"/>
          <w:szCs w:val="18"/>
        </w:rPr>
        <w:t xml:space="preserve"> </w:t>
      </w:r>
      <w:r w:rsidRPr="00405D93">
        <w:rPr>
          <w:rFonts w:ascii="Times New Roman" w:hAnsi="Times New Roman" w:cs="Times New Roman"/>
          <w:sz w:val="18"/>
          <w:szCs w:val="18"/>
        </w:rPr>
        <w:t>cet</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effet</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que</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ses</w:t>
      </w:r>
      <w:r w:rsidRPr="00405D93">
        <w:rPr>
          <w:rFonts w:ascii="Times New Roman" w:hAnsi="Times New Roman" w:cs="Times New Roman"/>
          <w:spacing w:val="-20"/>
          <w:sz w:val="18"/>
          <w:szCs w:val="18"/>
        </w:rPr>
        <w:t xml:space="preserve"> </w:t>
      </w:r>
      <w:r w:rsidRPr="00405D93">
        <w:rPr>
          <w:rFonts w:ascii="Times New Roman" w:hAnsi="Times New Roman" w:cs="Times New Roman"/>
          <w:sz w:val="18"/>
          <w:szCs w:val="18"/>
        </w:rPr>
        <w:t>activités</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consistaient</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en</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le</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placement</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de</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produits</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bancaires</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21"/>
          <w:sz w:val="18"/>
          <w:szCs w:val="18"/>
        </w:rPr>
        <w:t xml:space="preserve"> </w:t>
      </w:r>
      <w:r w:rsidRPr="00405D93">
        <w:rPr>
          <w:rFonts w:ascii="Times New Roman" w:hAnsi="Times New Roman" w:cs="Times New Roman"/>
          <w:sz w:val="18"/>
          <w:szCs w:val="18"/>
        </w:rPr>
        <w:t>de</w:t>
      </w:r>
      <w:r w:rsidRPr="00405D93">
        <w:rPr>
          <w:rFonts w:ascii="Times New Roman" w:hAnsi="Times New Roman" w:cs="Times New Roman"/>
          <w:spacing w:val="-22"/>
          <w:sz w:val="18"/>
          <w:szCs w:val="18"/>
        </w:rPr>
        <w:t xml:space="preserve"> </w:t>
      </w:r>
      <w:r w:rsidRPr="00405D93">
        <w:rPr>
          <w:rFonts w:ascii="Times New Roman" w:hAnsi="Times New Roman" w:cs="Times New Roman"/>
          <w:sz w:val="18"/>
          <w:szCs w:val="18"/>
        </w:rPr>
        <w:t>produits</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d’assurance</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solde</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restant</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dû</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auprès</w:t>
      </w:r>
      <w:r w:rsidRPr="00405D93">
        <w:rPr>
          <w:rFonts w:ascii="Times New Roman" w:hAnsi="Times New Roman" w:cs="Times New Roman"/>
          <w:spacing w:val="-26"/>
          <w:sz w:val="18"/>
          <w:szCs w:val="18"/>
        </w:rPr>
        <w:t xml:space="preserve"> </w:t>
      </w:r>
      <w:r w:rsidRPr="00405D93">
        <w:rPr>
          <w:rFonts w:ascii="Times New Roman" w:hAnsi="Times New Roman" w:cs="Times New Roman"/>
          <w:sz w:val="18"/>
          <w:szCs w:val="18"/>
        </w:rPr>
        <w:t>de</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la</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clientèle</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du</w:t>
      </w:r>
      <w:r w:rsidRPr="00405D93">
        <w:rPr>
          <w:rFonts w:ascii="Times New Roman" w:hAnsi="Times New Roman" w:cs="Times New Roman"/>
          <w:spacing w:val="-27"/>
          <w:sz w:val="18"/>
          <w:szCs w:val="18"/>
        </w:rPr>
        <w:t xml:space="preserve"> </w:t>
      </w:r>
      <w:r w:rsidRPr="00405D93">
        <w:rPr>
          <w:rFonts w:ascii="Times New Roman" w:hAnsi="Times New Roman" w:cs="Times New Roman"/>
          <w:sz w:val="18"/>
          <w:szCs w:val="18"/>
        </w:rPr>
        <w:t>commettant,</w:t>
      </w:r>
      <w:r w:rsidRPr="00405D93">
        <w:rPr>
          <w:rFonts w:ascii="Times New Roman" w:hAnsi="Times New Roman" w:cs="Times New Roman"/>
          <w:spacing w:val="-26"/>
          <w:sz w:val="18"/>
          <w:szCs w:val="18"/>
        </w:rPr>
        <w:t xml:space="preserve"> </w:t>
      </w:r>
      <w:r w:rsidRPr="00405D93">
        <w:rPr>
          <w:rFonts w:ascii="Times New Roman" w:hAnsi="Times New Roman" w:cs="Times New Roman"/>
          <w:sz w:val="18"/>
          <w:szCs w:val="18"/>
        </w:rPr>
        <w:t>et</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que</w:t>
      </w:r>
      <w:r w:rsidRPr="00405D93">
        <w:rPr>
          <w:rFonts w:ascii="Times New Roman" w:hAnsi="Times New Roman" w:cs="Times New Roman"/>
          <w:spacing w:val="-28"/>
          <w:sz w:val="18"/>
          <w:szCs w:val="18"/>
        </w:rPr>
        <w:t xml:space="preserve"> </w:t>
      </w:r>
      <w:proofErr w:type="gramStart"/>
      <w:r w:rsidRPr="00405D93">
        <w:rPr>
          <w:rFonts w:ascii="Times New Roman" w:hAnsi="Times New Roman" w:cs="Times New Roman"/>
          <w:sz w:val="18"/>
          <w:szCs w:val="18"/>
        </w:rPr>
        <w:t>suite</w:t>
      </w:r>
      <w:r w:rsidRPr="00405D93">
        <w:rPr>
          <w:rFonts w:ascii="Times New Roman" w:hAnsi="Times New Roman" w:cs="Times New Roman"/>
          <w:spacing w:val="-29"/>
          <w:sz w:val="18"/>
          <w:szCs w:val="18"/>
        </w:rPr>
        <w:t xml:space="preserve"> </w:t>
      </w:r>
      <w:r w:rsidRPr="00405D93">
        <w:rPr>
          <w:rFonts w:ascii="Times New Roman" w:hAnsi="Times New Roman" w:cs="Times New Roman"/>
          <w:sz w:val="18"/>
          <w:szCs w:val="18"/>
        </w:rPr>
        <w:t>à</w:t>
      </w:r>
      <w:proofErr w:type="gramEnd"/>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la</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rupture</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du</w:t>
      </w:r>
      <w:r w:rsidRPr="00405D93">
        <w:rPr>
          <w:rFonts w:ascii="Times New Roman" w:hAnsi="Times New Roman" w:cs="Times New Roman"/>
          <w:spacing w:val="-28"/>
          <w:sz w:val="18"/>
          <w:szCs w:val="18"/>
        </w:rPr>
        <w:t xml:space="preserve"> </w:t>
      </w:r>
      <w:r w:rsidRPr="00405D93">
        <w:rPr>
          <w:rFonts w:ascii="Times New Roman" w:hAnsi="Times New Roman" w:cs="Times New Roman"/>
          <w:sz w:val="18"/>
          <w:szCs w:val="18"/>
        </w:rPr>
        <w:t>contrat</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d’agence,</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il</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avait</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perdu</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la</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possibilité</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de</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placer</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des</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produits</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d’assurance</w:t>
      </w:r>
      <w:r w:rsidRPr="00405D93">
        <w:rPr>
          <w:rFonts w:ascii="Times New Roman" w:hAnsi="Times New Roman" w:cs="Times New Roman"/>
          <w:spacing w:val="-20"/>
          <w:sz w:val="18"/>
          <w:szCs w:val="18"/>
        </w:rPr>
        <w:t xml:space="preserve"> </w:t>
      </w:r>
      <w:r w:rsidRPr="00405D93">
        <w:rPr>
          <w:rFonts w:ascii="Times New Roman" w:hAnsi="Times New Roman" w:cs="Times New Roman"/>
          <w:sz w:val="18"/>
          <w:szCs w:val="18"/>
        </w:rPr>
        <w:t>auprès</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de</w:t>
      </w:r>
      <w:r w:rsidRPr="00405D93">
        <w:rPr>
          <w:rFonts w:ascii="Times New Roman" w:hAnsi="Times New Roman" w:cs="Times New Roman"/>
          <w:spacing w:val="-24"/>
          <w:sz w:val="18"/>
          <w:szCs w:val="18"/>
        </w:rPr>
        <w:t xml:space="preserve"> </w:t>
      </w:r>
      <w:r w:rsidRPr="00405D93">
        <w:rPr>
          <w:rFonts w:ascii="Times New Roman" w:hAnsi="Times New Roman" w:cs="Times New Roman"/>
          <w:sz w:val="18"/>
          <w:szCs w:val="18"/>
        </w:rPr>
        <w:t>cette</w:t>
      </w:r>
      <w:r w:rsidRPr="00405D93">
        <w:rPr>
          <w:rFonts w:ascii="Times New Roman" w:hAnsi="Times New Roman" w:cs="Times New Roman"/>
          <w:spacing w:val="-23"/>
          <w:sz w:val="18"/>
          <w:szCs w:val="18"/>
        </w:rPr>
        <w:t xml:space="preserve"> </w:t>
      </w:r>
      <w:r w:rsidRPr="00405D93">
        <w:rPr>
          <w:rFonts w:ascii="Times New Roman" w:hAnsi="Times New Roman" w:cs="Times New Roman"/>
          <w:sz w:val="18"/>
          <w:szCs w:val="18"/>
        </w:rPr>
        <w:t>clientèle.</w:t>
      </w:r>
    </w:p>
    <w:p w14:paraId="5FD02789" w14:textId="67CC4F70" w:rsidR="007C1F4F" w:rsidRPr="00405D93" w:rsidRDefault="007C1F4F" w:rsidP="002E094D">
      <w:pPr>
        <w:pStyle w:val="Notedebasdepage"/>
        <w:jc w:val="both"/>
        <w:rPr>
          <w:rFonts w:ascii="Times New Roman" w:hAnsi="Times New Roman" w:cs="Times New Roman"/>
          <w:sz w:val="18"/>
          <w:szCs w:val="18"/>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E8BBF" w14:textId="642F3CB9" w:rsidR="00B65ECB" w:rsidRDefault="00B65ECB">
    <w:pPr>
      <w:pStyle w:val="Corpsdetexte"/>
      <w:spacing w:line="14"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668DD"/>
    <w:multiLevelType w:val="hybridMultilevel"/>
    <w:tmpl w:val="438CE5A6"/>
    <w:lvl w:ilvl="0" w:tplc="B7CCC586">
      <w:start w:val="1"/>
      <w:numFmt w:val="decimal"/>
      <w:lvlText w:val="%1."/>
      <w:lvlJc w:val="left"/>
      <w:pPr>
        <w:ind w:left="387" w:hanging="281"/>
        <w:jc w:val="right"/>
      </w:pPr>
      <w:rPr>
        <w:rFonts w:hint="default"/>
        <w:b/>
        <w:bCs/>
        <w:i/>
        <w:spacing w:val="-30"/>
        <w:w w:val="100"/>
        <w:lang w:val="fr-FR" w:eastAsia="en-US" w:bidi="ar-SA"/>
      </w:rPr>
    </w:lvl>
    <w:lvl w:ilvl="1" w:tplc="1FE2A24C">
      <w:numFmt w:val="bullet"/>
      <w:lvlText w:val="•"/>
      <w:lvlJc w:val="left"/>
      <w:pPr>
        <w:ind w:left="480" w:hanging="281"/>
      </w:pPr>
      <w:rPr>
        <w:rFonts w:hint="default"/>
        <w:lang w:val="fr-FR" w:eastAsia="en-US" w:bidi="ar-SA"/>
      </w:rPr>
    </w:lvl>
    <w:lvl w:ilvl="2" w:tplc="EA6A619C">
      <w:numFmt w:val="bullet"/>
      <w:lvlText w:val="•"/>
      <w:lvlJc w:val="left"/>
      <w:pPr>
        <w:ind w:left="1227" w:hanging="281"/>
      </w:pPr>
      <w:rPr>
        <w:rFonts w:hint="default"/>
        <w:lang w:val="fr-FR" w:eastAsia="en-US" w:bidi="ar-SA"/>
      </w:rPr>
    </w:lvl>
    <w:lvl w:ilvl="3" w:tplc="2986701E">
      <w:numFmt w:val="bullet"/>
      <w:lvlText w:val="•"/>
      <w:lvlJc w:val="left"/>
      <w:pPr>
        <w:ind w:left="1975" w:hanging="281"/>
      </w:pPr>
      <w:rPr>
        <w:rFonts w:hint="default"/>
        <w:lang w:val="fr-FR" w:eastAsia="en-US" w:bidi="ar-SA"/>
      </w:rPr>
    </w:lvl>
    <w:lvl w:ilvl="4" w:tplc="BC86F2A4">
      <w:numFmt w:val="bullet"/>
      <w:lvlText w:val="•"/>
      <w:lvlJc w:val="left"/>
      <w:pPr>
        <w:ind w:left="2722" w:hanging="281"/>
      </w:pPr>
      <w:rPr>
        <w:rFonts w:hint="default"/>
        <w:lang w:val="fr-FR" w:eastAsia="en-US" w:bidi="ar-SA"/>
      </w:rPr>
    </w:lvl>
    <w:lvl w:ilvl="5" w:tplc="2484477E">
      <w:numFmt w:val="bullet"/>
      <w:lvlText w:val="•"/>
      <w:lvlJc w:val="left"/>
      <w:pPr>
        <w:ind w:left="3470" w:hanging="281"/>
      </w:pPr>
      <w:rPr>
        <w:rFonts w:hint="default"/>
        <w:lang w:val="fr-FR" w:eastAsia="en-US" w:bidi="ar-SA"/>
      </w:rPr>
    </w:lvl>
    <w:lvl w:ilvl="6" w:tplc="24E60088">
      <w:numFmt w:val="bullet"/>
      <w:lvlText w:val="•"/>
      <w:lvlJc w:val="left"/>
      <w:pPr>
        <w:ind w:left="4218" w:hanging="281"/>
      </w:pPr>
      <w:rPr>
        <w:rFonts w:hint="default"/>
        <w:lang w:val="fr-FR" w:eastAsia="en-US" w:bidi="ar-SA"/>
      </w:rPr>
    </w:lvl>
    <w:lvl w:ilvl="7" w:tplc="DF6256D6">
      <w:numFmt w:val="bullet"/>
      <w:lvlText w:val="•"/>
      <w:lvlJc w:val="left"/>
      <w:pPr>
        <w:ind w:left="4965" w:hanging="281"/>
      </w:pPr>
      <w:rPr>
        <w:rFonts w:hint="default"/>
        <w:lang w:val="fr-FR" w:eastAsia="en-US" w:bidi="ar-SA"/>
      </w:rPr>
    </w:lvl>
    <w:lvl w:ilvl="8" w:tplc="C750BEA6">
      <w:numFmt w:val="bullet"/>
      <w:lvlText w:val="•"/>
      <w:lvlJc w:val="left"/>
      <w:pPr>
        <w:ind w:left="5713" w:hanging="281"/>
      </w:pPr>
      <w:rPr>
        <w:rFonts w:hint="default"/>
        <w:lang w:val="fr-FR" w:eastAsia="en-US" w:bidi="ar-SA"/>
      </w:rPr>
    </w:lvl>
  </w:abstractNum>
  <w:abstractNum w:abstractNumId="1" w15:restartNumberingAfterBreak="0">
    <w:nsid w:val="3F0869B1"/>
    <w:multiLevelType w:val="hybridMultilevel"/>
    <w:tmpl w:val="12E2C6C6"/>
    <w:lvl w:ilvl="0" w:tplc="9B2A191E">
      <w:start w:val="1"/>
      <w:numFmt w:val="decimal"/>
      <w:lvlText w:val="%1."/>
      <w:lvlJc w:val="left"/>
      <w:pPr>
        <w:ind w:left="579" w:hanging="360"/>
      </w:pPr>
      <w:rPr>
        <w:rFonts w:hint="default"/>
      </w:rPr>
    </w:lvl>
    <w:lvl w:ilvl="1" w:tplc="080C0019" w:tentative="1">
      <w:start w:val="1"/>
      <w:numFmt w:val="lowerLetter"/>
      <w:lvlText w:val="%2."/>
      <w:lvlJc w:val="left"/>
      <w:pPr>
        <w:ind w:left="1299" w:hanging="360"/>
      </w:pPr>
    </w:lvl>
    <w:lvl w:ilvl="2" w:tplc="080C001B" w:tentative="1">
      <w:start w:val="1"/>
      <w:numFmt w:val="lowerRoman"/>
      <w:lvlText w:val="%3."/>
      <w:lvlJc w:val="right"/>
      <w:pPr>
        <w:ind w:left="2019" w:hanging="180"/>
      </w:pPr>
    </w:lvl>
    <w:lvl w:ilvl="3" w:tplc="080C000F" w:tentative="1">
      <w:start w:val="1"/>
      <w:numFmt w:val="decimal"/>
      <w:lvlText w:val="%4."/>
      <w:lvlJc w:val="left"/>
      <w:pPr>
        <w:ind w:left="2739" w:hanging="360"/>
      </w:pPr>
    </w:lvl>
    <w:lvl w:ilvl="4" w:tplc="080C0019" w:tentative="1">
      <w:start w:val="1"/>
      <w:numFmt w:val="lowerLetter"/>
      <w:lvlText w:val="%5."/>
      <w:lvlJc w:val="left"/>
      <w:pPr>
        <w:ind w:left="3459" w:hanging="360"/>
      </w:pPr>
    </w:lvl>
    <w:lvl w:ilvl="5" w:tplc="080C001B" w:tentative="1">
      <w:start w:val="1"/>
      <w:numFmt w:val="lowerRoman"/>
      <w:lvlText w:val="%6."/>
      <w:lvlJc w:val="right"/>
      <w:pPr>
        <w:ind w:left="4179" w:hanging="180"/>
      </w:pPr>
    </w:lvl>
    <w:lvl w:ilvl="6" w:tplc="080C000F" w:tentative="1">
      <w:start w:val="1"/>
      <w:numFmt w:val="decimal"/>
      <w:lvlText w:val="%7."/>
      <w:lvlJc w:val="left"/>
      <w:pPr>
        <w:ind w:left="4899" w:hanging="360"/>
      </w:pPr>
    </w:lvl>
    <w:lvl w:ilvl="7" w:tplc="080C0019" w:tentative="1">
      <w:start w:val="1"/>
      <w:numFmt w:val="lowerLetter"/>
      <w:lvlText w:val="%8."/>
      <w:lvlJc w:val="left"/>
      <w:pPr>
        <w:ind w:left="5619" w:hanging="360"/>
      </w:pPr>
    </w:lvl>
    <w:lvl w:ilvl="8" w:tplc="080C001B" w:tentative="1">
      <w:start w:val="1"/>
      <w:numFmt w:val="lowerRoman"/>
      <w:lvlText w:val="%9."/>
      <w:lvlJc w:val="right"/>
      <w:pPr>
        <w:ind w:left="633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65ECB"/>
    <w:rsid w:val="000428E2"/>
    <w:rsid w:val="002E094D"/>
    <w:rsid w:val="00405D93"/>
    <w:rsid w:val="00465AAD"/>
    <w:rsid w:val="00605E9A"/>
    <w:rsid w:val="006A793E"/>
    <w:rsid w:val="007C1F4F"/>
    <w:rsid w:val="007E31D3"/>
    <w:rsid w:val="007F31E1"/>
    <w:rsid w:val="0097723D"/>
    <w:rsid w:val="00B2663F"/>
    <w:rsid w:val="00B65ECB"/>
    <w:rsid w:val="00D50ECA"/>
    <w:rsid w:val="00EB080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E1302B"/>
  <w15:docId w15:val="{195EA970-414F-427B-A7D5-9C331DCD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fr-FR"/>
    </w:rPr>
  </w:style>
  <w:style w:type="paragraph" w:styleId="Titre1">
    <w:name w:val="heading 1"/>
    <w:basedOn w:val="Normal"/>
    <w:uiPriority w:val="9"/>
    <w:qFormat/>
    <w:pPr>
      <w:spacing w:before="21"/>
      <w:ind w:left="107"/>
      <w:outlineLvl w:val="0"/>
    </w:pPr>
    <w:rPr>
      <w:b/>
      <w:bCs/>
      <w:sz w:val="24"/>
      <w:szCs w:val="24"/>
    </w:rPr>
  </w:style>
  <w:style w:type="paragraph" w:styleId="Titre2">
    <w:name w:val="heading 2"/>
    <w:basedOn w:val="Normal"/>
    <w:uiPriority w:val="9"/>
    <w:unhideWhenUsed/>
    <w:qFormat/>
    <w:pPr>
      <w:spacing w:before="76"/>
      <w:ind w:left="500" w:hanging="281"/>
      <w:jc w:val="both"/>
      <w:outlineLvl w:val="1"/>
    </w:pPr>
    <w:rPr>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jc w:val="both"/>
    </w:pPr>
    <w:rPr>
      <w:sz w:val="20"/>
      <w:szCs w:val="20"/>
    </w:rPr>
  </w:style>
  <w:style w:type="paragraph" w:styleId="Paragraphedeliste">
    <w:name w:val="List Paragraph"/>
    <w:basedOn w:val="Normal"/>
    <w:uiPriority w:val="1"/>
    <w:qFormat/>
    <w:pPr>
      <w:spacing w:before="80"/>
      <w:ind w:left="500" w:hanging="281"/>
      <w:jc w:val="both"/>
    </w:pPr>
    <w:rPr>
      <w:rFonts w:ascii="Arial" w:eastAsia="Arial" w:hAnsi="Arial" w:cs="Arial"/>
    </w:r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97723D"/>
    <w:pPr>
      <w:tabs>
        <w:tab w:val="center" w:pos="4536"/>
        <w:tab w:val="right" w:pos="9072"/>
      </w:tabs>
    </w:pPr>
  </w:style>
  <w:style w:type="character" w:customStyle="1" w:styleId="En-tteCar">
    <w:name w:val="En-tête Car"/>
    <w:basedOn w:val="Policepardfaut"/>
    <w:link w:val="En-tte"/>
    <w:uiPriority w:val="99"/>
    <w:rsid w:val="0097723D"/>
    <w:rPr>
      <w:rFonts w:ascii="Carlito" w:eastAsia="Carlito" w:hAnsi="Carlito" w:cs="Carlito"/>
      <w:lang w:val="fr-FR"/>
    </w:rPr>
  </w:style>
  <w:style w:type="paragraph" w:styleId="Pieddepage">
    <w:name w:val="footer"/>
    <w:basedOn w:val="Normal"/>
    <w:link w:val="PieddepageCar"/>
    <w:uiPriority w:val="99"/>
    <w:unhideWhenUsed/>
    <w:rsid w:val="0097723D"/>
    <w:pPr>
      <w:tabs>
        <w:tab w:val="center" w:pos="4536"/>
        <w:tab w:val="right" w:pos="9072"/>
      </w:tabs>
    </w:pPr>
  </w:style>
  <w:style w:type="character" w:customStyle="1" w:styleId="PieddepageCar">
    <w:name w:val="Pied de page Car"/>
    <w:basedOn w:val="Policepardfaut"/>
    <w:link w:val="Pieddepage"/>
    <w:uiPriority w:val="99"/>
    <w:rsid w:val="0097723D"/>
    <w:rPr>
      <w:rFonts w:ascii="Carlito" w:eastAsia="Carlito" w:hAnsi="Carlito" w:cs="Carlito"/>
      <w:lang w:val="fr-FR"/>
    </w:rPr>
  </w:style>
  <w:style w:type="paragraph" w:styleId="Notedebasdepage">
    <w:name w:val="footnote text"/>
    <w:basedOn w:val="Normal"/>
    <w:link w:val="NotedebasdepageCar"/>
    <w:uiPriority w:val="99"/>
    <w:semiHidden/>
    <w:unhideWhenUsed/>
    <w:rsid w:val="0097723D"/>
    <w:rPr>
      <w:sz w:val="20"/>
      <w:szCs w:val="20"/>
    </w:rPr>
  </w:style>
  <w:style w:type="character" w:customStyle="1" w:styleId="NotedebasdepageCar">
    <w:name w:val="Note de bas de page Car"/>
    <w:basedOn w:val="Policepardfaut"/>
    <w:link w:val="Notedebasdepage"/>
    <w:uiPriority w:val="99"/>
    <w:semiHidden/>
    <w:rsid w:val="0097723D"/>
    <w:rPr>
      <w:rFonts w:ascii="Carlito" w:eastAsia="Carlito" w:hAnsi="Carlito" w:cs="Carlito"/>
      <w:sz w:val="20"/>
      <w:szCs w:val="20"/>
      <w:lang w:val="fr-FR"/>
    </w:rPr>
  </w:style>
  <w:style w:type="character" w:styleId="Appelnotedebasdep">
    <w:name w:val="footnote reference"/>
    <w:basedOn w:val="Policepardfaut"/>
    <w:uiPriority w:val="99"/>
    <w:semiHidden/>
    <w:unhideWhenUsed/>
    <w:rsid w:val="009772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005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1118</Words>
  <Characters>6155</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Alice Dejollier</cp:lastModifiedBy>
  <cp:revision>6</cp:revision>
  <dcterms:created xsi:type="dcterms:W3CDTF">2020-11-25T16:31:00Z</dcterms:created>
  <dcterms:modified xsi:type="dcterms:W3CDTF">2020-11-25T17:32:00Z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2017-03-23T00:00:00Z</vt:filetime>
  </property>
  <property fmtid="{D5CDD505-2E9C-101B-9397-08002B2CF9AE}" pid="3" name="Creator">
    <vt:lpwstr>pdftk 1.41 - www.pdftk.com</vt:lpwstr>
  </property>
  <property fmtid="{D5CDD505-2E9C-101B-9397-08002B2CF9AE}" pid="4" name="LastSaved">
    <vt:filetime>2020-11-25T00:00:00Z</vt:filetime>
  </property>
</Properties>
</file>