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4CE" w:rsidRPr="00276FFC" w:rsidRDefault="007264CE" w:rsidP="00276FFC">
      <w:pPr>
        <w:autoSpaceDE w:val="0"/>
        <w:autoSpaceDN w:val="0"/>
        <w:adjustRightInd w:val="0"/>
        <w:jc w:val="center"/>
        <w:rPr>
          <w:b/>
          <w:bCs/>
          <w:sz w:val="22"/>
          <w:szCs w:val="22"/>
          <w:lang w:val="fr-BE"/>
        </w:rPr>
      </w:pPr>
      <w:r w:rsidRPr="00276FFC">
        <w:rPr>
          <w:b/>
          <w:bCs/>
          <w:sz w:val="22"/>
          <w:szCs w:val="22"/>
          <w:lang w:val="fr-BE"/>
        </w:rPr>
        <w:t>Quelle</w:t>
      </w:r>
      <w:r w:rsidR="0088358D" w:rsidRPr="00276FFC">
        <w:rPr>
          <w:b/>
          <w:bCs/>
          <w:sz w:val="22"/>
          <w:szCs w:val="22"/>
          <w:lang w:val="fr-BE"/>
        </w:rPr>
        <w:t>s</w:t>
      </w:r>
      <w:r w:rsidRPr="00276FFC">
        <w:rPr>
          <w:b/>
          <w:bCs/>
          <w:sz w:val="22"/>
          <w:szCs w:val="22"/>
          <w:lang w:val="fr-BE"/>
        </w:rPr>
        <w:t xml:space="preserve"> relation</w:t>
      </w:r>
      <w:r w:rsidR="0088358D" w:rsidRPr="00276FFC">
        <w:rPr>
          <w:b/>
          <w:bCs/>
          <w:sz w:val="22"/>
          <w:szCs w:val="22"/>
          <w:lang w:val="fr-BE"/>
        </w:rPr>
        <w:t>s</w:t>
      </w:r>
      <w:r w:rsidRPr="00276FFC">
        <w:rPr>
          <w:b/>
          <w:bCs/>
          <w:sz w:val="22"/>
          <w:szCs w:val="22"/>
          <w:lang w:val="fr-BE"/>
        </w:rPr>
        <w:t xml:space="preserve"> les enfants entretiennent-ils avec les musées d’art?</w:t>
      </w:r>
    </w:p>
    <w:p w:rsidR="007264CE" w:rsidRPr="00276FFC" w:rsidRDefault="007264CE" w:rsidP="00276FFC">
      <w:pPr>
        <w:autoSpaceDE w:val="0"/>
        <w:autoSpaceDN w:val="0"/>
        <w:adjustRightInd w:val="0"/>
        <w:jc w:val="center"/>
        <w:rPr>
          <w:b/>
          <w:bCs/>
          <w:sz w:val="22"/>
          <w:szCs w:val="22"/>
          <w:lang w:val="fr-BE"/>
        </w:rPr>
      </w:pPr>
      <w:r w:rsidRPr="00276FFC">
        <w:rPr>
          <w:b/>
          <w:bCs/>
          <w:sz w:val="22"/>
          <w:szCs w:val="22"/>
          <w:lang w:val="fr-BE"/>
        </w:rPr>
        <w:t>Etude</w:t>
      </w:r>
      <w:r w:rsidR="003D10AB" w:rsidRPr="00276FFC">
        <w:rPr>
          <w:b/>
          <w:bCs/>
          <w:sz w:val="22"/>
          <w:szCs w:val="22"/>
          <w:lang w:val="fr-BE"/>
        </w:rPr>
        <w:t xml:space="preserve"> de leur expérience</w:t>
      </w:r>
      <w:r w:rsidR="001E7D56" w:rsidRPr="00276FFC">
        <w:rPr>
          <w:b/>
          <w:bCs/>
          <w:sz w:val="22"/>
          <w:szCs w:val="22"/>
          <w:lang w:val="fr-BE"/>
        </w:rPr>
        <w:t xml:space="preserve"> </w:t>
      </w:r>
      <w:r w:rsidR="00343538" w:rsidRPr="00276FFC">
        <w:rPr>
          <w:b/>
          <w:bCs/>
          <w:sz w:val="22"/>
          <w:szCs w:val="22"/>
          <w:lang w:val="fr-BE"/>
        </w:rPr>
        <w:t xml:space="preserve">vécue </w:t>
      </w:r>
    </w:p>
    <w:p w:rsidR="00276FFC" w:rsidRPr="00276FFC" w:rsidRDefault="00276FFC" w:rsidP="00276FFC">
      <w:pPr>
        <w:rPr>
          <w:b/>
          <w:bCs/>
          <w:snapToGrid w:val="0"/>
          <w:sz w:val="22"/>
          <w:szCs w:val="22"/>
        </w:rPr>
      </w:pPr>
    </w:p>
    <w:p w:rsidR="007264CE" w:rsidRDefault="007264CE" w:rsidP="007264CE">
      <w:pPr>
        <w:numPr>
          <w:ilvl w:val="0"/>
          <w:numId w:val="1"/>
        </w:numPr>
        <w:rPr>
          <w:b/>
          <w:bCs/>
          <w:snapToGrid w:val="0"/>
          <w:sz w:val="22"/>
          <w:szCs w:val="22"/>
        </w:rPr>
      </w:pPr>
      <w:r w:rsidRPr="00641CE0">
        <w:rPr>
          <w:b/>
          <w:bCs/>
          <w:snapToGrid w:val="0"/>
          <w:sz w:val="22"/>
          <w:szCs w:val="22"/>
        </w:rPr>
        <w:t>Définition du sujet de thèse / question de recherche</w:t>
      </w:r>
    </w:p>
    <w:p w:rsidR="000B1045" w:rsidRDefault="000B1045" w:rsidP="007264CE">
      <w:pPr>
        <w:autoSpaceDE w:val="0"/>
        <w:autoSpaceDN w:val="0"/>
        <w:adjustRightInd w:val="0"/>
        <w:ind w:firstLine="420"/>
        <w:jc w:val="both"/>
        <w:rPr>
          <w:sz w:val="22"/>
          <w:szCs w:val="22"/>
        </w:rPr>
      </w:pPr>
    </w:p>
    <w:p w:rsidR="007264CE" w:rsidRDefault="00A41B71" w:rsidP="007264CE">
      <w:pPr>
        <w:autoSpaceDE w:val="0"/>
        <w:autoSpaceDN w:val="0"/>
        <w:adjustRightInd w:val="0"/>
        <w:ind w:firstLine="420"/>
        <w:jc w:val="both"/>
        <w:rPr>
          <w:sz w:val="22"/>
          <w:szCs w:val="22"/>
        </w:rPr>
      </w:pPr>
      <w:r w:rsidRPr="00641CE0">
        <w:rPr>
          <w:sz w:val="22"/>
          <w:szCs w:val="22"/>
        </w:rPr>
        <w:t xml:space="preserve">L’objectif de notre projet est de mieux comprendre l’expérience des </w:t>
      </w:r>
      <w:r w:rsidR="0052503C">
        <w:rPr>
          <w:sz w:val="22"/>
          <w:szCs w:val="22"/>
        </w:rPr>
        <w:t>enfants dans les musées d’art</w:t>
      </w:r>
      <w:r w:rsidR="00DB4E9E">
        <w:rPr>
          <w:sz w:val="22"/>
          <w:szCs w:val="22"/>
        </w:rPr>
        <w:t>.</w:t>
      </w:r>
      <w:r>
        <w:rPr>
          <w:sz w:val="22"/>
          <w:szCs w:val="22"/>
        </w:rPr>
        <w:t xml:space="preserve"> </w:t>
      </w:r>
      <w:r w:rsidR="007264CE" w:rsidRPr="00641CE0">
        <w:rPr>
          <w:sz w:val="22"/>
          <w:szCs w:val="22"/>
        </w:rPr>
        <w:t xml:space="preserve">En effet, au-delà des facteurs socioculturels qui affectent la venue au musée, </w:t>
      </w:r>
      <w:r w:rsidR="007264CE">
        <w:rPr>
          <w:sz w:val="22"/>
          <w:szCs w:val="22"/>
        </w:rPr>
        <w:t xml:space="preserve">se </w:t>
      </w:r>
      <w:r w:rsidR="007264CE" w:rsidRPr="00641CE0">
        <w:rPr>
          <w:sz w:val="22"/>
          <w:szCs w:val="22"/>
        </w:rPr>
        <w:t xml:space="preserve">pose la question cruciale de l’expérience muséale elle-même (Falk and Dierking, 1992). </w:t>
      </w:r>
      <w:r w:rsidR="00684E58">
        <w:rPr>
          <w:sz w:val="22"/>
          <w:szCs w:val="22"/>
        </w:rPr>
        <w:t>La notion d’expérience de consommation en comportement du consommateur renvoie à un vécu individuel (Mencarelli, 2008). Elle</w:t>
      </w:r>
      <w:r w:rsidR="00A4678F">
        <w:rPr>
          <w:sz w:val="22"/>
          <w:szCs w:val="22"/>
        </w:rPr>
        <w:t xml:space="preserve"> peut se définir comme l’ensemble du phénomène vécu par le consommateur avec un service culturel, le plus souvent en compagnie d’autres individus, consommateurs ou non</w:t>
      </w:r>
      <w:r w:rsidR="00D96503">
        <w:rPr>
          <w:sz w:val="22"/>
          <w:szCs w:val="22"/>
        </w:rPr>
        <w:t xml:space="preserve"> (Passebois </w:t>
      </w:r>
      <w:r w:rsidR="00A4678F">
        <w:rPr>
          <w:sz w:val="22"/>
          <w:szCs w:val="22"/>
        </w:rPr>
        <w:t>2005</w:t>
      </w:r>
      <w:r w:rsidR="00D96503">
        <w:rPr>
          <w:sz w:val="22"/>
          <w:szCs w:val="22"/>
        </w:rPr>
        <w:t>).</w:t>
      </w:r>
      <w:r>
        <w:rPr>
          <w:sz w:val="22"/>
          <w:szCs w:val="22"/>
        </w:rPr>
        <w:t xml:space="preserve"> </w:t>
      </w:r>
      <w:r w:rsidR="00D737C1">
        <w:rPr>
          <w:sz w:val="22"/>
          <w:szCs w:val="22"/>
        </w:rPr>
        <w:t xml:space="preserve">Une </w:t>
      </w:r>
      <w:r w:rsidR="00DB4E9E">
        <w:rPr>
          <w:sz w:val="22"/>
          <w:szCs w:val="22"/>
        </w:rPr>
        <w:t xml:space="preserve">autre </w:t>
      </w:r>
      <w:r w:rsidR="00D737C1">
        <w:rPr>
          <w:sz w:val="22"/>
          <w:szCs w:val="22"/>
        </w:rPr>
        <w:t>définition</w:t>
      </w:r>
      <w:r w:rsidR="00DB4E9E">
        <w:rPr>
          <w:sz w:val="22"/>
          <w:szCs w:val="22"/>
        </w:rPr>
        <w:t xml:space="preserve"> </w:t>
      </w:r>
      <w:r w:rsidR="00D737C1">
        <w:rPr>
          <w:sz w:val="22"/>
          <w:szCs w:val="22"/>
        </w:rPr>
        <w:t>assimile</w:t>
      </w:r>
      <w:r w:rsidR="00DB4E9E">
        <w:rPr>
          <w:sz w:val="22"/>
          <w:szCs w:val="22"/>
        </w:rPr>
        <w:t>,</w:t>
      </w:r>
      <w:r w:rsidR="00D737C1">
        <w:rPr>
          <w:sz w:val="22"/>
          <w:szCs w:val="22"/>
        </w:rPr>
        <w:t xml:space="preserve"> </w:t>
      </w:r>
      <w:r w:rsidR="00DB4E9E">
        <w:rPr>
          <w:sz w:val="22"/>
          <w:szCs w:val="22"/>
        </w:rPr>
        <w:t xml:space="preserve">de manière plus générale, </w:t>
      </w:r>
      <w:r w:rsidR="00D737C1">
        <w:rPr>
          <w:sz w:val="22"/>
          <w:szCs w:val="22"/>
        </w:rPr>
        <w:t>l’expérience à l’ensemble des conséquences positives et négatives que le consommateur retire de l’usage d’un bien ou d’un service (Filser, 2002)</w:t>
      </w:r>
      <w:r w:rsidR="003E0128">
        <w:rPr>
          <w:sz w:val="22"/>
          <w:szCs w:val="22"/>
        </w:rPr>
        <w:t>.</w:t>
      </w:r>
    </w:p>
    <w:p w:rsidR="00A41B71" w:rsidRDefault="00A41B71" w:rsidP="007264CE">
      <w:pPr>
        <w:autoSpaceDE w:val="0"/>
        <w:autoSpaceDN w:val="0"/>
        <w:adjustRightInd w:val="0"/>
        <w:ind w:firstLine="420"/>
        <w:jc w:val="both"/>
        <w:rPr>
          <w:sz w:val="22"/>
          <w:szCs w:val="22"/>
        </w:rPr>
      </w:pPr>
    </w:p>
    <w:p w:rsidR="00A41B71" w:rsidRDefault="00A41B71" w:rsidP="00A41B71">
      <w:pPr>
        <w:autoSpaceDE w:val="0"/>
        <w:autoSpaceDN w:val="0"/>
        <w:adjustRightInd w:val="0"/>
        <w:ind w:firstLine="420"/>
        <w:jc w:val="both"/>
        <w:rPr>
          <w:sz w:val="22"/>
          <w:szCs w:val="22"/>
        </w:rPr>
      </w:pPr>
      <w:r w:rsidRPr="000B1045">
        <w:rPr>
          <w:sz w:val="22"/>
          <w:szCs w:val="22"/>
        </w:rPr>
        <w:t xml:space="preserve">Atelier éducatif, livret de </w:t>
      </w:r>
      <w:r w:rsidR="008525D9">
        <w:rPr>
          <w:sz w:val="22"/>
          <w:szCs w:val="22"/>
        </w:rPr>
        <w:t>visite, parcours ludique, audio</w:t>
      </w:r>
      <w:r w:rsidRPr="000B1045">
        <w:rPr>
          <w:sz w:val="22"/>
          <w:szCs w:val="22"/>
        </w:rPr>
        <w:t xml:space="preserve">guide, dossier pédagogique, visite contée, fête d’anniversaire, espace ludique, stage,… Depuis quelques années, l'offre culturelle des musées d’art, réellement pensée pour les enfants, s'est significativement diversifiée en matière d'aides à la visite et d'accompagnement culturel (Caro, Debenedetti et Krebs, 2007). Le challenge des musées d’art, à travers cette offre culturelle, est d’offrir des expériences éducatives et agréables qui ont du sens. Ces expériences doivent aider à développer un goût pour l’art qui </w:t>
      </w:r>
      <w:r w:rsidR="000B26D7">
        <w:rPr>
          <w:sz w:val="22"/>
          <w:szCs w:val="22"/>
        </w:rPr>
        <w:t>génèrer</w:t>
      </w:r>
      <w:r w:rsidRPr="000B1045">
        <w:rPr>
          <w:sz w:val="22"/>
          <w:szCs w:val="22"/>
        </w:rPr>
        <w:t>a à long terme des habitudes de visites de musées (Debenedetti, Caro et Krebs, 2009). De plus, il est important de préciser que les premières expériences durant l’enfance peuvent jouer un rôle formatif des attitudes, comportements et croyances à l’âge adulte et aussi influencer les futurs apprentissages (Kindler et Darras, 1997).</w:t>
      </w:r>
    </w:p>
    <w:p w:rsidR="007264CE" w:rsidRDefault="007264CE" w:rsidP="007264CE">
      <w:pPr>
        <w:autoSpaceDE w:val="0"/>
        <w:autoSpaceDN w:val="0"/>
        <w:adjustRightInd w:val="0"/>
        <w:ind w:firstLine="420"/>
        <w:jc w:val="both"/>
        <w:rPr>
          <w:sz w:val="22"/>
          <w:szCs w:val="22"/>
        </w:rPr>
      </w:pPr>
    </w:p>
    <w:p w:rsidR="000B1045" w:rsidRPr="00A41B71" w:rsidRDefault="007264CE" w:rsidP="00A41B71">
      <w:pPr>
        <w:autoSpaceDE w:val="0"/>
        <w:autoSpaceDN w:val="0"/>
        <w:adjustRightInd w:val="0"/>
        <w:ind w:firstLine="420"/>
        <w:jc w:val="both"/>
        <w:rPr>
          <w:sz w:val="22"/>
          <w:szCs w:val="22"/>
          <w:highlight w:val="yellow"/>
        </w:rPr>
      </w:pPr>
      <w:r w:rsidRPr="00641CE0">
        <w:rPr>
          <w:sz w:val="22"/>
          <w:szCs w:val="22"/>
        </w:rPr>
        <w:t>Selon Evrard et Aurier (1999), pour comprendre ce</w:t>
      </w:r>
      <w:r w:rsidR="001523F5">
        <w:rPr>
          <w:sz w:val="22"/>
          <w:szCs w:val="22"/>
        </w:rPr>
        <w:t>s</w:t>
      </w:r>
      <w:r w:rsidRPr="00641CE0">
        <w:rPr>
          <w:sz w:val="22"/>
          <w:szCs w:val="22"/>
        </w:rPr>
        <w:t xml:space="preserve"> expérience</w:t>
      </w:r>
      <w:r w:rsidR="001523F5">
        <w:rPr>
          <w:sz w:val="22"/>
          <w:szCs w:val="22"/>
        </w:rPr>
        <w:t>s</w:t>
      </w:r>
      <w:r w:rsidRPr="00641CE0">
        <w:rPr>
          <w:sz w:val="22"/>
          <w:szCs w:val="22"/>
        </w:rPr>
        <w:t xml:space="preserve">, il est important d’analyser la valeur que le consommateur attache à l’objet de consommation considéré. L’expérience vécue par l’individu détermine la valeur qu’il en perçoit. La valeur de consommation se définit, en effet, comme </w:t>
      </w:r>
      <w:r w:rsidRPr="00273927">
        <w:rPr>
          <w:sz w:val="22"/>
          <w:szCs w:val="22"/>
        </w:rPr>
        <w:t xml:space="preserve">une préférence relative </w:t>
      </w:r>
      <w:r w:rsidR="00FF2CFE" w:rsidRPr="00273927">
        <w:rPr>
          <w:sz w:val="22"/>
          <w:szCs w:val="22"/>
        </w:rPr>
        <w:t>caractérisant  l’expérience</w:t>
      </w:r>
      <w:r w:rsidR="00FF2CFE">
        <w:rPr>
          <w:sz w:val="22"/>
          <w:szCs w:val="22"/>
        </w:rPr>
        <w:t xml:space="preserve"> de consommation d’un individu </w:t>
      </w:r>
      <w:r w:rsidR="00844EDA">
        <w:rPr>
          <w:sz w:val="22"/>
          <w:szCs w:val="22"/>
        </w:rPr>
        <w:t>en interaction avec</w:t>
      </w:r>
      <w:r w:rsidRPr="00641CE0">
        <w:rPr>
          <w:sz w:val="22"/>
          <w:szCs w:val="22"/>
        </w:rPr>
        <w:t xml:space="preserve"> un </w:t>
      </w:r>
      <w:r w:rsidR="00FF2CFE">
        <w:rPr>
          <w:sz w:val="22"/>
          <w:szCs w:val="22"/>
        </w:rPr>
        <w:t>objet</w:t>
      </w:r>
      <w:r w:rsidR="001523F5">
        <w:rPr>
          <w:sz w:val="22"/>
          <w:szCs w:val="22"/>
        </w:rPr>
        <w:t xml:space="preserve"> (Holbrook, 1999)</w:t>
      </w:r>
      <w:r w:rsidRPr="00641CE0">
        <w:rPr>
          <w:sz w:val="22"/>
          <w:szCs w:val="22"/>
        </w:rPr>
        <w:t>.</w:t>
      </w:r>
      <w:r>
        <w:rPr>
          <w:sz w:val="22"/>
          <w:szCs w:val="22"/>
        </w:rPr>
        <w:t xml:space="preserve"> </w:t>
      </w:r>
      <w:r w:rsidRPr="00A4678F">
        <w:rPr>
          <w:sz w:val="22"/>
          <w:szCs w:val="22"/>
        </w:rPr>
        <w:t>Ce concept permet d’appréhender véritablement la relation qui se tisse entre les consommateurs et le produit auquel ils sont confrontés (Aurier et al., 2000). Avoir recours à ce concept permet une appréhension holiste de l’expérience. De nombreuses recherches se sont intéressées au statut de ce concept (</w:t>
      </w:r>
      <w:r w:rsidR="00A5192C">
        <w:rPr>
          <w:sz w:val="22"/>
          <w:szCs w:val="22"/>
        </w:rPr>
        <w:t>Bourgeon et Filser, 1995</w:t>
      </w:r>
      <w:r w:rsidRPr="00A4678F">
        <w:rPr>
          <w:sz w:val="22"/>
          <w:szCs w:val="22"/>
        </w:rPr>
        <w:t>; Aurier, Evrar</w:t>
      </w:r>
      <w:r w:rsidR="00A5192C">
        <w:rPr>
          <w:sz w:val="22"/>
          <w:szCs w:val="22"/>
        </w:rPr>
        <w:t>d et N’Goala, 2000; Pulh, 2002</w:t>
      </w:r>
      <w:r w:rsidRPr="00A4678F">
        <w:rPr>
          <w:sz w:val="22"/>
          <w:szCs w:val="22"/>
        </w:rPr>
        <w:t>; Fil</w:t>
      </w:r>
      <w:r w:rsidR="00A5192C">
        <w:rPr>
          <w:sz w:val="22"/>
          <w:szCs w:val="22"/>
        </w:rPr>
        <w:t>ser, Plichon et Anteblian, 2003</w:t>
      </w:r>
      <w:r w:rsidRPr="00A4678F">
        <w:rPr>
          <w:sz w:val="22"/>
          <w:szCs w:val="22"/>
        </w:rPr>
        <w:t xml:space="preserve">; Passebois, 2003). </w:t>
      </w:r>
      <w:r w:rsidR="005A3EA6" w:rsidRPr="00A4678F">
        <w:rPr>
          <w:sz w:val="22"/>
          <w:szCs w:val="22"/>
        </w:rPr>
        <w:t>Toutefois, c</w:t>
      </w:r>
      <w:r w:rsidRPr="00A4678F">
        <w:rPr>
          <w:sz w:val="22"/>
          <w:szCs w:val="22"/>
        </w:rPr>
        <w:t>es recherches menées dans ce courant dit « expérientiel » de la valeur, cib</w:t>
      </w:r>
      <w:r w:rsidR="005A3EA6" w:rsidRPr="00A4678F">
        <w:rPr>
          <w:sz w:val="22"/>
          <w:szCs w:val="22"/>
        </w:rPr>
        <w:t>lent toujo</w:t>
      </w:r>
      <w:r w:rsidR="00A41B71">
        <w:rPr>
          <w:sz w:val="22"/>
          <w:szCs w:val="22"/>
        </w:rPr>
        <w:t>urs le consommateur « adulte ».</w:t>
      </w:r>
    </w:p>
    <w:p w:rsidR="00404943" w:rsidRPr="00824BE2" w:rsidRDefault="00404943" w:rsidP="007264CE">
      <w:pPr>
        <w:autoSpaceDE w:val="0"/>
        <w:autoSpaceDN w:val="0"/>
        <w:adjustRightInd w:val="0"/>
        <w:ind w:left="60" w:firstLine="300"/>
        <w:jc w:val="both"/>
        <w:rPr>
          <w:sz w:val="22"/>
          <w:szCs w:val="22"/>
        </w:rPr>
      </w:pPr>
    </w:p>
    <w:p w:rsidR="00873395" w:rsidRPr="00824BE2" w:rsidRDefault="00EA211F" w:rsidP="00C56F5A">
      <w:pPr>
        <w:autoSpaceDE w:val="0"/>
        <w:autoSpaceDN w:val="0"/>
        <w:adjustRightInd w:val="0"/>
        <w:ind w:firstLine="420"/>
        <w:jc w:val="both"/>
        <w:rPr>
          <w:sz w:val="22"/>
          <w:szCs w:val="22"/>
        </w:rPr>
      </w:pPr>
      <w:r w:rsidRPr="00824BE2">
        <w:rPr>
          <w:sz w:val="22"/>
          <w:szCs w:val="22"/>
        </w:rPr>
        <w:t xml:space="preserve">L’objectif </w:t>
      </w:r>
      <w:r w:rsidR="00137C90" w:rsidRPr="00824BE2">
        <w:rPr>
          <w:sz w:val="22"/>
          <w:szCs w:val="22"/>
        </w:rPr>
        <w:t xml:space="preserve">de cette recherche </w:t>
      </w:r>
      <w:r w:rsidRPr="00824BE2">
        <w:rPr>
          <w:sz w:val="22"/>
          <w:szCs w:val="22"/>
        </w:rPr>
        <w:t xml:space="preserve">sera donc de </w:t>
      </w:r>
      <w:r w:rsidR="00137C90" w:rsidRPr="00824BE2">
        <w:rPr>
          <w:sz w:val="22"/>
          <w:szCs w:val="22"/>
        </w:rPr>
        <w:t>comprendre</w:t>
      </w:r>
      <w:r w:rsidR="00824BE2" w:rsidRPr="00824BE2">
        <w:rPr>
          <w:sz w:val="22"/>
          <w:szCs w:val="22"/>
        </w:rPr>
        <w:t xml:space="preserve"> en profondeur</w:t>
      </w:r>
      <w:r w:rsidR="00137C90" w:rsidRPr="00824BE2">
        <w:rPr>
          <w:sz w:val="22"/>
          <w:szCs w:val="22"/>
        </w:rPr>
        <w:t xml:space="preserve"> les expérience</w:t>
      </w:r>
      <w:r w:rsidR="00873395" w:rsidRPr="00824BE2">
        <w:rPr>
          <w:sz w:val="22"/>
          <w:szCs w:val="22"/>
        </w:rPr>
        <w:t xml:space="preserve">s muséales du public spécifique </w:t>
      </w:r>
      <w:r w:rsidR="00137C90" w:rsidRPr="00824BE2">
        <w:rPr>
          <w:sz w:val="22"/>
          <w:szCs w:val="22"/>
        </w:rPr>
        <w:t>que représente</w:t>
      </w:r>
      <w:r w:rsidR="008525D9">
        <w:rPr>
          <w:sz w:val="22"/>
          <w:szCs w:val="22"/>
        </w:rPr>
        <w:t>nt</w:t>
      </w:r>
      <w:r w:rsidR="00137C90" w:rsidRPr="00824BE2">
        <w:rPr>
          <w:sz w:val="22"/>
          <w:szCs w:val="22"/>
        </w:rPr>
        <w:t xml:space="preserve"> les enfants</w:t>
      </w:r>
      <w:r w:rsidR="00C56F5A" w:rsidRPr="00824BE2">
        <w:rPr>
          <w:sz w:val="22"/>
          <w:szCs w:val="22"/>
        </w:rPr>
        <w:t xml:space="preserve">. </w:t>
      </w:r>
      <w:r w:rsidR="006131ED">
        <w:rPr>
          <w:sz w:val="22"/>
          <w:szCs w:val="22"/>
        </w:rPr>
        <w:t>En effet, c</w:t>
      </w:r>
      <w:r w:rsidR="00873395" w:rsidRPr="00824BE2">
        <w:rPr>
          <w:sz w:val="22"/>
          <w:szCs w:val="22"/>
        </w:rPr>
        <w:t xml:space="preserve">es derniers présentent des caractéristiques particulières qu’il convient de prendre en compte. </w:t>
      </w:r>
      <w:r w:rsidR="00824BE2" w:rsidRPr="00824BE2">
        <w:rPr>
          <w:sz w:val="22"/>
          <w:szCs w:val="22"/>
        </w:rPr>
        <w:t>Ce travail évitera donc de transposer</w:t>
      </w:r>
      <w:r w:rsidR="000620B3">
        <w:rPr>
          <w:sz w:val="22"/>
          <w:szCs w:val="22"/>
        </w:rPr>
        <w:t>,</w:t>
      </w:r>
      <w:r w:rsidR="00824BE2" w:rsidRPr="00824BE2">
        <w:rPr>
          <w:sz w:val="22"/>
          <w:szCs w:val="22"/>
        </w:rPr>
        <w:t xml:space="preserve"> </w:t>
      </w:r>
      <w:r w:rsidR="000620B3">
        <w:rPr>
          <w:sz w:val="22"/>
          <w:szCs w:val="22"/>
        </w:rPr>
        <w:t xml:space="preserve">à </w:t>
      </w:r>
      <w:r w:rsidR="00A07711">
        <w:rPr>
          <w:sz w:val="22"/>
          <w:szCs w:val="22"/>
        </w:rPr>
        <w:t>ce</w:t>
      </w:r>
      <w:r w:rsidR="000620B3">
        <w:rPr>
          <w:sz w:val="22"/>
          <w:szCs w:val="22"/>
        </w:rPr>
        <w:t xml:space="preserve"> public cible,</w:t>
      </w:r>
      <w:r w:rsidR="00824BE2" w:rsidRPr="00824BE2">
        <w:rPr>
          <w:sz w:val="22"/>
          <w:szCs w:val="22"/>
        </w:rPr>
        <w:t xml:space="preserve"> les travaux réalisés sur l’expérience propre au consommateur adulte.  </w:t>
      </w:r>
    </w:p>
    <w:p w:rsidR="007264CE" w:rsidRPr="00B96FE6" w:rsidRDefault="007264CE" w:rsidP="007264CE">
      <w:pPr>
        <w:rPr>
          <w:b/>
          <w:bCs/>
          <w:snapToGrid w:val="0"/>
          <w:sz w:val="22"/>
          <w:szCs w:val="22"/>
          <w:lang w:val="fr-BE"/>
        </w:rPr>
      </w:pPr>
    </w:p>
    <w:p w:rsidR="007264CE" w:rsidRDefault="007264CE" w:rsidP="007264CE">
      <w:pPr>
        <w:numPr>
          <w:ilvl w:val="0"/>
          <w:numId w:val="1"/>
        </w:numPr>
        <w:rPr>
          <w:b/>
          <w:bCs/>
          <w:snapToGrid w:val="0"/>
          <w:sz w:val="22"/>
          <w:szCs w:val="22"/>
        </w:rPr>
      </w:pPr>
      <w:r w:rsidRPr="00641CE0">
        <w:rPr>
          <w:b/>
          <w:bCs/>
          <w:snapToGrid w:val="0"/>
          <w:sz w:val="22"/>
          <w:szCs w:val="22"/>
        </w:rPr>
        <w:t>Justification de l’intérêt du sujet : importance académique et managériale</w:t>
      </w:r>
    </w:p>
    <w:p w:rsidR="007264CE" w:rsidRPr="00641CE0" w:rsidRDefault="007264CE" w:rsidP="007264CE">
      <w:pPr>
        <w:ind w:left="420"/>
        <w:rPr>
          <w:b/>
          <w:bCs/>
          <w:snapToGrid w:val="0"/>
          <w:sz w:val="22"/>
          <w:szCs w:val="22"/>
        </w:rPr>
      </w:pPr>
    </w:p>
    <w:p w:rsidR="007264CE" w:rsidRDefault="007264CE" w:rsidP="004A66CD">
      <w:pPr>
        <w:ind w:left="60" w:firstLine="360"/>
        <w:jc w:val="both"/>
        <w:rPr>
          <w:sz w:val="22"/>
          <w:szCs w:val="22"/>
        </w:rPr>
      </w:pPr>
      <w:r w:rsidRPr="00641CE0">
        <w:rPr>
          <w:sz w:val="22"/>
          <w:szCs w:val="22"/>
        </w:rPr>
        <w:t>Comme le rappelle</w:t>
      </w:r>
      <w:r>
        <w:rPr>
          <w:sz w:val="22"/>
          <w:szCs w:val="22"/>
        </w:rPr>
        <w:t>nt</w:t>
      </w:r>
      <w:r w:rsidRPr="00641CE0">
        <w:rPr>
          <w:sz w:val="22"/>
          <w:szCs w:val="22"/>
        </w:rPr>
        <w:t xml:space="preserve"> Piscitelli et Anderson (2001), les enfants et particulièrement les petits enfants de 4 à 10 ans, sont largement ignorés par la recherche </w:t>
      </w:r>
      <w:r w:rsidR="0088358D">
        <w:rPr>
          <w:sz w:val="22"/>
          <w:szCs w:val="22"/>
        </w:rPr>
        <w:t>portant sur</w:t>
      </w:r>
      <w:r w:rsidRPr="00641CE0">
        <w:rPr>
          <w:sz w:val="22"/>
          <w:szCs w:val="22"/>
        </w:rPr>
        <w:t xml:space="preserve"> l’expérience au musée. Quand l’enfant fait l’objet de l’étude, l’objectif est souvent limité à l’expérience d’apprentissage et à un contexte spécif</w:t>
      </w:r>
      <w:r w:rsidR="005F35A0">
        <w:rPr>
          <w:sz w:val="22"/>
          <w:szCs w:val="22"/>
        </w:rPr>
        <w:t xml:space="preserve">ique : les musées scientifiques. Nous pouvons citer en exemple </w:t>
      </w:r>
      <w:r w:rsidR="0014321B">
        <w:rPr>
          <w:sz w:val="22"/>
          <w:szCs w:val="22"/>
        </w:rPr>
        <w:t>l</w:t>
      </w:r>
      <w:r w:rsidR="008525D9">
        <w:rPr>
          <w:sz w:val="22"/>
          <w:szCs w:val="22"/>
        </w:rPr>
        <w:t xml:space="preserve">es </w:t>
      </w:r>
      <w:r w:rsidR="0014321B">
        <w:rPr>
          <w:sz w:val="22"/>
          <w:szCs w:val="22"/>
        </w:rPr>
        <w:t>article</w:t>
      </w:r>
      <w:r w:rsidR="008525D9">
        <w:rPr>
          <w:sz w:val="22"/>
          <w:szCs w:val="22"/>
        </w:rPr>
        <w:t>s</w:t>
      </w:r>
      <w:r w:rsidR="0014321B">
        <w:rPr>
          <w:sz w:val="22"/>
          <w:szCs w:val="22"/>
        </w:rPr>
        <w:t xml:space="preserve"> de</w:t>
      </w:r>
      <w:r w:rsidRPr="00641CE0">
        <w:rPr>
          <w:sz w:val="22"/>
          <w:szCs w:val="22"/>
        </w:rPr>
        <w:t xml:space="preserve"> </w:t>
      </w:r>
      <w:r w:rsidR="0014321B">
        <w:rPr>
          <w:color w:val="000000"/>
          <w:sz w:val="22"/>
          <w:szCs w:val="22"/>
          <w:lang w:val="fr-BE" w:eastAsia="fr-BE"/>
        </w:rPr>
        <w:t xml:space="preserve">Tenenbaum, Rappolt-Schlichtmann et Zanger </w:t>
      </w:r>
      <w:r w:rsidR="003E0128">
        <w:rPr>
          <w:color w:val="000000"/>
          <w:sz w:val="22"/>
          <w:szCs w:val="22"/>
          <w:lang w:val="fr-BE" w:eastAsia="fr-BE"/>
        </w:rPr>
        <w:t>(2004) et</w:t>
      </w:r>
      <w:r w:rsidR="0014321B" w:rsidRPr="0014321B">
        <w:rPr>
          <w:color w:val="000000"/>
          <w:sz w:val="22"/>
          <w:szCs w:val="22"/>
          <w:lang w:val="fr-BE" w:eastAsia="fr-BE"/>
        </w:rPr>
        <w:t xml:space="preserve"> </w:t>
      </w:r>
      <w:r w:rsidR="005F35A0">
        <w:rPr>
          <w:color w:val="000000"/>
          <w:sz w:val="22"/>
          <w:szCs w:val="22"/>
          <w:lang w:val="fr-BE" w:eastAsia="fr-BE"/>
        </w:rPr>
        <w:t>de Blud (1990</w:t>
      </w:r>
      <w:r w:rsidR="003E0128">
        <w:rPr>
          <w:color w:val="000000"/>
          <w:sz w:val="22"/>
          <w:szCs w:val="22"/>
          <w:lang w:val="fr-BE" w:eastAsia="fr-BE"/>
        </w:rPr>
        <w:t>).</w:t>
      </w:r>
      <w:r w:rsidRPr="00641CE0">
        <w:rPr>
          <w:sz w:val="22"/>
          <w:szCs w:val="22"/>
        </w:rPr>
        <w:t xml:space="preserve"> </w:t>
      </w:r>
      <w:r>
        <w:rPr>
          <w:sz w:val="22"/>
          <w:szCs w:val="22"/>
        </w:rPr>
        <w:t>Par contre</w:t>
      </w:r>
      <w:r w:rsidRPr="00641CE0">
        <w:rPr>
          <w:sz w:val="22"/>
          <w:szCs w:val="22"/>
        </w:rPr>
        <w:t>, il existe peu de recherch</w:t>
      </w:r>
      <w:r w:rsidR="008525D9">
        <w:rPr>
          <w:sz w:val="22"/>
          <w:szCs w:val="22"/>
        </w:rPr>
        <w:t>es portant sur les musées d’art</w:t>
      </w:r>
      <w:r w:rsidRPr="00641CE0">
        <w:rPr>
          <w:sz w:val="22"/>
          <w:szCs w:val="22"/>
        </w:rPr>
        <w:t xml:space="preserve"> et très peu sur les visiteurs en groupe</w:t>
      </w:r>
      <w:r w:rsidR="000B26D7">
        <w:rPr>
          <w:sz w:val="22"/>
          <w:szCs w:val="22"/>
        </w:rPr>
        <w:t>s</w:t>
      </w:r>
      <w:r w:rsidRPr="00641CE0">
        <w:rPr>
          <w:sz w:val="22"/>
          <w:szCs w:val="22"/>
        </w:rPr>
        <w:t xml:space="preserve"> familiaux dans les musées d’art. Une raison possible serait que la préoccupation des musées d’art pour les jeunes </w:t>
      </w:r>
      <w:r w:rsidR="008525D9">
        <w:rPr>
          <w:sz w:val="22"/>
          <w:szCs w:val="22"/>
        </w:rPr>
        <w:t>comme visiteurs cibles</w:t>
      </w:r>
      <w:r>
        <w:rPr>
          <w:sz w:val="22"/>
          <w:szCs w:val="22"/>
        </w:rPr>
        <w:t xml:space="preserve"> n’est que </w:t>
      </w:r>
      <w:r w:rsidRPr="00641CE0">
        <w:rPr>
          <w:sz w:val="22"/>
          <w:szCs w:val="22"/>
        </w:rPr>
        <w:t xml:space="preserve">très récente. L’implication scientifique de cette recherche </w:t>
      </w:r>
      <w:r>
        <w:rPr>
          <w:sz w:val="22"/>
          <w:szCs w:val="22"/>
        </w:rPr>
        <w:t>apparaît donc clairement</w:t>
      </w:r>
      <w:r w:rsidRPr="00641CE0">
        <w:rPr>
          <w:sz w:val="22"/>
          <w:szCs w:val="22"/>
        </w:rPr>
        <w:t xml:space="preserve">. </w:t>
      </w:r>
    </w:p>
    <w:p w:rsidR="00276FFC" w:rsidRDefault="00276FFC" w:rsidP="004A66CD">
      <w:pPr>
        <w:ind w:left="60" w:firstLine="360"/>
        <w:jc w:val="both"/>
        <w:rPr>
          <w:sz w:val="22"/>
          <w:szCs w:val="22"/>
        </w:rPr>
      </w:pPr>
    </w:p>
    <w:p w:rsidR="007264CE" w:rsidRDefault="007264CE" w:rsidP="006131ED">
      <w:pPr>
        <w:ind w:firstLine="420"/>
        <w:jc w:val="both"/>
        <w:rPr>
          <w:sz w:val="22"/>
          <w:szCs w:val="22"/>
          <w:lang w:eastAsia="fr-BE"/>
        </w:rPr>
      </w:pPr>
      <w:r>
        <w:rPr>
          <w:sz w:val="22"/>
          <w:szCs w:val="22"/>
        </w:rPr>
        <w:t>Pour</w:t>
      </w:r>
      <w:r w:rsidRPr="00641CE0">
        <w:rPr>
          <w:sz w:val="22"/>
          <w:szCs w:val="22"/>
        </w:rPr>
        <w:t xml:space="preserve"> les praticiens, il s’avère également capital de comprendre la nature et les types de valeur</w:t>
      </w:r>
      <w:r>
        <w:rPr>
          <w:sz w:val="22"/>
          <w:szCs w:val="22"/>
        </w:rPr>
        <w:t>s</w:t>
      </w:r>
      <w:r w:rsidRPr="00641CE0">
        <w:rPr>
          <w:sz w:val="22"/>
          <w:szCs w:val="22"/>
        </w:rPr>
        <w:t xml:space="preserve"> perçu</w:t>
      </w:r>
      <w:r>
        <w:rPr>
          <w:sz w:val="22"/>
          <w:szCs w:val="22"/>
        </w:rPr>
        <w:t>e</w:t>
      </w:r>
      <w:r w:rsidRPr="00641CE0">
        <w:rPr>
          <w:sz w:val="22"/>
          <w:szCs w:val="22"/>
        </w:rPr>
        <w:t xml:space="preserve">s par le consommateur, les valeurs étant directement reliées au problème de positionnement </w:t>
      </w:r>
      <w:r w:rsidRPr="00641CE0">
        <w:rPr>
          <w:sz w:val="22"/>
          <w:szCs w:val="22"/>
        </w:rPr>
        <w:lastRenderedPageBreak/>
        <w:t xml:space="preserve">(Holbrook, 1999). </w:t>
      </w:r>
      <w:r w:rsidR="00C62161">
        <w:rPr>
          <w:sz w:val="22"/>
          <w:szCs w:val="22"/>
        </w:rPr>
        <w:t xml:space="preserve">En effet, les responsables culturels semblent avoir du mal à se positionner par rapport à leur public dans la définition de leur offre (Mencarelli, Pulh et Marteaux, 2008). </w:t>
      </w:r>
      <w:r w:rsidRPr="00641CE0">
        <w:rPr>
          <w:sz w:val="22"/>
          <w:szCs w:val="22"/>
          <w:lang w:eastAsia="fr-BE"/>
        </w:rPr>
        <w:t>Cette recherche pourrait donc déboucher sur la formulation d’implications managériales utiles aux musées en précisant</w:t>
      </w:r>
      <w:r w:rsidR="008525D9">
        <w:rPr>
          <w:sz w:val="22"/>
          <w:szCs w:val="22"/>
          <w:lang w:eastAsia="fr-BE"/>
        </w:rPr>
        <w:t>,</w:t>
      </w:r>
      <w:r w:rsidRPr="00641CE0">
        <w:rPr>
          <w:sz w:val="22"/>
          <w:szCs w:val="22"/>
          <w:lang w:eastAsia="fr-BE"/>
        </w:rPr>
        <w:t xml:space="preserve"> par exemple, quelles composantes de l’expérience apparaissent comme principales sources de valeur ressenties par les enfants. </w:t>
      </w:r>
      <w:r>
        <w:rPr>
          <w:sz w:val="22"/>
          <w:szCs w:val="22"/>
          <w:lang w:eastAsia="fr-BE"/>
        </w:rPr>
        <w:t>L</w:t>
      </w:r>
      <w:r w:rsidRPr="00641CE0">
        <w:rPr>
          <w:sz w:val="22"/>
          <w:szCs w:val="22"/>
          <w:lang w:eastAsia="fr-BE"/>
        </w:rPr>
        <w:t>es institutions muséales pourraient, ensuite, adapter leur action et leur offre culturelle</w:t>
      </w:r>
      <w:r>
        <w:rPr>
          <w:sz w:val="22"/>
          <w:szCs w:val="22"/>
          <w:lang w:eastAsia="fr-BE"/>
        </w:rPr>
        <w:t xml:space="preserve"> en conséquence</w:t>
      </w:r>
      <w:r w:rsidRPr="00641CE0">
        <w:rPr>
          <w:sz w:val="22"/>
          <w:szCs w:val="22"/>
          <w:lang w:eastAsia="fr-BE"/>
        </w:rPr>
        <w:t xml:space="preserve">. </w:t>
      </w:r>
    </w:p>
    <w:p w:rsidR="007264CE" w:rsidRPr="00641CE0" w:rsidRDefault="007264CE" w:rsidP="007264CE">
      <w:pPr>
        <w:jc w:val="both"/>
        <w:rPr>
          <w:snapToGrid w:val="0"/>
          <w:sz w:val="22"/>
          <w:szCs w:val="22"/>
        </w:rPr>
      </w:pPr>
    </w:p>
    <w:p w:rsidR="007264CE" w:rsidRDefault="007264CE" w:rsidP="007264CE">
      <w:pPr>
        <w:numPr>
          <w:ilvl w:val="0"/>
          <w:numId w:val="1"/>
        </w:numPr>
        <w:rPr>
          <w:b/>
          <w:bCs/>
          <w:snapToGrid w:val="0"/>
          <w:sz w:val="22"/>
          <w:szCs w:val="22"/>
        </w:rPr>
      </w:pPr>
      <w:r w:rsidRPr="003B5966">
        <w:rPr>
          <w:b/>
          <w:bCs/>
          <w:snapToGrid w:val="0"/>
          <w:sz w:val="22"/>
          <w:szCs w:val="22"/>
        </w:rPr>
        <w:t>Cadre théorique et concepts principaux</w:t>
      </w:r>
    </w:p>
    <w:p w:rsidR="007264CE" w:rsidRDefault="007264CE" w:rsidP="007264CE">
      <w:pPr>
        <w:rPr>
          <w:b/>
          <w:bCs/>
          <w:snapToGrid w:val="0"/>
          <w:sz w:val="22"/>
          <w:szCs w:val="22"/>
        </w:rPr>
      </w:pPr>
    </w:p>
    <w:p w:rsidR="007264CE" w:rsidRDefault="007264CE" w:rsidP="007264CE">
      <w:pPr>
        <w:rPr>
          <w:b/>
          <w:bCs/>
          <w:snapToGrid w:val="0"/>
          <w:sz w:val="22"/>
          <w:szCs w:val="22"/>
        </w:rPr>
      </w:pPr>
      <w:r>
        <w:rPr>
          <w:b/>
          <w:bCs/>
          <w:snapToGrid w:val="0"/>
          <w:sz w:val="22"/>
          <w:szCs w:val="22"/>
        </w:rPr>
        <w:t>3.1. Le cadre expérientiel</w:t>
      </w:r>
    </w:p>
    <w:p w:rsidR="007264CE" w:rsidRDefault="007264CE" w:rsidP="007264CE">
      <w:pPr>
        <w:rPr>
          <w:b/>
          <w:bCs/>
          <w:snapToGrid w:val="0"/>
          <w:sz w:val="22"/>
          <w:szCs w:val="22"/>
        </w:rPr>
      </w:pPr>
    </w:p>
    <w:p w:rsidR="007264CE" w:rsidRPr="00917D70" w:rsidRDefault="007264CE" w:rsidP="00272FD7">
      <w:pPr>
        <w:ind w:firstLine="426"/>
        <w:jc w:val="both"/>
        <w:rPr>
          <w:snapToGrid w:val="0"/>
          <w:sz w:val="22"/>
          <w:szCs w:val="22"/>
        </w:rPr>
      </w:pPr>
      <w:r w:rsidRPr="00917D70">
        <w:rPr>
          <w:snapToGrid w:val="0"/>
          <w:sz w:val="22"/>
          <w:szCs w:val="22"/>
        </w:rPr>
        <w:t>Les expériences vécues dans le champ culturel sont des expériences subjectives et personnelles dont l’analyse se prête au cadre expérientiel</w:t>
      </w:r>
      <w:r>
        <w:rPr>
          <w:snapToGrid w:val="0"/>
          <w:sz w:val="22"/>
          <w:szCs w:val="22"/>
        </w:rPr>
        <w:t xml:space="preserve">, trame de fond de ce travail. </w:t>
      </w:r>
      <w:r w:rsidR="00CD78C3">
        <w:rPr>
          <w:snapToGrid w:val="0"/>
          <w:sz w:val="22"/>
          <w:szCs w:val="22"/>
        </w:rPr>
        <w:t xml:space="preserve">La consommation expérientielle est définie comme « un état subjectif de conscience accompagnée d’une </w:t>
      </w:r>
      <w:r w:rsidR="00305786">
        <w:rPr>
          <w:snapToGrid w:val="0"/>
          <w:sz w:val="22"/>
          <w:szCs w:val="22"/>
        </w:rPr>
        <w:t>variété</w:t>
      </w:r>
      <w:r w:rsidR="00CD78C3">
        <w:rPr>
          <w:snapToGrid w:val="0"/>
          <w:sz w:val="22"/>
          <w:szCs w:val="22"/>
        </w:rPr>
        <w:t xml:space="preserve"> de significations symboliques, de réponses hédonistes et de critères esthétiques. » (Holbrook et Hirschman 1982, traduit par Filser, 2002). </w:t>
      </w:r>
      <w:r w:rsidR="00E813C9">
        <w:rPr>
          <w:snapToGrid w:val="0"/>
          <w:sz w:val="22"/>
          <w:szCs w:val="22"/>
        </w:rPr>
        <w:t>En effet, les musées ne peuvent pas être appréhendés à travers leur</w:t>
      </w:r>
      <w:r w:rsidR="009B3F4C">
        <w:rPr>
          <w:snapToGrid w:val="0"/>
          <w:sz w:val="22"/>
          <w:szCs w:val="22"/>
        </w:rPr>
        <w:t>s</w:t>
      </w:r>
      <w:r w:rsidR="00E813C9">
        <w:rPr>
          <w:snapToGrid w:val="0"/>
          <w:sz w:val="22"/>
          <w:szCs w:val="22"/>
        </w:rPr>
        <w:t xml:space="preserve"> seules composantes cognitives et exigent la prise en compte de l’affect du consommateur. </w:t>
      </w:r>
      <w:r>
        <w:rPr>
          <w:snapToGrid w:val="0"/>
          <w:sz w:val="22"/>
          <w:szCs w:val="22"/>
        </w:rPr>
        <w:t xml:space="preserve">Ce cadre </w:t>
      </w:r>
      <w:r w:rsidR="00CD78C3">
        <w:rPr>
          <w:snapToGrid w:val="0"/>
          <w:sz w:val="22"/>
          <w:szCs w:val="22"/>
        </w:rPr>
        <w:t xml:space="preserve">expérientiel </w:t>
      </w:r>
      <w:r>
        <w:rPr>
          <w:snapToGrid w:val="0"/>
          <w:sz w:val="22"/>
          <w:szCs w:val="22"/>
        </w:rPr>
        <w:t>(Holbrook et Hirschman 1982) permet d’introduire la notion de valeur perçue par les consommateurs, se substituant à l’approche en termes d’attributs des produits. En effet, le consommateur de produits culturels va rechercher non pas une valorisation fonctionnelle, mais davantage une valorisation esthétique, affective ou sociale</w:t>
      </w:r>
      <w:r w:rsidR="004A7DEA">
        <w:rPr>
          <w:snapToGrid w:val="0"/>
          <w:sz w:val="22"/>
          <w:szCs w:val="22"/>
        </w:rPr>
        <w:t xml:space="preserve"> (Guintcheva et Passebois, 2005)</w:t>
      </w:r>
      <w:r>
        <w:rPr>
          <w:snapToGrid w:val="0"/>
          <w:sz w:val="22"/>
          <w:szCs w:val="22"/>
        </w:rPr>
        <w:t>.</w:t>
      </w:r>
    </w:p>
    <w:p w:rsidR="007264CE" w:rsidRDefault="007264CE" w:rsidP="007264CE">
      <w:pPr>
        <w:rPr>
          <w:b/>
          <w:bCs/>
          <w:snapToGrid w:val="0"/>
          <w:sz w:val="22"/>
          <w:szCs w:val="22"/>
        </w:rPr>
      </w:pPr>
    </w:p>
    <w:p w:rsidR="007264CE" w:rsidRPr="00917D70" w:rsidRDefault="007264CE" w:rsidP="007264CE">
      <w:pPr>
        <w:rPr>
          <w:b/>
          <w:bCs/>
          <w:snapToGrid w:val="0"/>
          <w:sz w:val="22"/>
          <w:szCs w:val="22"/>
        </w:rPr>
      </w:pPr>
      <w:r w:rsidRPr="00917D70">
        <w:rPr>
          <w:b/>
          <w:bCs/>
          <w:snapToGrid w:val="0"/>
          <w:sz w:val="22"/>
          <w:szCs w:val="22"/>
        </w:rPr>
        <w:t xml:space="preserve">3.2. </w:t>
      </w:r>
      <w:r w:rsidR="00FF2CFE">
        <w:rPr>
          <w:b/>
          <w:bCs/>
          <w:snapToGrid w:val="0"/>
          <w:sz w:val="22"/>
          <w:szCs w:val="22"/>
        </w:rPr>
        <w:t>Le concept de valeur</w:t>
      </w:r>
    </w:p>
    <w:p w:rsidR="007264CE" w:rsidRDefault="007264CE" w:rsidP="007264CE">
      <w:pPr>
        <w:autoSpaceDE w:val="0"/>
        <w:autoSpaceDN w:val="0"/>
        <w:adjustRightInd w:val="0"/>
        <w:jc w:val="both"/>
        <w:rPr>
          <w:sz w:val="22"/>
          <w:szCs w:val="22"/>
        </w:rPr>
      </w:pPr>
    </w:p>
    <w:p w:rsidR="0039146C" w:rsidRDefault="00EA211F" w:rsidP="00272FD7">
      <w:pPr>
        <w:autoSpaceDE w:val="0"/>
        <w:autoSpaceDN w:val="0"/>
        <w:adjustRightInd w:val="0"/>
        <w:ind w:firstLine="426"/>
        <w:jc w:val="both"/>
        <w:rPr>
          <w:sz w:val="22"/>
          <w:szCs w:val="22"/>
        </w:rPr>
      </w:pPr>
      <w:r>
        <w:rPr>
          <w:sz w:val="22"/>
          <w:szCs w:val="22"/>
        </w:rPr>
        <w:t>Pour appréhender l’expérience vécue, l’utilisation de la valeur semble particulièrement attrayante dans la mesure où cette dernière résulte d’une expérience</w:t>
      </w:r>
      <w:r w:rsidR="00CB2826">
        <w:rPr>
          <w:sz w:val="22"/>
          <w:szCs w:val="22"/>
        </w:rPr>
        <w:t xml:space="preserve"> de consommation</w:t>
      </w:r>
      <w:r w:rsidR="003C5B12">
        <w:rPr>
          <w:sz w:val="22"/>
          <w:szCs w:val="22"/>
        </w:rPr>
        <w:t xml:space="preserve"> (Filser, 2005)</w:t>
      </w:r>
      <w:r w:rsidR="00CB2826">
        <w:rPr>
          <w:sz w:val="22"/>
          <w:szCs w:val="22"/>
        </w:rPr>
        <w:t xml:space="preserve">. Cependant, </w:t>
      </w:r>
      <w:r w:rsidR="00E93B95">
        <w:rPr>
          <w:sz w:val="22"/>
          <w:szCs w:val="22"/>
        </w:rPr>
        <w:t xml:space="preserve">il est important de rappeler que </w:t>
      </w:r>
      <w:r w:rsidR="00CB2826">
        <w:rPr>
          <w:sz w:val="22"/>
          <w:szCs w:val="22"/>
        </w:rPr>
        <w:t>l</w:t>
      </w:r>
      <w:r w:rsidR="007264CE" w:rsidRPr="002616DF">
        <w:rPr>
          <w:sz w:val="22"/>
          <w:szCs w:val="22"/>
        </w:rPr>
        <w:t>a recherche en comportement du consommateur appréhende la valeur selon deux courant</w:t>
      </w:r>
      <w:r w:rsidR="007264CE">
        <w:rPr>
          <w:sz w:val="22"/>
          <w:szCs w:val="22"/>
        </w:rPr>
        <w:t>s</w:t>
      </w:r>
      <w:r w:rsidR="007264CE" w:rsidRPr="002616DF">
        <w:rPr>
          <w:sz w:val="22"/>
          <w:szCs w:val="22"/>
        </w:rPr>
        <w:t xml:space="preserve">. Le premier courant </w:t>
      </w:r>
      <w:r w:rsidR="007264CE">
        <w:rPr>
          <w:sz w:val="22"/>
          <w:szCs w:val="22"/>
        </w:rPr>
        <w:t>considère</w:t>
      </w:r>
      <w:r w:rsidR="007264CE" w:rsidRPr="002616DF">
        <w:rPr>
          <w:sz w:val="22"/>
          <w:szCs w:val="22"/>
        </w:rPr>
        <w:t xml:space="preserve"> la valeur dans l</w:t>
      </w:r>
      <w:r w:rsidR="007264CE">
        <w:rPr>
          <w:sz w:val="22"/>
          <w:szCs w:val="22"/>
        </w:rPr>
        <w:t>e</w:t>
      </w:r>
      <w:r w:rsidR="007264CE" w:rsidRPr="002616DF">
        <w:rPr>
          <w:sz w:val="22"/>
          <w:szCs w:val="22"/>
        </w:rPr>
        <w:t xml:space="preserve"> cadre d’une transaction et d’un échange ponctuel entre deux parties. Elle est alors perçue comme une confrontation entre l’ensemble des bénéfices et des coûts associés à la transaction</w:t>
      </w:r>
      <w:r w:rsidR="00CD78C3">
        <w:rPr>
          <w:sz w:val="22"/>
          <w:szCs w:val="22"/>
        </w:rPr>
        <w:t xml:space="preserve"> (perspective utilitariste</w:t>
      </w:r>
      <w:r w:rsidR="00CD78C3" w:rsidRPr="002D5D71">
        <w:rPr>
          <w:sz w:val="22"/>
          <w:szCs w:val="22"/>
        </w:rPr>
        <w:t>)</w:t>
      </w:r>
      <w:r w:rsidR="0088358D" w:rsidRPr="002D5D71">
        <w:rPr>
          <w:sz w:val="22"/>
          <w:szCs w:val="22"/>
        </w:rPr>
        <w:t xml:space="preserve"> </w:t>
      </w:r>
      <w:r w:rsidR="0039146C" w:rsidRPr="002D5D71">
        <w:rPr>
          <w:sz w:val="22"/>
          <w:szCs w:val="22"/>
        </w:rPr>
        <w:t>(Zeithaml, 1988)</w:t>
      </w:r>
      <w:r w:rsidR="007264CE" w:rsidRPr="002D5D71">
        <w:rPr>
          <w:sz w:val="22"/>
          <w:szCs w:val="22"/>
        </w:rPr>
        <w:t>.</w:t>
      </w:r>
      <w:r w:rsidR="007264CE" w:rsidRPr="002616DF">
        <w:rPr>
          <w:sz w:val="22"/>
          <w:szCs w:val="22"/>
        </w:rPr>
        <w:t xml:space="preserve"> Le second courant</w:t>
      </w:r>
      <w:r w:rsidR="00CB2826">
        <w:rPr>
          <w:sz w:val="22"/>
          <w:szCs w:val="22"/>
        </w:rPr>
        <w:t>, sur le</w:t>
      </w:r>
      <w:r w:rsidR="00475262">
        <w:rPr>
          <w:sz w:val="22"/>
          <w:szCs w:val="22"/>
        </w:rPr>
        <w:t>quel se base cette recherche,</w:t>
      </w:r>
      <w:r w:rsidR="007264CE" w:rsidRPr="002616DF">
        <w:rPr>
          <w:sz w:val="22"/>
          <w:szCs w:val="22"/>
        </w:rPr>
        <w:t xml:space="preserve"> cible la valeur qui résulte d’une expérience</w:t>
      </w:r>
      <w:r w:rsidR="007264CE">
        <w:rPr>
          <w:sz w:val="22"/>
          <w:szCs w:val="22"/>
        </w:rPr>
        <w:t xml:space="preserve"> globale</w:t>
      </w:r>
      <w:r w:rsidR="007264CE" w:rsidRPr="002616DF">
        <w:rPr>
          <w:sz w:val="22"/>
          <w:szCs w:val="22"/>
        </w:rPr>
        <w:t xml:space="preserve"> de consommation</w:t>
      </w:r>
      <w:r w:rsidR="00CB2826">
        <w:rPr>
          <w:sz w:val="22"/>
          <w:szCs w:val="22"/>
        </w:rPr>
        <w:t xml:space="preserve"> ou de possession. Dans c</w:t>
      </w:r>
      <w:r w:rsidR="00CD78C3">
        <w:rPr>
          <w:sz w:val="22"/>
          <w:szCs w:val="22"/>
        </w:rPr>
        <w:t xml:space="preserve">ette approche expérientielle, la valeur se définit comme une préférence relative caractérisant l’expérience de consommation d’un individu </w:t>
      </w:r>
      <w:r w:rsidR="00305786">
        <w:rPr>
          <w:sz w:val="22"/>
          <w:szCs w:val="22"/>
        </w:rPr>
        <w:t>en interaction avec</w:t>
      </w:r>
      <w:r w:rsidR="00305786" w:rsidRPr="00641CE0">
        <w:rPr>
          <w:sz w:val="22"/>
          <w:szCs w:val="22"/>
        </w:rPr>
        <w:t xml:space="preserve"> un </w:t>
      </w:r>
      <w:r w:rsidR="00305786">
        <w:rPr>
          <w:sz w:val="22"/>
          <w:szCs w:val="22"/>
        </w:rPr>
        <w:t xml:space="preserve">objet </w:t>
      </w:r>
      <w:r w:rsidR="00CD78C3">
        <w:rPr>
          <w:sz w:val="22"/>
          <w:szCs w:val="22"/>
        </w:rPr>
        <w:t xml:space="preserve">(Hoolbrook, 1999). </w:t>
      </w:r>
      <w:r w:rsidR="0025089A">
        <w:rPr>
          <w:sz w:val="22"/>
          <w:szCs w:val="22"/>
        </w:rPr>
        <w:t>La valeur n’est plus le résultat d’un calcul mais le produit d’une expérience (Filser, 2000)</w:t>
      </w:r>
      <w:r w:rsidR="0039146C">
        <w:rPr>
          <w:sz w:val="22"/>
          <w:szCs w:val="22"/>
        </w:rPr>
        <w:t xml:space="preserve">. </w:t>
      </w:r>
      <w:r w:rsidR="007264CE">
        <w:rPr>
          <w:sz w:val="22"/>
          <w:szCs w:val="22"/>
        </w:rPr>
        <w:t xml:space="preserve">Dans cette optique, de nombreux travaux ont traité des valeurs perçues par les consommateurs </w:t>
      </w:r>
      <w:r w:rsidR="0039146C" w:rsidRPr="00641CE0">
        <w:rPr>
          <w:sz w:val="22"/>
          <w:szCs w:val="22"/>
        </w:rPr>
        <w:t>(</w:t>
      </w:r>
      <w:r w:rsidR="00E93B95">
        <w:rPr>
          <w:sz w:val="22"/>
          <w:szCs w:val="22"/>
        </w:rPr>
        <w:t>Bourgeon et Filser, 1995</w:t>
      </w:r>
      <w:r w:rsidR="0039146C">
        <w:rPr>
          <w:sz w:val="22"/>
          <w:szCs w:val="22"/>
        </w:rPr>
        <w:t xml:space="preserve">; </w:t>
      </w:r>
      <w:r w:rsidR="00E93B95">
        <w:rPr>
          <w:sz w:val="22"/>
          <w:szCs w:val="22"/>
        </w:rPr>
        <w:t>Aurier, Evrard et N’Goala, 2000; Pulh, 2002</w:t>
      </w:r>
      <w:r w:rsidR="0039146C" w:rsidRPr="00641CE0">
        <w:rPr>
          <w:sz w:val="22"/>
          <w:szCs w:val="22"/>
        </w:rPr>
        <w:t>; Fil</w:t>
      </w:r>
      <w:r w:rsidR="00E93B95">
        <w:rPr>
          <w:sz w:val="22"/>
          <w:szCs w:val="22"/>
        </w:rPr>
        <w:t>ser, Plichon et Anteblian, 2003</w:t>
      </w:r>
      <w:r w:rsidR="0039146C" w:rsidRPr="00641CE0">
        <w:rPr>
          <w:sz w:val="22"/>
          <w:szCs w:val="22"/>
        </w:rPr>
        <w:t>; P</w:t>
      </w:r>
      <w:r w:rsidR="0039146C">
        <w:rPr>
          <w:sz w:val="22"/>
          <w:szCs w:val="22"/>
        </w:rPr>
        <w:t>assebois, 2003</w:t>
      </w:r>
      <w:r w:rsidR="0039146C" w:rsidRPr="00641CE0">
        <w:rPr>
          <w:sz w:val="22"/>
          <w:szCs w:val="22"/>
        </w:rPr>
        <w:t xml:space="preserve">). </w:t>
      </w:r>
    </w:p>
    <w:p w:rsidR="007264CE" w:rsidRDefault="007264CE" w:rsidP="007264CE">
      <w:pPr>
        <w:autoSpaceDE w:val="0"/>
        <w:autoSpaceDN w:val="0"/>
        <w:adjustRightInd w:val="0"/>
        <w:jc w:val="both"/>
        <w:rPr>
          <w:sz w:val="22"/>
          <w:szCs w:val="22"/>
        </w:rPr>
      </w:pPr>
    </w:p>
    <w:p w:rsidR="007264CE" w:rsidRPr="003B5966" w:rsidRDefault="007264CE" w:rsidP="00272FD7">
      <w:pPr>
        <w:autoSpaceDE w:val="0"/>
        <w:autoSpaceDN w:val="0"/>
        <w:adjustRightInd w:val="0"/>
        <w:ind w:firstLine="426"/>
        <w:jc w:val="both"/>
        <w:rPr>
          <w:sz w:val="22"/>
          <w:szCs w:val="22"/>
        </w:rPr>
      </w:pPr>
      <w:r>
        <w:rPr>
          <w:sz w:val="22"/>
          <w:szCs w:val="22"/>
        </w:rPr>
        <w:t xml:space="preserve">Pour certains, notamment Aurier et al (2000), la matrice de la valeur de consommation proposée par Holbrook (1999) offre un cadre intégrateur aux approches proposées jusqu’alors pour comprendre la signification de la valeur associée aux consommations. </w:t>
      </w:r>
      <w:r w:rsidRPr="003B5966">
        <w:rPr>
          <w:sz w:val="22"/>
          <w:szCs w:val="22"/>
        </w:rPr>
        <w:t>Holbroo</w:t>
      </w:r>
      <w:r>
        <w:rPr>
          <w:sz w:val="22"/>
          <w:szCs w:val="22"/>
        </w:rPr>
        <w:t>k</w:t>
      </w:r>
      <w:r w:rsidRPr="003B5966">
        <w:rPr>
          <w:sz w:val="22"/>
          <w:szCs w:val="22"/>
        </w:rPr>
        <w:t xml:space="preserve"> </w:t>
      </w:r>
      <w:r>
        <w:rPr>
          <w:sz w:val="22"/>
          <w:szCs w:val="22"/>
        </w:rPr>
        <w:t>identifie t</w:t>
      </w:r>
      <w:r w:rsidRPr="003B5966">
        <w:rPr>
          <w:sz w:val="22"/>
          <w:szCs w:val="22"/>
        </w:rPr>
        <w:t>rois dimensions:</w:t>
      </w:r>
    </w:p>
    <w:p w:rsidR="007264CE" w:rsidRPr="003B5966" w:rsidRDefault="007264CE" w:rsidP="007264CE">
      <w:pPr>
        <w:pStyle w:val="Paragraphedeliste"/>
        <w:numPr>
          <w:ilvl w:val="0"/>
          <w:numId w:val="3"/>
        </w:numPr>
        <w:autoSpaceDE w:val="0"/>
        <w:autoSpaceDN w:val="0"/>
        <w:adjustRightInd w:val="0"/>
        <w:jc w:val="both"/>
        <w:rPr>
          <w:sz w:val="22"/>
          <w:szCs w:val="22"/>
        </w:rPr>
      </w:pPr>
      <w:r>
        <w:rPr>
          <w:sz w:val="22"/>
          <w:szCs w:val="22"/>
        </w:rPr>
        <w:t xml:space="preserve">La valeur est </w:t>
      </w:r>
      <w:r w:rsidRPr="003B5966">
        <w:rPr>
          <w:sz w:val="22"/>
          <w:szCs w:val="22"/>
        </w:rPr>
        <w:t>intrinsèque (l’expérience de consommation est appréciée en tant que telle) ou extrinsèque (le produit est un moyen pour atteindre des fins qui lui sont extérieures)</w:t>
      </w:r>
      <w:r>
        <w:rPr>
          <w:sz w:val="22"/>
          <w:szCs w:val="22"/>
        </w:rPr>
        <w:t>.</w:t>
      </w:r>
    </w:p>
    <w:p w:rsidR="007264CE" w:rsidRPr="003B5966" w:rsidRDefault="007264CE" w:rsidP="007264CE">
      <w:pPr>
        <w:pStyle w:val="Paragraphedeliste"/>
        <w:numPr>
          <w:ilvl w:val="0"/>
          <w:numId w:val="3"/>
        </w:numPr>
        <w:autoSpaceDE w:val="0"/>
        <w:autoSpaceDN w:val="0"/>
        <w:adjustRightInd w:val="0"/>
        <w:jc w:val="both"/>
        <w:rPr>
          <w:sz w:val="22"/>
          <w:szCs w:val="22"/>
        </w:rPr>
      </w:pPr>
      <w:r>
        <w:rPr>
          <w:sz w:val="22"/>
          <w:szCs w:val="22"/>
        </w:rPr>
        <w:t xml:space="preserve">La valeur est </w:t>
      </w:r>
      <w:r w:rsidRPr="003B5966">
        <w:rPr>
          <w:sz w:val="22"/>
          <w:szCs w:val="22"/>
        </w:rPr>
        <w:t xml:space="preserve">orientée vers soi (l'expérience de consommation est destinée à soi, à son propre plaisir) ou vers les autres </w:t>
      </w:r>
      <w:r>
        <w:rPr>
          <w:sz w:val="22"/>
          <w:szCs w:val="22"/>
        </w:rPr>
        <w:t>(</w:t>
      </w:r>
      <w:r w:rsidRPr="003B5966">
        <w:rPr>
          <w:sz w:val="22"/>
          <w:szCs w:val="22"/>
        </w:rPr>
        <w:t>l’expérience de consommation induit des effets sur la société</w:t>
      </w:r>
      <w:r w:rsidR="00ED07A5">
        <w:rPr>
          <w:sz w:val="22"/>
          <w:szCs w:val="22"/>
        </w:rPr>
        <w:t>:</w:t>
      </w:r>
      <w:r>
        <w:rPr>
          <w:sz w:val="22"/>
          <w:szCs w:val="22"/>
        </w:rPr>
        <w:t xml:space="preserve"> </w:t>
      </w:r>
      <w:r w:rsidRPr="003B5966">
        <w:rPr>
          <w:sz w:val="22"/>
          <w:szCs w:val="22"/>
        </w:rPr>
        <w:t>famille, collègue</w:t>
      </w:r>
      <w:r w:rsidR="008525D9">
        <w:rPr>
          <w:sz w:val="22"/>
          <w:szCs w:val="22"/>
        </w:rPr>
        <w:t>s</w:t>
      </w:r>
      <w:r w:rsidRPr="003B5966">
        <w:rPr>
          <w:sz w:val="22"/>
          <w:szCs w:val="22"/>
        </w:rPr>
        <w:t>, amis, culture, divinité).</w:t>
      </w:r>
    </w:p>
    <w:p w:rsidR="007264CE" w:rsidRDefault="007264CE" w:rsidP="007264CE">
      <w:pPr>
        <w:pStyle w:val="Paragraphedeliste"/>
        <w:numPr>
          <w:ilvl w:val="0"/>
          <w:numId w:val="3"/>
        </w:numPr>
        <w:autoSpaceDE w:val="0"/>
        <w:autoSpaceDN w:val="0"/>
        <w:adjustRightInd w:val="0"/>
        <w:jc w:val="both"/>
        <w:rPr>
          <w:sz w:val="22"/>
          <w:szCs w:val="22"/>
        </w:rPr>
      </w:pPr>
      <w:r>
        <w:rPr>
          <w:sz w:val="22"/>
          <w:szCs w:val="22"/>
        </w:rPr>
        <w:t xml:space="preserve">La valeur </w:t>
      </w:r>
      <w:r w:rsidRPr="003B5966">
        <w:rPr>
          <w:sz w:val="22"/>
          <w:szCs w:val="22"/>
        </w:rPr>
        <w:t>résulte d’une réponse active du sujet (manipulation</w:t>
      </w:r>
      <w:r w:rsidRPr="00D5774B">
        <w:rPr>
          <w:sz w:val="22"/>
          <w:szCs w:val="22"/>
        </w:rPr>
        <w:t xml:space="preserve"> active</w:t>
      </w:r>
      <w:r w:rsidR="00D5774B">
        <w:rPr>
          <w:color w:val="FF0000"/>
          <w:sz w:val="22"/>
          <w:szCs w:val="22"/>
        </w:rPr>
        <w:t xml:space="preserve"> </w:t>
      </w:r>
      <w:r w:rsidRPr="003B5966">
        <w:rPr>
          <w:sz w:val="22"/>
          <w:szCs w:val="22"/>
        </w:rPr>
        <w:t xml:space="preserve">de l'objet) ou passive (le consommateur </w:t>
      </w:r>
      <w:r>
        <w:rPr>
          <w:sz w:val="22"/>
          <w:szCs w:val="22"/>
        </w:rPr>
        <w:t>se contente de réagir</w:t>
      </w:r>
      <w:r w:rsidRPr="003B5966">
        <w:rPr>
          <w:sz w:val="22"/>
          <w:szCs w:val="22"/>
        </w:rPr>
        <w:t>).</w:t>
      </w:r>
    </w:p>
    <w:p w:rsidR="00D737C1" w:rsidRDefault="00D737C1" w:rsidP="00D737C1">
      <w:pPr>
        <w:pStyle w:val="Paragraphedeliste"/>
        <w:autoSpaceDE w:val="0"/>
        <w:autoSpaceDN w:val="0"/>
        <w:adjustRightInd w:val="0"/>
        <w:jc w:val="both"/>
        <w:rPr>
          <w:sz w:val="22"/>
          <w:szCs w:val="22"/>
        </w:rPr>
      </w:pPr>
    </w:p>
    <w:p w:rsidR="00305786" w:rsidRDefault="00D5774B" w:rsidP="00305786">
      <w:pPr>
        <w:autoSpaceDE w:val="0"/>
        <w:autoSpaceDN w:val="0"/>
        <w:adjustRightInd w:val="0"/>
        <w:ind w:firstLine="426"/>
        <w:jc w:val="both"/>
        <w:rPr>
          <w:sz w:val="22"/>
          <w:szCs w:val="22"/>
        </w:rPr>
      </w:pPr>
      <w:r w:rsidRPr="001523F5">
        <w:rPr>
          <w:sz w:val="22"/>
          <w:szCs w:val="22"/>
        </w:rPr>
        <w:t>La combinaison de ces trois critères a permis à l'auteur de délimiter huit domaines de compréhension de la valeur (</w:t>
      </w:r>
      <w:r w:rsidR="00475262">
        <w:rPr>
          <w:sz w:val="22"/>
          <w:szCs w:val="22"/>
        </w:rPr>
        <w:t xml:space="preserve">voir le </w:t>
      </w:r>
      <w:r w:rsidRPr="001523F5">
        <w:rPr>
          <w:sz w:val="22"/>
          <w:szCs w:val="22"/>
        </w:rPr>
        <w:t>tableau</w:t>
      </w:r>
      <w:r w:rsidR="00475262">
        <w:rPr>
          <w:sz w:val="22"/>
          <w:szCs w:val="22"/>
        </w:rPr>
        <w:t xml:space="preserve"> ci-dessous</w:t>
      </w:r>
      <w:r w:rsidRPr="001523F5">
        <w:rPr>
          <w:sz w:val="22"/>
          <w:szCs w:val="22"/>
        </w:rPr>
        <w:t>).</w:t>
      </w:r>
    </w:p>
    <w:p w:rsidR="006131ED" w:rsidRDefault="006131ED" w:rsidP="00305786">
      <w:pPr>
        <w:autoSpaceDE w:val="0"/>
        <w:autoSpaceDN w:val="0"/>
        <w:adjustRightInd w:val="0"/>
        <w:ind w:firstLine="426"/>
        <w:jc w:val="both"/>
        <w:rPr>
          <w:sz w:val="22"/>
          <w:szCs w:val="22"/>
        </w:rPr>
      </w:pPr>
    </w:p>
    <w:p w:rsidR="006131ED" w:rsidRDefault="006131ED" w:rsidP="00305786">
      <w:pPr>
        <w:autoSpaceDE w:val="0"/>
        <w:autoSpaceDN w:val="0"/>
        <w:adjustRightInd w:val="0"/>
        <w:ind w:firstLine="426"/>
        <w:jc w:val="both"/>
        <w:rPr>
          <w:sz w:val="22"/>
          <w:szCs w:val="22"/>
        </w:rPr>
      </w:pPr>
    </w:p>
    <w:p w:rsidR="006131ED" w:rsidRDefault="006131ED" w:rsidP="00305786">
      <w:pPr>
        <w:autoSpaceDE w:val="0"/>
        <w:autoSpaceDN w:val="0"/>
        <w:adjustRightInd w:val="0"/>
        <w:ind w:firstLine="426"/>
        <w:jc w:val="both"/>
        <w:rPr>
          <w:sz w:val="22"/>
          <w:szCs w:val="22"/>
        </w:rPr>
      </w:pPr>
    </w:p>
    <w:p w:rsidR="006131ED" w:rsidRDefault="006131ED" w:rsidP="00305786">
      <w:pPr>
        <w:autoSpaceDE w:val="0"/>
        <w:autoSpaceDN w:val="0"/>
        <w:adjustRightInd w:val="0"/>
        <w:ind w:firstLine="426"/>
        <w:jc w:val="both"/>
        <w:rPr>
          <w:sz w:val="22"/>
          <w:szCs w:val="22"/>
        </w:rPr>
      </w:pPr>
    </w:p>
    <w:p w:rsidR="00D737C1" w:rsidRPr="00305786" w:rsidRDefault="00D737C1" w:rsidP="00305786">
      <w:pPr>
        <w:autoSpaceDE w:val="0"/>
        <w:autoSpaceDN w:val="0"/>
        <w:adjustRightInd w:val="0"/>
        <w:ind w:firstLine="426"/>
        <w:jc w:val="both"/>
        <w:rPr>
          <w:sz w:val="22"/>
          <w:szCs w:val="22"/>
        </w:rPr>
      </w:pPr>
      <w:r w:rsidRPr="00305786">
        <w:rPr>
          <w:rFonts w:eastAsiaTheme="minorHAnsi"/>
          <w:sz w:val="22"/>
          <w:szCs w:val="22"/>
          <w:lang w:val="fr-BE" w:eastAsia="en-US"/>
        </w:rPr>
        <w:lastRenderedPageBreak/>
        <w:t>Typologie des composantes de la valeur de consommation (Holbrook, 1994)</w:t>
      </w:r>
    </w:p>
    <w:tbl>
      <w:tblPr>
        <w:tblStyle w:val="Grilledutableau"/>
        <w:tblW w:w="0" w:type="auto"/>
        <w:tblInd w:w="108" w:type="dxa"/>
        <w:tblLook w:val="04A0"/>
      </w:tblPr>
      <w:tblGrid>
        <w:gridCol w:w="2195"/>
        <w:gridCol w:w="2303"/>
        <w:gridCol w:w="2303"/>
        <w:gridCol w:w="2303"/>
      </w:tblGrid>
      <w:tr w:rsidR="00D5774B" w:rsidTr="0002034E">
        <w:tc>
          <w:tcPr>
            <w:tcW w:w="2195" w:type="dxa"/>
            <w:tcBorders>
              <w:top w:val="nil"/>
              <w:left w:val="nil"/>
              <w:bottom w:val="single" w:sz="4" w:space="0" w:color="000000" w:themeColor="text1"/>
              <w:right w:val="nil"/>
            </w:tcBorders>
          </w:tcPr>
          <w:p w:rsidR="00D5774B" w:rsidRDefault="00D5774B" w:rsidP="00D5774B">
            <w:pPr>
              <w:autoSpaceDE w:val="0"/>
              <w:autoSpaceDN w:val="0"/>
              <w:adjustRightInd w:val="0"/>
              <w:rPr>
                <w:rFonts w:eastAsiaTheme="minorHAnsi"/>
                <w:lang w:val="fr-BE" w:eastAsia="en-US"/>
              </w:rPr>
            </w:pPr>
          </w:p>
        </w:tc>
        <w:tc>
          <w:tcPr>
            <w:tcW w:w="2303" w:type="dxa"/>
            <w:tcBorders>
              <w:top w:val="nil"/>
              <w:left w:val="nil"/>
              <w:bottom w:val="single" w:sz="4" w:space="0" w:color="000000" w:themeColor="text1"/>
              <w:right w:val="single" w:sz="4" w:space="0" w:color="000000" w:themeColor="text1"/>
            </w:tcBorders>
          </w:tcPr>
          <w:p w:rsidR="00D5774B" w:rsidRDefault="00D5774B" w:rsidP="00D5774B">
            <w:pPr>
              <w:autoSpaceDE w:val="0"/>
              <w:autoSpaceDN w:val="0"/>
              <w:adjustRightInd w:val="0"/>
              <w:rPr>
                <w:rFonts w:eastAsiaTheme="minorHAnsi"/>
                <w:lang w:val="fr-BE" w:eastAsia="en-US"/>
              </w:rPr>
            </w:pPr>
          </w:p>
        </w:tc>
        <w:tc>
          <w:tcPr>
            <w:tcW w:w="2303" w:type="dxa"/>
            <w:tcBorders>
              <w:left w:val="single" w:sz="4" w:space="0" w:color="000000" w:themeColor="text1"/>
              <w:bottom w:val="single" w:sz="4" w:space="0" w:color="000000" w:themeColor="text1"/>
            </w:tcBorders>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 xml:space="preserve">Extrinsèque </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Intrinsèque</w:t>
            </w:r>
          </w:p>
        </w:tc>
      </w:tr>
      <w:tr w:rsidR="00D5774B" w:rsidTr="0002034E">
        <w:tc>
          <w:tcPr>
            <w:tcW w:w="2195" w:type="dxa"/>
            <w:vMerge w:val="restart"/>
            <w:tcBorders>
              <w:top w:val="single" w:sz="4" w:space="0" w:color="000000" w:themeColor="text1"/>
              <w:right w:val="single" w:sz="4" w:space="0" w:color="000000" w:themeColor="text1"/>
            </w:tcBorders>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 xml:space="preserve">Orienté </w:t>
            </w:r>
          </w:p>
          <w:p w:rsidR="00D5774B" w:rsidRDefault="00D5774B" w:rsidP="00D5774B">
            <w:pPr>
              <w:autoSpaceDE w:val="0"/>
              <w:autoSpaceDN w:val="0"/>
              <w:adjustRightInd w:val="0"/>
              <w:rPr>
                <w:rFonts w:eastAsiaTheme="minorHAnsi"/>
                <w:lang w:val="fr-BE" w:eastAsia="en-US"/>
              </w:rPr>
            </w:pPr>
            <w:r>
              <w:rPr>
                <w:rFonts w:eastAsiaTheme="minorHAnsi"/>
                <w:lang w:val="fr-BE" w:eastAsia="en-US"/>
              </w:rPr>
              <w:t xml:space="preserve">vers soi </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Actif</w:t>
            </w:r>
          </w:p>
        </w:tc>
        <w:tc>
          <w:tcPr>
            <w:tcW w:w="2303" w:type="dxa"/>
            <w:tcBorders>
              <w:left w:val="single" w:sz="4" w:space="0" w:color="000000" w:themeColor="text1"/>
            </w:tcBorders>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Efficience</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Jeu</w:t>
            </w:r>
          </w:p>
        </w:tc>
      </w:tr>
      <w:tr w:rsidR="00D5774B" w:rsidTr="0002034E">
        <w:tc>
          <w:tcPr>
            <w:tcW w:w="2195" w:type="dxa"/>
            <w:vMerge/>
          </w:tcPr>
          <w:p w:rsidR="00D5774B" w:rsidRDefault="00D5774B" w:rsidP="00D5774B">
            <w:pPr>
              <w:autoSpaceDE w:val="0"/>
              <w:autoSpaceDN w:val="0"/>
              <w:adjustRightInd w:val="0"/>
              <w:rPr>
                <w:rFonts w:eastAsiaTheme="minorHAnsi"/>
                <w:lang w:val="fr-BE" w:eastAsia="en-US"/>
              </w:rPr>
            </w:pPr>
          </w:p>
        </w:tc>
        <w:tc>
          <w:tcPr>
            <w:tcW w:w="2303" w:type="dxa"/>
            <w:tcBorders>
              <w:top w:val="single" w:sz="4" w:space="0" w:color="000000" w:themeColor="text1"/>
            </w:tcBorders>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Réactif</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Excellence</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Esthétique</w:t>
            </w:r>
          </w:p>
        </w:tc>
      </w:tr>
      <w:tr w:rsidR="00D5774B" w:rsidTr="0002034E">
        <w:tc>
          <w:tcPr>
            <w:tcW w:w="2195" w:type="dxa"/>
            <w:vMerge w:val="restart"/>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 xml:space="preserve">Orienté </w:t>
            </w:r>
          </w:p>
          <w:p w:rsidR="00D5774B" w:rsidRPr="00D5774B" w:rsidRDefault="00D5774B" w:rsidP="00D5774B">
            <w:pPr>
              <w:autoSpaceDE w:val="0"/>
              <w:autoSpaceDN w:val="0"/>
              <w:adjustRightInd w:val="0"/>
              <w:jc w:val="both"/>
            </w:pPr>
            <w:r>
              <w:rPr>
                <w:rFonts w:eastAsiaTheme="minorHAnsi"/>
                <w:lang w:val="fr-BE" w:eastAsia="en-US"/>
              </w:rPr>
              <w:t xml:space="preserve">vers les autres </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Actif</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Statut</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Ethique</w:t>
            </w:r>
          </w:p>
        </w:tc>
      </w:tr>
      <w:tr w:rsidR="00D5774B" w:rsidTr="0002034E">
        <w:tc>
          <w:tcPr>
            <w:tcW w:w="2195" w:type="dxa"/>
            <w:vMerge/>
          </w:tcPr>
          <w:p w:rsidR="00D5774B" w:rsidRDefault="00D5774B" w:rsidP="00D5774B">
            <w:pPr>
              <w:autoSpaceDE w:val="0"/>
              <w:autoSpaceDN w:val="0"/>
              <w:adjustRightInd w:val="0"/>
              <w:rPr>
                <w:rFonts w:eastAsiaTheme="minorHAnsi"/>
                <w:lang w:val="fr-BE" w:eastAsia="en-US"/>
              </w:rPr>
            </w:pP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Réactif</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Estime</w:t>
            </w:r>
          </w:p>
        </w:tc>
        <w:tc>
          <w:tcPr>
            <w:tcW w:w="2303" w:type="dxa"/>
          </w:tcPr>
          <w:p w:rsidR="00D5774B" w:rsidRDefault="00D5774B" w:rsidP="00D5774B">
            <w:pPr>
              <w:autoSpaceDE w:val="0"/>
              <w:autoSpaceDN w:val="0"/>
              <w:adjustRightInd w:val="0"/>
              <w:rPr>
                <w:rFonts w:eastAsiaTheme="minorHAnsi"/>
                <w:lang w:val="fr-BE" w:eastAsia="en-US"/>
              </w:rPr>
            </w:pPr>
            <w:r>
              <w:rPr>
                <w:rFonts w:eastAsiaTheme="minorHAnsi"/>
                <w:lang w:val="fr-BE" w:eastAsia="en-US"/>
              </w:rPr>
              <w:t>Spiritualité</w:t>
            </w:r>
          </w:p>
        </w:tc>
      </w:tr>
    </w:tbl>
    <w:p w:rsidR="00D5774B" w:rsidRDefault="00D5774B" w:rsidP="0025089A">
      <w:pPr>
        <w:pStyle w:val="Default"/>
        <w:jc w:val="both"/>
        <w:rPr>
          <w:sz w:val="22"/>
          <w:szCs w:val="22"/>
        </w:rPr>
      </w:pPr>
    </w:p>
    <w:p w:rsidR="002D5D71" w:rsidRPr="0025089A" w:rsidRDefault="007264CE" w:rsidP="00272FD7">
      <w:pPr>
        <w:pStyle w:val="Default"/>
        <w:ind w:firstLine="426"/>
        <w:jc w:val="both"/>
        <w:rPr>
          <w:sz w:val="22"/>
          <w:szCs w:val="22"/>
        </w:rPr>
      </w:pPr>
      <w:r w:rsidRPr="003B5966">
        <w:rPr>
          <w:sz w:val="22"/>
          <w:szCs w:val="22"/>
        </w:rPr>
        <w:t xml:space="preserve">L’approche conceptuelle développée par Holbrook, largement reprise dans la littérature, offre un cadre général pour l’étude de la valeur des expériences de consommation qu’il convient de décliner selon les contextes spécifiques dans lesquels se déroulent les expériences. </w:t>
      </w:r>
    </w:p>
    <w:p w:rsidR="007264CE" w:rsidRDefault="007264CE" w:rsidP="007264CE">
      <w:pPr>
        <w:pStyle w:val="Default"/>
        <w:jc w:val="both"/>
        <w:rPr>
          <w:sz w:val="22"/>
          <w:szCs w:val="22"/>
        </w:rPr>
      </w:pPr>
    </w:p>
    <w:p w:rsidR="007264CE" w:rsidRDefault="007264CE" w:rsidP="007264CE">
      <w:pPr>
        <w:rPr>
          <w:b/>
          <w:bCs/>
          <w:snapToGrid w:val="0"/>
          <w:sz w:val="22"/>
          <w:szCs w:val="22"/>
        </w:rPr>
      </w:pPr>
      <w:r>
        <w:rPr>
          <w:b/>
          <w:bCs/>
          <w:snapToGrid w:val="0"/>
          <w:sz w:val="22"/>
          <w:szCs w:val="22"/>
        </w:rPr>
        <w:t>3.3</w:t>
      </w:r>
      <w:r w:rsidRPr="00917D70">
        <w:rPr>
          <w:b/>
          <w:bCs/>
          <w:snapToGrid w:val="0"/>
          <w:sz w:val="22"/>
          <w:szCs w:val="22"/>
        </w:rPr>
        <w:t xml:space="preserve">. </w:t>
      </w:r>
      <w:r w:rsidR="001523F5">
        <w:rPr>
          <w:b/>
          <w:bCs/>
          <w:snapToGrid w:val="0"/>
          <w:sz w:val="22"/>
          <w:szCs w:val="22"/>
        </w:rPr>
        <w:t>La</w:t>
      </w:r>
      <w:r w:rsidR="00FF2CFE" w:rsidRPr="00917D70">
        <w:rPr>
          <w:b/>
          <w:bCs/>
          <w:snapToGrid w:val="0"/>
          <w:sz w:val="22"/>
          <w:szCs w:val="22"/>
        </w:rPr>
        <w:t xml:space="preserve"> valeur de consommation</w:t>
      </w:r>
      <w:r w:rsidR="00250A3B">
        <w:rPr>
          <w:b/>
          <w:bCs/>
          <w:snapToGrid w:val="0"/>
          <w:sz w:val="22"/>
          <w:szCs w:val="22"/>
        </w:rPr>
        <w:t xml:space="preserve"> dans le domaine culturel</w:t>
      </w:r>
      <w:r w:rsidR="00FF2CFE">
        <w:rPr>
          <w:b/>
          <w:bCs/>
          <w:snapToGrid w:val="0"/>
          <w:sz w:val="22"/>
          <w:szCs w:val="22"/>
        </w:rPr>
        <w:t xml:space="preserve"> </w:t>
      </w:r>
    </w:p>
    <w:p w:rsidR="0025245B" w:rsidRDefault="0025245B" w:rsidP="007264CE">
      <w:pPr>
        <w:rPr>
          <w:b/>
          <w:bCs/>
          <w:snapToGrid w:val="0"/>
          <w:sz w:val="22"/>
          <w:szCs w:val="22"/>
        </w:rPr>
      </w:pPr>
    </w:p>
    <w:p w:rsidR="003D10AB" w:rsidRDefault="00DB4E9E" w:rsidP="00DB4E9E">
      <w:pPr>
        <w:pStyle w:val="Default"/>
        <w:ind w:firstLine="426"/>
        <w:jc w:val="both"/>
        <w:rPr>
          <w:sz w:val="22"/>
          <w:szCs w:val="22"/>
        </w:rPr>
      </w:pPr>
      <w:r w:rsidRPr="003B5966">
        <w:rPr>
          <w:sz w:val="22"/>
          <w:szCs w:val="22"/>
        </w:rPr>
        <w:t xml:space="preserve">Le domaine culturel étant singulier (Colbert, 1993), il s’avère nécessaire de mettre en évidence les composantes de la valeur qui lui sont spécifiques. </w:t>
      </w:r>
      <w:r>
        <w:rPr>
          <w:sz w:val="22"/>
          <w:szCs w:val="22"/>
        </w:rPr>
        <w:t>N</w:t>
      </w:r>
      <w:r w:rsidR="003D10AB">
        <w:rPr>
          <w:sz w:val="22"/>
          <w:szCs w:val="22"/>
        </w:rPr>
        <w:t>ous pouvons cit</w:t>
      </w:r>
      <w:r w:rsidR="00DF7DF1">
        <w:rPr>
          <w:sz w:val="22"/>
          <w:szCs w:val="22"/>
        </w:rPr>
        <w:t>er</w:t>
      </w:r>
      <w:r w:rsidR="003D10AB">
        <w:rPr>
          <w:sz w:val="22"/>
          <w:szCs w:val="22"/>
        </w:rPr>
        <w:t xml:space="preserve"> des</w:t>
      </w:r>
      <w:r w:rsidR="0025089A" w:rsidRPr="00F376B5">
        <w:rPr>
          <w:sz w:val="22"/>
          <w:szCs w:val="22"/>
        </w:rPr>
        <w:t xml:space="preserve"> travaux </w:t>
      </w:r>
      <w:r w:rsidR="003D10AB">
        <w:rPr>
          <w:sz w:val="22"/>
          <w:szCs w:val="22"/>
        </w:rPr>
        <w:t>dans différents domaines culturels : le cinéma (Evrard et Aurier 1996), les festivals (Pulh, 2002),</w:t>
      </w:r>
      <w:r>
        <w:rPr>
          <w:sz w:val="22"/>
          <w:szCs w:val="22"/>
        </w:rPr>
        <w:t xml:space="preserve"> les comédies musicales (Bernardon (2005),</w:t>
      </w:r>
      <w:r w:rsidR="00661DF4">
        <w:rPr>
          <w:sz w:val="22"/>
          <w:szCs w:val="22"/>
        </w:rPr>
        <w:t xml:space="preserve"> les musées (Debenedetti 2001</w:t>
      </w:r>
      <w:r w:rsidR="003D10AB">
        <w:rPr>
          <w:sz w:val="22"/>
          <w:szCs w:val="22"/>
        </w:rPr>
        <w:t>; Passebois 2003),…</w:t>
      </w:r>
    </w:p>
    <w:p w:rsidR="00F376B5" w:rsidRPr="00F376B5" w:rsidRDefault="00F376B5" w:rsidP="00F376B5">
      <w:pPr>
        <w:ind w:firstLine="360"/>
        <w:rPr>
          <w:rFonts w:eastAsia="Calibri"/>
          <w:color w:val="000000"/>
          <w:sz w:val="22"/>
          <w:szCs w:val="22"/>
          <w:lang w:val="fr-BE" w:eastAsia="en-US"/>
        </w:rPr>
      </w:pPr>
    </w:p>
    <w:p w:rsidR="0039146C" w:rsidRDefault="00F376B5" w:rsidP="001E0D00">
      <w:pPr>
        <w:ind w:firstLine="426"/>
        <w:jc w:val="both"/>
        <w:rPr>
          <w:sz w:val="22"/>
          <w:szCs w:val="22"/>
        </w:rPr>
      </w:pPr>
      <w:r w:rsidRPr="003B5966">
        <w:rPr>
          <w:sz w:val="22"/>
          <w:szCs w:val="22"/>
        </w:rPr>
        <w:t xml:space="preserve">Le tableau ci-dessous offre une synthèse </w:t>
      </w:r>
      <w:r w:rsidR="00DB4E9E">
        <w:rPr>
          <w:sz w:val="22"/>
          <w:szCs w:val="22"/>
        </w:rPr>
        <w:t xml:space="preserve">de la méthodologie et </w:t>
      </w:r>
      <w:r w:rsidR="00DB4E9E" w:rsidRPr="003B5966">
        <w:rPr>
          <w:sz w:val="22"/>
          <w:szCs w:val="22"/>
        </w:rPr>
        <w:t>des résultats</w:t>
      </w:r>
      <w:r w:rsidR="00DB4E9E">
        <w:rPr>
          <w:sz w:val="22"/>
          <w:szCs w:val="22"/>
        </w:rPr>
        <w:t xml:space="preserve"> </w:t>
      </w:r>
      <w:r w:rsidRPr="003B5966">
        <w:rPr>
          <w:sz w:val="22"/>
          <w:szCs w:val="22"/>
        </w:rPr>
        <w:t>de travaux sur les valeurs de l’expérience de consommation artistique et culturelle</w:t>
      </w:r>
      <w:r w:rsidR="001523F5">
        <w:rPr>
          <w:sz w:val="22"/>
          <w:szCs w:val="22"/>
        </w:rPr>
        <w:t xml:space="preserve"> (excepté</w:t>
      </w:r>
      <w:r w:rsidR="003D10AB">
        <w:rPr>
          <w:sz w:val="22"/>
          <w:szCs w:val="22"/>
        </w:rPr>
        <w:t xml:space="preserve"> le </w:t>
      </w:r>
      <w:r w:rsidR="00DB4E9E">
        <w:rPr>
          <w:sz w:val="22"/>
          <w:szCs w:val="22"/>
        </w:rPr>
        <w:t xml:space="preserve">domaine des </w:t>
      </w:r>
      <w:r w:rsidR="003D10AB">
        <w:rPr>
          <w:sz w:val="22"/>
          <w:szCs w:val="22"/>
        </w:rPr>
        <w:t>musée</w:t>
      </w:r>
      <w:r w:rsidR="00DB4E9E">
        <w:rPr>
          <w:sz w:val="22"/>
          <w:szCs w:val="22"/>
        </w:rPr>
        <w:t>s qui fera l’objet du</w:t>
      </w:r>
      <w:r w:rsidR="001523F5">
        <w:rPr>
          <w:sz w:val="22"/>
          <w:szCs w:val="22"/>
        </w:rPr>
        <w:t xml:space="preserve"> point suivant</w:t>
      </w:r>
      <w:r w:rsidR="003D10AB">
        <w:rPr>
          <w:sz w:val="22"/>
          <w:szCs w:val="22"/>
        </w:rPr>
        <w:t>)</w:t>
      </w:r>
      <w:r w:rsidRPr="003B5966">
        <w:rPr>
          <w:sz w:val="22"/>
          <w:szCs w:val="22"/>
        </w:rPr>
        <w:t>:</w:t>
      </w:r>
    </w:p>
    <w:tbl>
      <w:tblPr>
        <w:tblW w:w="9042" w:type="dxa"/>
        <w:tblInd w:w="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A0"/>
      </w:tblPr>
      <w:tblGrid>
        <w:gridCol w:w="1081"/>
        <w:gridCol w:w="1613"/>
        <w:gridCol w:w="3970"/>
        <w:gridCol w:w="2378"/>
      </w:tblGrid>
      <w:tr w:rsidR="0025245B" w:rsidRPr="003B5966" w:rsidTr="0002034E">
        <w:trPr>
          <w:trHeight w:val="300"/>
        </w:trPr>
        <w:tc>
          <w:tcPr>
            <w:tcW w:w="1081" w:type="dxa"/>
            <w:vAlign w:val="center"/>
          </w:tcPr>
          <w:p w:rsidR="0025245B" w:rsidRPr="00305786" w:rsidRDefault="0025245B" w:rsidP="00983F7A">
            <w:pPr>
              <w:autoSpaceDE w:val="0"/>
              <w:autoSpaceDN w:val="0"/>
              <w:adjustRightInd w:val="0"/>
              <w:jc w:val="center"/>
              <w:rPr>
                <w:rFonts w:eastAsiaTheme="minorHAnsi"/>
                <w:lang w:val="fr-BE" w:eastAsia="en-US"/>
              </w:rPr>
            </w:pPr>
            <w:r w:rsidRPr="00305786">
              <w:rPr>
                <w:bCs/>
                <w:color w:val="000000"/>
                <w:sz w:val="22"/>
                <w:szCs w:val="22"/>
                <w:lang w:eastAsia="fr-BE"/>
              </w:rPr>
              <w:t>Auteurs</w:t>
            </w:r>
          </w:p>
        </w:tc>
        <w:tc>
          <w:tcPr>
            <w:tcW w:w="1613" w:type="dxa"/>
            <w:vAlign w:val="center"/>
          </w:tcPr>
          <w:p w:rsidR="0025245B" w:rsidRPr="00305786" w:rsidRDefault="0025245B" w:rsidP="00983F7A">
            <w:pPr>
              <w:jc w:val="center"/>
              <w:rPr>
                <w:rFonts w:eastAsiaTheme="minorHAnsi"/>
                <w:lang w:val="fr-BE" w:eastAsia="en-US"/>
              </w:rPr>
            </w:pPr>
            <w:r w:rsidRPr="00305786">
              <w:rPr>
                <w:bCs/>
                <w:color w:val="000000"/>
                <w:sz w:val="22"/>
                <w:szCs w:val="22"/>
                <w:lang w:eastAsia="fr-BE"/>
              </w:rPr>
              <w:t>Activités culturelles étudiées</w:t>
            </w:r>
          </w:p>
        </w:tc>
        <w:tc>
          <w:tcPr>
            <w:tcW w:w="3970" w:type="dxa"/>
            <w:vAlign w:val="center"/>
          </w:tcPr>
          <w:p w:rsidR="0025245B" w:rsidRPr="00305786" w:rsidRDefault="0025245B" w:rsidP="00983F7A">
            <w:pPr>
              <w:autoSpaceDE w:val="0"/>
              <w:autoSpaceDN w:val="0"/>
              <w:adjustRightInd w:val="0"/>
              <w:jc w:val="center"/>
              <w:rPr>
                <w:color w:val="000000"/>
                <w:lang w:eastAsia="fr-BE"/>
              </w:rPr>
            </w:pPr>
            <w:r w:rsidRPr="00305786">
              <w:rPr>
                <w:bCs/>
                <w:color w:val="000000"/>
                <w:sz w:val="22"/>
                <w:szCs w:val="22"/>
                <w:lang w:eastAsia="fr-BE"/>
              </w:rPr>
              <w:t>Dimensions de l’expérience vécue par les consommateurs</w:t>
            </w:r>
          </w:p>
        </w:tc>
        <w:tc>
          <w:tcPr>
            <w:tcW w:w="2378" w:type="dxa"/>
            <w:vAlign w:val="center"/>
          </w:tcPr>
          <w:p w:rsidR="0025245B" w:rsidRPr="00305786" w:rsidRDefault="0025245B" w:rsidP="00983F7A">
            <w:pPr>
              <w:jc w:val="center"/>
              <w:rPr>
                <w:color w:val="000000"/>
                <w:lang w:eastAsia="fr-BE"/>
              </w:rPr>
            </w:pPr>
            <w:r w:rsidRPr="00305786">
              <w:rPr>
                <w:bCs/>
                <w:color w:val="000000"/>
                <w:sz w:val="22"/>
                <w:szCs w:val="22"/>
                <w:lang w:eastAsia="fr-BE"/>
              </w:rPr>
              <w:t>Méthodologie utilisée</w:t>
            </w:r>
          </w:p>
        </w:tc>
      </w:tr>
      <w:tr w:rsidR="0039146C" w:rsidRPr="003B5966" w:rsidTr="0002034E">
        <w:trPr>
          <w:trHeight w:val="300"/>
        </w:trPr>
        <w:tc>
          <w:tcPr>
            <w:tcW w:w="1081" w:type="dxa"/>
            <w:vAlign w:val="center"/>
          </w:tcPr>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Pulh, Bourgeon-</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Renault et</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Bouchet (2005)</w:t>
            </w:r>
          </w:p>
          <w:p w:rsidR="0039146C" w:rsidRPr="00305786" w:rsidRDefault="0039146C" w:rsidP="00530920">
            <w:pPr>
              <w:rPr>
                <w:color w:val="000000"/>
                <w:lang w:val="fr-BE" w:eastAsia="fr-BE"/>
              </w:rPr>
            </w:pPr>
          </w:p>
        </w:tc>
        <w:tc>
          <w:tcPr>
            <w:tcW w:w="1613" w:type="dxa"/>
            <w:vAlign w:val="center"/>
          </w:tcPr>
          <w:p w:rsidR="0039146C" w:rsidRPr="00305786" w:rsidRDefault="0039146C" w:rsidP="00530920">
            <w:pPr>
              <w:rPr>
                <w:color w:val="000000"/>
                <w:lang w:eastAsia="fr-BE"/>
              </w:rPr>
            </w:pPr>
            <w:r w:rsidRPr="00305786">
              <w:rPr>
                <w:rFonts w:eastAsiaTheme="minorHAnsi"/>
                <w:sz w:val="22"/>
                <w:szCs w:val="22"/>
                <w:lang w:val="fr-BE" w:eastAsia="en-US"/>
              </w:rPr>
              <w:t>Spectacle de rue</w:t>
            </w:r>
          </w:p>
        </w:tc>
        <w:tc>
          <w:tcPr>
            <w:tcW w:w="3970" w:type="dxa"/>
          </w:tcPr>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Di</w:t>
            </w:r>
            <w:r w:rsidR="00E93B95" w:rsidRPr="00305786">
              <w:rPr>
                <w:color w:val="000000"/>
                <w:sz w:val="22"/>
                <w:szCs w:val="22"/>
                <w:lang w:eastAsia="fr-BE"/>
              </w:rPr>
              <w:t>mension d’activité individuelle</w:t>
            </w:r>
            <w:r w:rsidRPr="00305786">
              <w:rPr>
                <w:color w:val="000000"/>
                <w:sz w:val="22"/>
                <w:szCs w:val="22"/>
                <w:lang w:eastAsia="fr-BE"/>
              </w:rPr>
              <w:t>: valorisation de soi, égocentrisme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Dimension de réactivité</w:t>
            </w:r>
            <w:r w:rsidR="00E93B95" w:rsidRPr="00305786">
              <w:rPr>
                <w:color w:val="000000"/>
                <w:sz w:val="22"/>
                <w:szCs w:val="22"/>
                <w:lang w:eastAsia="fr-BE"/>
              </w:rPr>
              <w:t xml:space="preserve"> individuelle</w:t>
            </w:r>
            <w:r w:rsidRPr="00305786">
              <w:rPr>
                <w:color w:val="000000"/>
                <w:sz w:val="22"/>
                <w:szCs w:val="22"/>
                <w:lang w:eastAsia="fr-BE"/>
              </w:rPr>
              <w:t>: beauté liée au spectacle</w:t>
            </w:r>
          </w:p>
          <w:p w:rsidR="0039146C" w:rsidRPr="00305786" w:rsidRDefault="00E93B95" w:rsidP="00530920">
            <w:pPr>
              <w:autoSpaceDE w:val="0"/>
              <w:autoSpaceDN w:val="0"/>
              <w:adjustRightInd w:val="0"/>
              <w:rPr>
                <w:color w:val="000000"/>
                <w:lang w:eastAsia="fr-BE"/>
              </w:rPr>
            </w:pPr>
            <w:r w:rsidRPr="00305786">
              <w:rPr>
                <w:color w:val="000000"/>
                <w:sz w:val="22"/>
                <w:szCs w:val="22"/>
                <w:lang w:eastAsia="fr-BE"/>
              </w:rPr>
              <w:t>· Dimension d’activité sociale</w:t>
            </w:r>
            <w:r w:rsidR="0039146C" w:rsidRPr="00305786">
              <w:rPr>
                <w:color w:val="000000"/>
                <w:sz w:val="22"/>
                <w:szCs w:val="22"/>
                <w:lang w:eastAsia="fr-BE"/>
              </w:rPr>
              <w:t>: communion et fonctionnalités sociales</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xml:space="preserve">· </w:t>
            </w:r>
            <w:r w:rsidR="00E93B95" w:rsidRPr="00305786">
              <w:rPr>
                <w:color w:val="000000"/>
                <w:sz w:val="22"/>
                <w:szCs w:val="22"/>
                <w:lang w:eastAsia="fr-BE"/>
              </w:rPr>
              <w:t>Dimension de réactivité sociale</w:t>
            </w:r>
            <w:r w:rsidRPr="00305786">
              <w:rPr>
                <w:color w:val="000000"/>
                <w:sz w:val="22"/>
                <w:szCs w:val="22"/>
                <w:lang w:eastAsia="fr-BE"/>
              </w:rPr>
              <w:t>: divertissement, lien social</w:t>
            </w:r>
          </w:p>
        </w:tc>
        <w:tc>
          <w:tcPr>
            <w:tcW w:w="2378" w:type="dxa"/>
            <w:vAlign w:val="center"/>
          </w:tcPr>
          <w:p w:rsidR="0039146C" w:rsidRPr="00305786" w:rsidRDefault="008A33EA" w:rsidP="00530920">
            <w:pPr>
              <w:rPr>
                <w:color w:val="000000"/>
                <w:lang w:eastAsia="fr-BE"/>
              </w:rPr>
            </w:pPr>
            <w:r w:rsidRPr="00305786">
              <w:rPr>
                <w:color w:val="000000"/>
                <w:sz w:val="22"/>
                <w:szCs w:val="22"/>
                <w:lang w:eastAsia="fr-BE"/>
              </w:rPr>
              <w:t xml:space="preserve">Analyse textuelle des discours des individus </w:t>
            </w:r>
            <w:r w:rsidR="00475262">
              <w:rPr>
                <w:color w:val="000000"/>
                <w:sz w:val="22"/>
                <w:szCs w:val="22"/>
                <w:lang w:eastAsia="fr-BE"/>
              </w:rPr>
              <w:t xml:space="preserve">  </w:t>
            </w:r>
            <w:r w:rsidRPr="00305786">
              <w:rPr>
                <w:color w:val="000000"/>
                <w:sz w:val="22"/>
                <w:szCs w:val="22"/>
                <w:lang w:eastAsia="fr-BE"/>
              </w:rPr>
              <w:t>et analyse sémiotique structurale.</w:t>
            </w:r>
          </w:p>
        </w:tc>
      </w:tr>
      <w:tr w:rsidR="0039146C" w:rsidRPr="003B5966" w:rsidTr="0002034E">
        <w:trPr>
          <w:trHeight w:val="300"/>
        </w:trPr>
        <w:tc>
          <w:tcPr>
            <w:tcW w:w="1081" w:type="dxa"/>
            <w:vAlign w:val="center"/>
          </w:tcPr>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Aurier, Evrard</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et N’Goala</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(2004)</w:t>
            </w:r>
          </w:p>
          <w:p w:rsidR="0039146C" w:rsidRPr="00305786" w:rsidRDefault="0039146C" w:rsidP="00530920">
            <w:pPr>
              <w:rPr>
                <w:color w:val="000000"/>
                <w:lang w:eastAsia="fr-BE"/>
              </w:rPr>
            </w:pPr>
          </w:p>
        </w:tc>
        <w:tc>
          <w:tcPr>
            <w:tcW w:w="1613" w:type="dxa"/>
            <w:vAlign w:val="center"/>
          </w:tcPr>
          <w:p w:rsidR="0039146C" w:rsidRPr="00305786" w:rsidRDefault="0039146C" w:rsidP="00530920">
            <w:pPr>
              <w:rPr>
                <w:color w:val="000000"/>
                <w:lang w:eastAsia="fr-BE"/>
              </w:rPr>
            </w:pPr>
            <w:r w:rsidRPr="00305786">
              <w:rPr>
                <w:rFonts w:eastAsiaTheme="minorHAnsi"/>
                <w:sz w:val="22"/>
                <w:szCs w:val="22"/>
                <w:lang w:val="fr-BE" w:eastAsia="en-US"/>
              </w:rPr>
              <w:t>Cinéma en salle</w:t>
            </w:r>
          </w:p>
        </w:tc>
        <w:tc>
          <w:tcPr>
            <w:tcW w:w="3970" w:type="dxa"/>
          </w:tcPr>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Dimension :</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Utilitaire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De connaissance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De stimulation expérientielle</w:t>
            </w:r>
          </w:p>
          <w:p w:rsidR="00F376B5" w:rsidRPr="00305786" w:rsidRDefault="008525D9" w:rsidP="00F376B5">
            <w:pPr>
              <w:autoSpaceDE w:val="0"/>
              <w:autoSpaceDN w:val="0"/>
              <w:adjustRightInd w:val="0"/>
              <w:rPr>
                <w:color w:val="000000"/>
                <w:lang w:eastAsia="fr-BE"/>
              </w:rPr>
            </w:pPr>
            <w:r>
              <w:rPr>
                <w:color w:val="000000"/>
                <w:sz w:val="22"/>
                <w:szCs w:val="22"/>
                <w:lang w:eastAsia="fr-BE"/>
              </w:rPr>
              <w:t>· D</w:t>
            </w:r>
            <w:r w:rsidR="00F376B5" w:rsidRPr="00305786">
              <w:rPr>
                <w:color w:val="000000"/>
                <w:sz w:val="22"/>
                <w:szCs w:val="22"/>
                <w:lang w:eastAsia="fr-BE"/>
              </w:rPr>
              <w:t>e lien social</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D’expression de soi</w:t>
            </w:r>
          </w:p>
          <w:p w:rsidR="0039146C" w:rsidRPr="00305786" w:rsidRDefault="0039146C" w:rsidP="00530920">
            <w:pPr>
              <w:autoSpaceDE w:val="0"/>
              <w:autoSpaceDN w:val="0"/>
              <w:adjustRightInd w:val="0"/>
              <w:jc w:val="both"/>
              <w:rPr>
                <w:color w:val="000000"/>
                <w:lang w:eastAsia="fr-BE"/>
              </w:rPr>
            </w:pPr>
            <w:r w:rsidRPr="00305786">
              <w:rPr>
                <w:color w:val="000000"/>
                <w:sz w:val="22"/>
                <w:szCs w:val="22"/>
                <w:lang w:eastAsia="fr-BE"/>
              </w:rPr>
              <w:t>· De spiritualité</w:t>
            </w:r>
          </w:p>
        </w:tc>
        <w:tc>
          <w:tcPr>
            <w:tcW w:w="2378" w:type="dxa"/>
            <w:vAlign w:val="center"/>
          </w:tcPr>
          <w:p w:rsidR="0039146C" w:rsidRPr="00305786" w:rsidRDefault="00530920" w:rsidP="00530920">
            <w:pPr>
              <w:rPr>
                <w:color w:val="000000"/>
                <w:lang w:eastAsia="fr-BE"/>
              </w:rPr>
            </w:pPr>
            <w:r w:rsidRPr="00305786">
              <w:rPr>
                <w:color w:val="000000"/>
                <w:sz w:val="22"/>
                <w:szCs w:val="22"/>
                <w:lang w:eastAsia="fr-BE"/>
              </w:rPr>
              <w:t>« Paradigme de Churchill » pour montrer la validité empirique : questionnaires administrés en face à face.</w:t>
            </w:r>
          </w:p>
        </w:tc>
      </w:tr>
      <w:tr w:rsidR="0039146C" w:rsidRPr="003B5966" w:rsidTr="0002034E">
        <w:trPr>
          <w:trHeight w:val="300"/>
        </w:trPr>
        <w:tc>
          <w:tcPr>
            <w:tcW w:w="1081" w:type="dxa"/>
            <w:vAlign w:val="center"/>
          </w:tcPr>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Bernardon</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(2005)</w:t>
            </w:r>
          </w:p>
          <w:p w:rsidR="0039146C" w:rsidRPr="00305786" w:rsidRDefault="0039146C" w:rsidP="00530920">
            <w:pPr>
              <w:rPr>
                <w:color w:val="000000"/>
                <w:lang w:eastAsia="fr-BE"/>
              </w:rPr>
            </w:pPr>
          </w:p>
        </w:tc>
        <w:tc>
          <w:tcPr>
            <w:tcW w:w="1613" w:type="dxa"/>
            <w:vAlign w:val="center"/>
          </w:tcPr>
          <w:p w:rsidR="0039146C" w:rsidRPr="00305786" w:rsidRDefault="0039146C" w:rsidP="00530920">
            <w:pPr>
              <w:rPr>
                <w:color w:val="000000"/>
                <w:lang w:eastAsia="fr-BE"/>
              </w:rPr>
            </w:pPr>
            <w:r w:rsidRPr="00305786">
              <w:rPr>
                <w:rFonts w:eastAsiaTheme="minorHAnsi"/>
                <w:sz w:val="22"/>
                <w:szCs w:val="22"/>
                <w:lang w:val="fr-BE" w:eastAsia="en-US"/>
              </w:rPr>
              <w:t>Comédie musicale</w:t>
            </w:r>
          </w:p>
        </w:tc>
        <w:tc>
          <w:tcPr>
            <w:tcW w:w="3970" w:type="dxa"/>
          </w:tcPr>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Hédonisme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Détente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Partage d’émotions</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Enrichissement</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Epanouissement</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Divertissement</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Amélioration des connaissances</w:t>
            </w:r>
          </w:p>
        </w:tc>
        <w:tc>
          <w:tcPr>
            <w:tcW w:w="2378" w:type="dxa"/>
            <w:vAlign w:val="center"/>
          </w:tcPr>
          <w:p w:rsidR="0039146C" w:rsidRPr="00305786" w:rsidRDefault="0039146C" w:rsidP="00530920">
            <w:pPr>
              <w:autoSpaceDE w:val="0"/>
              <w:autoSpaceDN w:val="0"/>
              <w:adjustRightInd w:val="0"/>
              <w:rPr>
                <w:rFonts w:eastAsiaTheme="minorHAnsi"/>
                <w:lang w:val="fr-BE" w:eastAsia="en-US"/>
              </w:rPr>
            </w:pPr>
            <w:r w:rsidRPr="00305786">
              <w:rPr>
                <w:color w:val="000000"/>
                <w:sz w:val="22"/>
                <w:szCs w:val="22"/>
                <w:lang w:eastAsia="fr-BE"/>
              </w:rPr>
              <w:t>Méthodologie qualitative :</w:t>
            </w:r>
            <w:r w:rsidRPr="00305786">
              <w:rPr>
                <w:rFonts w:eastAsiaTheme="minorHAnsi"/>
                <w:sz w:val="22"/>
                <w:szCs w:val="22"/>
                <w:lang w:val="fr-BE" w:eastAsia="en-US"/>
              </w:rPr>
              <w:t xml:space="preserve"> entretien semi-directif  de chanteurs dans les coulisses et questionnaire</w:t>
            </w:r>
            <w:r w:rsidR="00E86D68">
              <w:rPr>
                <w:rFonts w:eastAsiaTheme="minorHAnsi"/>
                <w:sz w:val="22"/>
                <w:szCs w:val="22"/>
                <w:lang w:val="fr-BE" w:eastAsia="en-US"/>
              </w:rPr>
              <w:t>s</w:t>
            </w:r>
          </w:p>
          <w:p w:rsidR="0039146C" w:rsidRPr="00305786" w:rsidRDefault="0039146C" w:rsidP="00530920">
            <w:pPr>
              <w:rPr>
                <w:color w:val="000000"/>
                <w:lang w:eastAsia="fr-BE"/>
              </w:rPr>
            </w:pPr>
            <w:r w:rsidRPr="00305786">
              <w:rPr>
                <w:rFonts w:eastAsiaTheme="minorHAnsi"/>
                <w:sz w:val="22"/>
                <w:szCs w:val="22"/>
                <w:lang w:val="fr-BE" w:eastAsia="en-US"/>
              </w:rPr>
              <w:t>avec questions ouvertes pour les spectateurs</w:t>
            </w:r>
            <w:r w:rsidR="00530920" w:rsidRPr="00305786">
              <w:rPr>
                <w:rFonts w:eastAsiaTheme="minorHAnsi"/>
                <w:sz w:val="22"/>
                <w:szCs w:val="22"/>
                <w:lang w:val="fr-BE" w:eastAsia="en-US"/>
              </w:rPr>
              <w:t>.</w:t>
            </w:r>
          </w:p>
        </w:tc>
      </w:tr>
      <w:tr w:rsidR="0039146C" w:rsidRPr="003B5966" w:rsidTr="0002034E">
        <w:trPr>
          <w:trHeight w:val="300"/>
        </w:trPr>
        <w:tc>
          <w:tcPr>
            <w:tcW w:w="1081" w:type="dxa"/>
            <w:vAlign w:val="center"/>
          </w:tcPr>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Collin-Lachaud</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et Passebois</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(2006)</w:t>
            </w:r>
          </w:p>
          <w:p w:rsidR="0039146C" w:rsidRPr="00305786" w:rsidRDefault="0039146C" w:rsidP="00530920">
            <w:pPr>
              <w:rPr>
                <w:color w:val="000000"/>
                <w:lang w:eastAsia="fr-BE"/>
              </w:rPr>
            </w:pPr>
          </w:p>
        </w:tc>
        <w:tc>
          <w:tcPr>
            <w:tcW w:w="1613" w:type="dxa"/>
            <w:vAlign w:val="center"/>
          </w:tcPr>
          <w:p w:rsidR="0039146C" w:rsidRPr="00305786" w:rsidRDefault="003E0128" w:rsidP="00530920">
            <w:pPr>
              <w:autoSpaceDE w:val="0"/>
              <w:autoSpaceDN w:val="0"/>
              <w:adjustRightInd w:val="0"/>
              <w:rPr>
                <w:rFonts w:eastAsiaTheme="minorHAnsi"/>
                <w:lang w:val="fr-BE" w:eastAsia="en-US"/>
              </w:rPr>
            </w:pPr>
            <w:r w:rsidRPr="00305786">
              <w:rPr>
                <w:rFonts w:eastAsiaTheme="minorHAnsi"/>
                <w:sz w:val="22"/>
                <w:szCs w:val="22"/>
                <w:lang w:val="fr-BE" w:eastAsia="en-US"/>
              </w:rPr>
              <w:t>Le palé</w:t>
            </w:r>
            <w:r w:rsidR="0039146C" w:rsidRPr="00305786">
              <w:rPr>
                <w:rFonts w:eastAsiaTheme="minorHAnsi"/>
                <w:sz w:val="22"/>
                <w:szCs w:val="22"/>
                <w:lang w:val="fr-BE" w:eastAsia="en-US"/>
              </w:rPr>
              <w:t>osite (un centre</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interactif de préhistoire)</w:t>
            </w:r>
          </w:p>
          <w:p w:rsidR="0039146C" w:rsidRPr="00305786" w:rsidRDefault="0039146C" w:rsidP="00530920">
            <w:pPr>
              <w:rPr>
                <w:color w:val="000000"/>
                <w:lang w:val="fr-BE" w:eastAsia="fr-BE"/>
              </w:rPr>
            </w:pPr>
          </w:p>
        </w:tc>
        <w:tc>
          <w:tcPr>
            <w:tcW w:w="3970" w:type="dxa"/>
          </w:tcPr>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Di</w:t>
            </w:r>
            <w:r w:rsidR="00E93B95" w:rsidRPr="00305786">
              <w:rPr>
                <w:color w:val="000000"/>
                <w:sz w:val="22"/>
                <w:szCs w:val="22"/>
                <w:lang w:eastAsia="fr-BE"/>
              </w:rPr>
              <w:t>mension cognitive, individuelle</w:t>
            </w:r>
            <w:r w:rsidRPr="00305786">
              <w:rPr>
                <w:color w:val="000000"/>
                <w:sz w:val="22"/>
                <w:szCs w:val="22"/>
                <w:lang w:eastAsia="fr-BE"/>
              </w:rPr>
              <w:t>: bénéfices intellectuels d’acquisition</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de connaissances, de compréhension et de remémoration de</w:t>
            </w:r>
            <w:r w:rsidR="00E93B95" w:rsidRPr="00305786">
              <w:rPr>
                <w:color w:val="000000"/>
                <w:sz w:val="22"/>
                <w:szCs w:val="22"/>
                <w:lang w:eastAsia="fr-BE"/>
              </w:rPr>
              <w:t xml:space="preserve"> </w:t>
            </w:r>
            <w:r w:rsidRPr="00305786">
              <w:rPr>
                <w:color w:val="000000"/>
                <w:sz w:val="22"/>
                <w:szCs w:val="22"/>
                <w:lang w:eastAsia="fr-BE"/>
              </w:rPr>
              <w:t>connaissances</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Dimension émotionnelle et sensorielle, individuelle: plaisir, divertissement, aspect ludique, évasion, émotions</w:t>
            </w:r>
          </w:p>
        </w:tc>
        <w:tc>
          <w:tcPr>
            <w:tcW w:w="2378" w:type="dxa"/>
            <w:vAlign w:val="center"/>
          </w:tcPr>
          <w:p w:rsidR="0039146C" w:rsidRPr="00305786" w:rsidRDefault="00A4678F" w:rsidP="00530920">
            <w:pPr>
              <w:rPr>
                <w:color w:val="000000"/>
                <w:lang w:eastAsia="fr-BE"/>
              </w:rPr>
            </w:pPr>
            <w:r w:rsidRPr="00305786">
              <w:rPr>
                <w:color w:val="000000"/>
                <w:sz w:val="22"/>
                <w:szCs w:val="22"/>
                <w:lang w:eastAsia="fr-BE"/>
              </w:rPr>
              <w:t>Analyse de contenu thématique manuelle de 21 entretiens semi-directifs menés auprès de visiteurs.</w:t>
            </w:r>
          </w:p>
        </w:tc>
      </w:tr>
      <w:tr w:rsidR="0039146C" w:rsidRPr="003B5966" w:rsidTr="0002034E">
        <w:trPr>
          <w:trHeight w:val="300"/>
        </w:trPr>
        <w:tc>
          <w:tcPr>
            <w:tcW w:w="1081" w:type="dxa"/>
            <w:vAlign w:val="center"/>
          </w:tcPr>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lastRenderedPageBreak/>
              <w:t>Ghariani et Smaoui (2009)</w:t>
            </w:r>
          </w:p>
        </w:tc>
        <w:tc>
          <w:tcPr>
            <w:tcW w:w="1613" w:type="dxa"/>
            <w:vAlign w:val="center"/>
          </w:tcPr>
          <w:p w:rsidR="0039146C" w:rsidRPr="00305786" w:rsidRDefault="00E93B95" w:rsidP="00530920">
            <w:pPr>
              <w:autoSpaceDE w:val="0"/>
              <w:autoSpaceDN w:val="0"/>
              <w:adjustRightInd w:val="0"/>
              <w:rPr>
                <w:rFonts w:eastAsiaTheme="minorHAnsi"/>
                <w:lang w:val="fr-BE" w:eastAsia="en-US"/>
              </w:rPr>
            </w:pPr>
            <w:r w:rsidRPr="00305786">
              <w:rPr>
                <w:rFonts w:eastAsiaTheme="minorHAnsi"/>
                <w:sz w:val="22"/>
                <w:szCs w:val="22"/>
                <w:lang w:val="fr-BE" w:eastAsia="en-US"/>
              </w:rPr>
              <w:t>L</w:t>
            </w:r>
            <w:r w:rsidR="0039146C" w:rsidRPr="00305786">
              <w:rPr>
                <w:rFonts w:eastAsiaTheme="minorHAnsi"/>
                <w:sz w:val="22"/>
                <w:szCs w:val="22"/>
                <w:lang w:val="fr-BE" w:eastAsia="en-US"/>
              </w:rPr>
              <w:t>a danse</w:t>
            </w:r>
          </w:p>
          <w:p w:rsidR="0039146C" w:rsidRPr="00305786" w:rsidRDefault="0039146C" w:rsidP="00530920">
            <w:pPr>
              <w:autoSpaceDE w:val="0"/>
              <w:autoSpaceDN w:val="0"/>
              <w:adjustRightInd w:val="0"/>
              <w:rPr>
                <w:rFonts w:eastAsiaTheme="minorHAnsi"/>
                <w:lang w:val="fr-BE" w:eastAsia="en-US"/>
              </w:rPr>
            </w:pPr>
            <w:r w:rsidRPr="00305786">
              <w:rPr>
                <w:rFonts w:eastAsiaTheme="minorHAnsi"/>
                <w:sz w:val="22"/>
                <w:szCs w:val="22"/>
                <w:lang w:val="fr-BE" w:eastAsia="en-US"/>
              </w:rPr>
              <w:t>Salsa</w:t>
            </w:r>
          </w:p>
        </w:tc>
        <w:tc>
          <w:tcPr>
            <w:tcW w:w="3970" w:type="dxa"/>
          </w:tcPr>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Une dimension cognitive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Une dimension sociale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Une dimension affective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 Le lieu de l’expérience</w:t>
            </w:r>
          </w:p>
          <w:p w:rsidR="0039146C" w:rsidRPr="00305786" w:rsidRDefault="0039146C" w:rsidP="00530920">
            <w:pPr>
              <w:autoSpaceDE w:val="0"/>
              <w:autoSpaceDN w:val="0"/>
              <w:adjustRightInd w:val="0"/>
              <w:rPr>
                <w:rFonts w:eastAsiaTheme="minorHAnsi"/>
                <w:lang w:val="fr-BE" w:eastAsia="en-US"/>
              </w:rPr>
            </w:pPr>
            <w:r w:rsidRPr="00305786">
              <w:rPr>
                <w:color w:val="000000"/>
                <w:sz w:val="22"/>
                <w:szCs w:val="22"/>
                <w:lang w:eastAsia="fr-BE"/>
              </w:rPr>
              <w:t>· Créativité et expression</w:t>
            </w:r>
          </w:p>
        </w:tc>
        <w:tc>
          <w:tcPr>
            <w:tcW w:w="2378" w:type="dxa"/>
            <w:vAlign w:val="center"/>
          </w:tcPr>
          <w:p w:rsidR="0039146C" w:rsidRPr="00305786" w:rsidRDefault="00493CA3" w:rsidP="00530920">
            <w:pPr>
              <w:autoSpaceDE w:val="0"/>
              <w:autoSpaceDN w:val="0"/>
              <w:adjustRightInd w:val="0"/>
              <w:rPr>
                <w:color w:val="000000"/>
                <w:lang w:eastAsia="fr-BE"/>
              </w:rPr>
            </w:pPr>
            <w:r w:rsidRPr="00305786">
              <w:rPr>
                <w:color w:val="000000"/>
                <w:sz w:val="22"/>
                <w:szCs w:val="22"/>
                <w:lang w:eastAsia="fr-BE"/>
              </w:rPr>
              <w:t>A</w:t>
            </w:r>
            <w:r w:rsidR="0039146C" w:rsidRPr="00305786">
              <w:rPr>
                <w:color w:val="000000"/>
                <w:sz w:val="22"/>
                <w:szCs w:val="22"/>
                <w:lang w:eastAsia="fr-BE"/>
              </w:rPr>
              <w:t>pproche ethnométhodologique</w:t>
            </w:r>
          </w:p>
          <w:p w:rsidR="0039146C" w:rsidRPr="00305786" w:rsidRDefault="0039146C" w:rsidP="00530920">
            <w:pPr>
              <w:autoSpaceDE w:val="0"/>
              <w:autoSpaceDN w:val="0"/>
              <w:adjustRightInd w:val="0"/>
              <w:rPr>
                <w:color w:val="000000"/>
                <w:lang w:eastAsia="fr-BE"/>
              </w:rPr>
            </w:pPr>
            <w:r w:rsidRPr="00305786">
              <w:rPr>
                <w:color w:val="000000"/>
                <w:sz w:val="22"/>
                <w:szCs w:val="22"/>
                <w:lang w:eastAsia="fr-BE"/>
              </w:rPr>
              <w:t>appuyée par de l’observation participante et une série d’entretiens en profondeur.</w:t>
            </w:r>
          </w:p>
        </w:tc>
      </w:tr>
    </w:tbl>
    <w:p w:rsidR="0025245B" w:rsidRDefault="0025245B" w:rsidP="007264CE">
      <w:pPr>
        <w:rPr>
          <w:b/>
          <w:bCs/>
          <w:snapToGrid w:val="0"/>
          <w:sz w:val="22"/>
          <w:szCs w:val="22"/>
        </w:rPr>
      </w:pPr>
    </w:p>
    <w:p w:rsidR="00530920" w:rsidRPr="006F78C1" w:rsidRDefault="00DB4E9E" w:rsidP="006F78C1">
      <w:pPr>
        <w:autoSpaceDE w:val="0"/>
        <w:autoSpaceDN w:val="0"/>
        <w:adjustRightInd w:val="0"/>
        <w:ind w:firstLine="426"/>
        <w:jc w:val="both"/>
        <w:rPr>
          <w:sz w:val="22"/>
          <w:szCs w:val="22"/>
        </w:rPr>
      </w:pPr>
      <w:r w:rsidRPr="006F78C1">
        <w:rPr>
          <w:sz w:val="22"/>
          <w:szCs w:val="22"/>
        </w:rPr>
        <w:t>Ces travaux révèlent différentes typologies de la valeur</w:t>
      </w:r>
      <w:r w:rsidR="00475262" w:rsidRPr="006F78C1">
        <w:rPr>
          <w:sz w:val="22"/>
          <w:szCs w:val="22"/>
        </w:rPr>
        <w:t xml:space="preserve"> associée à l’expérience d’une activité culturelle particulière</w:t>
      </w:r>
      <w:r w:rsidRPr="006F78C1">
        <w:rPr>
          <w:sz w:val="22"/>
          <w:szCs w:val="22"/>
        </w:rPr>
        <w:t xml:space="preserve">. </w:t>
      </w:r>
      <w:r w:rsidR="00EE2C60" w:rsidRPr="006F78C1">
        <w:rPr>
          <w:sz w:val="22"/>
          <w:szCs w:val="22"/>
        </w:rPr>
        <w:t>Sur le plan empirique</w:t>
      </w:r>
      <w:r w:rsidR="00530920" w:rsidRPr="006F78C1">
        <w:rPr>
          <w:sz w:val="22"/>
          <w:szCs w:val="22"/>
        </w:rPr>
        <w:t xml:space="preserve">, Pulh </w:t>
      </w:r>
      <w:r w:rsidR="00A5192C" w:rsidRPr="006F78C1">
        <w:rPr>
          <w:sz w:val="22"/>
          <w:szCs w:val="22"/>
        </w:rPr>
        <w:t>(2002</w:t>
      </w:r>
      <w:r w:rsidR="00710872" w:rsidRPr="006F78C1">
        <w:rPr>
          <w:sz w:val="22"/>
          <w:szCs w:val="22"/>
        </w:rPr>
        <w:t xml:space="preserve">) </w:t>
      </w:r>
      <w:r w:rsidR="00530920" w:rsidRPr="006F78C1">
        <w:rPr>
          <w:sz w:val="22"/>
          <w:szCs w:val="22"/>
        </w:rPr>
        <w:t>a construit une échelle de mesure de la valeur attachée à l’objet culturel</w:t>
      </w:r>
      <w:r w:rsidR="00EE2C60" w:rsidRPr="006F78C1">
        <w:rPr>
          <w:sz w:val="22"/>
          <w:szCs w:val="22"/>
        </w:rPr>
        <w:t xml:space="preserve"> da</w:t>
      </w:r>
      <w:r w:rsidR="0052503C" w:rsidRPr="006F78C1">
        <w:rPr>
          <w:sz w:val="22"/>
          <w:szCs w:val="22"/>
        </w:rPr>
        <w:t>ns le champ des festivals d’art</w:t>
      </w:r>
      <w:r w:rsidR="00EE2C60" w:rsidRPr="006F78C1">
        <w:rPr>
          <w:sz w:val="22"/>
          <w:szCs w:val="22"/>
        </w:rPr>
        <w:t xml:space="preserve"> de la rue</w:t>
      </w:r>
      <w:r w:rsidR="00710872" w:rsidRPr="006F78C1">
        <w:rPr>
          <w:sz w:val="22"/>
          <w:szCs w:val="22"/>
        </w:rPr>
        <w:t xml:space="preserve">. </w:t>
      </w:r>
    </w:p>
    <w:p w:rsidR="003D10AB" w:rsidRDefault="003D10AB" w:rsidP="007264CE">
      <w:pPr>
        <w:rPr>
          <w:b/>
          <w:bCs/>
          <w:snapToGrid w:val="0"/>
          <w:sz w:val="22"/>
          <w:szCs w:val="22"/>
        </w:rPr>
      </w:pPr>
    </w:p>
    <w:p w:rsidR="00254F01" w:rsidRPr="00917D70" w:rsidRDefault="00F376B5" w:rsidP="0002034E">
      <w:pPr>
        <w:rPr>
          <w:b/>
          <w:bCs/>
          <w:snapToGrid w:val="0"/>
          <w:sz w:val="22"/>
          <w:szCs w:val="22"/>
        </w:rPr>
      </w:pPr>
      <w:r>
        <w:rPr>
          <w:b/>
          <w:bCs/>
          <w:snapToGrid w:val="0"/>
          <w:sz w:val="22"/>
          <w:szCs w:val="22"/>
        </w:rPr>
        <w:t>3.4. L</w:t>
      </w:r>
      <w:r w:rsidRPr="00917D70">
        <w:rPr>
          <w:b/>
          <w:bCs/>
          <w:snapToGrid w:val="0"/>
          <w:sz w:val="22"/>
          <w:szCs w:val="22"/>
        </w:rPr>
        <w:t>a valeur de consommation</w:t>
      </w:r>
      <w:r>
        <w:rPr>
          <w:b/>
          <w:bCs/>
          <w:snapToGrid w:val="0"/>
          <w:sz w:val="22"/>
          <w:szCs w:val="22"/>
        </w:rPr>
        <w:t> dans le domaine des musées</w:t>
      </w:r>
    </w:p>
    <w:p w:rsidR="00EF0C2A" w:rsidRDefault="00EF0C2A" w:rsidP="00EF0C2A">
      <w:pPr>
        <w:autoSpaceDE w:val="0"/>
        <w:autoSpaceDN w:val="0"/>
        <w:adjustRightInd w:val="0"/>
        <w:ind w:firstLine="426"/>
        <w:jc w:val="both"/>
        <w:rPr>
          <w:sz w:val="22"/>
          <w:szCs w:val="22"/>
        </w:rPr>
      </w:pPr>
    </w:p>
    <w:p w:rsidR="00305786" w:rsidRDefault="00EF0C2A" w:rsidP="00EF0C2A">
      <w:pPr>
        <w:autoSpaceDE w:val="0"/>
        <w:autoSpaceDN w:val="0"/>
        <w:adjustRightInd w:val="0"/>
        <w:ind w:firstLine="426"/>
        <w:jc w:val="both"/>
        <w:rPr>
          <w:sz w:val="22"/>
          <w:szCs w:val="22"/>
        </w:rPr>
      </w:pPr>
      <w:r w:rsidRPr="003B5966">
        <w:rPr>
          <w:sz w:val="22"/>
          <w:szCs w:val="22"/>
        </w:rPr>
        <w:t>Le contexte muséal est à même de transformer l’expérience esthétique pure (rencontre</w:t>
      </w:r>
      <w:r>
        <w:rPr>
          <w:sz w:val="22"/>
          <w:szCs w:val="22"/>
        </w:rPr>
        <w:t xml:space="preserve"> </w:t>
      </w:r>
      <w:r w:rsidRPr="003B5966">
        <w:rPr>
          <w:sz w:val="22"/>
          <w:szCs w:val="22"/>
        </w:rPr>
        <w:t>entre une œuvre et un récepteur) en expérience culturelle plus riche et plus globale.</w:t>
      </w:r>
      <w:r w:rsidRPr="0025245B">
        <w:rPr>
          <w:sz w:val="22"/>
          <w:szCs w:val="22"/>
        </w:rPr>
        <w:t xml:space="preserve"> </w:t>
      </w:r>
      <w:r>
        <w:rPr>
          <w:sz w:val="22"/>
          <w:szCs w:val="22"/>
        </w:rPr>
        <w:t>L</w:t>
      </w:r>
      <w:r w:rsidRPr="002A0D93">
        <w:rPr>
          <w:sz w:val="22"/>
          <w:szCs w:val="22"/>
        </w:rPr>
        <w:t>es expériences muséales sont multidimensionnelles, personnelles et largement affectives et sociales (Falk et Dierking, 1992).</w:t>
      </w:r>
    </w:p>
    <w:p w:rsidR="00E93B95" w:rsidRDefault="00E93B95" w:rsidP="007264CE">
      <w:pPr>
        <w:jc w:val="both"/>
        <w:rPr>
          <w:sz w:val="22"/>
          <w:szCs w:val="22"/>
        </w:rPr>
      </w:pPr>
    </w:p>
    <w:p w:rsidR="007264CE" w:rsidRDefault="00F376B5" w:rsidP="001E0D00">
      <w:pPr>
        <w:ind w:firstLine="426"/>
        <w:jc w:val="both"/>
        <w:rPr>
          <w:sz w:val="22"/>
          <w:szCs w:val="22"/>
        </w:rPr>
      </w:pPr>
      <w:r w:rsidRPr="003B5966">
        <w:rPr>
          <w:sz w:val="22"/>
          <w:szCs w:val="22"/>
        </w:rPr>
        <w:t xml:space="preserve">Le tableau ci-dessous </w:t>
      </w:r>
      <w:r w:rsidR="003D10AB">
        <w:rPr>
          <w:sz w:val="22"/>
          <w:szCs w:val="22"/>
        </w:rPr>
        <w:t>présente</w:t>
      </w:r>
      <w:r w:rsidRPr="003B5966">
        <w:rPr>
          <w:sz w:val="22"/>
          <w:szCs w:val="22"/>
        </w:rPr>
        <w:t xml:space="preserve"> une synthèse de</w:t>
      </w:r>
      <w:r w:rsidR="00475262">
        <w:rPr>
          <w:sz w:val="22"/>
          <w:szCs w:val="22"/>
        </w:rPr>
        <w:t xml:space="preserve"> la méthodologie et de</w:t>
      </w:r>
      <w:r w:rsidRPr="003B5966">
        <w:rPr>
          <w:sz w:val="22"/>
          <w:szCs w:val="22"/>
        </w:rPr>
        <w:t>s résultats de travaux sur les valeurs de l’expérience de consommation dans les musées :</w:t>
      </w:r>
    </w:p>
    <w:tbl>
      <w:tblPr>
        <w:tblW w:w="9042" w:type="dxa"/>
        <w:tblInd w:w="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A0"/>
      </w:tblPr>
      <w:tblGrid>
        <w:gridCol w:w="1081"/>
        <w:gridCol w:w="1613"/>
        <w:gridCol w:w="3974"/>
        <w:gridCol w:w="2374"/>
      </w:tblGrid>
      <w:tr w:rsidR="003D10AB" w:rsidRPr="003B5966" w:rsidTr="00201D9A">
        <w:trPr>
          <w:trHeight w:val="510"/>
        </w:trPr>
        <w:tc>
          <w:tcPr>
            <w:tcW w:w="1081" w:type="dxa"/>
            <w:vAlign w:val="center"/>
          </w:tcPr>
          <w:p w:rsidR="003D10AB" w:rsidRPr="00305786" w:rsidRDefault="003D10AB" w:rsidP="00983F7A">
            <w:pPr>
              <w:jc w:val="center"/>
              <w:rPr>
                <w:color w:val="000000"/>
                <w:lang w:eastAsia="fr-BE"/>
              </w:rPr>
            </w:pPr>
            <w:r w:rsidRPr="00305786">
              <w:rPr>
                <w:bCs/>
                <w:color w:val="000000"/>
                <w:sz w:val="22"/>
                <w:szCs w:val="22"/>
                <w:lang w:eastAsia="fr-BE"/>
              </w:rPr>
              <w:t>Auteurs</w:t>
            </w:r>
          </w:p>
        </w:tc>
        <w:tc>
          <w:tcPr>
            <w:tcW w:w="1613" w:type="dxa"/>
            <w:vAlign w:val="center"/>
          </w:tcPr>
          <w:p w:rsidR="003D10AB" w:rsidRPr="00305786" w:rsidRDefault="003D10AB" w:rsidP="00983F7A">
            <w:pPr>
              <w:jc w:val="center"/>
              <w:rPr>
                <w:color w:val="000000"/>
                <w:lang w:eastAsia="fr-BE"/>
              </w:rPr>
            </w:pPr>
            <w:r w:rsidRPr="00305786">
              <w:rPr>
                <w:bCs/>
                <w:color w:val="000000"/>
                <w:sz w:val="22"/>
                <w:szCs w:val="22"/>
                <w:lang w:eastAsia="fr-BE"/>
              </w:rPr>
              <w:t>Activités culturelles étudiées</w:t>
            </w:r>
          </w:p>
        </w:tc>
        <w:tc>
          <w:tcPr>
            <w:tcW w:w="3974" w:type="dxa"/>
            <w:tcBorders>
              <w:bottom w:val="single" w:sz="4" w:space="0" w:color="000000" w:themeColor="text1"/>
            </w:tcBorders>
            <w:vAlign w:val="center"/>
          </w:tcPr>
          <w:p w:rsidR="003D10AB" w:rsidRPr="00305786" w:rsidRDefault="003D10AB" w:rsidP="00983F7A">
            <w:pPr>
              <w:jc w:val="center"/>
              <w:rPr>
                <w:color w:val="000000"/>
                <w:lang w:eastAsia="fr-BE"/>
              </w:rPr>
            </w:pPr>
            <w:r w:rsidRPr="00305786">
              <w:rPr>
                <w:bCs/>
                <w:color w:val="000000"/>
                <w:sz w:val="22"/>
                <w:szCs w:val="22"/>
                <w:lang w:eastAsia="fr-BE"/>
              </w:rPr>
              <w:t>Dimensions de l’expérience vécue par les consommateurs</w:t>
            </w:r>
          </w:p>
        </w:tc>
        <w:tc>
          <w:tcPr>
            <w:tcW w:w="2374" w:type="dxa"/>
            <w:vAlign w:val="center"/>
          </w:tcPr>
          <w:p w:rsidR="003D10AB" w:rsidRPr="00305786" w:rsidRDefault="003D10AB" w:rsidP="00983F7A">
            <w:pPr>
              <w:jc w:val="center"/>
              <w:rPr>
                <w:color w:val="000000"/>
                <w:lang w:eastAsia="fr-BE"/>
              </w:rPr>
            </w:pPr>
            <w:r w:rsidRPr="00305786">
              <w:rPr>
                <w:bCs/>
                <w:color w:val="000000"/>
                <w:sz w:val="22"/>
                <w:szCs w:val="22"/>
                <w:lang w:eastAsia="fr-BE"/>
              </w:rPr>
              <w:t>Méthodologie utilisée</w:t>
            </w:r>
          </w:p>
        </w:tc>
      </w:tr>
      <w:tr w:rsidR="007264CE" w:rsidRPr="003B5966" w:rsidTr="00201D9A">
        <w:trPr>
          <w:trHeight w:val="510"/>
        </w:trPr>
        <w:tc>
          <w:tcPr>
            <w:tcW w:w="1081" w:type="dxa"/>
            <w:vMerge w:val="restart"/>
            <w:vAlign w:val="center"/>
          </w:tcPr>
          <w:p w:rsidR="007264CE" w:rsidRPr="00305786" w:rsidRDefault="007264CE" w:rsidP="00530920">
            <w:pPr>
              <w:rPr>
                <w:color w:val="000000"/>
                <w:lang w:eastAsia="fr-BE"/>
              </w:rPr>
            </w:pPr>
            <w:r w:rsidRPr="00305786">
              <w:rPr>
                <w:color w:val="000000"/>
                <w:sz w:val="22"/>
                <w:szCs w:val="22"/>
                <w:lang w:eastAsia="fr-BE"/>
              </w:rPr>
              <w:t>Passebois et Aurier (2002)</w:t>
            </w:r>
          </w:p>
        </w:tc>
        <w:tc>
          <w:tcPr>
            <w:tcW w:w="1613" w:type="dxa"/>
            <w:vMerge w:val="restart"/>
            <w:vAlign w:val="center"/>
          </w:tcPr>
          <w:p w:rsidR="007264CE" w:rsidRPr="00305786" w:rsidRDefault="007264CE" w:rsidP="00530920">
            <w:pPr>
              <w:rPr>
                <w:color w:val="000000"/>
                <w:lang w:eastAsia="fr-BE"/>
              </w:rPr>
            </w:pPr>
            <w:r w:rsidRPr="00305786">
              <w:rPr>
                <w:color w:val="000000"/>
                <w:sz w:val="22"/>
                <w:szCs w:val="22"/>
                <w:lang w:eastAsia="fr-BE"/>
              </w:rPr>
              <w:t>Musée d’art contemporain</w:t>
            </w:r>
          </w:p>
        </w:tc>
        <w:tc>
          <w:tcPr>
            <w:tcW w:w="3974" w:type="dxa"/>
            <w:tcBorders>
              <w:bottom w:val="nil"/>
            </w:tcBorders>
          </w:tcPr>
          <w:p w:rsidR="007264CE" w:rsidRPr="00305786" w:rsidRDefault="00E93B95" w:rsidP="00E93B95">
            <w:pPr>
              <w:rPr>
                <w:color w:val="000000"/>
                <w:lang w:eastAsia="fr-BE"/>
              </w:rPr>
            </w:pPr>
            <w:r w:rsidRPr="00305786">
              <w:rPr>
                <w:color w:val="000000"/>
                <w:sz w:val="22"/>
                <w:szCs w:val="22"/>
                <w:lang w:eastAsia="fr-BE"/>
              </w:rPr>
              <w:t xml:space="preserve">· </w:t>
            </w:r>
            <w:r w:rsidR="007264CE" w:rsidRPr="00305786">
              <w:rPr>
                <w:color w:val="000000"/>
                <w:sz w:val="22"/>
                <w:szCs w:val="22"/>
                <w:lang w:eastAsia="fr-BE"/>
              </w:rPr>
              <w:t>Hédonisme : aspect ludique, valorisation de l’expérience centrée sur soi,</w:t>
            </w:r>
            <w:r w:rsidRPr="00305786">
              <w:rPr>
                <w:color w:val="000000"/>
                <w:sz w:val="22"/>
                <w:szCs w:val="22"/>
                <w:lang w:eastAsia="fr-BE"/>
              </w:rPr>
              <w:t xml:space="preserve"> convivialité</w:t>
            </w:r>
          </w:p>
        </w:tc>
        <w:tc>
          <w:tcPr>
            <w:tcW w:w="2374" w:type="dxa"/>
            <w:vMerge w:val="restart"/>
            <w:vAlign w:val="center"/>
          </w:tcPr>
          <w:p w:rsidR="007264CE" w:rsidRPr="00305786" w:rsidRDefault="007264CE" w:rsidP="00530920">
            <w:pPr>
              <w:rPr>
                <w:color w:val="000000"/>
                <w:lang w:eastAsia="fr-BE"/>
              </w:rPr>
            </w:pPr>
            <w:r w:rsidRPr="00305786">
              <w:rPr>
                <w:color w:val="000000"/>
                <w:sz w:val="22"/>
                <w:szCs w:val="22"/>
                <w:lang w:eastAsia="fr-BE"/>
              </w:rPr>
              <w:t>Analyse textuelle de "Livres d'or" et analyse de contenu thématique par entretiens semi-directifs</w:t>
            </w:r>
          </w:p>
        </w:tc>
      </w:tr>
      <w:tr w:rsidR="007264CE" w:rsidRPr="003B5966" w:rsidTr="00201D9A">
        <w:trPr>
          <w:trHeight w:val="300"/>
        </w:trPr>
        <w:tc>
          <w:tcPr>
            <w:tcW w:w="1081" w:type="dxa"/>
            <w:vMerge/>
            <w:vAlign w:val="center"/>
          </w:tcPr>
          <w:p w:rsidR="007264CE" w:rsidRPr="00305786" w:rsidRDefault="007264CE" w:rsidP="00530920">
            <w:pPr>
              <w:rPr>
                <w:color w:val="000000"/>
                <w:lang w:eastAsia="fr-BE"/>
              </w:rPr>
            </w:pPr>
          </w:p>
        </w:tc>
        <w:tc>
          <w:tcPr>
            <w:tcW w:w="1613" w:type="dxa"/>
            <w:vMerge/>
            <w:vAlign w:val="center"/>
          </w:tcPr>
          <w:p w:rsidR="007264CE" w:rsidRPr="00305786" w:rsidRDefault="007264CE" w:rsidP="00530920">
            <w:pPr>
              <w:rPr>
                <w:color w:val="000000"/>
                <w:lang w:eastAsia="fr-BE"/>
              </w:rPr>
            </w:pPr>
          </w:p>
        </w:tc>
        <w:tc>
          <w:tcPr>
            <w:tcW w:w="3974" w:type="dxa"/>
            <w:tcBorders>
              <w:top w:val="nil"/>
              <w:bottom w:val="nil"/>
            </w:tcBorders>
          </w:tcPr>
          <w:p w:rsidR="007264CE" w:rsidRPr="00305786" w:rsidRDefault="00E93B95" w:rsidP="00530920">
            <w:pPr>
              <w:rPr>
                <w:color w:val="000000"/>
                <w:lang w:eastAsia="fr-BE"/>
              </w:rPr>
            </w:pPr>
            <w:r w:rsidRPr="00305786">
              <w:rPr>
                <w:color w:val="000000"/>
                <w:sz w:val="22"/>
                <w:szCs w:val="22"/>
                <w:lang w:eastAsia="fr-BE"/>
              </w:rPr>
              <w:t>· Participation et interaction avec l’artiste : expertise</w:t>
            </w:r>
          </w:p>
        </w:tc>
        <w:tc>
          <w:tcPr>
            <w:tcW w:w="2374" w:type="dxa"/>
            <w:vMerge/>
            <w:vAlign w:val="center"/>
          </w:tcPr>
          <w:p w:rsidR="007264CE" w:rsidRPr="00305786" w:rsidRDefault="007264CE" w:rsidP="00530920">
            <w:pPr>
              <w:rPr>
                <w:color w:val="000000"/>
                <w:lang w:eastAsia="fr-BE"/>
              </w:rPr>
            </w:pPr>
          </w:p>
        </w:tc>
      </w:tr>
      <w:tr w:rsidR="007264CE" w:rsidRPr="003B5966" w:rsidTr="00201D9A">
        <w:trPr>
          <w:trHeight w:val="510"/>
        </w:trPr>
        <w:tc>
          <w:tcPr>
            <w:tcW w:w="1081" w:type="dxa"/>
            <w:vMerge/>
            <w:vAlign w:val="center"/>
          </w:tcPr>
          <w:p w:rsidR="007264CE" w:rsidRPr="00305786" w:rsidRDefault="007264CE" w:rsidP="00530920">
            <w:pPr>
              <w:rPr>
                <w:color w:val="000000"/>
                <w:lang w:eastAsia="fr-BE"/>
              </w:rPr>
            </w:pPr>
          </w:p>
        </w:tc>
        <w:tc>
          <w:tcPr>
            <w:tcW w:w="1613" w:type="dxa"/>
            <w:vMerge/>
            <w:vAlign w:val="center"/>
          </w:tcPr>
          <w:p w:rsidR="007264CE" w:rsidRPr="00305786" w:rsidRDefault="007264CE" w:rsidP="00530920">
            <w:pPr>
              <w:rPr>
                <w:color w:val="000000"/>
                <w:lang w:eastAsia="fr-BE"/>
              </w:rPr>
            </w:pPr>
          </w:p>
        </w:tc>
        <w:tc>
          <w:tcPr>
            <w:tcW w:w="3974" w:type="dxa"/>
            <w:tcBorders>
              <w:top w:val="nil"/>
              <w:bottom w:val="single" w:sz="4" w:space="0" w:color="000000" w:themeColor="text1"/>
            </w:tcBorders>
          </w:tcPr>
          <w:p w:rsidR="007264CE" w:rsidRPr="00305786" w:rsidRDefault="00E93B95" w:rsidP="00530920">
            <w:pPr>
              <w:rPr>
                <w:color w:val="000000"/>
                <w:lang w:eastAsia="fr-BE"/>
              </w:rPr>
            </w:pPr>
            <w:r w:rsidRPr="00305786">
              <w:rPr>
                <w:color w:val="000000"/>
                <w:sz w:val="22"/>
                <w:szCs w:val="22"/>
                <w:lang w:eastAsia="fr-BE"/>
              </w:rPr>
              <w:t>· Stimulation cognitive : éléments sensoriels/d’atmosphère, esthétique</w:t>
            </w:r>
          </w:p>
        </w:tc>
        <w:tc>
          <w:tcPr>
            <w:tcW w:w="2374" w:type="dxa"/>
            <w:vMerge/>
            <w:vAlign w:val="center"/>
          </w:tcPr>
          <w:p w:rsidR="007264CE" w:rsidRPr="00305786" w:rsidRDefault="007264CE" w:rsidP="00530920">
            <w:pPr>
              <w:rPr>
                <w:color w:val="000000"/>
                <w:lang w:eastAsia="fr-BE"/>
              </w:rPr>
            </w:pPr>
          </w:p>
        </w:tc>
      </w:tr>
      <w:tr w:rsidR="001E0D00" w:rsidRPr="003B5966" w:rsidTr="00201D9A">
        <w:trPr>
          <w:trHeight w:val="510"/>
        </w:trPr>
        <w:tc>
          <w:tcPr>
            <w:tcW w:w="1081" w:type="dxa"/>
            <w:vAlign w:val="center"/>
          </w:tcPr>
          <w:p w:rsidR="001E0D00" w:rsidRPr="00305786" w:rsidRDefault="001E0D00" w:rsidP="00336CA2">
            <w:pPr>
              <w:rPr>
                <w:color w:val="000000"/>
                <w:lang w:eastAsia="fr-BE"/>
              </w:rPr>
            </w:pPr>
            <w:r w:rsidRPr="00305786">
              <w:rPr>
                <w:color w:val="000000"/>
                <w:sz w:val="22"/>
                <w:szCs w:val="22"/>
                <w:lang w:eastAsia="fr-BE"/>
              </w:rPr>
              <w:t xml:space="preserve">Joy et Sherry- </w:t>
            </w:r>
            <w:r>
              <w:rPr>
                <w:color w:val="000000"/>
                <w:sz w:val="22"/>
                <w:szCs w:val="22"/>
                <w:lang w:eastAsia="fr-BE"/>
              </w:rPr>
              <w:t>(</w:t>
            </w:r>
            <w:r w:rsidRPr="00305786">
              <w:rPr>
                <w:color w:val="000000"/>
                <w:sz w:val="22"/>
                <w:szCs w:val="22"/>
                <w:lang w:eastAsia="fr-BE"/>
              </w:rPr>
              <w:t>2003</w:t>
            </w:r>
            <w:r>
              <w:rPr>
                <w:color w:val="000000"/>
                <w:sz w:val="22"/>
                <w:szCs w:val="22"/>
                <w:lang w:eastAsia="fr-BE"/>
              </w:rPr>
              <w:t>)</w:t>
            </w:r>
          </w:p>
        </w:tc>
        <w:tc>
          <w:tcPr>
            <w:tcW w:w="1613" w:type="dxa"/>
            <w:vAlign w:val="center"/>
          </w:tcPr>
          <w:p w:rsidR="001E0D00" w:rsidRPr="00305786" w:rsidRDefault="001E0D00" w:rsidP="00336CA2">
            <w:pPr>
              <w:rPr>
                <w:color w:val="000000"/>
                <w:lang w:eastAsia="fr-BE"/>
              </w:rPr>
            </w:pPr>
            <w:r w:rsidRPr="00305786">
              <w:rPr>
                <w:color w:val="000000"/>
                <w:sz w:val="22"/>
                <w:szCs w:val="22"/>
                <w:lang w:eastAsia="fr-BE"/>
              </w:rPr>
              <w:t>Musées d’art contemporain</w:t>
            </w:r>
          </w:p>
        </w:tc>
        <w:tc>
          <w:tcPr>
            <w:tcW w:w="3974" w:type="dxa"/>
            <w:tcBorders>
              <w:bottom w:val="nil"/>
            </w:tcBorders>
            <w:vAlign w:val="center"/>
          </w:tcPr>
          <w:p w:rsidR="001E0D00" w:rsidRPr="00305786" w:rsidRDefault="001E0D00" w:rsidP="00336CA2">
            <w:pPr>
              <w:rPr>
                <w:color w:val="000000"/>
                <w:lang w:eastAsia="fr-BE"/>
              </w:rPr>
            </w:pPr>
            <w:r w:rsidRPr="00305786">
              <w:rPr>
                <w:color w:val="000000"/>
                <w:sz w:val="22"/>
                <w:szCs w:val="22"/>
                <w:lang w:eastAsia="fr-BE"/>
              </w:rPr>
              <w:t>· Expérience somatique, polysensorielle</w:t>
            </w:r>
          </w:p>
        </w:tc>
        <w:tc>
          <w:tcPr>
            <w:tcW w:w="2374" w:type="dxa"/>
            <w:vAlign w:val="center"/>
          </w:tcPr>
          <w:p w:rsidR="001E0D00" w:rsidRPr="00305786" w:rsidRDefault="001E0D00" w:rsidP="00201D9A">
            <w:pPr>
              <w:rPr>
                <w:color w:val="000000"/>
                <w:lang w:eastAsia="fr-BE"/>
              </w:rPr>
            </w:pPr>
            <w:r>
              <w:rPr>
                <w:color w:val="000000"/>
                <w:sz w:val="22"/>
                <w:szCs w:val="22"/>
                <w:lang w:eastAsia="fr-BE"/>
              </w:rPr>
              <w:t>Méthode e</w:t>
            </w:r>
            <w:r w:rsidRPr="00305786">
              <w:rPr>
                <w:color w:val="000000"/>
                <w:sz w:val="22"/>
                <w:szCs w:val="22"/>
                <w:lang w:eastAsia="fr-BE"/>
              </w:rPr>
              <w:t>thnographique: données d'observations en prenant des notes, en utilisant du matériel visuel et en menant des interviews.</w:t>
            </w:r>
          </w:p>
        </w:tc>
      </w:tr>
      <w:tr w:rsidR="008525D9" w:rsidRPr="003B5966" w:rsidTr="00201D9A">
        <w:trPr>
          <w:trHeight w:val="2319"/>
        </w:trPr>
        <w:tc>
          <w:tcPr>
            <w:tcW w:w="1081" w:type="dxa"/>
            <w:vAlign w:val="center"/>
          </w:tcPr>
          <w:p w:rsidR="008525D9" w:rsidRPr="00305786" w:rsidRDefault="008525D9" w:rsidP="00336CA2">
            <w:pPr>
              <w:rPr>
                <w:color w:val="000000"/>
                <w:lang w:eastAsia="fr-BE"/>
              </w:rPr>
            </w:pPr>
            <w:r w:rsidRPr="00305786">
              <w:rPr>
                <w:color w:val="000000"/>
                <w:sz w:val="22"/>
                <w:szCs w:val="22"/>
                <w:lang w:eastAsia="fr-BE"/>
              </w:rPr>
              <w:t xml:space="preserve">Evrard (2005) </w:t>
            </w:r>
          </w:p>
        </w:tc>
        <w:tc>
          <w:tcPr>
            <w:tcW w:w="1613" w:type="dxa"/>
            <w:vAlign w:val="center"/>
          </w:tcPr>
          <w:p w:rsidR="008525D9" w:rsidRPr="00305786" w:rsidRDefault="008525D9" w:rsidP="00336CA2">
            <w:pPr>
              <w:rPr>
                <w:color w:val="000000"/>
                <w:lang w:eastAsia="fr-BE"/>
              </w:rPr>
            </w:pPr>
            <w:r w:rsidRPr="00305786">
              <w:rPr>
                <w:color w:val="000000"/>
                <w:sz w:val="22"/>
                <w:szCs w:val="22"/>
                <w:lang w:eastAsia="fr-BE"/>
              </w:rPr>
              <w:t>Musées, spectacles</w:t>
            </w:r>
          </w:p>
        </w:tc>
        <w:tc>
          <w:tcPr>
            <w:tcW w:w="3974" w:type="dxa"/>
          </w:tcPr>
          <w:p w:rsidR="008525D9" w:rsidRPr="00305786" w:rsidRDefault="008525D9" w:rsidP="00336CA2">
            <w:pPr>
              <w:rPr>
                <w:color w:val="000000"/>
                <w:lang w:eastAsia="fr-BE"/>
              </w:rPr>
            </w:pPr>
            <w:r w:rsidRPr="00305786">
              <w:rPr>
                <w:color w:val="000000"/>
                <w:sz w:val="22"/>
                <w:szCs w:val="22"/>
                <w:lang w:eastAsia="fr-BE"/>
              </w:rPr>
              <w:t>· Valeurs extrinsèque</w:t>
            </w:r>
            <w:r>
              <w:rPr>
                <w:color w:val="000000"/>
                <w:sz w:val="22"/>
                <w:szCs w:val="22"/>
                <w:lang w:eastAsia="fr-BE"/>
              </w:rPr>
              <w:t>s</w:t>
            </w:r>
            <w:r w:rsidRPr="00305786">
              <w:rPr>
                <w:color w:val="000000"/>
                <w:sz w:val="22"/>
                <w:szCs w:val="22"/>
                <w:lang w:eastAsia="fr-BE"/>
              </w:rPr>
              <w:t>/orientées vers soi : utilitaire, connaissance</w:t>
            </w:r>
          </w:p>
          <w:p w:rsidR="008525D9" w:rsidRPr="00305786" w:rsidRDefault="008525D9" w:rsidP="00530920">
            <w:pPr>
              <w:rPr>
                <w:color w:val="000000"/>
                <w:lang w:eastAsia="fr-BE"/>
              </w:rPr>
            </w:pPr>
            <w:r w:rsidRPr="00305786">
              <w:rPr>
                <w:color w:val="000000"/>
                <w:sz w:val="22"/>
                <w:szCs w:val="22"/>
                <w:lang w:eastAsia="fr-BE"/>
              </w:rPr>
              <w:t>· Valeurs intrinsèques/orientées vers soi : hédoniques/esthétiques, stimulation expérientielle</w:t>
            </w:r>
          </w:p>
          <w:p w:rsidR="008525D9" w:rsidRPr="00305786" w:rsidRDefault="008525D9" w:rsidP="00530920">
            <w:pPr>
              <w:rPr>
                <w:color w:val="000000"/>
                <w:lang w:eastAsia="fr-BE"/>
              </w:rPr>
            </w:pPr>
            <w:r w:rsidRPr="00305786">
              <w:rPr>
                <w:color w:val="000000"/>
                <w:sz w:val="22"/>
                <w:szCs w:val="22"/>
                <w:lang w:eastAsia="fr-BE"/>
              </w:rPr>
              <w:t>· Valeurs extrinsèques/orientées vers les autres : auto-expression, lien social</w:t>
            </w:r>
          </w:p>
          <w:p w:rsidR="008525D9" w:rsidRPr="00305786" w:rsidRDefault="008525D9" w:rsidP="00530920">
            <w:pPr>
              <w:rPr>
                <w:color w:val="000000"/>
                <w:lang w:eastAsia="fr-BE"/>
              </w:rPr>
            </w:pPr>
            <w:r w:rsidRPr="00305786">
              <w:rPr>
                <w:color w:val="000000"/>
                <w:sz w:val="22"/>
                <w:szCs w:val="22"/>
                <w:lang w:eastAsia="fr-BE"/>
              </w:rPr>
              <w:t>· Valeurs intrinsèques/orientées vers les autres: pratiques sociales, spiritualité</w:t>
            </w:r>
          </w:p>
        </w:tc>
        <w:tc>
          <w:tcPr>
            <w:tcW w:w="2374" w:type="dxa"/>
            <w:vAlign w:val="center"/>
          </w:tcPr>
          <w:p w:rsidR="008525D9" w:rsidRPr="00305786" w:rsidRDefault="008525D9" w:rsidP="00336CA2">
            <w:pPr>
              <w:rPr>
                <w:color w:val="000000"/>
                <w:lang w:eastAsia="fr-BE"/>
              </w:rPr>
            </w:pPr>
            <w:r w:rsidRPr="00305786">
              <w:rPr>
                <w:color w:val="000000"/>
                <w:sz w:val="22"/>
                <w:szCs w:val="22"/>
                <w:lang w:eastAsia="fr-BE"/>
              </w:rPr>
              <w:t>30 "essais" ont été écrits par des répondants sur base de consignes bien précises. Ensuite, les auteurs procèdent à une analyse thématique.</w:t>
            </w:r>
          </w:p>
        </w:tc>
      </w:tr>
      <w:tr w:rsidR="001E0D00" w:rsidRPr="003B5966" w:rsidTr="00201D9A">
        <w:trPr>
          <w:trHeight w:val="510"/>
        </w:trPr>
        <w:tc>
          <w:tcPr>
            <w:tcW w:w="1081" w:type="dxa"/>
            <w:vMerge w:val="restart"/>
            <w:vAlign w:val="center"/>
          </w:tcPr>
          <w:p w:rsidR="001E0D00" w:rsidRPr="00305786" w:rsidRDefault="001E0D00" w:rsidP="00530920">
            <w:pPr>
              <w:rPr>
                <w:color w:val="000000"/>
                <w:lang w:eastAsia="fr-BE"/>
              </w:rPr>
            </w:pPr>
            <w:r w:rsidRPr="00305786">
              <w:rPr>
                <w:color w:val="000000"/>
                <w:sz w:val="22"/>
                <w:szCs w:val="22"/>
                <w:lang w:eastAsia="fr-BE"/>
              </w:rPr>
              <w:t>Bourgeon- Renault, Urbain, Petr, Le Gall-Ely et Gombault -2006</w:t>
            </w:r>
          </w:p>
        </w:tc>
        <w:tc>
          <w:tcPr>
            <w:tcW w:w="1613" w:type="dxa"/>
            <w:vMerge w:val="restart"/>
            <w:vAlign w:val="center"/>
          </w:tcPr>
          <w:p w:rsidR="001E0D00" w:rsidRPr="00305786" w:rsidRDefault="001E0D00" w:rsidP="00530920">
            <w:pPr>
              <w:rPr>
                <w:color w:val="000000"/>
                <w:lang w:eastAsia="fr-BE"/>
              </w:rPr>
            </w:pPr>
            <w:r w:rsidRPr="00305786">
              <w:rPr>
                <w:color w:val="000000"/>
                <w:sz w:val="22"/>
                <w:szCs w:val="22"/>
                <w:lang w:eastAsia="fr-BE"/>
              </w:rPr>
              <w:t>Monuments et musées  vivants et cinéma</w:t>
            </w:r>
          </w:p>
        </w:tc>
        <w:tc>
          <w:tcPr>
            <w:tcW w:w="3974" w:type="dxa"/>
            <w:tcBorders>
              <w:bottom w:val="nil"/>
            </w:tcBorders>
          </w:tcPr>
          <w:p w:rsidR="001E0D00" w:rsidRPr="00305786" w:rsidRDefault="001E0D00" w:rsidP="00530920">
            <w:pPr>
              <w:rPr>
                <w:color w:val="000000"/>
                <w:lang w:eastAsia="fr-BE"/>
              </w:rPr>
            </w:pPr>
            <w:r w:rsidRPr="00305786">
              <w:rPr>
                <w:color w:val="000000"/>
                <w:sz w:val="22"/>
                <w:szCs w:val="22"/>
                <w:lang w:eastAsia="fr-BE"/>
              </w:rPr>
              <w:t>· Dimension cognitive : acquisition du savoir, besoin de réflexion</w:t>
            </w:r>
          </w:p>
        </w:tc>
        <w:tc>
          <w:tcPr>
            <w:tcW w:w="2374" w:type="dxa"/>
            <w:vMerge w:val="restart"/>
            <w:vAlign w:val="center"/>
          </w:tcPr>
          <w:p w:rsidR="001E0D00" w:rsidRPr="00305786" w:rsidRDefault="001E0D00" w:rsidP="00530920">
            <w:pPr>
              <w:rPr>
                <w:color w:val="000000"/>
                <w:lang w:eastAsia="fr-BE"/>
              </w:rPr>
            </w:pPr>
            <w:r w:rsidRPr="00305786">
              <w:rPr>
                <w:color w:val="000000"/>
                <w:sz w:val="22"/>
                <w:szCs w:val="22"/>
                <w:lang w:eastAsia="fr-BE"/>
              </w:rPr>
              <w:t>Méthodologie exploratoire, semi-inductive et qualitative. Entretiens individuels et par groupes, observations des comportements</w:t>
            </w:r>
            <w:r w:rsidR="008525D9">
              <w:rPr>
                <w:color w:val="000000"/>
                <w:sz w:val="22"/>
                <w:szCs w:val="22"/>
                <w:lang w:eastAsia="fr-BE"/>
              </w:rPr>
              <w:t>,</w:t>
            </w:r>
            <w:r w:rsidRPr="00305786">
              <w:rPr>
                <w:color w:val="000000"/>
                <w:sz w:val="22"/>
                <w:szCs w:val="22"/>
                <w:lang w:eastAsia="fr-BE"/>
              </w:rPr>
              <w:t xml:space="preserve"> suivies d'entretiens. </w:t>
            </w:r>
          </w:p>
        </w:tc>
      </w:tr>
      <w:tr w:rsidR="001E0D00" w:rsidRPr="003B5966" w:rsidTr="00201D9A">
        <w:trPr>
          <w:trHeight w:val="510"/>
        </w:trPr>
        <w:tc>
          <w:tcPr>
            <w:tcW w:w="1081" w:type="dxa"/>
            <w:vMerge/>
            <w:vAlign w:val="center"/>
          </w:tcPr>
          <w:p w:rsidR="001E0D00" w:rsidRPr="00305786" w:rsidRDefault="001E0D00" w:rsidP="00530920">
            <w:pPr>
              <w:rPr>
                <w:color w:val="000000"/>
                <w:lang w:eastAsia="fr-BE"/>
              </w:rPr>
            </w:pPr>
          </w:p>
        </w:tc>
        <w:tc>
          <w:tcPr>
            <w:tcW w:w="1613" w:type="dxa"/>
            <w:vMerge/>
            <w:vAlign w:val="center"/>
          </w:tcPr>
          <w:p w:rsidR="001E0D00" w:rsidRPr="00305786" w:rsidRDefault="001E0D00" w:rsidP="00530920">
            <w:pPr>
              <w:rPr>
                <w:color w:val="000000"/>
                <w:lang w:eastAsia="fr-BE"/>
              </w:rPr>
            </w:pPr>
          </w:p>
        </w:tc>
        <w:tc>
          <w:tcPr>
            <w:tcW w:w="3974" w:type="dxa"/>
            <w:tcBorders>
              <w:top w:val="nil"/>
              <w:bottom w:val="nil"/>
            </w:tcBorders>
          </w:tcPr>
          <w:p w:rsidR="001E0D00" w:rsidRPr="00305786" w:rsidRDefault="001E0D00" w:rsidP="00530920">
            <w:pPr>
              <w:rPr>
                <w:color w:val="000000"/>
                <w:lang w:eastAsia="fr-BE"/>
              </w:rPr>
            </w:pPr>
            <w:r w:rsidRPr="00305786">
              <w:rPr>
                <w:color w:val="000000"/>
                <w:sz w:val="22"/>
                <w:szCs w:val="22"/>
                <w:lang w:eastAsia="fr-BE"/>
              </w:rPr>
              <w:t>· Dimension affective : recherche de variété, émotions, imaginaire et évasion, plaisir sensoriel</w:t>
            </w:r>
          </w:p>
        </w:tc>
        <w:tc>
          <w:tcPr>
            <w:tcW w:w="2374" w:type="dxa"/>
            <w:vMerge/>
            <w:vAlign w:val="center"/>
          </w:tcPr>
          <w:p w:rsidR="001E0D00" w:rsidRPr="00305786" w:rsidRDefault="001E0D00" w:rsidP="00530920">
            <w:pPr>
              <w:rPr>
                <w:color w:val="000000"/>
                <w:lang w:eastAsia="fr-BE"/>
              </w:rPr>
            </w:pPr>
          </w:p>
        </w:tc>
      </w:tr>
      <w:tr w:rsidR="001E0D00" w:rsidRPr="003B5966" w:rsidTr="00201D9A">
        <w:trPr>
          <w:trHeight w:val="300"/>
        </w:trPr>
        <w:tc>
          <w:tcPr>
            <w:tcW w:w="1081" w:type="dxa"/>
            <w:vMerge/>
            <w:vAlign w:val="center"/>
          </w:tcPr>
          <w:p w:rsidR="001E0D00" w:rsidRPr="00305786" w:rsidRDefault="001E0D00" w:rsidP="00530920">
            <w:pPr>
              <w:rPr>
                <w:color w:val="000000"/>
                <w:lang w:eastAsia="fr-BE"/>
              </w:rPr>
            </w:pPr>
          </w:p>
        </w:tc>
        <w:tc>
          <w:tcPr>
            <w:tcW w:w="1613" w:type="dxa"/>
            <w:vMerge/>
            <w:vAlign w:val="center"/>
          </w:tcPr>
          <w:p w:rsidR="001E0D00" w:rsidRPr="00305786" w:rsidRDefault="001E0D00" w:rsidP="00530920">
            <w:pPr>
              <w:rPr>
                <w:color w:val="000000"/>
                <w:lang w:eastAsia="fr-BE"/>
              </w:rPr>
            </w:pPr>
          </w:p>
        </w:tc>
        <w:tc>
          <w:tcPr>
            <w:tcW w:w="3974" w:type="dxa"/>
            <w:tcBorders>
              <w:top w:val="nil"/>
              <w:bottom w:val="nil"/>
            </w:tcBorders>
          </w:tcPr>
          <w:p w:rsidR="001E0D00" w:rsidRPr="00305786" w:rsidRDefault="001E0D00" w:rsidP="00530920">
            <w:pPr>
              <w:rPr>
                <w:color w:val="000000"/>
                <w:lang w:eastAsia="fr-BE"/>
              </w:rPr>
            </w:pPr>
            <w:r w:rsidRPr="00305786">
              <w:rPr>
                <w:color w:val="000000"/>
                <w:sz w:val="22"/>
                <w:szCs w:val="22"/>
                <w:lang w:eastAsia="fr-BE"/>
              </w:rPr>
              <w:t>· Dimension atmosphérique et reliée à l’humeur</w:t>
            </w:r>
          </w:p>
        </w:tc>
        <w:tc>
          <w:tcPr>
            <w:tcW w:w="2374" w:type="dxa"/>
            <w:vMerge/>
            <w:vAlign w:val="center"/>
          </w:tcPr>
          <w:p w:rsidR="001E0D00" w:rsidRPr="00305786" w:rsidRDefault="001E0D00" w:rsidP="00530920">
            <w:pPr>
              <w:rPr>
                <w:color w:val="000000"/>
                <w:lang w:eastAsia="fr-BE"/>
              </w:rPr>
            </w:pPr>
          </w:p>
        </w:tc>
      </w:tr>
      <w:tr w:rsidR="001E0D00" w:rsidRPr="003B5966" w:rsidTr="00201D9A">
        <w:trPr>
          <w:trHeight w:val="286"/>
        </w:trPr>
        <w:tc>
          <w:tcPr>
            <w:tcW w:w="1081" w:type="dxa"/>
            <w:vMerge/>
            <w:vAlign w:val="center"/>
          </w:tcPr>
          <w:p w:rsidR="001E0D00" w:rsidRPr="00305786" w:rsidRDefault="001E0D00" w:rsidP="00530920">
            <w:pPr>
              <w:rPr>
                <w:color w:val="000000"/>
                <w:lang w:eastAsia="fr-BE"/>
              </w:rPr>
            </w:pPr>
          </w:p>
        </w:tc>
        <w:tc>
          <w:tcPr>
            <w:tcW w:w="1613" w:type="dxa"/>
            <w:vMerge/>
            <w:vAlign w:val="center"/>
          </w:tcPr>
          <w:p w:rsidR="001E0D00" w:rsidRPr="00305786" w:rsidRDefault="001E0D00" w:rsidP="00530920">
            <w:pPr>
              <w:rPr>
                <w:color w:val="000000"/>
                <w:lang w:eastAsia="fr-BE"/>
              </w:rPr>
            </w:pPr>
          </w:p>
        </w:tc>
        <w:tc>
          <w:tcPr>
            <w:tcW w:w="3974" w:type="dxa"/>
            <w:tcBorders>
              <w:top w:val="nil"/>
              <w:bottom w:val="single" w:sz="4" w:space="0" w:color="000000" w:themeColor="text1"/>
            </w:tcBorders>
          </w:tcPr>
          <w:p w:rsidR="001E0D00" w:rsidRPr="00305786" w:rsidRDefault="001E0D00" w:rsidP="00530920">
            <w:pPr>
              <w:rPr>
                <w:color w:val="000000"/>
                <w:lang w:eastAsia="fr-BE"/>
              </w:rPr>
            </w:pPr>
            <w:r w:rsidRPr="00305786">
              <w:rPr>
                <w:color w:val="000000"/>
                <w:sz w:val="22"/>
                <w:szCs w:val="22"/>
                <w:lang w:eastAsia="fr-BE"/>
              </w:rPr>
              <w:t>· Dimension d’échange social</w:t>
            </w:r>
          </w:p>
        </w:tc>
        <w:tc>
          <w:tcPr>
            <w:tcW w:w="2374" w:type="dxa"/>
            <w:vMerge/>
            <w:vAlign w:val="center"/>
          </w:tcPr>
          <w:p w:rsidR="001E0D00" w:rsidRPr="00305786" w:rsidRDefault="001E0D00" w:rsidP="00530920">
            <w:pPr>
              <w:rPr>
                <w:color w:val="000000"/>
                <w:lang w:eastAsia="fr-BE"/>
              </w:rPr>
            </w:pPr>
          </w:p>
        </w:tc>
      </w:tr>
    </w:tbl>
    <w:p w:rsidR="007E0B30" w:rsidRPr="00530920" w:rsidRDefault="00336CA2" w:rsidP="0002034E">
      <w:pPr>
        <w:ind w:firstLine="426"/>
        <w:jc w:val="both"/>
        <w:rPr>
          <w:rFonts w:eastAsia="Calibri"/>
          <w:color w:val="000000"/>
          <w:sz w:val="22"/>
          <w:szCs w:val="22"/>
          <w:lang w:val="fr-BE" w:eastAsia="en-US"/>
        </w:rPr>
      </w:pPr>
      <w:r>
        <w:rPr>
          <w:sz w:val="22"/>
          <w:szCs w:val="22"/>
        </w:rPr>
        <w:lastRenderedPageBreak/>
        <w:t xml:space="preserve">A côté de ces travaux, nous retrouvons des synthèses de ces différentes typologies dans la partie conceptuelle de plusieurs articles. En effet, sur </w:t>
      </w:r>
      <w:r w:rsidR="00EF0C2A" w:rsidRPr="003B5966">
        <w:rPr>
          <w:sz w:val="22"/>
          <w:szCs w:val="22"/>
        </w:rPr>
        <w:t xml:space="preserve">base des travaux traitant de la valeur perçue </w:t>
      </w:r>
      <w:r w:rsidR="00EF0C2A">
        <w:rPr>
          <w:sz w:val="22"/>
          <w:szCs w:val="22"/>
        </w:rPr>
        <w:t>suite à</w:t>
      </w:r>
      <w:r w:rsidR="00EF0C2A" w:rsidRPr="003B5966">
        <w:rPr>
          <w:sz w:val="22"/>
          <w:szCs w:val="22"/>
        </w:rPr>
        <w:t xml:space="preserve"> des expériences de consommation (Aurier </w:t>
      </w:r>
      <w:r w:rsidR="00EF0C2A" w:rsidRPr="006C2F64">
        <w:rPr>
          <w:sz w:val="22"/>
          <w:szCs w:val="22"/>
        </w:rPr>
        <w:t>et al.</w:t>
      </w:r>
      <w:r w:rsidR="00EF0C2A" w:rsidRPr="003B5966">
        <w:rPr>
          <w:sz w:val="22"/>
          <w:szCs w:val="22"/>
        </w:rPr>
        <w:t>, 2000; Evrard and Aurier, 1996; Holbrook, 1994</w:t>
      </w:r>
      <w:r w:rsidR="00EF0C2A" w:rsidRPr="00877E16">
        <w:rPr>
          <w:sz w:val="22"/>
          <w:szCs w:val="22"/>
        </w:rPr>
        <w:t>), Aurier et Passebois (2004) identifient</w:t>
      </w:r>
      <w:r w:rsidR="001E0D00">
        <w:rPr>
          <w:sz w:val="22"/>
          <w:szCs w:val="22"/>
        </w:rPr>
        <w:t xml:space="preserve"> et résument,</w:t>
      </w:r>
      <w:r w:rsidR="00EF0C2A" w:rsidRPr="00877E16">
        <w:rPr>
          <w:sz w:val="22"/>
          <w:szCs w:val="22"/>
        </w:rPr>
        <w:t xml:space="preserve"> dans la partie conceptuelle de leur article, les composantes de la valeur dans le domaine muséal. Certaines sont davantage liées à l’interaction entre </w:t>
      </w:r>
      <w:r w:rsidR="00BE7015">
        <w:rPr>
          <w:sz w:val="22"/>
          <w:szCs w:val="22"/>
        </w:rPr>
        <w:t xml:space="preserve">la </w:t>
      </w:r>
      <w:r w:rsidR="00EF0C2A" w:rsidRPr="00877E16">
        <w:rPr>
          <w:sz w:val="22"/>
          <w:szCs w:val="22"/>
        </w:rPr>
        <w:t xml:space="preserve">personne et </w:t>
      </w:r>
      <w:r w:rsidR="00BE7015">
        <w:rPr>
          <w:sz w:val="22"/>
          <w:szCs w:val="22"/>
        </w:rPr>
        <w:t>l’</w:t>
      </w:r>
      <w:r w:rsidR="00EF0C2A" w:rsidRPr="00877E16">
        <w:rPr>
          <w:sz w:val="22"/>
          <w:szCs w:val="22"/>
        </w:rPr>
        <w:t xml:space="preserve">objet tandis que d’autres sont attachées au contexte dans lequel cette rencontre se déroule. Ainsi, la valeur esthétique (l’expérience permet d’éprouver une émotion esthétique singulière et donne naissance à un jugement de goût), de stimulation expérientielle (l’expérience permet de se détacher de la vie quotidienne), de stimulation cognitive (l’expérience permet de réfléchir, de s’interroger) </w:t>
      </w:r>
      <w:r w:rsidR="004C59E5">
        <w:rPr>
          <w:sz w:val="22"/>
          <w:szCs w:val="22"/>
        </w:rPr>
        <w:t>et</w:t>
      </w:r>
      <w:r w:rsidR="00EF0C2A" w:rsidRPr="00877E16">
        <w:rPr>
          <w:sz w:val="22"/>
          <w:szCs w:val="22"/>
        </w:rPr>
        <w:t xml:space="preserve"> hédonique (l’expérience permet de vivre un moment de détente, de divertissement) constituent des valeurs individuelles, centrées sur les œuvres pour les deux premières et impliquant le contexte pour les deux dernières. L’expérience est également source de valorisation collective : la valeur de lien (l’exposition permet d’entretenir des liens avec des communautés), de statut (l’exposition est un moyen de conforter sa position sociale) et de pratique sociale (l’exposition est un prétexte pour se retrouver entre amis, faire quelque chose ensemble) (Debenedetti, 2003).</w:t>
      </w:r>
      <w:r w:rsidR="00EF0C2A" w:rsidRPr="00E357B3">
        <w:rPr>
          <w:sz w:val="22"/>
          <w:szCs w:val="22"/>
        </w:rPr>
        <w:t xml:space="preserve"> </w:t>
      </w:r>
      <w:r w:rsidR="00EF0C2A">
        <w:rPr>
          <w:sz w:val="22"/>
          <w:szCs w:val="22"/>
        </w:rPr>
        <w:t>Mc Manus (1987) démontre que l’aspect social des visites dans les musées ne fait pas qu’ajouter du plaisir à l’expérience vécue, mais qu’il en est l’élément central. L’interaction sociale dans les musées est un facteur primordial de mot</w:t>
      </w:r>
      <w:r w:rsidR="004C59E5">
        <w:rPr>
          <w:sz w:val="22"/>
          <w:szCs w:val="22"/>
        </w:rPr>
        <w:t>ivation du visiteur et propose</w:t>
      </w:r>
      <w:r w:rsidR="00EF0C2A">
        <w:rPr>
          <w:sz w:val="22"/>
          <w:szCs w:val="22"/>
        </w:rPr>
        <w:t xml:space="preserve"> de considérer les musées comme étant avant tout des « environnements sociaux » (Bourgeon-Renault, 2007). </w:t>
      </w:r>
      <w:r w:rsidR="007E0B30">
        <w:rPr>
          <w:rFonts w:eastAsia="Calibri"/>
          <w:color w:val="000000"/>
          <w:sz w:val="22"/>
          <w:szCs w:val="22"/>
          <w:lang w:val="fr-BE" w:eastAsia="en-US"/>
        </w:rPr>
        <w:t xml:space="preserve">Aurier et Passebois (2004) ont également mis </w:t>
      </w:r>
      <w:r w:rsidR="004C59E5">
        <w:rPr>
          <w:rFonts w:eastAsia="Calibri"/>
          <w:color w:val="000000"/>
          <w:sz w:val="22"/>
          <w:szCs w:val="22"/>
          <w:lang w:val="fr-BE" w:eastAsia="en-US"/>
        </w:rPr>
        <w:t>au</w:t>
      </w:r>
      <w:r w:rsidR="007E0B30">
        <w:rPr>
          <w:rFonts w:eastAsia="Calibri"/>
          <w:color w:val="000000"/>
          <w:sz w:val="22"/>
          <w:szCs w:val="22"/>
          <w:lang w:val="fr-BE" w:eastAsia="en-US"/>
        </w:rPr>
        <w:t xml:space="preserve"> jour une échelle de mesure des différentes composantes de la valeur dans le domaine muséal sur base des travaux existants (Bergadaà et Nyeck, 1995; Evrard et Aurier, 1996; Pulh 2002).</w:t>
      </w:r>
    </w:p>
    <w:p w:rsidR="00EF0C2A" w:rsidRDefault="00EF0C2A" w:rsidP="00EF0C2A">
      <w:pPr>
        <w:pStyle w:val="Default"/>
        <w:ind w:firstLine="426"/>
        <w:jc w:val="both"/>
        <w:rPr>
          <w:sz w:val="22"/>
          <w:szCs w:val="22"/>
        </w:rPr>
      </w:pPr>
    </w:p>
    <w:p w:rsidR="00EF0C2A" w:rsidRDefault="00D77EC6" w:rsidP="007E0B30">
      <w:pPr>
        <w:pStyle w:val="Default"/>
        <w:ind w:firstLine="426"/>
        <w:jc w:val="both"/>
        <w:rPr>
          <w:sz w:val="22"/>
          <w:szCs w:val="22"/>
        </w:rPr>
      </w:pPr>
      <w:r>
        <w:rPr>
          <w:sz w:val="22"/>
          <w:szCs w:val="22"/>
        </w:rPr>
        <w:t xml:space="preserve">Plus récemment, </w:t>
      </w:r>
      <w:r w:rsidR="00EF0C2A">
        <w:rPr>
          <w:sz w:val="22"/>
          <w:szCs w:val="22"/>
        </w:rPr>
        <w:t xml:space="preserve">Collin-Lachaud et Passebois (2006), dans leur synthèse de la littérature, croisent les différentes typologies et retiennent </w:t>
      </w:r>
      <w:r w:rsidR="004C59E5">
        <w:rPr>
          <w:sz w:val="22"/>
          <w:szCs w:val="22"/>
        </w:rPr>
        <w:t>dix</w:t>
      </w:r>
      <w:r w:rsidR="00EF0C2A">
        <w:rPr>
          <w:sz w:val="22"/>
          <w:szCs w:val="22"/>
        </w:rPr>
        <w:t xml:space="preserve"> sources de valeurs issues de l’expérience muséale :</w:t>
      </w:r>
      <w:r w:rsidR="007E0B30">
        <w:rPr>
          <w:sz w:val="22"/>
          <w:szCs w:val="22"/>
        </w:rPr>
        <w:t xml:space="preserve"> (1)</w:t>
      </w:r>
      <w:r w:rsidR="001E0D00">
        <w:rPr>
          <w:sz w:val="22"/>
          <w:szCs w:val="22"/>
        </w:rPr>
        <w:t xml:space="preserve"> </w:t>
      </w:r>
      <w:r w:rsidR="00EF0C2A" w:rsidRPr="00E00532">
        <w:rPr>
          <w:sz w:val="22"/>
          <w:szCs w:val="22"/>
        </w:rPr>
        <w:t>affective et hédonique</w:t>
      </w:r>
      <w:r w:rsidR="00BE7015">
        <w:rPr>
          <w:sz w:val="22"/>
          <w:szCs w:val="22"/>
        </w:rPr>
        <w:t xml:space="preserve">, (2) </w:t>
      </w:r>
      <w:r w:rsidR="007E0B30">
        <w:rPr>
          <w:sz w:val="22"/>
          <w:szCs w:val="22"/>
        </w:rPr>
        <w:t>e</w:t>
      </w:r>
      <w:r w:rsidR="00EF0C2A" w:rsidRPr="00E00532">
        <w:rPr>
          <w:sz w:val="22"/>
          <w:szCs w:val="22"/>
        </w:rPr>
        <w:t>sthétique</w:t>
      </w:r>
      <w:r w:rsidR="007E0B30">
        <w:rPr>
          <w:sz w:val="22"/>
          <w:szCs w:val="22"/>
        </w:rPr>
        <w:t xml:space="preserve">, </w:t>
      </w:r>
      <w:r w:rsidR="001E0D00">
        <w:rPr>
          <w:sz w:val="22"/>
          <w:szCs w:val="22"/>
        </w:rPr>
        <w:t xml:space="preserve">(3) </w:t>
      </w:r>
      <w:r w:rsidR="00EF0C2A" w:rsidRPr="00E00532">
        <w:rPr>
          <w:sz w:val="22"/>
          <w:szCs w:val="22"/>
        </w:rPr>
        <w:t>stimulation expérientielle</w:t>
      </w:r>
      <w:r w:rsidR="007E0B30">
        <w:rPr>
          <w:sz w:val="22"/>
          <w:szCs w:val="22"/>
        </w:rPr>
        <w:t xml:space="preserve">, </w:t>
      </w:r>
      <w:r w:rsidR="001E0D00">
        <w:rPr>
          <w:sz w:val="22"/>
          <w:szCs w:val="22"/>
        </w:rPr>
        <w:t xml:space="preserve">(4) </w:t>
      </w:r>
      <w:r w:rsidR="00EF0C2A" w:rsidRPr="00E00532">
        <w:rPr>
          <w:sz w:val="22"/>
          <w:szCs w:val="22"/>
        </w:rPr>
        <w:t>stimulation sensorielle</w:t>
      </w:r>
      <w:r w:rsidR="007E0B30">
        <w:rPr>
          <w:sz w:val="22"/>
          <w:szCs w:val="22"/>
        </w:rPr>
        <w:t xml:space="preserve">, </w:t>
      </w:r>
      <w:r w:rsidR="001E0D00">
        <w:rPr>
          <w:sz w:val="22"/>
          <w:szCs w:val="22"/>
        </w:rPr>
        <w:t xml:space="preserve">(5) </w:t>
      </w:r>
      <w:r w:rsidR="00EF0C2A" w:rsidRPr="00E00532">
        <w:rPr>
          <w:sz w:val="22"/>
          <w:szCs w:val="22"/>
        </w:rPr>
        <w:t>cognitive, intellectuelle</w:t>
      </w:r>
      <w:r w:rsidR="007E0B30">
        <w:rPr>
          <w:sz w:val="22"/>
          <w:szCs w:val="22"/>
        </w:rPr>
        <w:t xml:space="preserve">, </w:t>
      </w:r>
      <w:r w:rsidR="001E0D00">
        <w:rPr>
          <w:sz w:val="22"/>
          <w:szCs w:val="22"/>
        </w:rPr>
        <w:t xml:space="preserve">(6) </w:t>
      </w:r>
      <w:r w:rsidR="00EF0C2A" w:rsidRPr="00E00532">
        <w:rPr>
          <w:sz w:val="22"/>
          <w:szCs w:val="22"/>
        </w:rPr>
        <w:t>utilitaire, fonctionnelle</w:t>
      </w:r>
      <w:r w:rsidR="007E0B30">
        <w:rPr>
          <w:sz w:val="22"/>
          <w:szCs w:val="22"/>
        </w:rPr>
        <w:t xml:space="preserve">, </w:t>
      </w:r>
      <w:r w:rsidR="001E0D00">
        <w:rPr>
          <w:sz w:val="22"/>
          <w:szCs w:val="22"/>
        </w:rPr>
        <w:t xml:space="preserve">(7) </w:t>
      </w:r>
      <w:r w:rsidR="00EF0C2A" w:rsidRPr="00E00532">
        <w:rPr>
          <w:sz w:val="22"/>
          <w:szCs w:val="22"/>
        </w:rPr>
        <w:t>de spiritualité, perception mystique d’un lieu, nostalgie</w:t>
      </w:r>
      <w:r w:rsidR="007E0B30">
        <w:rPr>
          <w:sz w:val="22"/>
          <w:szCs w:val="22"/>
        </w:rPr>
        <w:t xml:space="preserve">, </w:t>
      </w:r>
      <w:r w:rsidR="001E0D00">
        <w:rPr>
          <w:sz w:val="22"/>
          <w:szCs w:val="22"/>
        </w:rPr>
        <w:t xml:space="preserve">(8) </w:t>
      </w:r>
      <w:r w:rsidR="00EF0C2A" w:rsidRPr="00E00532">
        <w:rPr>
          <w:sz w:val="22"/>
          <w:szCs w:val="22"/>
        </w:rPr>
        <w:t>d’expression de soi</w:t>
      </w:r>
      <w:r w:rsidR="007E0B30">
        <w:rPr>
          <w:sz w:val="22"/>
          <w:szCs w:val="22"/>
        </w:rPr>
        <w:t xml:space="preserve">, </w:t>
      </w:r>
      <w:r w:rsidR="001E0D00">
        <w:rPr>
          <w:sz w:val="22"/>
          <w:szCs w:val="22"/>
        </w:rPr>
        <w:t xml:space="preserve">(9) </w:t>
      </w:r>
      <w:r w:rsidR="00EF0C2A" w:rsidRPr="00E00532">
        <w:rPr>
          <w:sz w:val="22"/>
          <w:szCs w:val="22"/>
        </w:rPr>
        <w:t>de lien social</w:t>
      </w:r>
      <w:r w:rsidR="007E0B30">
        <w:rPr>
          <w:sz w:val="22"/>
          <w:szCs w:val="22"/>
        </w:rPr>
        <w:t>,</w:t>
      </w:r>
      <w:r w:rsidR="001E0D00">
        <w:rPr>
          <w:sz w:val="22"/>
          <w:szCs w:val="22"/>
        </w:rPr>
        <w:t xml:space="preserve"> (10)</w:t>
      </w:r>
      <w:r w:rsidR="007E0B30">
        <w:rPr>
          <w:sz w:val="22"/>
          <w:szCs w:val="22"/>
        </w:rPr>
        <w:t xml:space="preserve"> </w:t>
      </w:r>
      <w:r w:rsidR="00EF0C2A" w:rsidRPr="00E00532">
        <w:rPr>
          <w:sz w:val="22"/>
          <w:szCs w:val="22"/>
        </w:rPr>
        <w:t>ludique</w:t>
      </w:r>
      <w:r w:rsidR="00EF0C2A">
        <w:rPr>
          <w:sz w:val="22"/>
          <w:szCs w:val="22"/>
        </w:rPr>
        <w:t>.</w:t>
      </w:r>
    </w:p>
    <w:p w:rsidR="005B0D10" w:rsidRDefault="005B0D10" w:rsidP="007E0B30">
      <w:pPr>
        <w:pStyle w:val="Default"/>
        <w:ind w:firstLine="426"/>
        <w:jc w:val="both"/>
        <w:rPr>
          <w:sz w:val="22"/>
          <w:szCs w:val="22"/>
        </w:rPr>
      </w:pPr>
    </w:p>
    <w:p w:rsidR="005B0D10" w:rsidRDefault="005B0D10" w:rsidP="005B0D10">
      <w:pPr>
        <w:autoSpaceDE w:val="0"/>
        <w:autoSpaceDN w:val="0"/>
        <w:adjustRightInd w:val="0"/>
        <w:ind w:firstLine="426"/>
        <w:jc w:val="both"/>
        <w:rPr>
          <w:rFonts w:eastAsia="Calibri"/>
          <w:color w:val="000000"/>
          <w:sz w:val="22"/>
          <w:szCs w:val="22"/>
          <w:lang w:val="fr-BE" w:eastAsia="en-US"/>
        </w:rPr>
      </w:pPr>
      <w:r w:rsidRPr="005B0D10">
        <w:rPr>
          <w:rFonts w:eastAsia="Calibri"/>
          <w:color w:val="000000"/>
          <w:sz w:val="22"/>
          <w:szCs w:val="22"/>
          <w:lang w:val="fr-BE" w:eastAsia="en-US"/>
        </w:rPr>
        <w:t>Toutefois, la valorisation de l’expérience peut ê</w:t>
      </w:r>
      <w:r w:rsidR="00BE7015">
        <w:rPr>
          <w:rFonts w:eastAsia="Calibri"/>
          <w:color w:val="000000"/>
          <w:sz w:val="22"/>
          <w:szCs w:val="22"/>
          <w:lang w:val="fr-BE" w:eastAsia="en-US"/>
        </w:rPr>
        <w:t>tre influencée par la médiation</w:t>
      </w:r>
      <w:r w:rsidRPr="005B0D10">
        <w:rPr>
          <w:rFonts w:eastAsia="Calibri"/>
          <w:color w:val="000000"/>
          <w:sz w:val="22"/>
          <w:szCs w:val="22"/>
          <w:lang w:val="fr-BE" w:eastAsia="en-US"/>
        </w:rPr>
        <w:t xml:space="preserve"> à travers le personnel en contact </w:t>
      </w:r>
      <w:r w:rsidR="00BE7015">
        <w:rPr>
          <w:rFonts w:eastAsia="Calibri"/>
          <w:color w:val="000000"/>
          <w:sz w:val="22"/>
          <w:szCs w:val="22"/>
          <w:lang w:val="fr-BE" w:eastAsia="en-US"/>
        </w:rPr>
        <w:t>et les supports écrits ou multi</w:t>
      </w:r>
      <w:r w:rsidRPr="005B0D10">
        <w:rPr>
          <w:rFonts w:eastAsia="Calibri"/>
          <w:color w:val="000000"/>
          <w:sz w:val="22"/>
          <w:szCs w:val="22"/>
          <w:lang w:val="fr-BE" w:eastAsia="en-US"/>
        </w:rPr>
        <w:t>média (Chazaud, 1997). Plus spécifique</w:t>
      </w:r>
      <w:r w:rsidR="00BE7015">
        <w:rPr>
          <w:rFonts w:eastAsia="Calibri"/>
          <w:color w:val="000000"/>
          <w:sz w:val="22"/>
          <w:szCs w:val="22"/>
          <w:lang w:val="fr-BE" w:eastAsia="en-US"/>
        </w:rPr>
        <w:t>ment, les nouvelles technologi</w:t>
      </w:r>
      <w:r w:rsidRPr="005B0D10">
        <w:rPr>
          <w:rFonts w:eastAsia="Calibri"/>
          <w:color w:val="000000"/>
          <w:sz w:val="22"/>
          <w:szCs w:val="22"/>
          <w:lang w:val="fr-BE" w:eastAsia="en-US"/>
        </w:rPr>
        <w:t xml:space="preserve">es </w:t>
      </w:r>
      <w:r w:rsidR="00BE7015">
        <w:rPr>
          <w:rFonts w:eastAsia="Calibri"/>
          <w:color w:val="000000"/>
          <w:sz w:val="22"/>
          <w:szCs w:val="22"/>
          <w:lang w:val="fr-BE" w:eastAsia="en-US"/>
        </w:rPr>
        <w:t>telles que les audio</w:t>
      </w:r>
      <w:r w:rsidR="004C59E5">
        <w:rPr>
          <w:rFonts w:eastAsia="Calibri"/>
          <w:color w:val="000000"/>
          <w:sz w:val="22"/>
          <w:szCs w:val="22"/>
          <w:lang w:val="fr-BE" w:eastAsia="en-US"/>
        </w:rPr>
        <w:t>guides, cd-rom</w:t>
      </w:r>
      <w:r w:rsidRPr="005B0D10">
        <w:rPr>
          <w:rFonts w:eastAsia="Calibri"/>
          <w:color w:val="000000"/>
          <w:sz w:val="22"/>
          <w:szCs w:val="22"/>
          <w:lang w:val="fr-BE" w:eastAsia="en-US"/>
        </w:rPr>
        <w:t xml:space="preserve">, bornes interactives, écrans tactiles,… facilitent la médiation entre l’œuvre et le visiteur en créant de véritables « musées interactifs ». </w:t>
      </w:r>
    </w:p>
    <w:p w:rsidR="005B0D10" w:rsidRDefault="005B0D10" w:rsidP="005B0D10">
      <w:pPr>
        <w:autoSpaceDE w:val="0"/>
        <w:autoSpaceDN w:val="0"/>
        <w:adjustRightInd w:val="0"/>
        <w:rPr>
          <w:rFonts w:eastAsiaTheme="minorHAnsi"/>
          <w:sz w:val="23"/>
          <w:szCs w:val="23"/>
          <w:lang w:val="fr-BE" w:eastAsia="en-US"/>
        </w:rPr>
      </w:pPr>
    </w:p>
    <w:p w:rsidR="0025245B" w:rsidRPr="00254F01" w:rsidRDefault="0025245B" w:rsidP="00272FD7">
      <w:pPr>
        <w:autoSpaceDE w:val="0"/>
        <w:autoSpaceDN w:val="0"/>
        <w:adjustRightInd w:val="0"/>
        <w:ind w:firstLine="426"/>
        <w:jc w:val="both"/>
        <w:rPr>
          <w:sz w:val="22"/>
          <w:szCs w:val="22"/>
        </w:rPr>
      </w:pPr>
      <w:r w:rsidRPr="00254F01">
        <w:rPr>
          <w:sz w:val="22"/>
          <w:szCs w:val="22"/>
        </w:rPr>
        <w:t xml:space="preserve">En résumé, qu’il s’agisse de voir un film en salle, d’assister à une représentation théâtrale ou musicale ou encore de contempler des œuvres dans un musée, le consommateur ne se limite plus uniquement à assouvir </w:t>
      </w:r>
      <w:r w:rsidR="004C59E5">
        <w:rPr>
          <w:sz w:val="22"/>
          <w:szCs w:val="22"/>
        </w:rPr>
        <w:t>le</w:t>
      </w:r>
      <w:r w:rsidRPr="00254F01">
        <w:rPr>
          <w:sz w:val="22"/>
          <w:szCs w:val="22"/>
        </w:rPr>
        <w:t xml:space="preserve"> besoin de s’enrichir sur un plan intellectuel mais il aspire en plus à vivre une panoplie de sensations et d’émotions, tant sur le plan individuel que social.</w:t>
      </w:r>
    </w:p>
    <w:p w:rsidR="007264CE" w:rsidRDefault="007264CE" w:rsidP="007264CE">
      <w:pPr>
        <w:autoSpaceDE w:val="0"/>
        <w:autoSpaceDN w:val="0"/>
        <w:adjustRightInd w:val="0"/>
        <w:jc w:val="both"/>
        <w:rPr>
          <w:sz w:val="22"/>
          <w:szCs w:val="22"/>
        </w:rPr>
      </w:pPr>
    </w:p>
    <w:p w:rsidR="007264CE" w:rsidRPr="00917D70" w:rsidRDefault="00521335" w:rsidP="007264CE">
      <w:pPr>
        <w:rPr>
          <w:b/>
          <w:bCs/>
          <w:snapToGrid w:val="0"/>
          <w:sz w:val="22"/>
          <w:szCs w:val="22"/>
        </w:rPr>
      </w:pPr>
      <w:r>
        <w:rPr>
          <w:b/>
          <w:bCs/>
          <w:snapToGrid w:val="0"/>
          <w:sz w:val="22"/>
          <w:szCs w:val="22"/>
        </w:rPr>
        <w:t>3.5</w:t>
      </w:r>
      <w:r w:rsidR="007264CE" w:rsidRPr="00917D70">
        <w:rPr>
          <w:b/>
          <w:bCs/>
          <w:snapToGrid w:val="0"/>
          <w:sz w:val="22"/>
          <w:szCs w:val="22"/>
        </w:rPr>
        <w:t xml:space="preserve">. </w:t>
      </w:r>
      <w:r w:rsidR="007264CE">
        <w:rPr>
          <w:b/>
          <w:bCs/>
          <w:snapToGrid w:val="0"/>
          <w:sz w:val="22"/>
          <w:szCs w:val="22"/>
        </w:rPr>
        <w:t>L’expérience muséale chez les enfants</w:t>
      </w:r>
    </w:p>
    <w:p w:rsidR="007264CE" w:rsidRDefault="007264CE" w:rsidP="007264CE">
      <w:pPr>
        <w:autoSpaceDE w:val="0"/>
        <w:autoSpaceDN w:val="0"/>
        <w:adjustRightInd w:val="0"/>
        <w:jc w:val="both"/>
        <w:rPr>
          <w:sz w:val="22"/>
          <w:szCs w:val="22"/>
        </w:rPr>
      </w:pPr>
    </w:p>
    <w:p w:rsidR="007264CE" w:rsidRDefault="007264CE" w:rsidP="00305786">
      <w:pPr>
        <w:autoSpaceDE w:val="0"/>
        <w:autoSpaceDN w:val="0"/>
        <w:adjustRightInd w:val="0"/>
        <w:ind w:firstLine="425"/>
        <w:jc w:val="both"/>
        <w:rPr>
          <w:sz w:val="22"/>
          <w:szCs w:val="22"/>
        </w:rPr>
      </w:pPr>
      <w:r>
        <w:rPr>
          <w:sz w:val="22"/>
          <w:szCs w:val="22"/>
        </w:rPr>
        <w:t xml:space="preserve">D’une manière générale, les jeunes enfants sont largement absents de la recherche consacrée à l’expérience du musée d’art. Certaines études soulèvent néanmoins quelques résultats intéressants. </w:t>
      </w:r>
      <w:r w:rsidRPr="001F0E28">
        <w:rPr>
          <w:sz w:val="22"/>
          <w:szCs w:val="22"/>
        </w:rPr>
        <w:t xml:space="preserve">Debenedetti, Caro et Krebs (2009) confirment le rôle primordial de l’interaction enfant-adulte pendant la visite du musée. </w:t>
      </w:r>
      <w:r w:rsidRPr="00A940B6">
        <w:rPr>
          <w:sz w:val="22"/>
          <w:szCs w:val="22"/>
        </w:rPr>
        <w:t xml:space="preserve">Ils montrent </w:t>
      </w:r>
      <w:r w:rsidR="00305786">
        <w:rPr>
          <w:sz w:val="22"/>
          <w:szCs w:val="22"/>
        </w:rPr>
        <w:t xml:space="preserve">également </w:t>
      </w:r>
      <w:r w:rsidRPr="00A940B6">
        <w:rPr>
          <w:sz w:val="22"/>
          <w:szCs w:val="22"/>
        </w:rPr>
        <w:t>que l’attention des enf</w:t>
      </w:r>
      <w:r>
        <w:rPr>
          <w:sz w:val="22"/>
          <w:szCs w:val="22"/>
        </w:rPr>
        <w:t xml:space="preserve">ants est nettement plus dirigée </w:t>
      </w:r>
      <w:r w:rsidRPr="00A940B6">
        <w:rPr>
          <w:sz w:val="22"/>
          <w:szCs w:val="22"/>
        </w:rPr>
        <w:t xml:space="preserve">vers les </w:t>
      </w:r>
      <w:r w:rsidRPr="004D1EC9">
        <w:rPr>
          <w:sz w:val="22"/>
          <w:szCs w:val="22"/>
        </w:rPr>
        <w:t xml:space="preserve">dispositifs </w:t>
      </w:r>
      <w:r w:rsidR="004D1EC9" w:rsidRPr="004D1EC9">
        <w:rPr>
          <w:sz w:val="22"/>
          <w:szCs w:val="22"/>
        </w:rPr>
        <w:t xml:space="preserve">interactifs </w:t>
      </w:r>
      <w:r w:rsidRPr="004D1EC9">
        <w:rPr>
          <w:sz w:val="22"/>
          <w:szCs w:val="22"/>
        </w:rPr>
        <w:t>que</w:t>
      </w:r>
      <w:r w:rsidRPr="00A940B6">
        <w:rPr>
          <w:sz w:val="22"/>
          <w:szCs w:val="22"/>
        </w:rPr>
        <w:t xml:space="preserve"> vers les </w:t>
      </w:r>
      <w:r w:rsidR="0050150D" w:rsidRPr="00A940B6">
        <w:rPr>
          <w:sz w:val="22"/>
          <w:szCs w:val="22"/>
        </w:rPr>
        <w:t>œuvres</w:t>
      </w:r>
      <w:r w:rsidRPr="00A940B6">
        <w:rPr>
          <w:sz w:val="22"/>
          <w:szCs w:val="22"/>
        </w:rPr>
        <w:t>, mais qu</w:t>
      </w:r>
      <w:r w:rsidRPr="0050150D">
        <w:rPr>
          <w:sz w:val="22"/>
          <w:szCs w:val="22"/>
        </w:rPr>
        <w:t>e l’hypothèse de dispositifs</w:t>
      </w:r>
      <w:r w:rsidR="0050150D" w:rsidRPr="0050150D">
        <w:rPr>
          <w:sz w:val="22"/>
          <w:szCs w:val="22"/>
        </w:rPr>
        <w:t xml:space="preserve"> interactifs qui détourneraient complètement les enfants de l’exposition</w:t>
      </w:r>
      <w:r w:rsidR="004C59E5">
        <w:rPr>
          <w:sz w:val="22"/>
          <w:szCs w:val="22"/>
        </w:rPr>
        <w:t xml:space="preserve"> ne saurait être retenue. </w:t>
      </w:r>
      <w:r w:rsidRPr="0050150D">
        <w:rPr>
          <w:sz w:val="22"/>
          <w:szCs w:val="22"/>
        </w:rPr>
        <w:t xml:space="preserve">Les </w:t>
      </w:r>
      <w:r w:rsidRPr="00A940B6">
        <w:rPr>
          <w:sz w:val="22"/>
          <w:szCs w:val="22"/>
        </w:rPr>
        <w:t xml:space="preserve">résultats soulignent aussi que les adultes jouent un rôle limité dans le guidage des enfants vers les </w:t>
      </w:r>
      <w:r w:rsidR="0050150D" w:rsidRPr="00A940B6">
        <w:rPr>
          <w:sz w:val="22"/>
          <w:szCs w:val="22"/>
        </w:rPr>
        <w:t>œuvres</w:t>
      </w:r>
      <w:r w:rsidRPr="00A940B6">
        <w:rPr>
          <w:sz w:val="22"/>
          <w:szCs w:val="22"/>
        </w:rPr>
        <w:t>. Au final,</w:t>
      </w:r>
      <w:r>
        <w:rPr>
          <w:sz w:val="22"/>
          <w:szCs w:val="22"/>
        </w:rPr>
        <w:t xml:space="preserve"> </w:t>
      </w:r>
      <w:r w:rsidRPr="00A940B6">
        <w:rPr>
          <w:sz w:val="22"/>
          <w:szCs w:val="22"/>
        </w:rPr>
        <w:t>adultes et enfants semblent surtout satisfaits par la dimension ludique et interactive de l’expérience.</w:t>
      </w:r>
      <w:r>
        <w:rPr>
          <w:sz w:val="22"/>
          <w:szCs w:val="22"/>
        </w:rPr>
        <w:t xml:space="preserve"> </w:t>
      </w:r>
      <w:r w:rsidRPr="001F0E28">
        <w:rPr>
          <w:sz w:val="22"/>
          <w:szCs w:val="22"/>
        </w:rPr>
        <w:t xml:space="preserve">Piscitelli et  Anderson (2000 et 2001) explorent eux aussi l’expérience des enfants et leurs perceptions au sujet de leur visite de musée. Selon eux, les souvenirs les plus vifs des enfants, interrogés sur leurs visites passées, concernent des expériences non interactives par nature (images, animaux, automobiles etc.). Anderson, Piscitelli, Weier, Everett et Tayler (2002) précisent que les expériences et les expositions de musées qui sont inscrites dans le contexte familier du monde de l’enfant, </w:t>
      </w:r>
      <w:r>
        <w:rPr>
          <w:sz w:val="22"/>
          <w:szCs w:val="22"/>
        </w:rPr>
        <w:t xml:space="preserve">tout </w:t>
      </w:r>
      <w:r w:rsidRPr="001F0E28">
        <w:rPr>
          <w:sz w:val="22"/>
          <w:szCs w:val="22"/>
        </w:rPr>
        <w:t>comme le jeu</w:t>
      </w:r>
      <w:r>
        <w:rPr>
          <w:sz w:val="22"/>
          <w:szCs w:val="22"/>
        </w:rPr>
        <w:t xml:space="preserve"> ou</w:t>
      </w:r>
      <w:r w:rsidRPr="001F0E28">
        <w:rPr>
          <w:sz w:val="22"/>
          <w:szCs w:val="22"/>
        </w:rPr>
        <w:t xml:space="preserve"> l’histoire, </w:t>
      </w:r>
      <w:r>
        <w:rPr>
          <w:sz w:val="22"/>
          <w:szCs w:val="22"/>
        </w:rPr>
        <w:t>ont</w:t>
      </w:r>
      <w:r w:rsidRPr="001F0E28">
        <w:rPr>
          <w:sz w:val="22"/>
          <w:szCs w:val="22"/>
        </w:rPr>
        <w:t xml:space="preserve"> un plus grand impact et ont plus de sens que les expositions et les expériences qui sont décontextualisées par nature. </w:t>
      </w:r>
      <w:r w:rsidR="00C33789">
        <w:rPr>
          <w:sz w:val="22"/>
          <w:szCs w:val="22"/>
        </w:rPr>
        <w:t>Anderson, Piscitelli et Everett</w:t>
      </w:r>
      <w:r w:rsidR="00E93B95">
        <w:rPr>
          <w:sz w:val="22"/>
          <w:szCs w:val="22"/>
        </w:rPr>
        <w:t xml:space="preserve"> </w:t>
      </w:r>
      <w:r w:rsidR="00E93B95">
        <w:rPr>
          <w:sz w:val="22"/>
          <w:szCs w:val="22"/>
        </w:rPr>
        <w:lastRenderedPageBreak/>
        <w:t>(2008)</w:t>
      </w:r>
      <w:r w:rsidR="00C33789">
        <w:rPr>
          <w:sz w:val="22"/>
          <w:szCs w:val="22"/>
        </w:rPr>
        <w:t xml:space="preserve"> </w:t>
      </w:r>
      <w:r w:rsidR="00DF1094">
        <w:rPr>
          <w:sz w:val="22"/>
          <w:szCs w:val="22"/>
        </w:rPr>
        <w:t>soulignent</w:t>
      </w:r>
      <w:r w:rsidR="00C33789">
        <w:rPr>
          <w:sz w:val="22"/>
          <w:szCs w:val="22"/>
        </w:rPr>
        <w:t xml:space="preserve"> l’importance de considérer les priorités</w:t>
      </w:r>
      <w:r w:rsidR="00DF1094">
        <w:rPr>
          <w:sz w:val="22"/>
          <w:szCs w:val="22"/>
        </w:rPr>
        <w:t xml:space="preserve">, le programme envisagé par l’enfant, dans le but d’améliorer leur expérience muséale. </w:t>
      </w:r>
      <w:r w:rsidRPr="001F0E28">
        <w:rPr>
          <w:sz w:val="22"/>
          <w:szCs w:val="22"/>
        </w:rPr>
        <w:t>Les travaux de Jensen (1994) révèlent que les intérêts personnels, la famille et le bagage culturel sont les facteurs d’influence les plus importants des expériences muséales. Par ailleurs, la familiarité avec l’art et les expériences individuelles influencent le développement esthéti</w:t>
      </w:r>
      <w:r w:rsidR="0002539A">
        <w:rPr>
          <w:sz w:val="22"/>
          <w:szCs w:val="22"/>
        </w:rPr>
        <w:t>que individuel (Savva et Trimis</w:t>
      </w:r>
      <w:r w:rsidRPr="001F0E28">
        <w:rPr>
          <w:sz w:val="22"/>
          <w:szCs w:val="22"/>
        </w:rPr>
        <w:t>; 2005).</w:t>
      </w:r>
      <w:r w:rsidR="00C33789" w:rsidRPr="00C33789">
        <w:rPr>
          <w:sz w:val="22"/>
          <w:szCs w:val="22"/>
        </w:rPr>
        <w:t xml:space="preserve"> </w:t>
      </w:r>
      <w:r w:rsidR="00C33789">
        <w:rPr>
          <w:sz w:val="22"/>
          <w:szCs w:val="22"/>
        </w:rPr>
        <w:t>Gottesdiener et Vilatte (2001), étudient l’impact d’un « livret jeu » sur le comportement des enfants pendant la visite d’une exposition avec leur famille. L’usage de ce livret n’influence que l’itinéraire suivi et le temps passé</w:t>
      </w:r>
      <w:r w:rsidR="00C33789" w:rsidRPr="00C33789">
        <w:rPr>
          <w:sz w:val="22"/>
          <w:szCs w:val="22"/>
        </w:rPr>
        <w:t xml:space="preserve"> </w:t>
      </w:r>
      <w:r w:rsidR="00C33789">
        <w:rPr>
          <w:sz w:val="22"/>
          <w:szCs w:val="22"/>
        </w:rPr>
        <w:t>dans l’exposition.</w:t>
      </w:r>
      <w:r w:rsidRPr="001F0E28">
        <w:rPr>
          <w:sz w:val="22"/>
          <w:szCs w:val="22"/>
        </w:rPr>
        <w:t xml:space="preserve"> Cette littérature nous </w:t>
      </w:r>
      <w:r>
        <w:rPr>
          <w:sz w:val="22"/>
          <w:szCs w:val="22"/>
        </w:rPr>
        <w:t>rappelle</w:t>
      </w:r>
      <w:r w:rsidRPr="001F0E28">
        <w:rPr>
          <w:sz w:val="22"/>
          <w:szCs w:val="22"/>
        </w:rPr>
        <w:t xml:space="preserve"> </w:t>
      </w:r>
      <w:r>
        <w:rPr>
          <w:sz w:val="22"/>
          <w:szCs w:val="22"/>
        </w:rPr>
        <w:t>l’impact de</w:t>
      </w:r>
      <w:r w:rsidRPr="001F0E28">
        <w:rPr>
          <w:sz w:val="22"/>
          <w:szCs w:val="22"/>
        </w:rPr>
        <w:t xml:space="preserve"> certaines variables </w:t>
      </w:r>
      <w:r w:rsidR="00475262">
        <w:rPr>
          <w:sz w:val="22"/>
          <w:szCs w:val="22"/>
        </w:rPr>
        <w:t>sur</w:t>
      </w:r>
      <w:r w:rsidRPr="001F0E28">
        <w:rPr>
          <w:sz w:val="22"/>
          <w:szCs w:val="22"/>
        </w:rPr>
        <w:t xml:space="preserve"> l’expérience</w:t>
      </w:r>
      <w:r>
        <w:rPr>
          <w:sz w:val="22"/>
          <w:szCs w:val="22"/>
        </w:rPr>
        <w:t>,</w:t>
      </w:r>
      <w:r w:rsidRPr="001F0E28">
        <w:rPr>
          <w:sz w:val="22"/>
          <w:szCs w:val="22"/>
        </w:rPr>
        <w:t xml:space="preserve"> telle</w:t>
      </w:r>
      <w:r>
        <w:rPr>
          <w:sz w:val="22"/>
          <w:szCs w:val="22"/>
        </w:rPr>
        <w:t>s</w:t>
      </w:r>
      <w:r w:rsidRPr="001F0E28">
        <w:rPr>
          <w:sz w:val="22"/>
          <w:szCs w:val="22"/>
        </w:rPr>
        <w:t xml:space="preserve"> que la familiarité, les intérêts personnels,…mais également le rôle de l’expérience sur les attitudes et</w:t>
      </w:r>
      <w:r>
        <w:rPr>
          <w:sz w:val="22"/>
          <w:szCs w:val="22"/>
        </w:rPr>
        <w:t xml:space="preserve"> les</w:t>
      </w:r>
      <w:r w:rsidRPr="001F0E28">
        <w:rPr>
          <w:sz w:val="22"/>
          <w:szCs w:val="22"/>
        </w:rPr>
        <w:t xml:space="preserve"> comportements futurs des jeunes visiteurs.</w:t>
      </w:r>
      <w:r>
        <w:rPr>
          <w:sz w:val="22"/>
          <w:szCs w:val="22"/>
        </w:rPr>
        <w:t xml:space="preserve"> </w:t>
      </w:r>
    </w:p>
    <w:p w:rsidR="007264CE" w:rsidRDefault="007264CE" w:rsidP="007264CE">
      <w:pPr>
        <w:jc w:val="both"/>
        <w:rPr>
          <w:sz w:val="22"/>
          <w:szCs w:val="22"/>
        </w:rPr>
      </w:pPr>
    </w:p>
    <w:p w:rsidR="00430F27" w:rsidRDefault="007264CE" w:rsidP="002902AF">
      <w:pPr>
        <w:ind w:firstLine="426"/>
        <w:jc w:val="both"/>
        <w:rPr>
          <w:sz w:val="22"/>
          <w:szCs w:val="22"/>
        </w:rPr>
      </w:pPr>
      <w:r>
        <w:rPr>
          <w:sz w:val="22"/>
          <w:szCs w:val="22"/>
        </w:rPr>
        <w:t>L</w:t>
      </w:r>
      <w:r w:rsidRPr="006C2F64">
        <w:rPr>
          <w:sz w:val="22"/>
          <w:szCs w:val="22"/>
        </w:rPr>
        <w:t>es enfants sont « les consommateurs » culturels de demain</w:t>
      </w:r>
      <w:r w:rsidR="00DF1094">
        <w:rPr>
          <w:sz w:val="22"/>
          <w:szCs w:val="22"/>
        </w:rPr>
        <w:t xml:space="preserve"> (Origet Du Cluzeau, 2005</w:t>
      </w:r>
      <w:r w:rsidR="0002539A">
        <w:rPr>
          <w:sz w:val="22"/>
          <w:szCs w:val="22"/>
        </w:rPr>
        <w:t xml:space="preserve">). </w:t>
      </w:r>
      <w:r w:rsidRPr="006C2F64">
        <w:rPr>
          <w:sz w:val="22"/>
          <w:szCs w:val="22"/>
        </w:rPr>
        <w:t>Sans eux, les institutions culturelles seront, petit à petit, vouées à disparaître.</w:t>
      </w:r>
      <w:r>
        <w:rPr>
          <w:sz w:val="22"/>
          <w:szCs w:val="22"/>
        </w:rPr>
        <w:t xml:space="preserve"> La majorité des visiteurs adultes avec enfants âgés entre 5 et 10 ans viennent aux musées avec leurs enfants « parce que les enfants veulent y aller ». </w:t>
      </w:r>
      <w:r w:rsidRPr="00406CA0">
        <w:rPr>
          <w:sz w:val="22"/>
          <w:szCs w:val="22"/>
        </w:rPr>
        <w:t>(Mori, 2002)</w:t>
      </w:r>
      <w:r>
        <w:rPr>
          <w:sz w:val="22"/>
          <w:szCs w:val="22"/>
          <w:lang w:val="fr-BE"/>
        </w:rPr>
        <w:t>.</w:t>
      </w:r>
      <w:r w:rsidRPr="006C2F64">
        <w:rPr>
          <w:sz w:val="22"/>
          <w:szCs w:val="22"/>
        </w:rPr>
        <w:t xml:space="preserve"> </w:t>
      </w:r>
      <w:r>
        <w:rPr>
          <w:sz w:val="22"/>
          <w:szCs w:val="22"/>
        </w:rPr>
        <w:t>Ils</w:t>
      </w:r>
      <w:r w:rsidRPr="006C2F64">
        <w:rPr>
          <w:sz w:val="22"/>
          <w:szCs w:val="22"/>
        </w:rPr>
        <w:t xml:space="preserve"> peuvent </w:t>
      </w:r>
      <w:r w:rsidR="00D17B41">
        <w:rPr>
          <w:sz w:val="22"/>
          <w:szCs w:val="22"/>
        </w:rPr>
        <w:t xml:space="preserve">donc </w:t>
      </w:r>
      <w:r w:rsidRPr="006C2F64">
        <w:rPr>
          <w:sz w:val="22"/>
          <w:szCs w:val="22"/>
        </w:rPr>
        <w:t xml:space="preserve">également être considérés comme des vecteurs de communication potentiels auprès de leurs familles, amis,… </w:t>
      </w:r>
      <w:r w:rsidR="00C3412C">
        <w:rPr>
          <w:sz w:val="22"/>
          <w:szCs w:val="22"/>
        </w:rPr>
        <w:t>(</w:t>
      </w:r>
      <w:r w:rsidR="0002539A">
        <w:rPr>
          <w:color w:val="000000"/>
          <w:sz w:val="22"/>
          <w:szCs w:val="22"/>
          <w:lang w:val="fr-BE" w:eastAsia="fr-BE"/>
        </w:rPr>
        <w:t>Gollety</w:t>
      </w:r>
      <w:r w:rsidR="00C3412C">
        <w:rPr>
          <w:color w:val="000000"/>
          <w:sz w:val="22"/>
          <w:szCs w:val="22"/>
          <w:lang w:val="fr-BE" w:eastAsia="fr-BE"/>
        </w:rPr>
        <w:t xml:space="preserve">, </w:t>
      </w:r>
      <w:r w:rsidR="00875300" w:rsidRPr="003C7AC9">
        <w:rPr>
          <w:color w:val="000000"/>
          <w:sz w:val="22"/>
          <w:szCs w:val="22"/>
          <w:lang w:val="fr-BE" w:eastAsia="fr-BE"/>
        </w:rPr>
        <w:t>1999)</w:t>
      </w:r>
      <w:r w:rsidR="00875300">
        <w:rPr>
          <w:color w:val="000000"/>
          <w:sz w:val="22"/>
          <w:szCs w:val="22"/>
          <w:lang w:val="fr-BE" w:eastAsia="fr-BE"/>
        </w:rPr>
        <w:t xml:space="preserve">. </w:t>
      </w:r>
      <w:r w:rsidRPr="006C2F64">
        <w:rPr>
          <w:sz w:val="22"/>
          <w:szCs w:val="22"/>
        </w:rPr>
        <w:t xml:space="preserve">Comme Colbert </w:t>
      </w:r>
      <w:r w:rsidR="00D335D7">
        <w:rPr>
          <w:sz w:val="22"/>
          <w:szCs w:val="22"/>
        </w:rPr>
        <w:t xml:space="preserve">(1993) </w:t>
      </w:r>
      <w:r w:rsidRPr="006C2F64">
        <w:rPr>
          <w:sz w:val="22"/>
          <w:szCs w:val="22"/>
        </w:rPr>
        <w:t xml:space="preserve">l’a </w:t>
      </w:r>
      <w:r>
        <w:rPr>
          <w:sz w:val="22"/>
          <w:szCs w:val="22"/>
        </w:rPr>
        <w:t>précisé</w:t>
      </w:r>
      <w:r w:rsidRPr="006C2F64">
        <w:rPr>
          <w:sz w:val="22"/>
          <w:szCs w:val="22"/>
        </w:rPr>
        <w:t xml:space="preserve">, le goût pour l’art et la culture est, entre autres, déterminé par le degré de sensibilisation durant l’enfance. </w:t>
      </w:r>
    </w:p>
    <w:p w:rsidR="007264CE" w:rsidRPr="001D2756" w:rsidRDefault="007264CE" w:rsidP="007264CE">
      <w:pPr>
        <w:rPr>
          <w:b/>
          <w:bCs/>
          <w:snapToGrid w:val="0"/>
          <w:sz w:val="22"/>
          <w:szCs w:val="22"/>
          <w:lang w:val="fr-BE"/>
        </w:rPr>
      </w:pPr>
    </w:p>
    <w:p w:rsidR="007264CE" w:rsidRPr="003B5966" w:rsidRDefault="007264CE" w:rsidP="007264CE">
      <w:pPr>
        <w:numPr>
          <w:ilvl w:val="0"/>
          <w:numId w:val="1"/>
        </w:numPr>
        <w:rPr>
          <w:b/>
          <w:bCs/>
          <w:snapToGrid w:val="0"/>
          <w:sz w:val="22"/>
          <w:szCs w:val="22"/>
        </w:rPr>
      </w:pPr>
      <w:r w:rsidRPr="003B5966">
        <w:rPr>
          <w:b/>
          <w:bCs/>
          <w:snapToGrid w:val="0"/>
          <w:sz w:val="22"/>
          <w:szCs w:val="22"/>
        </w:rPr>
        <w:t>Principaux choix méthodologiques envisagés et leur justification</w:t>
      </w:r>
    </w:p>
    <w:p w:rsidR="007264CE" w:rsidRDefault="007264CE" w:rsidP="007264CE">
      <w:pPr>
        <w:numPr>
          <w:ilvl w:val="0"/>
          <w:numId w:val="2"/>
        </w:numPr>
        <w:tabs>
          <w:tab w:val="clear" w:pos="360"/>
          <w:tab w:val="num" w:pos="780"/>
        </w:tabs>
        <w:ind w:left="780"/>
        <w:rPr>
          <w:b/>
          <w:bCs/>
          <w:snapToGrid w:val="0"/>
          <w:sz w:val="22"/>
          <w:szCs w:val="22"/>
        </w:rPr>
      </w:pPr>
      <w:r w:rsidRPr="003B5966">
        <w:rPr>
          <w:b/>
          <w:bCs/>
          <w:snapToGrid w:val="0"/>
          <w:sz w:val="22"/>
          <w:szCs w:val="22"/>
        </w:rPr>
        <w:t>pour la collecte des données nécessaires</w:t>
      </w:r>
    </w:p>
    <w:p w:rsidR="007264CE" w:rsidRDefault="007264CE" w:rsidP="007264CE">
      <w:pPr>
        <w:rPr>
          <w:b/>
          <w:bCs/>
          <w:snapToGrid w:val="0"/>
          <w:sz w:val="22"/>
          <w:szCs w:val="22"/>
        </w:rPr>
      </w:pPr>
    </w:p>
    <w:p w:rsidR="007264CE" w:rsidRDefault="007264CE" w:rsidP="00305786">
      <w:pPr>
        <w:spacing w:after="200"/>
        <w:ind w:firstLine="425"/>
        <w:jc w:val="both"/>
        <w:rPr>
          <w:sz w:val="22"/>
          <w:szCs w:val="22"/>
        </w:rPr>
      </w:pPr>
      <w:r w:rsidRPr="000E2338">
        <w:rPr>
          <w:sz w:val="22"/>
          <w:szCs w:val="22"/>
        </w:rPr>
        <w:t>La première étape était de dresser un inventaire complet des différentes</w:t>
      </w:r>
      <w:r>
        <w:rPr>
          <w:sz w:val="22"/>
          <w:szCs w:val="22"/>
        </w:rPr>
        <w:t xml:space="preserve"> </w:t>
      </w:r>
      <w:r w:rsidRPr="000E2338">
        <w:rPr>
          <w:sz w:val="22"/>
          <w:szCs w:val="22"/>
        </w:rPr>
        <w:t xml:space="preserve">expositions et activités disponibles pour les enfants dans les musées d’art. </w:t>
      </w:r>
      <w:r w:rsidR="00395715">
        <w:rPr>
          <w:sz w:val="22"/>
          <w:szCs w:val="22"/>
        </w:rPr>
        <w:t xml:space="preserve">L’objectif était d’avoir une première immersion dans le monde des musées et des enfants. Ensuite, sur base de critères objectifs, les musées ont donc pu être classés selon l’accueil qu’ils réservent aux enfants. Cet inventaire </w:t>
      </w:r>
      <w:r w:rsidR="00A77058">
        <w:rPr>
          <w:sz w:val="22"/>
          <w:szCs w:val="22"/>
        </w:rPr>
        <w:t>restera un outil utile lors des choix de musées nécessaires aux études qui suivront.</w:t>
      </w:r>
    </w:p>
    <w:p w:rsidR="006F78C1" w:rsidRDefault="007264CE" w:rsidP="00D17B41">
      <w:pPr>
        <w:ind w:firstLine="425"/>
        <w:jc w:val="both"/>
        <w:rPr>
          <w:sz w:val="22"/>
          <w:szCs w:val="22"/>
        </w:rPr>
      </w:pPr>
      <w:r w:rsidRPr="000E2338">
        <w:rPr>
          <w:sz w:val="22"/>
          <w:szCs w:val="22"/>
        </w:rPr>
        <w:t xml:space="preserve">La </w:t>
      </w:r>
      <w:r w:rsidR="004E511A">
        <w:rPr>
          <w:sz w:val="22"/>
          <w:szCs w:val="22"/>
        </w:rPr>
        <w:t>deuxième</w:t>
      </w:r>
      <w:r w:rsidRPr="000E2338">
        <w:rPr>
          <w:sz w:val="22"/>
          <w:szCs w:val="22"/>
        </w:rPr>
        <w:t xml:space="preserve"> étape </w:t>
      </w:r>
      <w:r w:rsidR="004B52C8">
        <w:rPr>
          <w:sz w:val="22"/>
          <w:szCs w:val="22"/>
        </w:rPr>
        <w:t>est</w:t>
      </w:r>
      <w:r w:rsidRPr="000E2338">
        <w:rPr>
          <w:sz w:val="22"/>
          <w:szCs w:val="22"/>
        </w:rPr>
        <w:t xml:space="preserve"> une étude </w:t>
      </w:r>
      <w:r w:rsidR="00CB2826">
        <w:rPr>
          <w:sz w:val="22"/>
          <w:szCs w:val="22"/>
        </w:rPr>
        <w:t>exploratoir</w:t>
      </w:r>
      <w:r w:rsidR="00662048">
        <w:rPr>
          <w:sz w:val="22"/>
          <w:szCs w:val="22"/>
        </w:rPr>
        <w:t>e qualitative</w:t>
      </w:r>
      <w:r w:rsidR="00305786">
        <w:rPr>
          <w:sz w:val="22"/>
          <w:szCs w:val="22"/>
        </w:rPr>
        <w:t xml:space="preserve"> </w:t>
      </w:r>
      <w:r w:rsidR="004E511A">
        <w:rPr>
          <w:sz w:val="22"/>
          <w:szCs w:val="22"/>
        </w:rPr>
        <w:t>réalisée durant</w:t>
      </w:r>
      <w:r w:rsidR="00305786">
        <w:rPr>
          <w:sz w:val="22"/>
          <w:szCs w:val="22"/>
        </w:rPr>
        <w:t xml:space="preserve"> le</w:t>
      </w:r>
      <w:r w:rsidR="006C7E4F">
        <w:rPr>
          <w:sz w:val="22"/>
          <w:szCs w:val="22"/>
        </w:rPr>
        <w:t>s</w:t>
      </w:r>
      <w:r w:rsidR="00305786">
        <w:rPr>
          <w:sz w:val="22"/>
          <w:szCs w:val="22"/>
        </w:rPr>
        <w:t xml:space="preserve"> </w:t>
      </w:r>
      <w:r w:rsidR="004E511A">
        <w:rPr>
          <w:sz w:val="22"/>
          <w:szCs w:val="22"/>
        </w:rPr>
        <w:t xml:space="preserve">mois de février, mars et avril </w:t>
      </w:r>
      <w:r w:rsidR="00305786">
        <w:rPr>
          <w:sz w:val="22"/>
          <w:szCs w:val="22"/>
        </w:rPr>
        <w:t>2010</w:t>
      </w:r>
      <w:r w:rsidR="00CB2826">
        <w:rPr>
          <w:sz w:val="22"/>
          <w:szCs w:val="22"/>
        </w:rPr>
        <w:t xml:space="preserve">. </w:t>
      </w:r>
      <w:r w:rsidR="00682F8B">
        <w:rPr>
          <w:sz w:val="22"/>
          <w:szCs w:val="22"/>
        </w:rPr>
        <w:t>Nous vi</w:t>
      </w:r>
      <w:r w:rsidR="004B52C8">
        <w:rPr>
          <w:sz w:val="22"/>
          <w:szCs w:val="22"/>
        </w:rPr>
        <w:t>sons</w:t>
      </w:r>
      <w:r w:rsidR="00682F8B">
        <w:rPr>
          <w:sz w:val="22"/>
          <w:szCs w:val="22"/>
        </w:rPr>
        <w:t xml:space="preserve">, par cette étude, à faire émerger </w:t>
      </w:r>
      <w:r w:rsidR="00B45F94" w:rsidRPr="00B45F94">
        <w:rPr>
          <w:sz w:val="22"/>
          <w:szCs w:val="22"/>
        </w:rPr>
        <w:t>des « profils » d’expériences d’enfants au musée en fonction de leurs contextes multiples, étant acquis que l’expérience ne s’appréhende pas en « coupe instantanée » (à un moment donné).</w:t>
      </w:r>
      <w:r w:rsidR="00D17B41">
        <w:rPr>
          <w:sz w:val="22"/>
          <w:szCs w:val="22"/>
        </w:rPr>
        <w:t xml:space="preserve"> </w:t>
      </w:r>
    </w:p>
    <w:p w:rsidR="006F78C1" w:rsidRDefault="006F78C1" w:rsidP="00D17B41">
      <w:pPr>
        <w:ind w:firstLine="425"/>
        <w:jc w:val="both"/>
        <w:rPr>
          <w:sz w:val="22"/>
          <w:szCs w:val="22"/>
        </w:rPr>
      </w:pPr>
    </w:p>
    <w:p w:rsidR="006F78C1" w:rsidRPr="006C7E4F" w:rsidRDefault="006F78C1" w:rsidP="00767BFD">
      <w:pPr>
        <w:ind w:firstLine="425"/>
        <w:jc w:val="both"/>
        <w:rPr>
          <w:sz w:val="22"/>
          <w:szCs w:val="22"/>
        </w:rPr>
      </w:pPr>
      <w:r w:rsidRPr="006C7E4F">
        <w:rPr>
          <w:sz w:val="22"/>
          <w:szCs w:val="22"/>
        </w:rPr>
        <w:t>Anderson, Piscitelli, Weier, Everett et Tayler (2002) montrent</w:t>
      </w:r>
      <w:r w:rsidR="00767BFD" w:rsidRPr="006C7E4F">
        <w:rPr>
          <w:sz w:val="22"/>
          <w:szCs w:val="22"/>
        </w:rPr>
        <w:t xml:space="preserve"> que le</w:t>
      </w:r>
      <w:r w:rsidR="004E511A" w:rsidRPr="006C7E4F">
        <w:rPr>
          <w:sz w:val="22"/>
          <w:szCs w:val="22"/>
        </w:rPr>
        <w:t>s enfants vivent leur visite au musée</w:t>
      </w:r>
      <w:r w:rsidR="00767BFD" w:rsidRPr="006C7E4F">
        <w:rPr>
          <w:sz w:val="22"/>
          <w:szCs w:val="22"/>
        </w:rPr>
        <w:t xml:space="preserve"> d’une manière différente en fonction de </w:t>
      </w:r>
      <w:r w:rsidR="00E24B29" w:rsidRPr="006C7E4F">
        <w:rPr>
          <w:sz w:val="22"/>
          <w:szCs w:val="22"/>
        </w:rPr>
        <w:t>leurs connaissances préalables</w:t>
      </w:r>
      <w:r w:rsidR="00767BFD" w:rsidRPr="006C7E4F">
        <w:rPr>
          <w:sz w:val="22"/>
          <w:szCs w:val="22"/>
        </w:rPr>
        <w:t xml:space="preserve">, de leurs intérêts et de leur milieu socio-culturel. Par conséquent, les souvenirs ou l’impact des expériences au musée </w:t>
      </w:r>
      <w:r w:rsidR="004E511A" w:rsidRPr="006C7E4F">
        <w:rPr>
          <w:sz w:val="22"/>
          <w:szCs w:val="22"/>
        </w:rPr>
        <w:t xml:space="preserve">de deux enfants </w:t>
      </w:r>
      <w:r w:rsidR="00767BFD" w:rsidRPr="006C7E4F">
        <w:rPr>
          <w:sz w:val="22"/>
          <w:szCs w:val="22"/>
        </w:rPr>
        <w:t>ne sont jamais entièrement les mêmes. Nous avons donc jugé nécessaire d’approfondir le profil de nos répondants en récoltant des données sociodémographiques</w:t>
      </w:r>
      <w:r w:rsidRPr="006C7E4F">
        <w:rPr>
          <w:sz w:val="22"/>
          <w:szCs w:val="22"/>
        </w:rPr>
        <w:t xml:space="preserve"> (âge, sexe, profession</w:t>
      </w:r>
      <w:r w:rsidR="006C7E4F" w:rsidRPr="006C7E4F">
        <w:rPr>
          <w:sz w:val="22"/>
          <w:szCs w:val="22"/>
        </w:rPr>
        <w:t xml:space="preserve"> des parents</w:t>
      </w:r>
      <w:r w:rsidRPr="006C7E4F">
        <w:rPr>
          <w:sz w:val="22"/>
          <w:szCs w:val="22"/>
        </w:rPr>
        <w:t xml:space="preserve">, nationalité, lieu </w:t>
      </w:r>
      <w:r w:rsidR="00767BFD" w:rsidRPr="006C7E4F">
        <w:rPr>
          <w:sz w:val="22"/>
          <w:szCs w:val="22"/>
        </w:rPr>
        <w:t>de résidence, type de famille…)</w:t>
      </w:r>
      <w:r w:rsidR="006C7E4F" w:rsidRPr="006C7E4F">
        <w:rPr>
          <w:sz w:val="22"/>
          <w:szCs w:val="22"/>
        </w:rPr>
        <w:t>,</w:t>
      </w:r>
      <w:r w:rsidR="00767BFD" w:rsidRPr="006C7E4F">
        <w:rPr>
          <w:sz w:val="22"/>
          <w:szCs w:val="22"/>
        </w:rPr>
        <w:t xml:space="preserve"> </w:t>
      </w:r>
      <w:r w:rsidR="004E511A" w:rsidRPr="006C7E4F">
        <w:rPr>
          <w:sz w:val="22"/>
          <w:szCs w:val="22"/>
        </w:rPr>
        <w:t xml:space="preserve">des </w:t>
      </w:r>
      <w:r w:rsidRPr="006C7E4F">
        <w:rPr>
          <w:sz w:val="22"/>
          <w:szCs w:val="22"/>
        </w:rPr>
        <w:t xml:space="preserve">données </w:t>
      </w:r>
      <w:r w:rsidR="00767BFD" w:rsidRPr="006C7E4F">
        <w:rPr>
          <w:sz w:val="22"/>
          <w:szCs w:val="22"/>
        </w:rPr>
        <w:t>socioculturelles</w:t>
      </w:r>
      <w:r w:rsidRPr="006C7E4F">
        <w:rPr>
          <w:sz w:val="22"/>
          <w:szCs w:val="22"/>
        </w:rPr>
        <w:t xml:space="preserve"> (niveau d’instruction, habitudes de fré</w:t>
      </w:r>
      <w:r w:rsidR="004E511A" w:rsidRPr="006C7E4F">
        <w:rPr>
          <w:sz w:val="22"/>
          <w:szCs w:val="22"/>
        </w:rPr>
        <w:t>quentation, centres d’intérêt…)</w:t>
      </w:r>
      <w:r w:rsidR="006C7E4F" w:rsidRPr="006C7E4F">
        <w:rPr>
          <w:sz w:val="22"/>
          <w:szCs w:val="22"/>
        </w:rPr>
        <w:t>,</w:t>
      </w:r>
      <w:r w:rsidR="004E511A" w:rsidRPr="006C7E4F">
        <w:rPr>
          <w:sz w:val="22"/>
          <w:szCs w:val="22"/>
        </w:rPr>
        <w:t xml:space="preserve"> des </w:t>
      </w:r>
      <w:r w:rsidRPr="006C7E4F">
        <w:rPr>
          <w:sz w:val="22"/>
          <w:szCs w:val="22"/>
        </w:rPr>
        <w:t>données liées à</w:t>
      </w:r>
      <w:r w:rsidR="00767BFD" w:rsidRPr="006C7E4F">
        <w:rPr>
          <w:sz w:val="22"/>
          <w:szCs w:val="22"/>
        </w:rPr>
        <w:t xml:space="preserve"> leur</w:t>
      </w:r>
      <w:r w:rsidR="004E511A" w:rsidRPr="006C7E4F">
        <w:rPr>
          <w:sz w:val="22"/>
          <w:szCs w:val="22"/>
        </w:rPr>
        <w:t>s</w:t>
      </w:r>
      <w:r w:rsidR="00767BFD" w:rsidRPr="006C7E4F">
        <w:rPr>
          <w:sz w:val="22"/>
          <w:szCs w:val="22"/>
        </w:rPr>
        <w:t xml:space="preserve"> expérience</w:t>
      </w:r>
      <w:r w:rsidR="004E511A" w:rsidRPr="006C7E4F">
        <w:rPr>
          <w:sz w:val="22"/>
          <w:szCs w:val="22"/>
        </w:rPr>
        <w:t>s</w:t>
      </w:r>
      <w:r w:rsidR="00767BFD" w:rsidRPr="006C7E4F">
        <w:rPr>
          <w:sz w:val="22"/>
          <w:szCs w:val="22"/>
        </w:rPr>
        <w:t xml:space="preserve"> passée</w:t>
      </w:r>
      <w:r w:rsidR="004E511A" w:rsidRPr="006C7E4F">
        <w:rPr>
          <w:sz w:val="22"/>
          <w:szCs w:val="22"/>
        </w:rPr>
        <w:t>s</w:t>
      </w:r>
      <w:r w:rsidR="00767BFD" w:rsidRPr="006C7E4F">
        <w:rPr>
          <w:sz w:val="22"/>
          <w:szCs w:val="22"/>
        </w:rPr>
        <w:t>. Le contexte lié</w:t>
      </w:r>
      <w:r w:rsidRPr="006C7E4F">
        <w:rPr>
          <w:sz w:val="22"/>
          <w:szCs w:val="22"/>
        </w:rPr>
        <w:t xml:space="preserve"> </w:t>
      </w:r>
      <w:r w:rsidR="004E511A" w:rsidRPr="006C7E4F">
        <w:rPr>
          <w:sz w:val="22"/>
          <w:szCs w:val="22"/>
        </w:rPr>
        <w:t xml:space="preserve">à </w:t>
      </w:r>
      <w:r w:rsidRPr="006C7E4F">
        <w:rPr>
          <w:sz w:val="22"/>
          <w:szCs w:val="22"/>
        </w:rPr>
        <w:t>l</w:t>
      </w:r>
      <w:r w:rsidR="00767BFD" w:rsidRPr="006C7E4F">
        <w:rPr>
          <w:sz w:val="22"/>
          <w:szCs w:val="22"/>
        </w:rPr>
        <w:t>’expérience muséale étudiée (circonstances de la visite, motif du déplacement</w:t>
      </w:r>
      <w:r w:rsidR="004E511A" w:rsidRPr="006C7E4F">
        <w:rPr>
          <w:sz w:val="22"/>
          <w:szCs w:val="22"/>
        </w:rPr>
        <w:t>, préparation à la visite,</w:t>
      </w:r>
      <w:r w:rsidR="00767BFD" w:rsidRPr="006C7E4F">
        <w:rPr>
          <w:sz w:val="22"/>
          <w:szCs w:val="22"/>
        </w:rPr>
        <w:t xml:space="preserve"> …) est lui aussi un élément largement étudié dans cette phase exploratoire.</w:t>
      </w:r>
    </w:p>
    <w:p w:rsidR="006F78C1" w:rsidRDefault="006F78C1" w:rsidP="00D17B41">
      <w:pPr>
        <w:ind w:firstLine="425"/>
        <w:jc w:val="both"/>
        <w:rPr>
          <w:sz w:val="22"/>
          <w:szCs w:val="22"/>
        </w:rPr>
      </w:pPr>
    </w:p>
    <w:p w:rsidR="00B45F94" w:rsidRDefault="00B45F94" w:rsidP="00D17B41">
      <w:pPr>
        <w:ind w:firstLine="425"/>
        <w:jc w:val="both"/>
        <w:rPr>
          <w:sz w:val="22"/>
          <w:szCs w:val="22"/>
        </w:rPr>
      </w:pPr>
      <w:r w:rsidRPr="00B45F94">
        <w:rPr>
          <w:sz w:val="22"/>
          <w:szCs w:val="22"/>
        </w:rPr>
        <w:t>Les méthodes utilisées sont multiples et variées</w:t>
      </w:r>
      <w:r w:rsidR="007A5BC0" w:rsidRPr="007A5BC0">
        <w:rPr>
          <w:sz w:val="22"/>
          <w:szCs w:val="22"/>
        </w:rPr>
        <w:t xml:space="preserve"> </w:t>
      </w:r>
      <w:r w:rsidR="007A5BC0">
        <w:rPr>
          <w:sz w:val="22"/>
          <w:szCs w:val="22"/>
        </w:rPr>
        <w:t>comme</w:t>
      </w:r>
      <w:r w:rsidR="007A5BC0" w:rsidRPr="0014321B">
        <w:rPr>
          <w:sz w:val="22"/>
          <w:szCs w:val="22"/>
        </w:rPr>
        <w:t xml:space="preserve"> celles </w:t>
      </w:r>
      <w:r w:rsidR="007A5BC0">
        <w:rPr>
          <w:sz w:val="22"/>
          <w:szCs w:val="22"/>
        </w:rPr>
        <w:t>déjà mises en œuvre</w:t>
      </w:r>
      <w:r w:rsidR="007A5BC0" w:rsidRPr="0014321B">
        <w:rPr>
          <w:sz w:val="22"/>
          <w:szCs w:val="22"/>
        </w:rPr>
        <w:t xml:space="preserve"> dans la littérature sur les musées d’art (Sterry et Beaumont, 2006)</w:t>
      </w:r>
      <w:r w:rsidR="004E511A">
        <w:rPr>
          <w:sz w:val="22"/>
          <w:szCs w:val="22"/>
        </w:rPr>
        <w:t>. En effet, nous utilis</w:t>
      </w:r>
      <w:r w:rsidRPr="00B45F94">
        <w:rPr>
          <w:sz w:val="22"/>
          <w:szCs w:val="22"/>
        </w:rPr>
        <w:t>ons des méthodes d’observation, des techniques projectives (dessins, …) et des entretiens semi-directifs dans les musées d’art. Ces entretie</w:t>
      </w:r>
      <w:r w:rsidR="004E511A">
        <w:rPr>
          <w:sz w:val="22"/>
          <w:szCs w:val="22"/>
        </w:rPr>
        <w:t>ns s</w:t>
      </w:r>
      <w:r>
        <w:rPr>
          <w:sz w:val="22"/>
          <w:szCs w:val="22"/>
        </w:rPr>
        <w:t>ont assez brefs (maximum 10</w:t>
      </w:r>
      <w:r w:rsidRPr="00B45F94">
        <w:rPr>
          <w:sz w:val="22"/>
          <w:szCs w:val="22"/>
        </w:rPr>
        <w:t xml:space="preserve"> minutes par enfant</w:t>
      </w:r>
      <w:r w:rsidR="002902AF">
        <w:rPr>
          <w:sz w:val="22"/>
          <w:szCs w:val="22"/>
        </w:rPr>
        <w:t xml:space="preserve">). </w:t>
      </w:r>
      <w:r w:rsidR="004E511A">
        <w:rPr>
          <w:sz w:val="22"/>
          <w:szCs w:val="22"/>
        </w:rPr>
        <w:t>Cette étude cible</w:t>
      </w:r>
      <w:r w:rsidR="002902AF">
        <w:rPr>
          <w:sz w:val="22"/>
          <w:szCs w:val="22"/>
        </w:rPr>
        <w:t xml:space="preserve"> les enfants de 7</w:t>
      </w:r>
      <w:r w:rsidRPr="00B45F94">
        <w:rPr>
          <w:sz w:val="22"/>
          <w:szCs w:val="22"/>
        </w:rPr>
        <w:t xml:space="preserve"> à 12 ans. </w:t>
      </w:r>
    </w:p>
    <w:p w:rsidR="002902AF" w:rsidRDefault="002902AF" w:rsidP="00B45F94">
      <w:pPr>
        <w:jc w:val="both"/>
        <w:rPr>
          <w:sz w:val="22"/>
          <w:szCs w:val="22"/>
        </w:rPr>
      </w:pPr>
    </w:p>
    <w:p w:rsidR="002902AF" w:rsidRPr="006C7E4F" w:rsidRDefault="002902AF" w:rsidP="006C7E4F">
      <w:pPr>
        <w:ind w:firstLine="425"/>
        <w:jc w:val="both"/>
        <w:rPr>
          <w:sz w:val="22"/>
          <w:szCs w:val="22"/>
        </w:rPr>
      </w:pPr>
      <w:r w:rsidRPr="006C7E4F">
        <w:rPr>
          <w:sz w:val="22"/>
          <w:szCs w:val="22"/>
        </w:rPr>
        <w:t>S’appuyant sur les stades d’évolution proposés par Piaget, Parsons (1974) avance l’hypothèse de l’existence de quatre grandes étapes de développement esthétique chez l’enfant relatives à sa structure cognitive. Cette structure reflète la manière selon laquelle les caractéristiques esthétique</w:t>
      </w:r>
      <w:r w:rsidR="009D50A6" w:rsidRPr="006C7E4F">
        <w:rPr>
          <w:sz w:val="22"/>
          <w:szCs w:val="22"/>
        </w:rPr>
        <w:t>s d’un objet sont perçues. L</w:t>
      </w:r>
      <w:r w:rsidRPr="006C7E4F">
        <w:rPr>
          <w:sz w:val="22"/>
          <w:szCs w:val="22"/>
        </w:rPr>
        <w:t xml:space="preserve">a variable étudiée </w:t>
      </w:r>
      <w:r w:rsidR="009D50A6" w:rsidRPr="006C7E4F">
        <w:rPr>
          <w:sz w:val="22"/>
          <w:szCs w:val="22"/>
        </w:rPr>
        <w:t>est</w:t>
      </w:r>
      <w:r w:rsidRPr="006C7E4F">
        <w:rPr>
          <w:sz w:val="22"/>
          <w:szCs w:val="22"/>
        </w:rPr>
        <w:t xml:space="preserve"> la relation établie entre la personne et l’ensemble des qualités esthétiques de l’objet présenté. Notre étude s’intéresse prioritairement au deuxième stade identifié par </w:t>
      </w:r>
      <w:r w:rsidRPr="006C7E4F">
        <w:rPr>
          <w:sz w:val="22"/>
          <w:szCs w:val="22"/>
        </w:rPr>
        <w:lastRenderedPageBreak/>
        <w:t xml:space="preserve">Parsons portant sur des enfants de 7 à 12 ans. L’enfant entre 7 et 12 ans est capable d’analyser les raisons de ses </w:t>
      </w:r>
      <w:r w:rsidR="00557BA2" w:rsidRPr="006C7E4F">
        <w:rPr>
          <w:sz w:val="22"/>
          <w:szCs w:val="22"/>
        </w:rPr>
        <w:t>préférences</w:t>
      </w:r>
      <w:r w:rsidRPr="006C7E4F">
        <w:rPr>
          <w:sz w:val="22"/>
          <w:szCs w:val="22"/>
        </w:rPr>
        <w:t xml:space="preserve"> et de ses choix pour tel ou tel objet esthétique. En effet, la démarche premièrement structurée de l’enf</w:t>
      </w:r>
      <w:r w:rsidR="008C3C1E">
        <w:rPr>
          <w:sz w:val="22"/>
          <w:szCs w:val="22"/>
        </w:rPr>
        <w:t>ant apparaît dès l’âge de 7 ans</w:t>
      </w:r>
      <w:r w:rsidRPr="006C7E4F">
        <w:rPr>
          <w:sz w:val="22"/>
          <w:szCs w:val="22"/>
        </w:rPr>
        <w:t xml:space="preserve"> puisque c’est à cet âge qu’il commence à se référer à des normes, selon des raisons plus ou moins objectives (Ezan et Lagier, 2007). Toutefois, les caractéristiques des enfants sont inégales et variables même lorsque l’âge est identique. Ces inégalités en terme de développement expliquent la difficulté de catégoriser des enfants par tranche d’âges (Caro, Debenedetti et Krebs, 2007).</w:t>
      </w:r>
    </w:p>
    <w:p w:rsidR="00B45F94" w:rsidRPr="006C7E4F" w:rsidRDefault="00B45F94" w:rsidP="006C7E4F">
      <w:pPr>
        <w:ind w:firstLine="425"/>
        <w:jc w:val="both"/>
        <w:rPr>
          <w:sz w:val="22"/>
          <w:szCs w:val="22"/>
        </w:rPr>
      </w:pPr>
    </w:p>
    <w:p w:rsidR="00B45F94" w:rsidRPr="006C7E4F" w:rsidRDefault="00B45F94" w:rsidP="006C7E4F">
      <w:pPr>
        <w:ind w:firstLine="425"/>
        <w:jc w:val="both"/>
        <w:rPr>
          <w:sz w:val="22"/>
          <w:szCs w:val="22"/>
        </w:rPr>
      </w:pPr>
      <w:r w:rsidRPr="006C7E4F">
        <w:rPr>
          <w:sz w:val="22"/>
          <w:szCs w:val="22"/>
        </w:rPr>
        <w:t xml:space="preserve">Pour cette première </w:t>
      </w:r>
      <w:r w:rsidR="002902AF" w:rsidRPr="006C7E4F">
        <w:rPr>
          <w:sz w:val="22"/>
          <w:szCs w:val="22"/>
        </w:rPr>
        <w:t>étude</w:t>
      </w:r>
      <w:r w:rsidRPr="006C7E4F">
        <w:rPr>
          <w:sz w:val="22"/>
          <w:szCs w:val="22"/>
        </w:rPr>
        <w:t xml:space="preserve"> exploratoire, </w:t>
      </w:r>
      <w:r w:rsidR="009D50A6" w:rsidRPr="006C7E4F">
        <w:rPr>
          <w:sz w:val="22"/>
          <w:szCs w:val="22"/>
        </w:rPr>
        <w:t xml:space="preserve">nous n’incluons pas </w:t>
      </w:r>
      <w:r w:rsidRPr="006C7E4F">
        <w:rPr>
          <w:sz w:val="22"/>
          <w:szCs w:val="22"/>
        </w:rPr>
        <w:t>les visites en famille, ni les visites avec des amis</w:t>
      </w:r>
      <w:r w:rsidR="001559A1" w:rsidRPr="006C7E4F">
        <w:rPr>
          <w:sz w:val="22"/>
          <w:szCs w:val="22"/>
        </w:rPr>
        <w:t xml:space="preserve"> hors</w:t>
      </w:r>
      <w:r w:rsidR="00965B99" w:rsidRPr="006C7E4F">
        <w:rPr>
          <w:sz w:val="22"/>
          <w:szCs w:val="22"/>
        </w:rPr>
        <w:t xml:space="preserve"> du</w:t>
      </w:r>
      <w:r w:rsidR="001559A1" w:rsidRPr="006C7E4F">
        <w:rPr>
          <w:sz w:val="22"/>
          <w:szCs w:val="22"/>
        </w:rPr>
        <w:t xml:space="preserve"> cadre scolaire</w:t>
      </w:r>
      <w:r w:rsidRPr="006C7E4F">
        <w:rPr>
          <w:sz w:val="22"/>
          <w:szCs w:val="22"/>
        </w:rPr>
        <w:t xml:space="preserve">. </w:t>
      </w:r>
      <w:r w:rsidR="001559A1" w:rsidRPr="006C7E4F">
        <w:rPr>
          <w:sz w:val="22"/>
          <w:szCs w:val="22"/>
        </w:rPr>
        <w:t xml:space="preserve">Ces visites-là feront l’objet d’une prochaine étude exploratoire. </w:t>
      </w:r>
      <w:r w:rsidRPr="006C7E4F">
        <w:rPr>
          <w:sz w:val="22"/>
          <w:szCs w:val="22"/>
        </w:rPr>
        <w:t xml:space="preserve">Nous </w:t>
      </w:r>
      <w:r w:rsidR="004E511A" w:rsidRPr="006C7E4F">
        <w:rPr>
          <w:sz w:val="22"/>
          <w:szCs w:val="22"/>
        </w:rPr>
        <w:t>interrogeons</w:t>
      </w:r>
      <w:r w:rsidR="008C3C1E">
        <w:rPr>
          <w:sz w:val="22"/>
          <w:szCs w:val="22"/>
        </w:rPr>
        <w:t xml:space="preserve"> donc ici </w:t>
      </w:r>
      <w:r w:rsidR="001559A1" w:rsidRPr="006C7E4F">
        <w:rPr>
          <w:sz w:val="22"/>
          <w:szCs w:val="22"/>
        </w:rPr>
        <w:t>des enfants dans le cadre d’une visite scolaire. Afin de connaître au mieux le contexte de ces enfants, nous rencontrerons les enfants et l’enseignant préalablement à la visite. Si des activités de préparation à la visite sont planifiées par</w:t>
      </w:r>
      <w:r w:rsidR="004E511A" w:rsidRPr="006C7E4F">
        <w:rPr>
          <w:sz w:val="22"/>
          <w:szCs w:val="22"/>
        </w:rPr>
        <w:t xml:space="preserve"> l’enseignant, nous y </w:t>
      </w:r>
      <w:r w:rsidR="00965B99" w:rsidRPr="006C7E4F">
        <w:rPr>
          <w:sz w:val="22"/>
          <w:szCs w:val="22"/>
        </w:rPr>
        <w:t>participons</w:t>
      </w:r>
      <w:r w:rsidR="001559A1" w:rsidRPr="006C7E4F">
        <w:rPr>
          <w:sz w:val="22"/>
          <w:szCs w:val="22"/>
        </w:rPr>
        <w:t xml:space="preserve"> en tant qu’observa</w:t>
      </w:r>
      <w:r w:rsidR="004E511A" w:rsidRPr="006C7E4F">
        <w:rPr>
          <w:sz w:val="22"/>
          <w:szCs w:val="22"/>
        </w:rPr>
        <w:t>t</w:t>
      </w:r>
      <w:r w:rsidR="00965B99" w:rsidRPr="006C7E4F">
        <w:rPr>
          <w:sz w:val="22"/>
          <w:szCs w:val="22"/>
        </w:rPr>
        <w:t>eur</w:t>
      </w:r>
      <w:r w:rsidR="004E511A" w:rsidRPr="006C7E4F">
        <w:rPr>
          <w:sz w:val="22"/>
          <w:szCs w:val="22"/>
        </w:rPr>
        <w:t>. Ensuite, nous accompagn</w:t>
      </w:r>
      <w:r w:rsidR="001559A1" w:rsidRPr="006C7E4F">
        <w:rPr>
          <w:sz w:val="22"/>
          <w:szCs w:val="22"/>
        </w:rPr>
        <w:t>ons les enfants lors de leur visite en intégrant le groupe sous le rôle de stagia</w:t>
      </w:r>
      <w:r w:rsidR="004E511A" w:rsidRPr="006C7E4F">
        <w:rPr>
          <w:sz w:val="22"/>
          <w:szCs w:val="22"/>
        </w:rPr>
        <w:t>ire. Le lendemain, nous soumett</w:t>
      </w:r>
      <w:r w:rsidR="001559A1" w:rsidRPr="006C7E4F">
        <w:rPr>
          <w:sz w:val="22"/>
          <w:szCs w:val="22"/>
        </w:rPr>
        <w:t>ons les enfants à une activité post-visite. Les enfant</w:t>
      </w:r>
      <w:r w:rsidR="004E511A" w:rsidRPr="006C7E4F">
        <w:rPr>
          <w:sz w:val="22"/>
          <w:szCs w:val="22"/>
        </w:rPr>
        <w:t>s doiven</w:t>
      </w:r>
      <w:r w:rsidR="001559A1" w:rsidRPr="006C7E4F">
        <w:rPr>
          <w:sz w:val="22"/>
          <w:szCs w:val="22"/>
        </w:rPr>
        <w:t>t remplir un petit journal de bord. Sur b</w:t>
      </w:r>
      <w:r w:rsidR="004E511A" w:rsidRPr="006C7E4F">
        <w:rPr>
          <w:sz w:val="22"/>
          <w:szCs w:val="22"/>
        </w:rPr>
        <w:t>ase de celui-ci nous interrogeons</w:t>
      </w:r>
      <w:r w:rsidR="001559A1" w:rsidRPr="006C7E4F">
        <w:rPr>
          <w:sz w:val="22"/>
          <w:szCs w:val="22"/>
        </w:rPr>
        <w:t xml:space="preserve"> les enfants sur leur expérience au musée.</w:t>
      </w:r>
      <w:r w:rsidR="007A5BC0" w:rsidRPr="006C7E4F">
        <w:rPr>
          <w:sz w:val="22"/>
          <w:szCs w:val="22"/>
        </w:rPr>
        <w:t xml:space="preserve"> L’enseignant </w:t>
      </w:r>
      <w:r w:rsidR="004E511A" w:rsidRPr="006C7E4F">
        <w:rPr>
          <w:sz w:val="22"/>
          <w:szCs w:val="22"/>
        </w:rPr>
        <w:t>est</w:t>
      </w:r>
      <w:r w:rsidR="007A5BC0" w:rsidRPr="006C7E4F">
        <w:rPr>
          <w:sz w:val="22"/>
          <w:szCs w:val="22"/>
        </w:rPr>
        <w:t xml:space="preserve"> lui aussi </w:t>
      </w:r>
      <w:r w:rsidR="004E511A" w:rsidRPr="006C7E4F">
        <w:rPr>
          <w:sz w:val="22"/>
          <w:szCs w:val="22"/>
        </w:rPr>
        <w:t>interviewé</w:t>
      </w:r>
      <w:r w:rsidR="007A5BC0" w:rsidRPr="006C7E4F">
        <w:rPr>
          <w:sz w:val="22"/>
          <w:szCs w:val="22"/>
        </w:rPr>
        <w:t xml:space="preserve"> sur son expérience muséal.</w:t>
      </w:r>
      <w:r w:rsidR="001559A1" w:rsidRPr="006C7E4F">
        <w:rPr>
          <w:sz w:val="22"/>
          <w:szCs w:val="22"/>
        </w:rPr>
        <w:t xml:space="preserve"> </w:t>
      </w:r>
      <w:r w:rsidRPr="006C7E4F">
        <w:rPr>
          <w:sz w:val="22"/>
          <w:szCs w:val="22"/>
        </w:rPr>
        <w:t xml:space="preserve">En parallèle, nous </w:t>
      </w:r>
      <w:r w:rsidR="004E511A" w:rsidRPr="006C7E4F">
        <w:rPr>
          <w:sz w:val="22"/>
          <w:szCs w:val="22"/>
        </w:rPr>
        <w:t>menons</w:t>
      </w:r>
      <w:r w:rsidRPr="006C7E4F">
        <w:rPr>
          <w:sz w:val="22"/>
          <w:szCs w:val="22"/>
        </w:rPr>
        <w:t xml:space="preserve"> plusieurs interviews d’experts: équipes pédagogiques, psychologues,... </w:t>
      </w:r>
    </w:p>
    <w:p w:rsidR="00B45F94" w:rsidRPr="006C7E4F" w:rsidRDefault="00B45F94" w:rsidP="006C7E4F">
      <w:pPr>
        <w:ind w:firstLine="425"/>
        <w:jc w:val="both"/>
        <w:rPr>
          <w:sz w:val="22"/>
          <w:szCs w:val="22"/>
        </w:rPr>
      </w:pPr>
      <w:r w:rsidRPr="00B45F94">
        <w:rPr>
          <w:sz w:val="22"/>
          <w:szCs w:val="22"/>
        </w:rPr>
        <w:t> </w:t>
      </w:r>
    </w:p>
    <w:p w:rsidR="007264CE" w:rsidRPr="006C7E4F" w:rsidRDefault="008C6288" w:rsidP="006C7E4F">
      <w:pPr>
        <w:ind w:firstLine="425"/>
        <w:jc w:val="both"/>
        <w:rPr>
          <w:sz w:val="22"/>
          <w:szCs w:val="22"/>
        </w:rPr>
      </w:pPr>
      <w:r w:rsidRPr="006C7E4F">
        <w:rPr>
          <w:sz w:val="22"/>
          <w:szCs w:val="22"/>
        </w:rPr>
        <w:t>L</w:t>
      </w:r>
      <w:r w:rsidR="004B52C8" w:rsidRPr="006C7E4F">
        <w:rPr>
          <w:sz w:val="22"/>
          <w:szCs w:val="22"/>
        </w:rPr>
        <w:t>a suite</w:t>
      </w:r>
      <w:r w:rsidRPr="006C7E4F">
        <w:rPr>
          <w:sz w:val="22"/>
          <w:szCs w:val="22"/>
        </w:rPr>
        <w:t xml:space="preserve"> méthodologique de cette recherche</w:t>
      </w:r>
      <w:r w:rsidR="004B52C8" w:rsidRPr="006C7E4F">
        <w:rPr>
          <w:sz w:val="22"/>
          <w:szCs w:val="22"/>
        </w:rPr>
        <w:t xml:space="preserve"> </w:t>
      </w:r>
      <w:r w:rsidRPr="006C7E4F">
        <w:rPr>
          <w:sz w:val="22"/>
          <w:szCs w:val="22"/>
        </w:rPr>
        <w:t>sera</w:t>
      </w:r>
      <w:r w:rsidR="000A0726" w:rsidRPr="006C7E4F">
        <w:rPr>
          <w:sz w:val="22"/>
          <w:szCs w:val="22"/>
        </w:rPr>
        <w:t xml:space="preserve"> déterminée par l’analyse en profondeur de cette première phase exploratoire.</w:t>
      </w:r>
      <w:r w:rsidR="00662048" w:rsidRPr="006C7E4F">
        <w:rPr>
          <w:sz w:val="22"/>
          <w:szCs w:val="22"/>
        </w:rPr>
        <w:t xml:space="preserve"> </w:t>
      </w:r>
      <w:r w:rsidRPr="006C7E4F">
        <w:rPr>
          <w:sz w:val="22"/>
          <w:szCs w:val="22"/>
        </w:rPr>
        <w:t xml:space="preserve">Cependant, une démarche qualitative/interprétative </w:t>
      </w:r>
      <w:r w:rsidR="00662048" w:rsidRPr="006C7E4F">
        <w:rPr>
          <w:sz w:val="22"/>
          <w:szCs w:val="22"/>
        </w:rPr>
        <w:t>sera privilégié</w:t>
      </w:r>
      <w:r w:rsidRPr="006C7E4F">
        <w:rPr>
          <w:sz w:val="22"/>
          <w:szCs w:val="22"/>
        </w:rPr>
        <w:t>e tout au long de ce travail</w:t>
      </w:r>
      <w:r w:rsidR="00662048" w:rsidRPr="006C7E4F">
        <w:rPr>
          <w:sz w:val="22"/>
          <w:szCs w:val="22"/>
        </w:rPr>
        <w:t>. Ce type d’approche est le plus pertinent lorsque l’étude porte sur les activités hédoniques et expérientiel</w:t>
      </w:r>
      <w:r w:rsidR="00D335D7" w:rsidRPr="006C7E4F">
        <w:rPr>
          <w:sz w:val="22"/>
          <w:szCs w:val="22"/>
        </w:rPr>
        <w:t>les (Hirschman et Holbrook 1982</w:t>
      </w:r>
      <w:r w:rsidR="00662048" w:rsidRPr="006C7E4F">
        <w:rPr>
          <w:sz w:val="22"/>
          <w:szCs w:val="22"/>
        </w:rPr>
        <w:t>; Holbrook et Hirschman 1982).</w:t>
      </w:r>
    </w:p>
    <w:p w:rsidR="00305786" w:rsidRPr="006C7E4F" w:rsidRDefault="00305786" w:rsidP="006C7E4F">
      <w:pPr>
        <w:ind w:firstLine="425"/>
        <w:jc w:val="both"/>
        <w:rPr>
          <w:sz w:val="22"/>
          <w:szCs w:val="22"/>
        </w:rPr>
      </w:pPr>
    </w:p>
    <w:p w:rsidR="007264CE" w:rsidRDefault="007264CE" w:rsidP="007264CE">
      <w:pPr>
        <w:numPr>
          <w:ilvl w:val="0"/>
          <w:numId w:val="2"/>
        </w:numPr>
        <w:tabs>
          <w:tab w:val="clear" w:pos="360"/>
          <w:tab w:val="num" w:pos="780"/>
        </w:tabs>
        <w:ind w:left="780"/>
        <w:rPr>
          <w:b/>
          <w:bCs/>
          <w:snapToGrid w:val="0"/>
          <w:sz w:val="22"/>
          <w:szCs w:val="22"/>
        </w:rPr>
      </w:pPr>
      <w:r w:rsidRPr="003B5966">
        <w:rPr>
          <w:b/>
          <w:bCs/>
          <w:snapToGrid w:val="0"/>
          <w:sz w:val="22"/>
          <w:szCs w:val="22"/>
        </w:rPr>
        <w:t>pour le traitement de ces données</w:t>
      </w:r>
    </w:p>
    <w:p w:rsidR="00272FD7" w:rsidRDefault="00272FD7" w:rsidP="00272FD7">
      <w:pPr>
        <w:jc w:val="both"/>
        <w:rPr>
          <w:b/>
          <w:bCs/>
          <w:snapToGrid w:val="0"/>
          <w:sz w:val="22"/>
          <w:szCs w:val="22"/>
        </w:rPr>
      </w:pPr>
    </w:p>
    <w:p w:rsidR="00B45F94" w:rsidRPr="00532150" w:rsidRDefault="007264CE" w:rsidP="00532150">
      <w:pPr>
        <w:ind w:firstLine="425"/>
        <w:jc w:val="both"/>
        <w:rPr>
          <w:snapToGrid w:val="0"/>
          <w:sz w:val="22"/>
          <w:szCs w:val="22"/>
        </w:rPr>
      </w:pPr>
      <w:r w:rsidRPr="007264CE">
        <w:rPr>
          <w:snapToGrid w:val="0"/>
          <w:sz w:val="22"/>
          <w:szCs w:val="22"/>
        </w:rPr>
        <w:t xml:space="preserve">Les données </w:t>
      </w:r>
      <w:r w:rsidR="007020EE">
        <w:rPr>
          <w:snapToGrid w:val="0"/>
          <w:sz w:val="22"/>
          <w:szCs w:val="22"/>
        </w:rPr>
        <w:t xml:space="preserve">de la phase exploratoire </w:t>
      </w:r>
      <w:r w:rsidRPr="007264CE">
        <w:rPr>
          <w:snapToGrid w:val="0"/>
          <w:sz w:val="22"/>
          <w:szCs w:val="22"/>
        </w:rPr>
        <w:t>seront collectées et analysées systématiquement selon la technique d’analy</w:t>
      </w:r>
      <w:r>
        <w:rPr>
          <w:snapToGrid w:val="0"/>
          <w:sz w:val="22"/>
          <w:szCs w:val="22"/>
        </w:rPr>
        <w:t>se interprétative, appelée la « G</w:t>
      </w:r>
      <w:r w:rsidRPr="007264CE">
        <w:rPr>
          <w:snapToGrid w:val="0"/>
          <w:sz w:val="22"/>
          <w:szCs w:val="22"/>
        </w:rPr>
        <w:t>rou</w:t>
      </w:r>
      <w:r>
        <w:rPr>
          <w:snapToGrid w:val="0"/>
          <w:sz w:val="22"/>
          <w:szCs w:val="22"/>
        </w:rPr>
        <w:t>nded t</w:t>
      </w:r>
      <w:r w:rsidRPr="007264CE">
        <w:rPr>
          <w:snapToGrid w:val="0"/>
          <w:sz w:val="22"/>
          <w:szCs w:val="22"/>
        </w:rPr>
        <w:t>heory</w:t>
      </w:r>
      <w:r>
        <w:rPr>
          <w:snapToGrid w:val="0"/>
          <w:sz w:val="22"/>
          <w:szCs w:val="22"/>
        </w:rPr>
        <w:t> »</w:t>
      </w:r>
      <w:r w:rsidR="0015192B">
        <w:rPr>
          <w:snapToGrid w:val="0"/>
          <w:sz w:val="22"/>
          <w:szCs w:val="22"/>
        </w:rPr>
        <w:t xml:space="preserve"> (Glaser et Strauss, 1967)</w:t>
      </w:r>
      <w:r w:rsidRPr="007264CE">
        <w:rPr>
          <w:snapToGrid w:val="0"/>
          <w:sz w:val="22"/>
          <w:szCs w:val="22"/>
        </w:rPr>
        <w:t xml:space="preserve">. </w:t>
      </w:r>
      <w:r>
        <w:rPr>
          <w:snapToGrid w:val="0"/>
          <w:sz w:val="22"/>
          <w:szCs w:val="22"/>
        </w:rPr>
        <w:t>Nous procèderons donc à un c</w:t>
      </w:r>
      <w:r w:rsidR="00484B49" w:rsidRPr="007264CE">
        <w:rPr>
          <w:snapToGrid w:val="0"/>
          <w:sz w:val="22"/>
          <w:szCs w:val="22"/>
        </w:rPr>
        <w:t>odage systématique des données (intégralement retran</w:t>
      </w:r>
      <w:r w:rsidR="00305786">
        <w:rPr>
          <w:snapToGrid w:val="0"/>
          <w:sz w:val="22"/>
          <w:szCs w:val="22"/>
        </w:rPr>
        <w:t>scrites) à plusieurs niveaux d’</w:t>
      </w:r>
      <w:r w:rsidR="00484B49" w:rsidRPr="007264CE">
        <w:rPr>
          <w:snapToGrid w:val="0"/>
          <w:sz w:val="22"/>
          <w:szCs w:val="22"/>
        </w:rPr>
        <w:t>abstraction et de synthèse.</w:t>
      </w:r>
    </w:p>
    <w:p w:rsidR="007264CE" w:rsidRPr="003B5966" w:rsidRDefault="007264CE" w:rsidP="007264CE">
      <w:pPr>
        <w:rPr>
          <w:b/>
          <w:bCs/>
          <w:snapToGrid w:val="0"/>
          <w:sz w:val="22"/>
          <w:szCs w:val="22"/>
        </w:rPr>
      </w:pPr>
    </w:p>
    <w:p w:rsidR="007264CE" w:rsidRDefault="007264CE" w:rsidP="007264CE">
      <w:pPr>
        <w:numPr>
          <w:ilvl w:val="0"/>
          <w:numId w:val="1"/>
        </w:numPr>
        <w:rPr>
          <w:b/>
          <w:bCs/>
          <w:snapToGrid w:val="0"/>
          <w:sz w:val="22"/>
          <w:szCs w:val="22"/>
        </w:rPr>
      </w:pPr>
      <w:r w:rsidRPr="003B5966">
        <w:rPr>
          <w:b/>
          <w:bCs/>
          <w:snapToGrid w:val="0"/>
          <w:sz w:val="22"/>
          <w:szCs w:val="22"/>
        </w:rPr>
        <w:t>Etat d’avancement (date de début, date de soutenance prévue, principaux résultats déjà obtenus)</w:t>
      </w:r>
    </w:p>
    <w:p w:rsidR="007264CE" w:rsidRDefault="007264CE" w:rsidP="007264CE">
      <w:pPr>
        <w:ind w:left="420"/>
        <w:rPr>
          <w:b/>
          <w:bCs/>
          <w:snapToGrid w:val="0"/>
          <w:sz w:val="22"/>
          <w:szCs w:val="22"/>
        </w:rPr>
      </w:pPr>
    </w:p>
    <w:p w:rsidR="007264CE" w:rsidRPr="006F3561" w:rsidRDefault="00272FD7" w:rsidP="00272FD7">
      <w:pPr>
        <w:ind w:firstLine="426"/>
        <w:jc w:val="both"/>
        <w:rPr>
          <w:snapToGrid w:val="0"/>
          <w:sz w:val="22"/>
          <w:szCs w:val="22"/>
        </w:rPr>
      </w:pPr>
      <w:r>
        <w:rPr>
          <w:snapToGrid w:val="0"/>
          <w:sz w:val="22"/>
          <w:szCs w:val="22"/>
        </w:rPr>
        <w:t xml:space="preserve">  </w:t>
      </w:r>
      <w:r w:rsidR="008C3C1E">
        <w:rPr>
          <w:snapToGrid w:val="0"/>
          <w:sz w:val="22"/>
          <w:szCs w:val="22"/>
        </w:rPr>
        <w:t>Mon projet a pris forme en j</w:t>
      </w:r>
      <w:r w:rsidR="007264CE" w:rsidRPr="006F3561">
        <w:rPr>
          <w:snapToGrid w:val="0"/>
          <w:sz w:val="22"/>
          <w:szCs w:val="22"/>
        </w:rPr>
        <w:t xml:space="preserve">uin 2008. Depuis, il a évolué et la question de recherche a </w:t>
      </w:r>
      <w:r w:rsidR="007264CE">
        <w:rPr>
          <w:snapToGrid w:val="0"/>
          <w:sz w:val="22"/>
          <w:szCs w:val="22"/>
        </w:rPr>
        <w:t xml:space="preserve">même </w:t>
      </w:r>
      <w:r w:rsidR="007264CE" w:rsidRPr="006F3561">
        <w:rPr>
          <w:snapToGrid w:val="0"/>
          <w:sz w:val="22"/>
          <w:szCs w:val="22"/>
        </w:rPr>
        <w:t xml:space="preserve">quelque peu changé. </w:t>
      </w:r>
      <w:r w:rsidR="007264CE">
        <w:rPr>
          <w:snapToGrid w:val="0"/>
          <w:sz w:val="22"/>
          <w:szCs w:val="22"/>
        </w:rPr>
        <w:t>La date de soutenance n’est pas encore prévue mais elle devrait se dérouler à la fin de l’année académique 2011-2012. En ce qui concerne les résultats, l’analyse de ma première phase qualitative devrait apporter les premiers résulta</w:t>
      </w:r>
      <w:r w:rsidR="008C3C1E">
        <w:rPr>
          <w:snapToGrid w:val="0"/>
          <w:sz w:val="22"/>
          <w:szCs w:val="22"/>
        </w:rPr>
        <w:t>ts aux alentours du mois d’avril</w:t>
      </w:r>
      <w:r w:rsidR="007264CE">
        <w:rPr>
          <w:snapToGrid w:val="0"/>
          <w:sz w:val="22"/>
          <w:szCs w:val="22"/>
        </w:rPr>
        <w:t xml:space="preserve"> 2010.</w:t>
      </w:r>
      <w:r w:rsidR="00A77058">
        <w:rPr>
          <w:snapToGrid w:val="0"/>
          <w:sz w:val="22"/>
          <w:szCs w:val="22"/>
        </w:rPr>
        <w:t xml:space="preserve"> </w:t>
      </w:r>
    </w:p>
    <w:p w:rsidR="007264CE" w:rsidRPr="003B5966" w:rsidRDefault="007264CE" w:rsidP="007264CE">
      <w:pPr>
        <w:rPr>
          <w:b/>
          <w:bCs/>
          <w:snapToGrid w:val="0"/>
          <w:sz w:val="22"/>
          <w:szCs w:val="22"/>
        </w:rPr>
      </w:pPr>
    </w:p>
    <w:p w:rsidR="007264CE" w:rsidRPr="003C7AC9" w:rsidRDefault="007264CE" w:rsidP="007264CE">
      <w:pPr>
        <w:numPr>
          <w:ilvl w:val="0"/>
          <w:numId w:val="1"/>
        </w:numPr>
        <w:rPr>
          <w:b/>
          <w:bCs/>
          <w:sz w:val="22"/>
          <w:szCs w:val="22"/>
        </w:rPr>
      </w:pPr>
      <w:r w:rsidRPr="003B5966">
        <w:rPr>
          <w:b/>
          <w:bCs/>
          <w:snapToGrid w:val="0"/>
          <w:sz w:val="22"/>
          <w:szCs w:val="22"/>
        </w:rPr>
        <w:t>Questions à résoudre et difficultés à surmonter (1 à 2 questions importantes sur lesquelles vous souhaitez une réaction</w:t>
      </w:r>
      <w:r w:rsidR="008C3C1E">
        <w:rPr>
          <w:b/>
          <w:bCs/>
          <w:snapToGrid w:val="0"/>
          <w:sz w:val="22"/>
          <w:szCs w:val="22"/>
        </w:rPr>
        <w:t>)</w:t>
      </w:r>
      <w:r w:rsidRPr="003B5966">
        <w:rPr>
          <w:b/>
          <w:bCs/>
          <w:snapToGrid w:val="0"/>
          <w:sz w:val="22"/>
          <w:szCs w:val="22"/>
        </w:rPr>
        <w:t>.</w:t>
      </w:r>
    </w:p>
    <w:p w:rsidR="007264CE" w:rsidRDefault="007264CE" w:rsidP="007264CE">
      <w:pPr>
        <w:rPr>
          <w:b/>
          <w:bCs/>
          <w:snapToGrid w:val="0"/>
          <w:sz w:val="22"/>
          <w:szCs w:val="22"/>
        </w:rPr>
      </w:pPr>
    </w:p>
    <w:p w:rsidR="007020EE" w:rsidRPr="007020EE" w:rsidRDefault="006C7E4F" w:rsidP="00272FD7">
      <w:pPr>
        <w:ind w:firstLine="426"/>
        <w:jc w:val="both"/>
        <w:rPr>
          <w:snapToGrid w:val="0"/>
          <w:sz w:val="22"/>
          <w:szCs w:val="22"/>
        </w:rPr>
      </w:pPr>
      <w:r>
        <w:rPr>
          <w:snapToGrid w:val="0"/>
          <w:sz w:val="22"/>
          <w:szCs w:val="22"/>
        </w:rPr>
        <w:t xml:space="preserve">1) </w:t>
      </w:r>
      <w:r w:rsidR="007020EE" w:rsidRPr="007020EE">
        <w:rPr>
          <w:snapToGrid w:val="0"/>
          <w:sz w:val="22"/>
          <w:szCs w:val="22"/>
        </w:rPr>
        <w:t>La question de recherche est-elle bien définie ? Ne faut-il pas restreindre le cadre et se focaliser sur quelques expé</w:t>
      </w:r>
      <w:r w:rsidR="00D335D7">
        <w:rPr>
          <w:snapToGrid w:val="0"/>
          <w:sz w:val="22"/>
          <w:szCs w:val="22"/>
        </w:rPr>
        <w:t>riences particulières</w:t>
      </w:r>
      <w:r w:rsidR="007020EE" w:rsidRPr="007020EE">
        <w:rPr>
          <w:snapToGrid w:val="0"/>
          <w:sz w:val="22"/>
          <w:szCs w:val="22"/>
        </w:rPr>
        <w:t>?</w:t>
      </w:r>
      <w:r w:rsidR="00D335D7">
        <w:rPr>
          <w:snapToGrid w:val="0"/>
          <w:sz w:val="22"/>
          <w:szCs w:val="22"/>
        </w:rPr>
        <w:t xml:space="preserve"> </w:t>
      </w:r>
      <w:r w:rsidR="007020EE" w:rsidRPr="007020EE">
        <w:rPr>
          <w:snapToGrid w:val="0"/>
          <w:sz w:val="22"/>
          <w:szCs w:val="22"/>
        </w:rPr>
        <w:t xml:space="preserve">Les retombées managériales de notre </w:t>
      </w:r>
      <w:r w:rsidR="007020EE">
        <w:rPr>
          <w:snapToGrid w:val="0"/>
          <w:sz w:val="22"/>
          <w:szCs w:val="22"/>
        </w:rPr>
        <w:t>question de recherche</w:t>
      </w:r>
      <w:r w:rsidR="007020EE" w:rsidRPr="007020EE">
        <w:rPr>
          <w:snapToGrid w:val="0"/>
          <w:sz w:val="22"/>
          <w:szCs w:val="22"/>
        </w:rPr>
        <w:t xml:space="preserve"> sont évidentes. Cependant, quels conseils pouvez-vous me donner pour proposer de bonnes contributions scientifiques et </w:t>
      </w:r>
      <w:r w:rsidR="00C3412C">
        <w:rPr>
          <w:snapToGrid w:val="0"/>
          <w:sz w:val="22"/>
          <w:szCs w:val="22"/>
        </w:rPr>
        <w:t xml:space="preserve">ne </w:t>
      </w:r>
      <w:r w:rsidR="007020EE" w:rsidRPr="007020EE">
        <w:rPr>
          <w:snapToGrid w:val="0"/>
          <w:sz w:val="22"/>
          <w:szCs w:val="22"/>
        </w:rPr>
        <w:t xml:space="preserve">pas tomber dans un sujet trop appliqué ? </w:t>
      </w:r>
    </w:p>
    <w:p w:rsidR="007020EE" w:rsidRDefault="007020EE" w:rsidP="0050150D">
      <w:pPr>
        <w:jc w:val="both"/>
        <w:rPr>
          <w:snapToGrid w:val="0"/>
          <w:sz w:val="22"/>
          <w:szCs w:val="22"/>
        </w:rPr>
      </w:pPr>
    </w:p>
    <w:p w:rsidR="00C63FF2" w:rsidRDefault="00E24B29" w:rsidP="007020EE">
      <w:pPr>
        <w:ind w:firstLine="420"/>
        <w:jc w:val="both"/>
        <w:rPr>
          <w:snapToGrid w:val="0"/>
          <w:sz w:val="22"/>
          <w:szCs w:val="22"/>
        </w:rPr>
      </w:pPr>
      <w:r>
        <w:rPr>
          <w:snapToGrid w:val="0"/>
          <w:sz w:val="22"/>
          <w:szCs w:val="22"/>
        </w:rPr>
        <w:t>2)</w:t>
      </w:r>
      <w:r w:rsidRPr="007020EE">
        <w:rPr>
          <w:snapToGrid w:val="0"/>
          <w:sz w:val="22"/>
          <w:szCs w:val="22"/>
        </w:rPr>
        <w:t xml:space="preserve"> Comment</w:t>
      </w:r>
      <w:r w:rsidR="00C63FF2" w:rsidRPr="007020EE">
        <w:rPr>
          <w:snapToGrid w:val="0"/>
          <w:sz w:val="22"/>
          <w:szCs w:val="22"/>
        </w:rPr>
        <w:t xml:space="preserve"> observer et poser des questions pendant l’expérience sans biaiser l’expérience?</w:t>
      </w:r>
    </w:p>
    <w:p w:rsidR="00EF5D3A" w:rsidRDefault="00EF5D3A" w:rsidP="007020EE">
      <w:pPr>
        <w:jc w:val="both"/>
        <w:rPr>
          <w:snapToGrid w:val="0"/>
          <w:sz w:val="22"/>
          <w:szCs w:val="22"/>
        </w:rPr>
      </w:pPr>
    </w:p>
    <w:p w:rsidR="00EF5D3A" w:rsidRPr="00D74BA5" w:rsidRDefault="00EF5D3A" w:rsidP="00D74BA5">
      <w:pPr>
        <w:pStyle w:val="Paragraphedeliste"/>
        <w:numPr>
          <w:ilvl w:val="0"/>
          <w:numId w:val="1"/>
        </w:numPr>
        <w:contextualSpacing/>
        <w:rPr>
          <w:b/>
          <w:snapToGrid w:val="0"/>
          <w:sz w:val="22"/>
        </w:rPr>
      </w:pPr>
      <w:r w:rsidRPr="003B5966">
        <w:rPr>
          <w:b/>
          <w:snapToGrid w:val="0"/>
          <w:sz w:val="22"/>
        </w:rPr>
        <w:t>Bibliographie</w:t>
      </w:r>
      <w:r w:rsidR="00D74BA5">
        <w:rPr>
          <w:b/>
          <w:snapToGrid w:val="0"/>
          <w:sz w:val="22"/>
        </w:rPr>
        <w:t xml:space="preserve"> </w:t>
      </w:r>
    </w:p>
    <w:tbl>
      <w:tblPr>
        <w:tblW w:w="9320" w:type="dxa"/>
        <w:tblInd w:w="55" w:type="dxa"/>
        <w:tblCellMar>
          <w:left w:w="70" w:type="dxa"/>
          <w:right w:w="70" w:type="dxa"/>
        </w:tblCellMar>
        <w:tblLook w:val="04A0"/>
      </w:tblPr>
      <w:tblGrid>
        <w:gridCol w:w="9320"/>
      </w:tblGrid>
      <w:tr w:rsidR="00EF5D3A" w:rsidRPr="003C7AC9" w:rsidTr="00530920">
        <w:trPr>
          <w:trHeight w:val="352"/>
        </w:trPr>
        <w:tc>
          <w:tcPr>
            <w:tcW w:w="9320" w:type="dxa"/>
            <w:tcBorders>
              <w:top w:val="nil"/>
              <w:left w:val="nil"/>
              <w:bottom w:val="nil"/>
              <w:right w:val="nil"/>
            </w:tcBorders>
            <w:shd w:val="clear" w:color="auto" w:fill="auto"/>
            <w:hideMark/>
          </w:tcPr>
          <w:p w:rsidR="00EF5D3A" w:rsidRPr="003C7AC9" w:rsidRDefault="00EF5D3A" w:rsidP="00530920">
            <w:pPr>
              <w:jc w:val="both"/>
              <w:rPr>
                <w:color w:val="000000"/>
                <w:lang w:val="fr-BE" w:eastAsia="fr-BE"/>
              </w:rPr>
            </w:pPr>
          </w:p>
        </w:tc>
      </w:tr>
      <w:tr w:rsidR="00EF5D3A" w:rsidRPr="00881CA3"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en-US" w:eastAsia="fr-BE"/>
              </w:rPr>
            </w:pPr>
            <w:r w:rsidRPr="00272FD7">
              <w:rPr>
                <w:color w:val="000000"/>
                <w:sz w:val="22"/>
                <w:szCs w:val="22"/>
                <w:lang w:val="en-US" w:eastAsia="fr-BE"/>
              </w:rPr>
              <w:t>Anderson D., Piscitelli B. et Everett M. (2008), Competing agendas: Young children’s museum field trip</w:t>
            </w:r>
            <w:r w:rsidRPr="00272FD7">
              <w:rPr>
                <w:sz w:val="22"/>
                <w:szCs w:val="22"/>
                <w:lang w:val="en-US" w:eastAsia="fr-BE"/>
              </w:rPr>
              <w:t xml:space="preserve">s, </w:t>
            </w:r>
            <w:r w:rsidRPr="00272FD7">
              <w:rPr>
                <w:i/>
                <w:iCs/>
                <w:sz w:val="22"/>
                <w:szCs w:val="22"/>
                <w:lang w:val="en-US" w:eastAsia="fr-BE"/>
              </w:rPr>
              <w:t>Curator</w:t>
            </w:r>
            <w:r w:rsidRPr="00272FD7">
              <w:rPr>
                <w:sz w:val="22"/>
                <w:szCs w:val="22"/>
                <w:lang w:val="en-US" w:eastAsia="fr-BE"/>
              </w:rPr>
              <w:t>, 51(3), 253-273.</w:t>
            </w:r>
          </w:p>
        </w:tc>
      </w:tr>
      <w:tr w:rsidR="00EF5D3A" w:rsidRPr="003C7AC9" w:rsidTr="00530920">
        <w:trPr>
          <w:trHeight w:val="600"/>
        </w:trPr>
        <w:tc>
          <w:tcPr>
            <w:tcW w:w="9320" w:type="dxa"/>
            <w:tcBorders>
              <w:top w:val="nil"/>
              <w:left w:val="nil"/>
              <w:bottom w:val="nil"/>
              <w:right w:val="nil"/>
            </w:tcBorders>
            <w:shd w:val="clear" w:color="000000" w:fill="FFFFFF"/>
            <w:hideMark/>
          </w:tcPr>
          <w:p w:rsidR="00EF5D3A" w:rsidRPr="00272FD7" w:rsidRDefault="00EF5D3A" w:rsidP="00530920">
            <w:pPr>
              <w:jc w:val="both"/>
              <w:rPr>
                <w:color w:val="000000"/>
                <w:lang w:val="fr-BE" w:eastAsia="fr-BE"/>
              </w:rPr>
            </w:pPr>
            <w:r w:rsidRPr="00272FD7">
              <w:rPr>
                <w:color w:val="000000"/>
                <w:sz w:val="22"/>
                <w:szCs w:val="22"/>
                <w:lang w:val="en-US" w:eastAsia="fr-BE"/>
              </w:rPr>
              <w:lastRenderedPageBreak/>
              <w:t>Anderson D., Piscitelli B., Weier K., Everett M. et Tayler C. (2002), Children’s Museum Experiences: Identifying Powerful Mediators of Learning.</w:t>
            </w:r>
            <w:r w:rsidRPr="00272FD7">
              <w:rPr>
                <w:i/>
                <w:iCs/>
                <w:color w:val="000000"/>
                <w:sz w:val="22"/>
                <w:szCs w:val="22"/>
                <w:lang w:val="en-US" w:eastAsia="fr-BE"/>
              </w:rPr>
              <w:t xml:space="preserve"> </w:t>
            </w:r>
            <w:r w:rsidRPr="00272FD7">
              <w:rPr>
                <w:i/>
                <w:iCs/>
                <w:color w:val="000000"/>
                <w:sz w:val="22"/>
                <w:szCs w:val="22"/>
                <w:lang w:val="fr-BE" w:eastAsia="fr-BE"/>
              </w:rPr>
              <w:t>Curator</w:t>
            </w:r>
            <w:r w:rsidRPr="00272FD7">
              <w:rPr>
                <w:color w:val="000000"/>
                <w:sz w:val="22"/>
                <w:szCs w:val="22"/>
                <w:lang w:val="fr-BE" w:eastAsia="fr-BE"/>
              </w:rPr>
              <w:t>, 45, 3,  213−231.</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Aurier P. et Passebois J. (2002), Comprendre les expériences de consommation pour mieux gérer la relation client, </w:t>
            </w:r>
            <w:r w:rsidRPr="00272FD7">
              <w:rPr>
                <w:i/>
                <w:iCs/>
                <w:color w:val="000000"/>
                <w:sz w:val="22"/>
                <w:szCs w:val="22"/>
                <w:lang w:val="fr-BE" w:eastAsia="fr-BE"/>
              </w:rPr>
              <w:t>Décisions Marketing</w:t>
            </w:r>
            <w:r w:rsidRPr="00272FD7">
              <w:rPr>
                <w:color w:val="000000"/>
                <w:sz w:val="22"/>
                <w:szCs w:val="22"/>
                <w:lang w:val="fr-BE" w:eastAsia="fr-BE"/>
              </w:rPr>
              <w:t>,  28, 43-52.</w:t>
            </w:r>
          </w:p>
        </w:tc>
      </w:tr>
      <w:tr w:rsidR="00EF5D3A" w:rsidRPr="003C7AC9" w:rsidTr="00530920">
        <w:trPr>
          <w:trHeight w:val="9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Aurier P., Evrard Y. et N’Goala G. (2000), Valeur de consommation et valeur globale : une application au cas de la consommation cinématographique, </w:t>
            </w:r>
            <w:r w:rsidRPr="00272FD7">
              <w:rPr>
                <w:i/>
                <w:iCs/>
                <w:color w:val="000000"/>
                <w:sz w:val="22"/>
                <w:szCs w:val="22"/>
                <w:lang w:val="fr-BE" w:eastAsia="fr-BE"/>
              </w:rPr>
              <w:t>Actes du 16ème Congrès International de l’Association Française de Marketing</w:t>
            </w:r>
            <w:r w:rsidRPr="00272FD7">
              <w:rPr>
                <w:color w:val="000000"/>
                <w:sz w:val="22"/>
                <w:szCs w:val="22"/>
                <w:lang w:val="fr-BE" w:eastAsia="fr-BE"/>
              </w:rPr>
              <w:t>, Montréal, 152-162.</w:t>
            </w:r>
          </w:p>
        </w:tc>
      </w:tr>
      <w:tr w:rsidR="001B0DAD" w:rsidRPr="001B0DAD" w:rsidTr="002902AF">
        <w:trPr>
          <w:trHeight w:val="606"/>
        </w:trPr>
        <w:tc>
          <w:tcPr>
            <w:tcW w:w="9320" w:type="dxa"/>
            <w:tcBorders>
              <w:top w:val="nil"/>
              <w:left w:val="nil"/>
              <w:bottom w:val="nil"/>
              <w:right w:val="nil"/>
            </w:tcBorders>
            <w:shd w:val="clear" w:color="auto" w:fill="auto"/>
            <w:hideMark/>
          </w:tcPr>
          <w:p w:rsidR="00E357B3" w:rsidRPr="00272FD7" w:rsidRDefault="001B0DAD" w:rsidP="00530920">
            <w:pPr>
              <w:jc w:val="both"/>
              <w:rPr>
                <w:color w:val="000000"/>
                <w:lang w:val="fr-BE" w:eastAsia="fr-BE"/>
              </w:rPr>
            </w:pPr>
            <w:r w:rsidRPr="00272FD7">
              <w:rPr>
                <w:color w:val="000000"/>
                <w:sz w:val="22"/>
                <w:szCs w:val="22"/>
                <w:lang w:val="fr-BE" w:eastAsia="fr-BE"/>
              </w:rPr>
              <w:t xml:space="preserve">Aurier P., Evrard Y., N’Goala G. (2004): “Comprendre et mesurer la valeur du point de vue du consommateur”, </w:t>
            </w:r>
            <w:r w:rsidRPr="00272FD7">
              <w:rPr>
                <w:i/>
                <w:color w:val="000000"/>
                <w:sz w:val="22"/>
                <w:szCs w:val="22"/>
                <w:lang w:val="fr-BE" w:eastAsia="fr-BE"/>
              </w:rPr>
              <w:t>Recherches et Applications en Marketing</w:t>
            </w:r>
            <w:r w:rsidRPr="00272FD7">
              <w:rPr>
                <w:color w:val="000000"/>
                <w:sz w:val="22"/>
                <w:szCs w:val="22"/>
                <w:lang w:val="fr-BE" w:eastAsia="fr-BE"/>
              </w:rPr>
              <w:t>, 19, 3.</w:t>
            </w:r>
          </w:p>
        </w:tc>
      </w:tr>
      <w:tr w:rsidR="001B0DAD" w:rsidRPr="003C7AC9" w:rsidTr="001B0DAD">
        <w:trPr>
          <w:trHeight w:val="929"/>
        </w:trPr>
        <w:tc>
          <w:tcPr>
            <w:tcW w:w="9320" w:type="dxa"/>
            <w:tcBorders>
              <w:top w:val="nil"/>
              <w:left w:val="nil"/>
              <w:bottom w:val="nil"/>
              <w:right w:val="nil"/>
            </w:tcBorders>
            <w:shd w:val="clear" w:color="000000" w:fill="FFFFFF"/>
            <w:hideMark/>
          </w:tcPr>
          <w:p w:rsidR="001B0DAD" w:rsidRPr="00272FD7" w:rsidRDefault="001B0DAD" w:rsidP="001B0DAD">
            <w:pPr>
              <w:autoSpaceDE w:val="0"/>
              <w:autoSpaceDN w:val="0"/>
              <w:adjustRightInd w:val="0"/>
              <w:jc w:val="both"/>
              <w:rPr>
                <w:color w:val="000000"/>
                <w:lang w:val="fr-BE" w:eastAsia="fr-BE"/>
              </w:rPr>
            </w:pPr>
            <w:r w:rsidRPr="00272FD7">
              <w:rPr>
                <w:color w:val="000000"/>
                <w:sz w:val="22"/>
                <w:szCs w:val="22"/>
                <w:lang w:val="fr-BE" w:eastAsia="fr-BE"/>
              </w:rPr>
              <w:t xml:space="preserve">Bernardon K. (2005): “Vers une meilleure compréhension de l'expérience de consommation culturelle: une analyse qualitative compare des motivations des consommateurs et des interprètes d'une comédie musicale”, </w:t>
            </w:r>
            <w:r w:rsidRPr="00272FD7">
              <w:rPr>
                <w:i/>
                <w:color w:val="000000"/>
                <w:sz w:val="22"/>
                <w:szCs w:val="22"/>
                <w:lang w:val="fr-BE" w:eastAsia="fr-BE"/>
              </w:rPr>
              <w:t>10èmes Journées de Recherche en Marketing de Bourgogne</w:t>
            </w:r>
            <w:r w:rsidR="005A718E">
              <w:rPr>
                <w:i/>
                <w:color w:val="000000"/>
                <w:sz w:val="22"/>
                <w:szCs w:val="22"/>
                <w:lang w:val="fr-BE" w:eastAsia="fr-BE"/>
              </w:rPr>
              <w:t xml:space="preserve">, </w:t>
            </w:r>
            <w:r w:rsidR="005A718E" w:rsidRPr="005A718E">
              <w:rPr>
                <w:color w:val="000000"/>
                <w:sz w:val="22"/>
                <w:szCs w:val="22"/>
                <w:lang w:val="fr-BE" w:eastAsia="fr-BE"/>
              </w:rPr>
              <w:t>4, 31-50.</w:t>
            </w:r>
          </w:p>
        </w:tc>
      </w:tr>
      <w:tr w:rsidR="00EF5D3A" w:rsidRPr="00881CA3" w:rsidTr="00530920">
        <w:trPr>
          <w:trHeight w:val="600"/>
        </w:trPr>
        <w:tc>
          <w:tcPr>
            <w:tcW w:w="9320" w:type="dxa"/>
            <w:tcBorders>
              <w:top w:val="nil"/>
              <w:left w:val="nil"/>
              <w:bottom w:val="nil"/>
              <w:right w:val="nil"/>
            </w:tcBorders>
            <w:shd w:val="clear" w:color="000000" w:fill="FFFFFF"/>
            <w:hideMark/>
          </w:tcPr>
          <w:p w:rsidR="00EF5D3A" w:rsidRPr="005A718E" w:rsidRDefault="00EF5D3A" w:rsidP="00530920">
            <w:pPr>
              <w:jc w:val="both"/>
              <w:rPr>
                <w:color w:val="000000"/>
                <w:lang w:val="en-US" w:eastAsia="fr-BE"/>
              </w:rPr>
            </w:pPr>
            <w:r w:rsidRPr="00272FD7">
              <w:rPr>
                <w:color w:val="000000"/>
                <w:sz w:val="22"/>
                <w:szCs w:val="22"/>
                <w:lang w:val="en-US" w:eastAsia="fr-BE"/>
              </w:rPr>
              <w:t>Blud, LM (1990). Social interaction and learning among family groups visiting a museum</w:t>
            </w:r>
            <w:r w:rsidR="005A718E">
              <w:rPr>
                <w:color w:val="000000"/>
                <w:sz w:val="22"/>
                <w:szCs w:val="22"/>
                <w:lang w:val="en-US" w:eastAsia="fr-BE"/>
              </w:rPr>
              <w:t xml:space="preserve">, </w:t>
            </w:r>
            <w:r w:rsidRPr="005A718E">
              <w:rPr>
                <w:i/>
                <w:color w:val="000000"/>
                <w:sz w:val="22"/>
                <w:szCs w:val="22"/>
                <w:lang w:val="en-US" w:eastAsia="fr-BE"/>
              </w:rPr>
              <w:t>Museum Management and Curatorship</w:t>
            </w:r>
            <w:r w:rsidRPr="005A718E">
              <w:rPr>
                <w:color w:val="000000"/>
                <w:sz w:val="22"/>
                <w:szCs w:val="22"/>
                <w:lang w:val="en-US" w:eastAsia="fr-BE"/>
              </w:rPr>
              <w:t>, 9, 43-51.</w:t>
            </w:r>
          </w:p>
        </w:tc>
      </w:tr>
      <w:tr w:rsidR="00EF5D3A" w:rsidRPr="003C7AC9" w:rsidTr="00530920">
        <w:trPr>
          <w:trHeight w:val="695"/>
        </w:trPr>
        <w:tc>
          <w:tcPr>
            <w:tcW w:w="9320" w:type="dxa"/>
            <w:tcBorders>
              <w:top w:val="nil"/>
              <w:left w:val="nil"/>
              <w:bottom w:val="nil"/>
              <w:right w:val="nil"/>
            </w:tcBorders>
            <w:shd w:val="clear" w:color="auto" w:fill="auto"/>
            <w:hideMark/>
          </w:tcPr>
          <w:p w:rsidR="00EF5D3A" w:rsidRPr="00272FD7" w:rsidRDefault="009844A9" w:rsidP="00530920">
            <w:pPr>
              <w:jc w:val="both"/>
              <w:rPr>
                <w:color w:val="000000"/>
                <w:lang w:val="fr-BE" w:eastAsia="fr-BE"/>
              </w:rPr>
            </w:pPr>
            <w:r w:rsidRPr="00272FD7">
              <w:rPr>
                <w:color w:val="000000"/>
                <w:sz w:val="22"/>
                <w:szCs w:val="22"/>
                <w:lang w:val="fr-BE" w:eastAsia="fr-BE"/>
              </w:rPr>
              <w:t>Bourgeon D. (2007</w:t>
            </w:r>
            <w:r w:rsidR="00EF5D3A" w:rsidRPr="00272FD7">
              <w:rPr>
                <w:color w:val="000000"/>
                <w:sz w:val="22"/>
                <w:szCs w:val="22"/>
                <w:lang w:val="fr-BE" w:eastAsia="fr-BE"/>
              </w:rPr>
              <w:t>), Marketing expérientiel et hyper réalité dans le domaine de la culture,</w:t>
            </w:r>
            <w:r w:rsidR="00EF5D3A" w:rsidRPr="00272FD7">
              <w:rPr>
                <w:i/>
                <w:iCs/>
                <w:color w:val="000000"/>
                <w:sz w:val="22"/>
                <w:szCs w:val="22"/>
                <w:lang w:val="fr-BE" w:eastAsia="fr-BE"/>
              </w:rPr>
              <w:t xml:space="preserve"> 7th International Marketing Trends Congress</w:t>
            </w:r>
            <w:r w:rsidR="00EF5D3A" w:rsidRPr="00272FD7">
              <w:rPr>
                <w:color w:val="000000"/>
                <w:sz w:val="22"/>
                <w:szCs w:val="22"/>
                <w:lang w:val="fr-BE" w:eastAsia="fr-BE"/>
              </w:rPr>
              <w:t>, Venice, January 17-19, CD-ROM.</w:t>
            </w:r>
          </w:p>
        </w:tc>
      </w:tr>
      <w:tr w:rsidR="00EF5D3A" w:rsidRPr="003C7AC9" w:rsidTr="00530920">
        <w:trPr>
          <w:trHeight w:val="9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Bourgeon D. et Filser M. (1995), Les apports du modèle de recherche d’expériences à l’analyse du comportement dans le domaine culturel : une exploration conceptuelle et méthodologique, </w:t>
            </w:r>
            <w:r w:rsidRPr="00272FD7">
              <w:rPr>
                <w:i/>
                <w:iCs/>
                <w:color w:val="000000"/>
                <w:sz w:val="22"/>
                <w:szCs w:val="22"/>
                <w:lang w:val="fr-BE" w:eastAsia="fr-BE"/>
              </w:rPr>
              <w:t>Recherche et Applications en Marketing</w:t>
            </w:r>
            <w:r w:rsidRPr="00272FD7">
              <w:rPr>
                <w:color w:val="000000"/>
                <w:sz w:val="22"/>
                <w:szCs w:val="22"/>
                <w:lang w:val="fr-BE" w:eastAsia="fr-BE"/>
              </w:rPr>
              <w:t>, 10, 4, 5-25.</w:t>
            </w:r>
          </w:p>
        </w:tc>
      </w:tr>
      <w:tr w:rsidR="00EF5D3A" w:rsidRPr="003C7AC9" w:rsidTr="00530920">
        <w:trPr>
          <w:trHeight w:val="86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Bourgeon D., Le Gall-Ely M., Urbain C., Gombault A. et C. Petr (2006), Gratuité et processus de prise de décision dans le domaine culturel : le cas des musées et des monuments, </w:t>
            </w:r>
            <w:r w:rsidRPr="00272FD7">
              <w:rPr>
                <w:i/>
                <w:iCs/>
                <w:color w:val="000000"/>
                <w:sz w:val="22"/>
                <w:szCs w:val="22"/>
                <w:lang w:val="fr-BE" w:eastAsia="fr-BE"/>
              </w:rPr>
              <w:t>XXIIè Congrès International de l'Association Française du Marketing</w:t>
            </w:r>
            <w:r w:rsidRPr="00272FD7">
              <w:rPr>
                <w:color w:val="000000"/>
                <w:sz w:val="22"/>
                <w:szCs w:val="22"/>
                <w:lang w:val="fr-BE" w:eastAsia="fr-BE"/>
              </w:rPr>
              <w:t>, Audencia, 11 et 12 mai 2006.</w:t>
            </w:r>
          </w:p>
        </w:tc>
      </w:tr>
      <w:tr w:rsidR="00EF5D3A" w:rsidRPr="003C7AC9" w:rsidTr="00530920">
        <w:trPr>
          <w:trHeight w:val="860"/>
        </w:trPr>
        <w:tc>
          <w:tcPr>
            <w:tcW w:w="9320" w:type="dxa"/>
            <w:tcBorders>
              <w:top w:val="nil"/>
              <w:left w:val="nil"/>
              <w:bottom w:val="nil"/>
              <w:right w:val="nil"/>
            </w:tcBorders>
            <w:shd w:val="clear" w:color="000000" w:fill="FFFFFF"/>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Caro F., Debenedetti S. et Krebs A. (2007), Quelle exposition d’art pour les enfants ? Étude de cas et recommandations marketing, </w:t>
            </w:r>
            <w:r w:rsidRPr="00272FD7">
              <w:rPr>
                <w:i/>
                <w:iCs/>
                <w:color w:val="000000"/>
                <w:sz w:val="22"/>
                <w:szCs w:val="22"/>
                <w:lang w:val="fr-BE" w:eastAsia="fr-BE"/>
              </w:rPr>
              <w:t>Actes de la 9ème Conférence de l'Association Internationale de Management des Arts et de la Culture</w:t>
            </w:r>
            <w:r w:rsidRPr="00272FD7">
              <w:rPr>
                <w:color w:val="000000"/>
                <w:sz w:val="22"/>
                <w:szCs w:val="22"/>
                <w:lang w:val="fr-BE" w:eastAsia="fr-BE"/>
              </w:rPr>
              <w:t>, 9-11 juillet, Valence, cd-rom.</w:t>
            </w:r>
          </w:p>
        </w:tc>
      </w:tr>
      <w:tr w:rsidR="005B0D10" w:rsidRPr="003C7AC9" w:rsidTr="005B0D10">
        <w:trPr>
          <w:trHeight w:val="664"/>
        </w:trPr>
        <w:tc>
          <w:tcPr>
            <w:tcW w:w="9320" w:type="dxa"/>
            <w:tcBorders>
              <w:top w:val="nil"/>
              <w:left w:val="nil"/>
              <w:bottom w:val="nil"/>
              <w:right w:val="nil"/>
            </w:tcBorders>
            <w:shd w:val="clear" w:color="000000" w:fill="FFFFFF"/>
            <w:hideMark/>
          </w:tcPr>
          <w:p w:rsidR="005B0D10" w:rsidRPr="005B0D10" w:rsidRDefault="005B0D10" w:rsidP="005B0D10">
            <w:pPr>
              <w:autoSpaceDE w:val="0"/>
              <w:autoSpaceDN w:val="0"/>
              <w:adjustRightInd w:val="0"/>
              <w:jc w:val="both"/>
              <w:rPr>
                <w:rFonts w:ascii="Times-Roman" w:eastAsiaTheme="minorHAnsi" w:hAnsi="Times-Roman" w:cs="Times-Roman"/>
                <w:lang w:val="fr-BE" w:eastAsia="en-US"/>
              </w:rPr>
            </w:pPr>
            <w:r>
              <w:rPr>
                <w:rFonts w:ascii="Times-Roman" w:eastAsiaTheme="minorHAnsi" w:hAnsi="Times-Roman" w:cs="Times-Roman"/>
                <w:lang w:val="fr-BE" w:eastAsia="en-US"/>
              </w:rPr>
              <w:t xml:space="preserve">Chazaud P. (1997), Marketing de la visite culturelle et implication du public, </w:t>
            </w:r>
            <w:r w:rsidRPr="005B0D10">
              <w:rPr>
                <w:rFonts w:ascii="Times-Roman" w:eastAsiaTheme="minorHAnsi" w:hAnsi="Times-Roman" w:cs="Times-Roman"/>
                <w:i/>
                <w:lang w:val="fr-BE" w:eastAsia="en-US"/>
              </w:rPr>
              <w:t xml:space="preserve">Revue Publics et Musées, </w:t>
            </w:r>
            <w:r>
              <w:rPr>
                <w:rFonts w:ascii="Times-Roman" w:eastAsiaTheme="minorHAnsi" w:hAnsi="Times-Roman" w:cs="Times-Roman"/>
                <w:lang w:val="fr-BE" w:eastAsia="en-US"/>
              </w:rPr>
              <w:t>11-12, 39-65.</w:t>
            </w:r>
          </w:p>
        </w:tc>
      </w:tr>
      <w:tr w:rsidR="00EF5D3A" w:rsidRPr="003C7AC9" w:rsidTr="00530920">
        <w:trPr>
          <w:trHeight w:val="340"/>
        </w:trPr>
        <w:tc>
          <w:tcPr>
            <w:tcW w:w="9320" w:type="dxa"/>
            <w:tcBorders>
              <w:top w:val="nil"/>
              <w:left w:val="nil"/>
              <w:bottom w:val="nil"/>
              <w:right w:val="nil"/>
            </w:tcBorders>
            <w:shd w:val="clear" w:color="000000" w:fill="FFFFFF"/>
            <w:hideMark/>
          </w:tcPr>
          <w:p w:rsidR="00EF5D3A" w:rsidRPr="00272FD7" w:rsidRDefault="00EF5D3A" w:rsidP="00530920">
            <w:pPr>
              <w:jc w:val="both"/>
              <w:rPr>
                <w:color w:val="000000"/>
                <w:lang w:val="fr-BE" w:eastAsia="fr-BE"/>
              </w:rPr>
            </w:pPr>
            <w:r w:rsidRPr="00272FD7">
              <w:rPr>
                <w:color w:val="000000"/>
                <w:sz w:val="22"/>
                <w:szCs w:val="22"/>
                <w:lang w:val="fr-BE" w:eastAsia="fr-BE"/>
              </w:rPr>
              <w:t>Colbert F. (1993), Le marketing des arts et de la culture, Gaetan Morin, 2 ed..</w:t>
            </w:r>
          </w:p>
        </w:tc>
      </w:tr>
      <w:tr w:rsidR="004D1EC9" w:rsidRPr="003C7AC9" w:rsidTr="004D1EC9">
        <w:trPr>
          <w:trHeight w:val="889"/>
        </w:trPr>
        <w:tc>
          <w:tcPr>
            <w:tcW w:w="9320" w:type="dxa"/>
            <w:tcBorders>
              <w:top w:val="nil"/>
              <w:left w:val="nil"/>
              <w:bottom w:val="nil"/>
              <w:right w:val="nil"/>
            </w:tcBorders>
            <w:shd w:val="clear" w:color="auto" w:fill="auto"/>
            <w:hideMark/>
          </w:tcPr>
          <w:p w:rsidR="004D1EC9" w:rsidRPr="00272FD7" w:rsidRDefault="004D1EC9" w:rsidP="004D1EC9">
            <w:pPr>
              <w:autoSpaceDE w:val="0"/>
              <w:autoSpaceDN w:val="0"/>
              <w:adjustRightInd w:val="0"/>
              <w:jc w:val="both"/>
              <w:rPr>
                <w:color w:val="000000"/>
                <w:lang w:val="fr-BE" w:eastAsia="fr-BE"/>
              </w:rPr>
            </w:pPr>
            <w:r w:rsidRPr="00272FD7">
              <w:rPr>
                <w:color w:val="000000"/>
                <w:sz w:val="22"/>
                <w:szCs w:val="22"/>
                <w:lang w:val="fr-BE" w:eastAsia="fr-BE"/>
              </w:rPr>
              <w:t>Collin-Lachaud I. et Passebois J. (2006) : « Le rôle des NTIC dans la valorisation des expériences culturelles et la fidélisation des visiteurs : le cas du paléosite »</w:t>
            </w:r>
            <w:r w:rsidRPr="00272FD7">
              <w:rPr>
                <w:rFonts w:ascii="Times-Italic" w:eastAsiaTheme="minorHAnsi" w:hAnsi="Times-Italic" w:cs="Times-Italic"/>
                <w:i/>
                <w:iCs/>
                <w:lang w:val="fr-BE" w:eastAsia="en-US"/>
              </w:rPr>
              <w:t xml:space="preserve"> </w:t>
            </w:r>
            <w:r w:rsidRPr="00272FD7">
              <w:rPr>
                <w:i/>
                <w:color w:val="000000"/>
                <w:sz w:val="22"/>
                <w:szCs w:val="22"/>
                <w:lang w:val="fr-BE" w:eastAsia="fr-BE"/>
              </w:rPr>
              <w:t>11èmes Journées de Recherche en Marketing de Bourgogne</w:t>
            </w:r>
            <w:r w:rsidR="005A718E">
              <w:rPr>
                <w:color w:val="000000"/>
                <w:sz w:val="22"/>
                <w:szCs w:val="22"/>
                <w:lang w:val="fr-BE" w:eastAsia="fr-BE"/>
              </w:rPr>
              <w:t>, 6, 11-29.</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Debenedetti S. (2003), L'expérience de visite des lieux de loisir : le rôle central des compagnons, </w:t>
            </w:r>
            <w:r w:rsidRPr="00272FD7">
              <w:rPr>
                <w:i/>
                <w:iCs/>
                <w:color w:val="000000"/>
                <w:sz w:val="22"/>
                <w:szCs w:val="22"/>
                <w:lang w:val="fr-BE" w:eastAsia="fr-BE"/>
              </w:rPr>
              <w:t>Recherche et applications en marketing</w:t>
            </w:r>
            <w:r w:rsidRPr="00272FD7">
              <w:rPr>
                <w:color w:val="000000"/>
                <w:sz w:val="22"/>
                <w:szCs w:val="22"/>
                <w:lang w:val="fr-BE" w:eastAsia="fr-BE"/>
              </w:rPr>
              <w:t>, 18, 4, 43-58.</w:t>
            </w:r>
          </w:p>
        </w:tc>
      </w:tr>
      <w:tr w:rsidR="00EF5D3A" w:rsidRPr="00881CA3" w:rsidTr="00A5192C">
        <w:trPr>
          <w:trHeight w:val="853"/>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en-US" w:eastAsia="fr-BE"/>
              </w:rPr>
            </w:pPr>
            <w:r w:rsidRPr="00272FD7">
              <w:rPr>
                <w:color w:val="000000"/>
                <w:sz w:val="22"/>
                <w:szCs w:val="22"/>
                <w:lang w:val="en-US" w:eastAsia="fr-BE"/>
              </w:rPr>
              <w:t xml:space="preserve">Debenedetti S., Caro F. et Krebs A. (2009), « I'd rather play... than look at statues </w:t>
            </w:r>
            <w:r w:rsidR="0002539A" w:rsidRPr="00272FD7">
              <w:rPr>
                <w:color w:val="000000"/>
                <w:sz w:val="22"/>
                <w:szCs w:val="22"/>
                <w:lang w:val="en-US" w:eastAsia="fr-BE"/>
              </w:rPr>
              <w:t>»:</w:t>
            </w:r>
            <w:r w:rsidRPr="00272FD7">
              <w:rPr>
                <w:color w:val="000000"/>
                <w:sz w:val="22"/>
                <w:szCs w:val="22"/>
                <w:lang w:val="en-US" w:eastAsia="fr-BE"/>
              </w:rPr>
              <w:t xml:space="preserve"> an exploratory study of young children’s experience in an art gallery, </w:t>
            </w:r>
            <w:r w:rsidRPr="00272FD7">
              <w:rPr>
                <w:i/>
                <w:iCs/>
                <w:color w:val="000000"/>
                <w:sz w:val="22"/>
                <w:szCs w:val="22"/>
                <w:lang w:val="en-US" w:eastAsia="fr-BE"/>
              </w:rPr>
              <w:t>International Journal of Arts Management</w:t>
            </w:r>
            <w:r w:rsidR="00A5192C">
              <w:rPr>
                <w:i/>
                <w:iCs/>
                <w:color w:val="000000"/>
                <w:sz w:val="22"/>
                <w:szCs w:val="22"/>
                <w:lang w:val="en-US" w:eastAsia="fr-BE"/>
              </w:rPr>
              <w:t xml:space="preserve">, </w:t>
            </w:r>
            <w:r w:rsidR="00A5192C" w:rsidRPr="00A5192C">
              <w:rPr>
                <w:iCs/>
                <w:color w:val="000000"/>
                <w:sz w:val="22"/>
                <w:szCs w:val="22"/>
                <w:lang w:val="en-US" w:eastAsia="fr-BE"/>
              </w:rPr>
              <w:t>11, 3,</w:t>
            </w:r>
            <w:r w:rsidR="00A5192C">
              <w:rPr>
                <w:i/>
                <w:iCs/>
                <w:color w:val="000000"/>
                <w:sz w:val="22"/>
                <w:szCs w:val="22"/>
                <w:lang w:val="en-US" w:eastAsia="fr-BE"/>
              </w:rPr>
              <w:t xml:space="preserve"> </w:t>
            </w:r>
            <w:r w:rsidR="00A5192C" w:rsidRPr="00A5192C">
              <w:rPr>
                <w:iCs/>
                <w:color w:val="000000"/>
                <w:sz w:val="22"/>
                <w:szCs w:val="22"/>
                <w:lang w:val="en-US" w:eastAsia="fr-BE"/>
              </w:rPr>
              <w:t>46-58.</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Evrard Y. (2005),  Dimensions of Aesthetic Experiences, </w:t>
            </w:r>
            <w:r w:rsidRPr="00272FD7">
              <w:rPr>
                <w:i/>
                <w:iCs/>
                <w:color w:val="000000"/>
                <w:sz w:val="22"/>
                <w:szCs w:val="22"/>
                <w:lang w:val="fr-BE" w:eastAsia="fr-BE"/>
              </w:rPr>
              <w:t>8ème conférence internationale sur le management des arts et de la culture</w:t>
            </w:r>
            <w:r w:rsidRPr="00272FD7">
              <w:rPr>
                <w:color w:val="000000"/>
                <w:sz w:val="22"/>
                <w:szCs w:val="22"/>
                <w:lang w:val="fr-BE" w:eastAsia="fr-BE"/>
              </w:rPr>
              <w:t>, Montréal, 3-6 Juillet.</w:t>
            </w:r>
          </w:p>
        </w:tc>
      </w:tr>
      <w:tr w:rsidR="0035007A" w:rsidRPr="00881CA3" w:rsidTr="0050150D">
        <w:trPr>
          <w:trHeight w:val="597"/>
        </w:trPr>
        <w:tc>
          <w:tcPr>
            <w:tcW w:w="9320" w:type="dxa"/>
            <w:tcBorders>
              <w:top w:val="nil"/>
              <w:left w:val="nil"/>
              <w:bottom w:val="nil"/>
              <w:right w:val="nil"/>
            </w:tcBorders>
            <w:shd w:val="clear" w:color="auto" w:fill="auto"/>
            <w:hideMark/>
          </w:tcPr>
          <w:p w:rsidR="0035007A" w:rsidRPr="00272FD7" w:rsidRDefault="0035007A" w:rsidP="0035007A">
            <w:pPr>
              <w:spacing w:before="60" w:after="60"/>
              <w:jc w:val="both"/>
              <w:rPr>
                <w:color w:val="000000"/>
                <w:lang w:val="en-US" w:eastAsia="fr-BE"/>
              </w:rPr>
            </w:pPr>
            <w:r w:rsidRPr="00272FD7">
              <w:rPr>
                <w:color w:val="000000"/>
                <w:sz w:val="22"/>
                <w:szCs w:val="22"/>
                <w:lang w:val="en-US" w:eastAsia="fr-BE"/>
              </w:rPr>
              <w:t xml:space="preserve">Evrard Y. et P. Aurier, (1996), Identification and Validation of the Components of the Person-Object Relationship, </w:t>
            </w:r>
            <w:r w:rsidRPr="00272FD7">
              <w:rPr>
                <w:i/>
                <w:color w:val="000000"/>
                <w:sz w:val="22"/>
                <w:szCs w:val="22"/>
                <w:lang w:val="en-US" w:eastAsia="fr-BE"/>
              </w:rPr>
              <w:t>Journal of Business Research</w:t>
            </w:r>
            <w:r w:rsidRPr="00272FD7">
              <w:rPr>
                <w:color w:val="000000"/>
                <w:sz w:val="22"/>
                <w:szCs w:val="22"/>
                <w:lang w:val="en-US" w:eastAsia="fr-BE"/>
              </w:rPr>
              <w:t xml:space="preserve">, 37, 2, 127-134. </w:t>
            </w:r>
          </w:p>
        </w:tc>
      </w:tr>
      <w:tr w:rsidR="0050150D" w:rsidRPr="0050150D" w:rsidTr="0050150D">
        <w:trPr>
          <w:trHeight w:val="597"/>
        </w:trPr>
        <w:tc>
          <w:tcPr>
            <w:tcW w:w="9320" w:type="dxa"/>
            <w:tcBorders>
              <w:top w:val="nil"/>
              <w:left w:val="nil"/>
              <w:bottom w:val="nil"/>
              <w:right w:val="nil"/>
            </w:tcBorders>
            <w:shd w:val="clear" w:color="auto" w:fill="auto"/>
            <w:hideMark/>
          </w:tcPr>
          <w:p w:rsidR="0050150D" w:rsidRPr="00272FD7" w:rsidRDefault="0050150D" w:rsidP="0050150D">
            <w:pPr>
              <w:autoSpaceDE w:val="0"/>
              <w:autoSpaceDN w:val="0"/>
              <w:adjustRightInd w:val="0"/>
              <w:jc w:val="both"/>
              <w:rPr>
                <w:color w:val="000000"/>
                <w:lang w:val="fr-BE" w:eastAsia="fr-BE"/>
              </w:rPr>
            </w:pPr>
            <w:r w:rsidRPr="00272FD7">
              <w:rPr>
                <w:color w:val="000000"/>
                <w:sz w:val="22"/>
                <w:szCs w:val="22"/>
                <w:lang w:val="fr-BE" w:eastAsia="fr-BE"/>
              </w:rPr>
              <w:t xml:space="preserve">Evrard Y. et Aurier P. (1999), La valeur de l’art : une approche relationnelle », </w:t>
            </w:r>
            <w:r w:rsidRPr="00272FD7">
              <w:rPr>
                <w:i/>
                <w:color w:val="000000"/>
                <w:sz w:val="22"/>
                <w:szCs w:val="22"/>
                <w:lang w:val="fr-BE" w:eastAsia="fr-BE"/>
              </w:rPr>
              <w:t>Actes de la 4ème Journée de Recherche en Marketing de Bourgogne</w:t>
            </w:r>
            <w:r w:rsidRPr="00272FD7">
              <w:rPr>
                <w:color w:val="000000"/>
                <w:sz w:val="22"/>
                <w:szCs w:val="22"/>
                <w:lang w:val="fr-BE" w:eastAsia="fr-BE"/>
              </w:rPr>
              <w:t>, 4-17.</w:t>
            </w:r>
          </w:p>
        </w:tc>
      </w:tr>
      <w:tr w:rsidR="002902AF" w:rsidRPr="002902AF" w:rsidTr="002902AF">
        <w:trPr>
          <w:trHeight w:val="615"/>
        </w:trPr>
        <w:tc>
          <w:tcPr>
            <w:tcW w:w="9320" w:type="dxa"/>
            <w:tcBorders>
              <w:top w:val="nil"/>
              <w:left w:val="nil"/>
              <w:bottom w:val="nil"/>
              <w:right w:val="nil"/>
            </w:tcBorders>
            <w:shd w:val="clear" w:color="auto" w:fill="auto"/>
            <w:hideMark/>
          </w:tcPr>
          <w:p w:rsidR="002902AF" w:rsidRPr="002902AF" w:rsidRDefault="002902AF" w:rsidP="00530920">
            <w:pPr>
              <w:jc w:val="both"/>
              <w:rPr>
                <w:color w:val="000000"/>
                <w:lang w:val="fr-BE" w:eastAsia="fr-BE"/>
              </w:rPr>
            </w:pPr>
            <w:r w:rsidRPr="00D17B41">
              <w:rPr>
                <w:color w:val="000000"/>
                <w:sz w:val="22"/>
                <w:szCs w:val="22"/>
                <w:lang w:val="fr-BE" w:eastAsia="fr-BE"/>
              </w:rPr>
              <w:t xml:space="preserve">Ezan P. et Lagier J. (2007), Qu'est-ce que le beau ? </w:t>
            </w:r>
            <w:r w:rsidRPr="002902AF">
              <w:rPr>
                <w:color w:val="000000"/>
                <w:sz w:val="22"/>
                <w:szCs w:val="22"/>
                <w:lang w:val="fr-BE" w:eastAsia="fr-BE"/>
              </w:rPr>
              <w:t>Vers une reconnaissance de la sensibilité esthétique des enfants,</w:t>
            </w:r>
            <w:r w:rsidRPr="00305786">
              <w:rPr>
                <w:i/>
                <w:iCs/>
                <w:color w:val="000000"/>
                <w:sz w:val="22"/>
                <w:szCs w:val="22"/>
                <w:lang w:val="fr-BE" w:eastAsia="fr-BE"/>
              </w:rPr>
              <w:t xml:space="preserve"> </w:t>
            </w:r>
            <w:r>
              <w:rPr>
                <w:i/>
                <w:iCs/>
                <w:color w:val="000000"/>
                <w:sz w:val="22"/>
                <w:szCs w:val="22"/>
                <w:lang w:val="fr-BE" w:eastAsia="fr-BE"/>
              </w:rPr>
              <w:t>Actes des 12</w:t>
            </w:r>
            <w:r w:rsidRPr="00305786">
              <w:rPr>
                <w:i/>
                <w:iCs/>
                <w:color w:val="000000"/>
                <w:sz w:val="22"/>
                <w:szCs w:val="22"/>
                <w:lang w:val="fr-BE" w:eastAsia="fr-BE"/>
              </w:rPr>
              <w:t>èmes Journées de Recherche en Marketing de Bourgogne</w:t>
            </w:r>
            <w:r w:rsidRPr="00305786">
              <w:rPr>
                <w:color w:val="000000"/>
                <w:sz w:val="22"/>
                <w:szCs w:val="22"/>
                <w:lang w:val="fr-BE" w:eastAsia="fr-BE"/>
              </w:rPr>
              <w:t>, Dijon.</w:t>
            </w:r>
          </w:p>
        </w:tc>
      </w:tr>
      <w:tr w:rsidR="00EF5D3A" w:rsidRPr="00881CA3" w:rsidTr="00A47984">
        <w:trPr>
          <w:trHeight w:val="422"/>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en-US" w:eastAsia="fr-BE"/>
              </w:rPr>
            </w:pPr>
            <w:r w:rsidRPr="00272FD7">
              <w:rPr>
                <w:color w:val="000000"/>
                <w:sz w:val="22"/>
                <w:szCs w:val="22"/>
                <w:lang w:val="nl-NL" w:eastAsia="fr-BE"/>
              </w:rPr>
              <w:t xml:space="preserve">Falk J.H., et Dierking. </w:t>
            </w:r>
            <w:r w:rsidRPr="00272FD7">
              <w:rPr>
                <w:color w:val="000000"/>
                <w:sz w:val="22"/>
                <w:szCs w:val="22"/>
                <w:lang w:val="en-US" w:eastAsia="fr-BE"/>
              </w:rPr>
              <w:t>L.D. (1992), The Museum Experience, Washington: Whalesback Books.</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lastRenderedPageBreak/>
              <w:t xml:space="preserve">Filser M. (2002), Le marketing de la production d'expérience : statut théorique et implications managériales, </w:t>
            </w:r>
            <w:r w:rsidRPr="00272FD7">
              <w:rPr>
                <w:i/>
                <w:iCs/>
                <w:color w:val="000000"/>
                <w:sz w:val="22"/>
                <w:szCs w:val="22"/>
                <w:lang w:val="fr-BE" w:eastAsia="fr-BE"/>
              </w:rPr>
              <w:t>Décisions Marketing</w:t>
            </w:r>
            <w:r w:rsidRPr="00272FD7">
              <w:rPr>
                <w:color w:val="000000"/>
                <w:sz w:val="22"/>
                <w:szCs w:val="22"/>
                <w:lang w:val="fr-BE" w:eastAsia="fr-BE"/>
              </w:rPr>
              <w:t>, 28, 13-22.</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Filser M. (2005), Le management des activités culturelles et de loisirs : questions stratégiques et état des recherches académiques, </w:t>
            </w:r>
            <w:r w:rsidRPr="00A5192C">
              <w:rPr>
                <w:i/>
                <w:color w:val="000000"/>
                <w:sz w:val="22"/>
                <w:szCs w:val="22"/>
                <w:lang w:val="fr-BE" w:eastAsia="fr-BE"/>
              </w:rPr>
              <w:t>Revue management et avenir</w:t>
            </w:r>
            <w:r w:rsidRPr="00272FD7">
              <w:rPr>
                <w:color w:val="000000"/>
                <w:sz w:val="22"/>
                <w:szCs w:val="22"/>
                <w:lang w:val="fr-BE" w:eastAsia="fr-BE"/>
              </w:rPr>
              <w:t>, 5, 179-189.</w:t>
            </w:r>
          </w:p>
        </w:tc>
      </w:tr>
      <w:tr w:rsidR="0025089A" w:rsidRPr="00212BCB" w:rsidTr="00A5192C">
        <w:trPr>
          <w:trHeight w:val="645"/>
        </w:trPr>
        <w:tc>
          <w:tcPr>
            <w:tcW w:w="9320" w:type="dxa"/>
            <w:tcBorders>
              <w:top w:val="nil"/>
              <w:left w:val="nil"/>
              <w:bottom w:val="nil"/>
              <w:right w:val="nil"/>
            </w:tcBorders>
            <w:shd w:val="clear" w:color="000000" w:fill="FFFFFF"/>
            <w:hideMark/>
          </w:tcPr>
          <w:p w:rsidR="0025089A" w:rsidRPr="00272FD7" w:rsidRDefault="0025089A" w:rsidP="0025089A">
            <w:pPr>
              <w:autoSpaceDE w:val="0"/>
              <w:autoSpaceDN w:val="0"/>
              <w:adjustRightInd w:val="0"/>
              <w:rPr>
                <w:rFonts w:ascii="ArialMT" w:eastAsiaTheme="minorHAnsi" w:hAnsi="ArialMT" w:cs="ArialMT"/>
                <w:sz w:val="20"/>
                <w:szCs w:val="20"/>
                <w:lang w:val="fr-BE" w:eastAsia="en-US"/>
              </w:rPr>
            </w:pPr>
            <w:r w:rsidRPr="00272FD7">
              <w:rPr>
                <w:color w:val="000000"/>
                <w:sz w:val="22"/>
                <w:szCs w:val="22"/>
                <w:lang w:val="fr-BE" w:eastAsia="fr-BE"/>
              </w:rPr>
              <w:t xml:space="preserve">Filser M. (2000), La Valeur du Comportement de Magasinage. De la Conceptualisation aux Stratégies de Positionnement des Enseignes, </w:t>
            </w:r>
            <w:r w:rsidRPr="00272FD7">
              <w:rPr>
                <w:i/>
                <w:color w:val="000000"/>
                <w:sz w:val="22"/>
                <w:szCs w:val="22"/>
                <w:lang w:val="fr-BE" w:eastAsia="fr-BE"/>
              </w:rPr>
              <w:t>Actes du 3ème Colloque E. Thil</w:t>
            </w:r>
            <w:r w:rsidRPr="00272FD7">
              <w:rPr>
                <w:color w:val="000000"/>
                <w:sz w:val="22"/>
                <w:szCs w:val="22"/>
                <w:lang w:val="fr-BE" w:eastAsia="fr-BE"/>
              </w:rPr>
              <w:t>, La Rochelle.</w:t>
            </w:r>
          </w:p>
        </w:tc>
      </w:tr>
      <w:tr w:rsidR="00EF5D3A" w:rsidRPr="00212BCB" w:rsidTr="00530920">
        <w:trPr>
          <w:trHeight w:val="811"/>
        </w:trPr>
        <w:tc>
          <w:tcPr>
            <w:tcW w:w="9320" w:type="dxa"/>
            <w:tcBorders>
              <w:top w:val="nil"/>
              <w:left w:val="nil"/>
              <w:bottom w:val="nil"/>
              <w:right w:val="nil"/>
            </w:tcBorders>
            <w:shd w:val="clear" w:color="000000" w:fill="FFFFFF"/>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Filser M., Plichon V. et Amteblian B. (2003), La valorisation de l’expérience en magasin: analyse de l’adaptabilité d’une échelle de mesure de la valeur perçue, </w:t>
            </w:r>
            <w:r w:rsidRPr="00272FD7">
              <w:rPr>
                <w:i/>
                <w:color w:val="000000"/>
                <w:sz w:val="22"/>
                <w:szCs w:val="22"/>
                <w:lang w:val="fr-BE" w:eastAsia="fr-BE"/>
              </w:rPr>
              <w:t>Actes du 6e Colloque Etienne Thil</w:t>
            </w:r>
            <w:r w:rsidRPr="00272FD7">
              <w:rPr>
                <w:color w:val="000000"/>
                <w:sz w:val="22"/>
                <w:szCs w:val="22"/>
                <w:lang w:val="fr-BE" w:eastAsia="fr-BE"/>
              </w:rPr>
              <w:t>, La Rochelle.</w:t>
            </w:r>
          </w:p>
        </w:tc>
      </w:tr>
      <w:tr w:rsidR="00A47984" w:rsidRPr="001523F5" w:rsidTr="00530920">
        <w:trPr>
          <w:trHeight w:val="600"/>
        </w:trPr>
        <w:tc>
          <w:tcPr>
            <w:tcW w:w="9320" w:type="dxa"/>
            <w:tcBorders>
              <w:top w:val="nil"/>
              <w:left w:val="nil"/>
              <w:bottom w:val="nil"/>
              <w:right w:val="nil"/>
            </w:tcBorders>
            <w:shd w:val="clear" w:color="000000" w:fill="FFFFFF"/>
            <w:hideMark/>
          </w:tcPr>
          <w:p w:rsidR="00A47984" w:rsidRPr="00272FD7" w:rsidRDefault="00A47984" w:rsidP="00A47984">
            <w:pPr>
              <w:jc w:val="both"/>
              <w:rPr>
                <w:color w:val="000000"/>
                <w:lang w:val="en-US" w:eastAsia="fr-BE"/>
              </w:rPr>
            </w:pPr>
            <w:r w:rsidRPr="00272FD7">
              <w:rPr>
                <w:bCs/>
                <w:sz w:val="22"/>
                <w:szCs w:val="22"/>
                <w:lang w:val="en-US" w:eastAsia="fr-BE"/>
              </w:rPr>
              <w:t>Glaser</w:t>
            </w:r>
            <w:r w:rsidRPr="00272FD7">
              <w:rPr>
                <w:color w:val="000000"/>
                <w:sz w:val="22"/>
                <w:szCs w:val="22"/>
                <w:lang w:val="en-US" w:eastAsia="fr-BE"/>
              </w:rPr>
              <w:t xml:space="preserve"> B. G. et </w:t>
            </w:r>
            <w:r w:rsidRPr="00272FD7">
              <w:rPr>
                <w:bCs/>
                <w:sz w:val="22"/>
                <w:szCs w:val="22"/>
                <w:lang w:val="en-US" w:eastAsia="fr-BE"/>
              </w:rPr>
              <w:t>Strauss</w:t>
            </w:r>
            <w:r w:rsidRPr="00272FD7">
              <w:rPr>
                <w:color w:val="000000"/>
                <w:sz w:val="22"/>
                <w:szCs w:val="22"/>
                <w:lang w:val="en-US" w:eastAsia="fr-BE"/>
              </w:rPr>
              <w:t xml:space="preserve"> A. L. (</w:t>
            </w:r>
            <w:r w:rsidRPr="00272FD7">
              <w:rPr>
                <w:bCs/>
                <w:sz w:val="22"/>
                <w:szCs w:val="22"/>
                <w:lang w:val="en-US" w:eastAsia="fr-BE"/>
              </w:rPr>
              <w:t>1967</w:t>
            </w:r>
            <w:r w:rsidRPr="00272FD7">
              <w:rPr>
                <w:color w:val="000000"/>
                <w:sz w:val="22"/>
                <w:szCs w:val="22"/>
                <w:lang w:val="en-US" w:eastAsia="fr-BE"/>
              </w:rPr>
              <w:t xml:space="preserve">), </w:t>
            </w:r>
            <w:r w:rsidRPr="00272FD7">
              <w:rPr>
                <w:bCs/>
                <w:sz w:val="22"/>
                <w:szCs w:val="22"/>
                <w:lang w:val="en-US" w:eastAsia="fr-BE"/>
              </w:rPr>
              <w:t>The Discovery of Grounded Theory</w:t>
            </w:r>
            <w:r w:rsidRPr="00272FD7">
              <w:rPr>
                <w:color w:val="000000"/>
                <w:sz w:val="22"/>
                <w:szCs w:val="22"/>
                <w:lang w:val="en-US" w:eastAsia="fr-BE"/>
              </w:rPr>
              <w:t xml:space="preserve">: </w:t>
            </w:r>
            <w:r w:rsidRPr="00272FD7">
              <w:rPr>
                <w:bCs/>
                <w:sz w:val="22"/>
                <w:szCs w:val="22"/>
                <w:lang w:val="en-US" w:eastAsia="fr-BE"/>
              </w:rPr>
              <w:t>Strategies</w:t>
            </w:r>
            <w:r w:rsidRPr="00272FD7">
              <w:rPr>
                <w:color w:val="000000"/>
                <w:sz w:val="22"/>
                <w:szCs w:val="22"/>
                <w:lang w:val="en-US" w:eastAsia="fr-BE"/>
              </w:rPr>
              <w:t xml:space="preserve"> for </w:t>
            </w:r>
            <w:r w:rsidRPr="00272FD7">
              <w:rPr>
                <w:bCs/>
                <w:sz w:val="22"/>
                <w:szCs w:val="22"/>
                <w:lang w:val="en-US" w:eastAsia="fr-BE"/>
              </w:rPr>
              <w:t>Qualitative Research</w:t>
            </w:r>
            <w:r w:rsidRPr="00272FD7">
              <w:rPr>
                <w:color w:val="000000"/>
                <w:sz w:val="22"/>
                <w:szCs w:val="22"/>
                <w:lang w:val="en-US" w:eastAsia="fr-BE"/>
              </w:rPr>
              <w:t>. New York, NY: Aldine.</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Gollety M. (1999), Lorsque parents et enfants s’apprennent mutuellement à consommer…, </w:t>
            </w:r>
            <w:r w:rsidRPr="00272FD7">
              <w:rPr>
                <w:i/>
                <w:iCs/>
                <w:color w:val="000000"/>
                <w:sz w:val="22"/>
                <w:szCs w:val="22"/>
                <w:lang w:val="fr-BE" w:eastAsia="fr-BE"/>
              </w:rPr>
              <w:t>Décisions Marketing</w:t>
            </w:r>
            <w:r w:rsidRPr="00272FD7">
              <w:rPr>
                <w:color w:val="000000"/>
                <w:sz w:val="22"/>
                <w:szCs w:val="22"/>
                <w:lang w:val="fr-BE" w:eastAsia="fr-BE"/>
              </w:rPr>
              <w:t>, 18, 69-80.</w:t>
            </w:r>
          </w:p>
        </w:tc>
      </w:tr>
      <w:tr w:rsidR="00EF5D3A" w:rsidRPr="00881CA3" w:rsidTr="00530920">
        <w:trPr>
          <w:trHeight w:val="600"/>
        </w:trPr>
        <w:tc>
          <w:tcPr>
            <w:tcW w:w="9320" w:type="dxa"/>
            <w:tcBorders>
              <w:top w:val="nil"/>
              <w:left w:val="nil"/>
              <w:bottom w:val="nil"/>
              <w:right w:val="nil"/>
            </w:tcBorders>
            <w:shd w:val="clear" w:color="000000" w:fill="FFFFFF"/>
            <w:hideMark/>
          </w:tcPr>
          <w:p w:rsidR="00EF5D3A" w:rsidRPr="00272FD7" w:rsidRDefault="00EF5D3A" w:rsidP="00530920">
            <w:pPr>
              <w:jc w:val="both"/>
              <w:rPr>
                <w:color w:val="000000"/>
                <w:lang w:val="en-US" w:eastAsia="fr-BE"/>
              </w:rPr>
            </w:pPr>
            <w:r w:rsidRPr="00272FD7">
              <w:rPr>
                <w:color w:val="000000"/>
                <w:sz w:val="22"/>
                <w:szCs w:val="22"/>
                <w:lang w:val="fr-BE" w:eastAsia="fr-BE"/>
              </w:rPr>
              <w:t xml:space="preserve">Gottesdiener H. et Vilatte J-C. </w:t>
            </w:r>
            <w:r w:rsidRPr="00272FD7">
              <w:rPr>
                <w:color w:val="000000"/>
                <w:sz w:val="22"/>
                <w:szCs w:val="22"/>
                <w:lang w:val="en-US" w:eastAsia="fr-BE"/>
              </w:rPr>
              <w:t xml:space="preserve">(2001), Impact of a Game Booklet on Family to an Art Exhibition, </w:t>
            </w:r>
            <w:r w:rsidRPr="00272FD7">
              <w:rPr>
                <w:i/>
                <w:iCs/>
                <w:color w:val="000000"/>
                <w:sz w:val="22"/>
                <w:szCs w:val="22"/>
                <w:lang w:val="en-US" w:eastAsia="fr-BE"/>
              </w:rPr>
              <w:t>Empirical Studies of the Arts</w:t>
            </w:r>
            <w:r w:rsidRPr="00272FD7">
              <w:rPr>
                <w:color w:val="000000"/>
                <w:sz w:val="22"/>
                <w:szCs w:val="22"/>
                <w:lang w:val="en-US" w:eastAsia="fr-BE"/>
              </w:rPr>
              <w:t>, 19 (2), 167-176.</w:t>
            </w:r>
          </w:p>
        </w:tc>
      </w:tr>
      <w:tr w:rsidR="00EF5D3A" w:rsidRPr="003C7AC9" w:rsidTr="00530920">
        <w:trPr>
          <w:trHeight w:val="617"/>
        </w:trPr>
        <w:tc>
          <w:tcPr>
            <w:tcW w:w="9320" w:type="dxa"/>
            <w:tcBorders>
              <w:top w:val="nil"/>
              <w:left w:val="nil"/>
              <w:bottom w:val="nil"/>
              <w:right w:val="nil"/>
            </w:tcBorders>
            <w:shd w:val="clear" w:color="auto" w:fill="auto"/>
            <w:hideMark/>
          </w:tcPr>
          <w:p w:rsidR="00EF5D3A" w:rsidRPr="00272FD7" w:rsidRDefault="00EF5D3A" w:rsidP="00384EFD">
            <w:pPr>
              <w:autoSpaceDE w:val="0"/>
              <w:autoSpaceDN w:val="0"/>
              <w:adjustRightInd w:val="0"/>
              <w:jc w:val="both"/>
              <w:rPr>
                <w:color w:val="000000"/>
                <w:lang w:val="fr-BE" w:eastAsia="fr-BE"/>
              </w:rPr>
            </w:pPr>
            <w:r w:rsidRPr="00272FD7">
              <w:rPr>
                <w:color w:val="000000"/>
                <w:sz w:val="22"/>
                <w:szCs w:val="22"/>
                <w:lang w:val="fr-BE" w:eastAsia="fr-BE"/>
              </w:rPr>
              <w:t xml:space="preserve">Ghariani G. et Smaoui F. (2009), Quand le consommateur produit et vit son expérience : cas de la pratique de la danse Salsa, </w:t>
            </w:r>
            <w:r w:rsidRPr="00272FD7">
              <w:rPr>
                <w:i/>
                <w:color w:val="000000"/>
                <w:sz w:val="22"/>
                <w:szCs w:val="22"/>
                <w:lang w:val="fr-BE" w:eastAsia="fr-BE"/>
              </w:rPr>
              <w:t>8 ème Congrès International des Tendances Marketing,</w:t>
            </w:r>
            <w:r w:rsidRPr="00272FD7">
              <w:rPr>
                <w:color w:val="000000"/>
                <w:sz w:val="22"/>
                <w:szCs w:val="22"/>
                <w:lang w:val="fr-BE" w:eastAsia="fr-BE"/>
              </w:rPr>
              <w:t xml:space="preserve"> Paris.</w:t>
            </w:r>
          </w:p>
        </w:tc>
      </w:tr>
      <w:tr w:rsidR="00EF5D3A" w:rsidRPr="003C7AC9" w:rsidTr="00530920">
        <w:trPr>
          <w:trHeight w:val="9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fr-BE" w:eastAsia="fr-BE"/>
              </w:rPr>
            </w:pPr>
            <w:r w:rsidRPr="00272FD7">
              <w:rPr>
                <w:color w:val="000000"/>
                <w:sz w:val="22"/>
                <w:szCs w:val="22"/>
                <w:lang w:val="fr-BE" w:eastAsia="fr-BE"/>
              </w:rPr>
              <w:t xml:space="preserve">Guintcheva G. et Passebois-Ducros J. (2005), La place de la visite d’un musée dans l’univers concurrentiel des loisirs. Une approche par les bénéfices perçus, Dijon,  </w:t>
            </w:r>
            <w:r w:rsidRPr="00272FD7">
              <w:rPr>
                <w:i/>
                <w:iCs/>
                <w:color w:val="000000"/>
                <w:sz w:val="22"/>
                <w:szCs w:val="22"/>
                <w:lang w:val="fr-BE" w:eastAsia="fr-BE"/>
              </w:rPr>
              <w:t>10e journée de recherche en marketing de Bourgogne</w:t>
            </w:r>
            <w:r w:rsidRPr="00272FD7">
              <w:rPr>
                <w:color w:val="000000"/>
                <w:sz w:val="22"/>
                <w:szCs w:val="22"/>
                <w:lang w:val="fr-BE" w:eastAsia="fr-BE"/>
              </w:rPr>
              <w:t>, 9-10 Novembre 2005.</w:t>
            </w:r>
          </w:p>
        </w:tc>
      </w:tr>
      <w:tr w:rsidR="00EF5D3A" w:rsidRPr="00881CA3"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en-US" w:eastAsia="fr-BE"/>
              </w:rPr>
            </w:pPr>
            <w:r w:rsidRPr="00272FD7">
              <w:rPr>
                <w:color w:val="000000"/>
                <w:sz w:val="22"/>
                <w:szCs w:val="22"/>
                <w:lang w:val="en-US" w:eastAsia="fr-BE"/>
              </w:rPr>
              <w:t>Hirschman E.C. et Holbrook M.B. (1982), Hedonic Consumption: Emerging Concepts, Methods, and Propositions,</w:t>
            </w:r>
            <w:r w:rsidRPr="00272FD7">
              <w:rPr>
                <w:i/>
                <w:iCs/>
                <w:color w:val="000000"/>
                <w:sz w:val="22"/>
                <w:szCs w:val="22"/>
                <w:lang w:val="en-US" w:eastAsia="fr-BE"/>
              </w:rPr>
              <w:t xml:space="preserve"> Journal of Marketing,</w:t>
            </w:r>
            <w:r w:rsidRPr="00272FD7">
              <w:rPr>
                <w:color w:val="000000"/>
                <w:sz w:val="22"/>
                <w:szCs w:val="22"/>
                <w:lang w:val="en-US" w:eastAsia="fr-BE"/>
              </w:rPr>
              <w:t xml:space="preserve"> 46, 92-101. </w:t>
            </w:r>
          </w:p>
        </w:tc>
      </w:tr>
      <w:tr w:rsidR="00EF5D3A" w:rsidRPr="00881CA3" w:rsidTr="00530920">
        <w:trPr>
          <w:trHeight w:val="600"/>
        </w:trPr>
        <w:tc>
          <w:tcPr>
            <w:tcW w:w="9320" w:type="dxa"/>
            <w:tcBorders>
              <w:top w:val="nil"/>
              <w:left w:val="nil"/>
              <w:bottom w:val="nil"/>
              <w:right w:val="nil"/>
            </w:tcBorders>
            <w:shd w:val="clear" w:color="auto" w:fill="auto"/>
            <w:hideMark/>
          </w:tcPr>
          <w:p w:rsidR="00EF5D3A" w:rsidRPr="00272FD7" w:rsidRDefault="00EF5D3A" w:rsidP="00530920">
            <w:pPr>
              <w:jc w:val="both"/>
              <w:rPr>
                <w:color w:val="000000"/>
                <w:lang w:val="en-US" w:eastAsia="fr-BE"/>
              </w:rPr>
            </w:pPr>
            <w:r w:rsidRPr="00272FD7">
              <w:rPr>
                <w:color w:val="000000"/>
                <w:sz w:val="22"/>
                <w:szCs w:val="22"/>
                <w:lang w:val="en-US" w:eastAsia="fr-BE"/>
              </w:rPr>
              <w:t>Holbrook M.B. et Hirschman E.C. (1982), The Experiential Aspects of Consumption: Consumer Fantasies, Feelings, and Fun,</w:t>
            </w:r>
            <w:r w:rsidRPr="00272FD7">
              <w:rPr>
                <w:i/>
                <w:iCs/>
                <w:color w:val="000000"/>
                <w:sz w:val="22"/>
                <w:szCs w:val="22"/>
                <w:lang w:val="en-US" w:eastAsia="fr-BE"/>
              </w:rPr>
              <w:t xml:space="preserve"> Journal of Consumer Research</w:t>
            </w:r>
            <w:r w:rsidRPr="00272FD7">
              <w:rPr>
                <w:color w:val="000000"/>
                <w:sz w:val="22"/>
                <w:szCs w:val="22"/>
                <w:lang w:val="en-US" w:eastAsia="fr-BE"/>
              </w:rPr>
              <w:t>, 9, 132-140.</w:t>
            </w:r>
          </w:p>
        </w:tc>
      </w:tr>
      <w:tr w:rsidR="00B75978" w:rsidRPr="00881CA3" w:rsidTr="00A5192C">
        <w:trPr>
          <w:trHeight w:val="860"/>
        </w:trPr>
        <w:tc>
          <w:tcPr>
            <w:tcW w:w="9320" w:type="dxa"/>
            <w:tcBorders>
              <w:top w:val="nil"/>
              <w:left w:val="nil"/>
              <w:bottom w:val="nil"/>
              <w:right w:val="nil"/>
            </w:tcBorders>
            <w:shd w:val="clear" w:color="000000" w:fill="FFFFFF"/>
            <w:hideMark/>
          </w:tcPr>
          <w:p w:rsidR="00B75978" w:rsidRPr="00305786" w:rsidRDefault="00B75978" w:rsidP="00B75978">
            <w:pPr>
              <w:autoSpaceDE w:val="0"/>
              <w:autoSpaceDN w:val="0"/>
              <w:adjustRightInd w:val="0"/>
              <w:jc w:val="both"/>
              <w:rPr>
                <w:rFonts w:eastAsiaTheme="minorHAnsi"/>
                <w:lang w:val="en-US" w:eastAsia="en-US"/>
              </w:rPr>
            </w:pPr>
            <w:r w:rsidRPr="00305786">
              <w:rPr>
                <w:rFonts w:eastAsiaTheme="minorHAnsi"/>
                <w:sz w:val="22"/>
                <w:szCs w:val="22"/>
                <w:lang w:val="en-US" w:eastAsia="en-US"/>
              </w:rPr>
              <w:t xml:space="preserve">Holbrook M.B. (1994), The Nature of Customer Value: An Axiology of Services in the Consumption Experience, </w:t>
            </w:r>
            <w:r w:rsidRPr="00305786">
              <w:rPr>
                <w:rFonts w:eastAsiaTheme="minorHAnsi"/>
                <w:i/>
                <w:iCs/>
                <w:sz w:val="22"/>
                <w:szCs w:val="22"/>
                <w:lang w:val="en-US" w:eastAsia="en-US"/>
              </w:rPr>
              <w:t>Service Quality: New Directions In Theory and Practice</w:t>
            </w:r>
            <w:r w:rsidRPr="00305786">
              <w:rPr>
                <w:rFonts w:eastAsiaTheme="minorHAnsi"/>
                <w:sz w:val="22"/>
                <w:szCs w:val="22"/>
                <w:lang w:val="en-US" w:eastAsia="en-US"/>
              </w:rPr>
              <w:t>, Ed R. Rust et R. L. Oliver, Sage Publications, 21-71.</w:t>
            </w:r>
          </w:p>
        </w:tc>
      </w:tr>
      <w:tr w:rsidR="00EF5D3A" w:rsidRPr="00881CA3" w:rsidTr="0002034E">
        <w:trPr>
          <w:trHeight w:val="619"/>
        </w:trPr>
        <w:tc>
          <w:tcPr>
            <w:tcW w:w="9320" w:type="dxa"/>
            <w:tcBorders>
              <w:top w:val="nil"/>
              <w:left w:val="nil"/>
              <w:bottom w:val="nil"/>
              <w:right w:val="nil"/>
            </w:tcBorders>
            <w:shd w:val="clear" w:color="000000" w:fill="FFFFFF"/>
            <w:hideMark/>
          </w:tcPr>
          <w:p w:rsidR="00EF5D3A" w:rsidRPr="00305786" w:rsidRDefault="00EF5D3A" w:rsidP="00530920">
            <w:pPr>
              <w:jc w:val="both"/>
              <w:rPr>
                <w:color w:val="000000"/>
                <w:lang w:val="en-US" w:eastAsia="fr-BE"/>
              </w:rPr>
            </w:pPr>
            <w:r w:rsidRPr="00305786">
              <w:rPr>
                <w:color w:val="000000"/>
                <w:sz w:val="22"/>
                <w:szCs w:val="22"/>
                <w:lang w:val="en-US" w:eastAsia="fr-BE"/>
              </w:rPr>
              <w:t>Holbrook M.B. (1999), Consumer Value: A framework for analysis and research, Collection Routledge Interpretive Market Research Series, London and New York.</w:t>
            </w:r>
          </w:p>
        </w:tc>
      </w:tr>
      <w:tr w:rsidR="00EF5D3A" w:rsidRPr="00881CA3" w:rsidTr="00530920">
        <w:trPr>
          <w:trHeight w:val="600"/>
        </w:trPr>
        <w:tc>
          <w:tcPr>
            <w:tcW w:w="9320" w:type="dxa"/>
            <w:tcBorders>
              <w:top w:val="nil"/>
              <w:left w:val="nil"/>
              <w:bottom w:val="nil"/>
              <w:right w:val="nil"/>
            </w:tcBorders>
            <w:shd w:val="clear" w:color="000000" w:fill="FFFFFF"/>
            <w:hideMark/>
          </w:tcPr>
          <w:p w:rsidR="00EF5D3A" w:rsidRPr="00305786" w:rsidRDefault="00EF5D3A" w:rsidP="00530920">
            <w:pPr>
              <w:jc w:val="both"/>
              <w:rPr>
                <w:color w:val="000000"/>
                <w:lang w:val="en-US" w:eastAsia="fr-BE"/>
              </w:rPr>
            </w:pPr>
            <w:r w:rsidRPr="00305786">
              <w:rPr>
                <w:color w:val="000000"/>
                <w:sz w:val="22"/>
                <w:szCs w:val="22"/>
                <w:lang w:val="en-US" w:eastAsia="fr-BE"/>
              </w:rPr>
              <w:t>Jensen N. (1994), Children’s Perceptions of Their Museum Experiences: A Contextual Perspective,</w:t>
            </w:r>
            <w:r w:rsidRPr="00305786">
              <w:rPr>
                <w:i/>
                <w:iCs/>
                <w:color w:val="000000"/>
                <w:sz w:val="22"/>
                <w:szCs w:val="22"/>
                <w:lang w:val="en-US" w:eastAsia="fr-BE"/>
              </w:rPr>
              <w:t xml:space="preserve"> Children’s Environments</w:t>
            </w:r>
            <w:r w:rsidRPr="00305786">
              <w:rPr>
                <w:color w:val="000000"/>
                <w:sz w:val="22"/>
                <w:szCs w:val="22"/>
                <w:lang w:val="en-US" w:eastAsia="fr-BE"/>
              </w:rPr>
              <w:t>, 11, 4, 55−90.</w:t>
            </w:r>
          </w:p>
        </w:tc>
      </w:tr>
      <w:tr w:rsidR="00EF5D3A" w:rsidRPr="00881CA3"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en-US" w:eastAsia="fr-BE"/>
              </w:rPr>
            </w:pPr>
            <w:r w:rsidRPr="00305786">
              <w:rPr>
                <w:color w:val="000000"/>
                <w:sz w:val="22"/>
                <w:szCs w:val="22"/>
                <w:lang w:val="en-US" w:eastAsia="fr-BE"/>
              </w:rPr>
              <w:t xml:space="preserve">Joy A. et Sherry J.F. (2003), Speaking of art as embodied imagination: a multisensory approach to understanding aesthetic experience, </w:t>
            </w:r>
            <w:r w:rsidRPr="00305786">
              <w:rPr>
                <w:i/>
                <w:iCs/>
                <w:color w:val="000000"/>
                <w:sz w:val="22"/>
                <w:szCs w:val="22"/>
                <w:lang w:val="en-US" w:eastAsia="fr-BE"/>
              </w:rPr>
              <w:t>Journal of Consumer  Research</w:t>
            </w:r>
            <w:r w:rsidRPr="00305786">
              <w:rPr>
                <w:color w:val="000000"/>
                <w:sz w:val="22"/>
                <w:szCs w:val="22"/>
                <w:lang w:val="en-US" w:eastAsia="fr-BE"/>
              </w:rPr>
              <w:t>, 30, 259-82.</w:t>
            </w:r>
          </w:p>
        </w:tc>
      </w:tr>
      <w:tr w:rsidR="00EF5D3A" w:rsidRPr="00881CA3"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en-US" w:eastAsia="fr-BE"/>
              </w:rPr>
            </w:pPr>
            <w:r w:rsidRPr="00305786">
              <w:rPr>
                <w:color w:val="000000"/>
                <w:sz w:val="22"/>
                <w:szCs w:val="22"/>
                <w:lang w:val="en-US" w:eastAsia="fr-BE"/>
              </w:rPr>
              <w:t xml:space="preserve">Kindler A. M. et Darras B. (1997), Young Children and Museums: The role of cultural context in early development of attitudes, beliefs, and behaviours, </w:t>
            </w:r>
            <w:r w:rsidRPr="00305786">
              <w:rPr>
                <w:i/>
                <w:iCs/>
                <w:color w:val="000000"/>
                <w:sz w:val="22"/>
                <w:szCs w:val="22"/>
                <w:lang w:val="en-US" w:eastAsia="fr-BE"/>
              </w:rPr>
              <w:t>Visual Arts Research,</w:t>
            </w:r>
            <w:r w:rsidRPr="00305786">
              <w:rPr>
                <w:color w:val="000000"/>
                <w:sz w:val="22"/>
                <w:szCs w:val="22"/>
                <w:lang w:val="en-US" w:eastAsia="fr-BE"/>
              </w:rPr>
              <w:t xml:space="preserve"> 23, 1, 125-141.</w:t>
            </w:r>
          </w:p>
        </w:tc>
      </w:tr>
      <w:tr w:rsidR="00EF5D3A" w:rsidRPr="00881CA3" w:rsidTr="00530920">
        <w:trPr>
          <w:trHeight w:val="838"/>
        </w:trPr>
        <w:tc>
          <w:tcPr>
            <w:tcW w:w="9320" w:type="dxa"/>
            <w:tcBorders>
              <w:top w:val="nil"/>
              <w:left w:val="nil"/>
              <w:bottom w:val="nil"/>
              <w:right w:val="nil"/>
            </w:tcBorders>
            <w:shd w:val="clear" w:color="000000" w:fill="FFFFFF"/>
            <w:hideMark/>
          </w:tcPr>
          <w:p w:rsidR="00EF5D3A" w:rsidRPr="00305786" w:rsidRDefault="00EF5D3A" w:rsidP="00530920">
            <w:pPr>
              <w:jc w:val="both"/>
              <w:rPr>
                <w:color w:val="000000"/>
                <w:lang w:val="en-US" w:eastAsia="fr-BE"/>
              </w:rPr>
            </w:pPr>
            <w:r w:rsidRPr="00305786">
              <w:rPr>
                <w:color w:val="000000"/>
                <w:sz w:val="22"/>
                <w:szCs w:val="22"/>
                <w:lang w:val="en-US" w:eastAsia="fr-BE"/>
              </w:rPr>
              <w:t xml:space="preserve">McManus P.M. (1987), It's the company you keep: the social determination of learning-related behavior in a science museum, </w:t>
            </w:r>
            <w:r w:rsidRPr="00305786">
              <w:rPr>
                <w:i/>
                <w:iCs/>
                <w:color w:val="000000"/>
                <w:sz w:val="22"/>
                <w:szCs w:val="22"/>
                <w:lang w:val="en-US" w:eastAsia="fr-BE"/>
              </w:rPr>
              <w:t>The International Journal of Museum Management and Curatorship</w:t>
            </w:r>
            <w:r w:rsidRPr="00305786">
              <w:rPr>
                <w:color w:val="000000"/>
                <w:sz w:val="22"/>
                <w:szCs w:val="22"/>
                <w:lang w:val="en-US" w:eastAsia="fr-BE"/>
              </w:rPr>
              <w:t>, 6, 3, 260-70.</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fr-BE" w:eastAsia="fr-BE"/>
              </w:rPr>
              <w:t xml:space="preserve">Mencarelli R. (2008), L’interaction lieu-objet comme conceptualisation de l’expérience vécue : proposition d’un modèle intégrateur, </w:t>
            </w:r>
            <w:r w:rsidRPr="00305786">
              <w:rPr>
                <w:i/>
                <w:iCs/>
                <w:color w:val="000000"/>
                <w:sz w:val="22"/>
                <w:szCs w:val="22"/>
                <w:lang w:val="fr-BE" w:eastAsia="fr-BE"/>
              </w:rPr>
              <w:t>Recherche et Applications en Marketing</w:t>
            </w:r>
            <w:r w:rsidRPr="00305786">
              <w:rPr>
                <w:color w:val="000000"/>
                <w:sz w:val="22"/>
                <w:szCs w:val="22"/>
                <w:lang w:val="fr-BE" w:eastAsia="fr-BE"/>
              </w:rPr>
              <w:t>,  23, 3, 51-69.</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fr-BE" w:eastAsia="fr-BE"/>
              </w:rPr>
              <w:t>Mencare</w:t>
            </w:r>
            <w:r w:rsidR="00C62161" w:rsidRPr="00305786">
              <w:rPr>
                <w:color w:val="000000"/>
                <w:sz w:val="22"/>
                <w:szCs w:val="22"/>
                <w:lang w:val="fr-BE" w:eastAsia="fr-BE"/>
              </w:rPr>
              <w:t xml:space="preserve">lli R., Pulh M. et Marteaux S. </w:t>
            </w:r>
            <w:r w:rsidRPr="00305786">
              <w:rPr>
                <w:color w:val="000000"/>
                <w:sz w:val="22"/>
                <w:szCs w:val="22"/>
                <w:lang w:val="fr-BE" w:eastAsia="fr-BE"/>
              </w:rPr>
              <w:t>(2008), Quand l’offre muséale fait écho aux grandes tendances de consommation,</w:t>
            </w:r>
            <w:r w:rsidRPr="00305786">
              <w:rPr>
                <w:i/>
                <w:iCs/>
                <w:color w:val="000000"/>
                <w:sz w:val="22"/>
                <w:szCs w:val="22"/>
                <w:lang w:val="fr-BE" w:eastAsia="fr-BE"/>
              </w:rPr>
              <w:t xml:space="preserve"> 19ème Journées Nationales des I.A.E</w:t>
            </w:r>
            <w:r w:rsidRPr="00305786">
              <w:rPr>
                <w:color w:val="000000"/>
                <w:sz w:val="22"/>
                <w:szCs w:val="22"/>
                <w:lang w:val="fr-BE" w:eastAsia="fr-BE"/>
              </w:rPr>
              <w:t>., Lille 1, 1-15.</w:t>
            </w:r>
          </w:p>
        </w:tc>
      </w:tr>
      <w:tr w:rsidR="007B1E3D" w:rsidRPr="00881CA3" w:rsidTr="007B1E3D">
        <w:trPr>
          <w:trHeight w:val="398"/>
        </w:trPr>
        <w:tc>
          <w:tcPr>
            <w:tcW w:w="9320" w:type="dxa"/>
            <w:tcBorders>
              <w:top w:val="nil"/>
              <w:left w:val="nil"/>
              <w:bottom w:val="nil"/>
              <w:right w:val="nil"/>
            </w:tcBorders>
            <w:shd w:val="clear" w:color="000000" w:fill="FFFFFF"/>
            <w:hideMark/>
          </w:tcPr>
          <w:p w:rsidR="007B1E3D" w:rsidRPr="007B1E3D" w:rsidRDefault="007B1E3D" w:rsidP="00530920">
            <w:pPr>
              <w:jc w:val="both"/>
              <w:rPr>
                <w:color w:val="000000"/>
                <w:lang w:val="en-US" w:eastAsia="fr-BE"/>
              </w:rPr>
            </w:pPr>
            <w:r w:rsidRPr="007B1E3D">
              <w:rPr>
                <w:color w:val="000000"/>
                <w:sz w:val="22"/>
                <w:szCs w:val="22"/>
                <w:lang w:val="en-US" w:eastAsia="fr-BE"/>
              </w:rPr>
              <w:t>Mori (2002)</w:t>
            </w:r>
            <w:r>
              <w:rPr>
                <w:color w:val="000000"/>
                <w:sz w:val="22"/>
                <w:szCs w:val="22"/>
                <w:lang w:val="en-US" w:eastAsia="fr-BE"/>
              </w:rPr>
              <w:t>,</w:t>
            </w:r>
            <w:r w:rsidRPr="007B1E3D">
              <w:rPr>
                <w:color w:val="000000"/>
                <w:sz w:val="22"/>
                <w:szCs w:val="22"/>
                <w:lang w:val="en-US" w:eastAsia="fr-BE"/>
              </w:rPr>
              <w:t xml:space="preserve"> Visitors to Museums and Galleries in the UK, London: Resource.</w:t>
            </w:r>
          </w:p>
        </w:tc>
      </w:tr>
      <w:tr w:rsidR="00EF5D3A" w:rsidRPr="003C7AC9" w:rsidTr="00530920">
        <w:trPr>
          <w:trHeight w:val="835"/>
        </w:trPr>
        <w:tc>
          <w:tcPr>
            <w:tcW w:w="9320" w:type="dxa"/>
            <w:tcBorders>
              <w:top w:val="nil"/>
              <w:left w:val="nil"/>
              <w:bottom w:val="nil"/>
              <w:right w:val="nil"/>
            </w:tcBorders>
            <w:shd w:val="clear" w:color="000000" w:fill="FFFFFF"/>
            <w:hideMark/>
          </w:tcPr>
          <w:p w:rsidR="00EF5D3A" w:rsidRPr="00305786" w:rsidRDefault="00EF5D3A" w:rsidP="00530920">
            <w:pPr>
              <w:jc w:val="both"/>
              <w:rPr>
                <w:color w:val="000000"/>
                <w:lang w:val="fr-BE" w:eastAsia="fr-BE"/>
              </w:rPr>
            </w:pPr>
            <w:r w:rsidRPr="00305786">
              <w:rPr>
                <w:color w:val="000000"/>
                <w:sz w:val="22"/>
                <w:szCs w:val="22"/>
                <w:lang w:val="fr-BE" w:eastAsia="fr-BE"/>
              </w:rPr>
              <w:t xml:space="preserve">Nyeck S. et Bergadaà M. (1995),  Quel marketing pour les activités artistiques : une analyse qualitative comparée des motivations des consommateurs et producteurs de théâtre, </w:t>
            </w:r>
            <w:r w:rsidRPr="00305786">
              <w:rPr>
                <w:i/>
                <w:iCs/>
                <w:color w:val="000000"/>
                <w:sz w:val="22"/>
                <w:szCs w:val="22"/>
                <w:lang w:val="fr-BE" w:eastAsia="fr-BE"/>
              </w:rPr>
              <w:t>Recherche et Applications en Marketing</w:t>
            </w:r>
            <w:r w:rsidR="00A5192C">
              <w:rPr>
                <w:color w:val="000000"/>
                <w:sz w:val="22"/>
                <w:szCs w:val="22"/>
                <w:lang w:val="fr-BE" w:eastAsia="fr-BE"/>
              </w:rPr>
              <w:t>,</w:t>
            </w:r>
            <w:r w:rsidRPr="00305786">
              <w:rPr>
                <w:color w:val="000000"/>
                <w:sz w:val="22"/>
                <w:szCs w:val="22"/>
                <w:lang w:val="fr-BE" w:eastAsia="fr-BE"/>
              </w:rPr>
              <w:t xml:space="preserve"> 10,  4, 27-45.</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fr-BE" w:eastAsia="fr-BE"/>
              </w:rPr>
              <w:lastRenderedPageBreak/>
              <w:t xml:space="preserve">Origet du Cluzeau C. (2005), L’enfant au musée ou le musée pour enfant ?, </w:t>
            </w:r>
            <w:r w:rsidRPr="00305786">
              <w:rPr>
                <w:i/>
                <w:iCs/>
                <w:color w:val="000000"/>
                <w:sz w:val="22"/>
                <w:szCs w:val="22"/>
                <w:lang w:val="fr-BE" w:eastAsia="fr-BE"/>
              </w:rPr>
              <w:t>Cahier Espaces</w:t>
            </w:r>
            <w:r w:rsidR="00A5192C">
              <w:rPr>
                <w:color w:val="000000"/>
                <w:sz w:val="22"/>
                <w:szCs w:val="22"/>
                <w:lang w:val="fr-BE" w:eastAsia="fr-BE"/>
              </w:rPr>
              <w:t>, 87,</w:t>
            </w:r>
            <w:r w:rsidRPr="00305786">
              <w:rPr>
                <w:color w:val="000000"/>
                <w:sz w:val="22"/>
                <w:szCs w:val="22"/>
                <w:lang w:val="fr-BE" w:eastAsia="fr-BE"/>
              </w:rPr>
              <w:t xml:space="preserve"> Musées et tourisme Editions ESPACES Tourisme &amp; Loisirs. </w:t>
            </w:r>
          </w:p>
        </w:tc>
      </w:tr>
      <w:tr w:rsidR="00D77EC6" w:rsidRPr="00881CA3" w:rsidTr="00D77EC6">
        <w:trPr>
          <w:trHeight w:val="642"/>
        </w:trPr>
        <w:tc>
          <w:tcPr>
            <w:tcW w:w="9320" w:type="dxa"/>
            <w:tcBorders>
              <w:top w:val="nil"/>
              <w:left w:val="nil"/>
              <w:bottom w:val="nil"/>
              <w:right w:val="nil"/>
            </w:tcBorders>
            <w:shd w:val="clear" w:color="auto" w:fill="auto"/>
            <w:hideMark/>
          </w:tcPr>
          <w:p w:rsidR="00D77EC6" w:rsidRPr="00D77EC6" w:rsidRDefault="00D77EC6" w:rsidP="00D77EC6">
            <w:pPr>
              <w:autoSpaceDE w:val="0"/>
              <w:autoSpaceDN w:val="0"/>
              <w:adjustRightInd w:val="0"/>
              <w:rPr>
                <w:rFonts w:ascii="Times-Roman" w:eastAsiaTheme="minorHAnsi" w:hAnsi="Times-Roman" w:cs="Times-Roman"/>
                <w:lang w:val="en-US" w:eastAsia="en-US"/>
              </w:rPr>
            </w:pPr>
            <w:r>
              <w:rPr>
                <w:rFonts w:ascii="Times-Roman" w:eastAsiaTheme="minorHAnsi" w:hAnsi="Times-Roman" w:cs="Times-Roman"/>
                <w:lang w:val="en-US" w:eastAsia="en-US"/>
              </w:rPr>
              <w:t xml:space="preserve">Parsons M. J. (1974), </w:t>
            </w:r>
            <w:r w:rsidRPr="007A5BC0">
              <w:rPr>
                <w:rFonts w:ascii="Times-Roman" w:eastAsiaTheme="minorHAnsi" w:hAnsi="Times-Roman" w:cs="Times-Roman"/>
                <w:lang w:val="en-US" w:eastAsia="en-US"/>
              </w:rPr>
              <w:t>A Suggestion Concerning the Aest</w:t>
            </w:r>
            <w:r>
              <w:rPr>
                <w:rFonts w:ascii="Times-Roman" w:eastAsiaTheme="minorHAnsi" w:hAnsi="Times-Roman" w:cs="Times-Roman"/>
                <w:lang w:val="en-US" w:eastAsia="en-US"/>
              </w:rPr>
              <w:t xml:space="preserve">hetic Development of Children, </w:t>
            </w:r>
            <w:r w:rsidRPr="00D77EC6">
              <w:rPr>
                <w:rFonts w:ascii="Times-Roman" w:eastAsiaTheme="minorHAnsi" w:hAnsi="Times-Roman" w:cs="Times-Roman"/>
                <w:i/>
                <w:lang w:val="en-US" w:eastAsia="en-US"/>
              </w:rPr>
              <w:t>Journal or Aesthetics and Art Criticism</w:t>
            </w:r>
            <w:r>
              <w:rPr>
                <w:rFonts w:ascii="Times-Roman" w:eastAsiaTheme="minorHAnsi" w:hAnsi="Times-Roman" w:cs="Times-Roman"/>
                <w:lang w:val="en-US" w:eastAsia="en-US"/>
              </w:rPr>
              <w:t xml:space="preserve">, </w:t>
            </w:r>
            <w:r w:rsidRPr="007A5BC0">
              <w:rPr>
                <w:rFonts w:ascii="Times-Roman" w:eastAsiaTheme="minorHAnsi" w:hAnsi="Times-Roman" w:cs="Times-Roman"/>
                <w:lang w:val="en-US" w:eastAsia="en-US"/>
              </w:rPr>
              <w:t>305-314</w:t>
            </w:r>
            <w:r>
              <w:rPr>
                <w:rFonts w:ascii="Times-Roman" w:eastAsiaTheme="minorHAnsi" w:hAnsi="Times-Roman" w:cs="Times-Roman"/>
                <w:lang w:val="en-US" w:eastAsia="en-US"/>
              </w:rPr>
              <w:t>.</w:t>
            </w:r>
          </w:p>
        </w:tc>
      </w:tr>
      <w:tr w:rsidR="00EF5D3A" w:rsidRPr="003C7AC9" w:rsidTr="00530920">
        <w:trPr>
          <w:trHeight w:val="877"/>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fr-BE" w:eastAsia="fr-BE"/>
              </w:rPr>
              <w:t>Passebois J. (2003), Modes de valorisation des expériences esthétiques et processus de fidélisation des visiteurs de musées d'art : Une application à la réception de l'art moderne et contemporain, Thèse de doctorat en sciences de gestion, Université de Montpellier II.</w:t>
            </w:r>
          </w:p>
        </w:tc>
      </w:tr>
      <w:tr w:rsidR="00EF5D3A" w:rsidRPr="003C7AC9" w:rsidTr="0002034E">
        <w:trPr>
          <w:trHeight w:val="847"/>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fr-BE" w:eastAsia="fr-BE"/>
              </w:rPr>
              <w:t xml:space="preserve">Passebois J. (2005), Comment la fidélité des visiteurs de musées d’art se construit- elle? Une proposition de modélisation”, </w:t>
            </w:r>
            <w:r w:rsidRPr="00305786">
              <w:rPr>
                <w:i/>
                <w:iCs/>
                <w:color w:val="000000"/>
                <w:sz w:val="22"/>
                <w:szCs w:val="22"/>
                <w:lang w:val="fr-BE" w:eastAsia="fr-BE"/>
              </w:rPr>
              <w:t>8th International Conference on Arts and Cultural Management</w:t>
            </w:r>
            <w:r w:rsidRPr="00305786">
              <w:rPr>
                <w:color w:val="000000"/>
                <w:sz w:val="22"/>
                <w:szCs w:val="22"/>
                <w:lang w:val="fr-BE" w:eastAsia="fr-BE"/>
              </w:rPr>
              <w:t>, Aimac 2005, Montréal, Juillet, 1-20.</w:t>
            </w:r>
          </w:p>
        </w:tc>
      </w:tr>
      <w:tr w:rsidR="00EF5D3A" w:rsidRPr="003C7AC9" w:rsidTr="00530920">
        <w:trPr>
          <w:trHeight w:val="86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fr-BE" w:eastAsia="fr-BE"/>
              </w:rPr>
              <w:t xml:space="preserve">Passebois J. et Aurier P. (2004), Le rôle de l’expertise des consommateurs dans l’expérience culturelle : une approche par la valeur de consommation, </w:t>
            </w:r>
            <w:r w:rsidRPr="00305786">
              <w:rPr>
                <w:i/>
                <w:iCs/>
                <w:color w:val="000000"/>
                <w:sz w:val="22"/>
                <w:szCs w:val="22"/>
                <w:lang w:val="fr-BE" w:eastAsia="fr-BE"/>
              </w:rPr>
              <w:t>Actes des 9èmes Journées de Recherche en Marketing de Bourgogne</w:t>
            </w:r>
            <w:r w:rsidRPr="00305786">
              <w:rPr>
                <w:color w:val="000000"/>
                <w:sz w:val="22"/>
                <w:szCs w:val="22"/>
                <w:lang w:val="fr-BE" w:eastAsia="fr-BE"/>
              </w:rPr>
              <w:t>, Dijon.</w:t>
            </w:r>
          </w:p>
        </w:tc>
      </w:tr>
      <w:tr w:rsidR="00EF5D3A" w:rsidRPr="00881CA3"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en-US" w:eastAsia="fr-BE"/>
              </w:rPr>
            </w:pPr>
            <w:r w:rsidRPr="00305786">
              <w:rPr>
                <w:color w:val="000000"/>
                <w:sz w:val="22"/>
                <w:szCs w:val="22"/>
                <w:lang w:val="en-US" w:eastAsia="fr-BE"/>
              </w:rPr>
              <w:t xml:space="preserve">Piscitelli B. et Anderson D. (2000), Young children’s learning in museum settings, </w:t>
            </w:r>
            <w:r w:rsidRPr="00305786">
              <w:rPr>
                <w:i/>
                <w:iCs/>
                <w:color w:val="000000"/>
                <w:sz w:val="22"/>
                <w:szCs w:val="22"/>
                <w:lang w:val="en-US" w:eastAsia="fr-BE"/>
              </w:rPr>
              <w:t>Visitor Studies</w:t>
            </w:r>
            <w:r w:rsidRPr="00305786">
              <w:rPr>
                <w:color w:val="000000"/>
                <w:sz w:val="22"/>
                <w:szCs w:val="22"/>
                <w:lang w:val="en-US" w:eastAsia="fr-BE"/>
              </w:rPr>
              <w:t>, 3(3), 3-10.</w:t>
            </w:r>
          </w:p>
        </w:tc>
      </w:tr>
      <w:tr w:rsidR="00EF5D3A" w:rsidRPr="00881CA3" w:rsidTr="00530920">
        <w:trPr>
          <w:trHeight w:val="600"/>
        </w:trPr>
        <w:tc>
          <w:tcPr>
            <w:tcW w:w="9320" w:type="dxa"/>
            <w:tcBorders>
              <w:top w:val="nil"/>
              <w:left w:val="nil"/>
              <w:bottom w:val="nil"/>
              <w:right w:val="nil"/>
            </w:tcBorders>
            <w:shd w:val="clear" w:color="000000" w:fill="FFFFFF"/>
            <w:hideMark/>
          </w:tcPr>
          <w:p w:rsidR="00EF5D3A" w:rsidRPr="00305786" w:rsidRDefault="00EF5D3A" w:rsidP="00530920">
            <w:pPr>
              <w:jc w:val="both"/>
              <w:rPr>
                <w:color w:val="000000"/>
                <w:lang w:val="en-US" w:eastAsia="fr-BE"/>
              </w:rPr>
            </w:pPr>
            <w:r w:rsidRPr="00305786">
              <w:rPr>
                <w:color w:val="000000"/>
                <w:sz w:val="22"/>
                <w:szCs w:val="22"/>
                <w:lang w:val="en-US" w:eastAsia="fr-BE"/>
              </w:rPr>
              <w:t>Piscitelli B. et Anderson D. (2001), Young children’s perspectives of museum settings and experiences,</w:t>
            </w:r>
            <w:r w:rsidRPr="00305786">
              <w:rPr>
                <w:i/>
                <w:iCs/>
                <w:color w:val="000000"/>
                <w:sz w:val="22"/>
                <w:szCs w:val="22"/>
                <w:lang w:val="en-US" w:eastAsia="fr-BE"/>
              </w:rPr>
              <w:t xml:space="preserve"> Museum Management and Curatorship</w:t>
            </w:r>
            <w:r w:rsidRPr="00305786">
              <w:rPr>
                <w:color w:val="000000"/>
                <w:sz w:val="22"/>
                <w:szCs w:val="22"/>
                <w:lang w:val="en-US" w:eastAsia="fr-BE"/>
              </w:rPr>
              <w:t>, 19,  3, 269-282.</w:t>
            </w:r>
          </w:p>
        </w:tc>
      </w:tr>
      <w:tr w:rsidR="00EF5D3A" w:rsidRPr="003C7AC9"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fr-BE" w:eastAsia="fr-BE"/>
              </w:rPr>
              <w:t>Pulh M. (2002), La valorisation de l’expérience de consommation d’activités culturelles : le cas des festivals d’arts de la rue, Thèse de doctorat en sciences de gestion, Université de Bourgogne.</w:t>
            </w:r>
          </w:p>
        </w:tc>
      </w:tr>
      <w:tr w:rsidR="00EF5D3A" w:rsidRPr="00594D4C" w:rsidTr="0002034E">
        <w:trPr>
          <w:trHeight w:val="699"/>
        </w:trPr>
        <w:tc>
          <w:tcPr>
            <w:tcW w:w="9320" w:type="dxa"/>
            <w:tcBorders>
              <w:top w:val="nil"/>
              <w:left w:val="nil"/>
              <w:bottom w:val="nil"/>
              <w:right w:val="nil"/>
            </w:tcBorders>
            <w:shd w:val="clear" w:color="auto" w:fill="auto"/>
            <w:hideMark/>
          </w:tcPr>
          <w:p w:rsidR="00EF5D3A" w:rsidRPr="00305786" w:rsidRDefault="00EF5D3A" w:rsidP="00530920">
            <w:pPr>
              <w:autoSpaceDE w:val="0"/>
              <w:autoSpaceDN w:val="0"/>
              <w:adjustRightInd w:val="0"/>
              <w:jc w:val="both"/>
              <w:rPr>
                <w:color w:val="000000"/>
                <w:lang w:val="fr-BE" w:eastAsia="fr-BE"/>
              </w:rPr>
            </w:pPr>
            <w:r w:rsidRPr="00305786">
              <w:rPr>
                <w:color w:val="000000"/>
                <w:sz w:val="22"/>
                <w:szCs w:val="22"/>
                <w:lang w:val="fr-BE" w:eastAsia="fr-BE"/>
              </w:rPr>
              <w:t xml:space="preserve">Pulh M., Bourgeon D. et Bouchet P. (2005), Spectacles vivants, logiques de consommation et construction d’expériences: le paradoxe d’une offre à la fois unique et plurielle, </w:t>
            </w:r>
            <w:r w:rsidRPr="00305786">
              <w:rPr>
                <w:i/>
                <w:color w:val="000000"/>
                <w:sz w:val="22"/>
                <w:szCs w:val="22"/>
                <w:lang w:val="fr-BE" w:eastAsia="fr-BE"/>
              </w:rPr>
              <w:t>Décisions Marketing</w:t>
            </w:r>
            <w:r w:rsidRPr="00305786">
              <w:rPr>
                <w:color w:val="000000"/>
                <w:sz w:val="22"/>
                <w:szCs w:val="22"/>
                <w:lang w:val="fr-BE" w:eastAsia="fr-BE"/>
              </w:rPr>
              <w:t>, 37.</w:t>
            </w:r>
          </w:p>
        </w:tc>
      </w:tr>
      <w:tr w:rsidR="00EF5D3A" w:rsidRPr="00881CA3" w:rsidTr="00530920">
        <w:trPr>
          <w:trHeight w:val="600"/>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en-US" w:eastAsia="fr-BE"/>
              </w:rPr>
            </w:pPr>
            <w:r w:rsidRPr="00305786">
              <w:rPr>
                <w:color w:val="000000"/>
                <w:sz w:val="22"/>
                <w:szCs w:val="22"/>
                <w:lang w:val="en-US" w:eastAsia="fr-BE"/>
              </w:rPr>
              <w:t xml:space="preserve">Savva A. et Trimis E. (2005), Responses of young children to contemporary art exhibits: The role of artistic experiences, </w:t>
            </w:r>
            <w:r w:rsidRPr="00305786">
              <w:rPr>
                <w:i/>
                <w:iCs/>
                <w:color w:val="000000"/>
                <w:sz w:val="22"/>
                <w:szCs w:val="22"/>
                <w:lang w:val="en-US" w:eastAsia="fr-BE"/>
              </w:rPr>
              <w:t>International Journal of Education and the Arts</w:t>
            </w:r>
            <w:r w:rsidRPr="00305786">
              <w:rPr>
                <w:color w:val="000000"/>
                <w:sz w:val="22"/>
                <w:szCs w:val="22"/>
                <w:lang w:val="en-US" w:eastAsia="fr-BE"/>
              </w:rPr>
              <w:t>, 6(13).</w:t>
            </w:r>
          </w:p>
        </w:tc>
      </w:tr>
      <w:tr w:rsidR="00EF5D3A" w:rsidRPr="00881CA3" w:rsidTr="00530920">
        <w:trPr>
          <w:trHeight w:val="600"/>
        </w:trPr>
        <w:tc>
          <w:tcPr>
            <w:tcW w:w="9320" w:type="dxa"/>
            <w:tcBorders>
              <w:top w:val="nil"/>
              <w:left w:val="nil"/>
              <w:bottom w:val="nil"/>
              <w:right w:val="nil"/>
            </w:tcBorders>
            <w:shd w:val="clear" w:color="000000" w:fill="FFFFFF"/>
            <w:hideMark/>
          </w:tcPr>
          <w:p w:rsidR="00EF5D3A" w:rsidRPr="00305786" w:rsidRDefault="00EF5D3A" w:rsidP="00530920">
            <w:pPr>
              <w:jc w:val="both"/>
              <w:rPr>
                <w:color w:val="000000"/>
                <w:lang w:val="en-US" w:eastAsia="fr-BE"/>
              </w:rPr>
            </w:pPr>
            <w:r w:rsidRPr="00305786">
              <w:rPr>
                <w:color w:val="000000"/>
                <w:sz w:val="22"/>
                <w:szCs w:val="22"/>
                <w:lang w:val="en-US" w:eastAsia="fr-BE"/>
              </w:rPr>
              <w:t xml:space="preserve">Sterry P. et Beaumont E. (2006), Methods for Studying Family Visitors in Art Museums: A Cross-Disciplinary Review of Current Research, </w:t>
            </w:r>
            <w:r w:rsidRPr="00305786">
              <w:rPr>
                <w:i/>
                <w:iCs/>
                <w:color w:val="000000"/>
                <w:sz w:val="22"/>
                <w:szCs w:val="22"/>
                <w:lang w:val="en-US" w:eastAsia="fr-BE"/>
              </w:rPr>
              <w:t>Museum Management and Curatorship</w:t>
            </w:r>
            <w:r w:rsidRPr="00305786">
              <w:rPr>
                <w:color w:val="000000"/>
                <w:sz w:val="22"/>
                <w:szCs w:val="22"/>
                <w:lang w:val="en-US" w:eastAsia="fr-BE"/>
              </w:rPr>
              <w:t>, 21, 3, 222−239.</w:t>
            </w:r>
          </w:p>
        </w:tc>
      </w:tr>
      <w:tr w:rsidR="00EF5D3A" w:rsidRPr="003C7AC9" w:rsidTr="0002034E">
        <w:trPr>
          <w:trHeight w:val="641"/>
        </w:trPr>
        <w:tc>
          <w:tcPr>
            <w:tcW w:w="9320" w:type="dxa"/>
            <w:tcBorders>
              <w:top w:val="nil"/>
              <w:left w:val="nil"/>
              <w:bottom w:val="nil"/>
              <w:right w:val="nil"/>
            </w:tcBorders>
            <w:shd w:val="clear" w:color="auto" w:fill="auto"/>
            <w:hideMark/>
          </w:tcPr>
          <w:p w:rsidR="00EF5D3A" w:rsidRPr="00305786" w:rsidRDefault="00EF5D3A" w:rsidP="00530920">
            <w:pPr>
              <w:jc w:val="both"/>
              <w:rPr>
                <w:color w:val="000000"/>
                <w:lang w:val="fr-BE" w:eastAsia="fr-BE"/>
              </w:rPr>
            </w:pPr>
            <w:r w:rsidRPr="00305786">
              <w:rPr>
                <w:color w:val="000000"/>
                <w:sz w:val="22"/>
                <w:szCs w:val="22"/>
                <w:lang w:val="en-US" w:eastAsia="fr-BE"/>
              </w:rPr>
              <w:t xml:space="preserve">Tenenbaum H. R., Rappolt-Schlichtmann G. et Zanger V. V. (2004), Children's learning about water in a museum and in the classroom. </w:t>
            </w:r>
            <w:r w:rsidRPr="00305786">
              <w:rPr>
                <w:i/>
                <w:iCs/>
                <w:color w:val="000000"/>
                <w:sz w:val="22"/>
                <w:szCs w:val="22"/>
                <w:lang w:val="fr-BE" w:eastAsia="fr-BE"/>
              </w:rPr>
              <w:t>Early Childhood Research Quarterly</w:t>
            </w:r>
            <w:r w:rsidRPr="00305786">
              <w:rPr>
                <w:color w:val="000000"/>
                <w:sz w:val="22"/>
                <w:szCs w:val="22"/>
                <w:lang w:val="fr-BE" w:eastAsia="fr-BE"/>
              </w:rPr>
              <w:t>, 19(1), 40-58.</w:t>
            </w:r>
          </w:p>
        </w:tc>
      </w:tr>
      <w:tr w:rsidR="00FF64A7" w:rsidRPr="00881CA3" w:rsidTr="00530920">
        <w:trPr>
          <w:trHeight w:val="600"/>
        </w:trPr>
        <w:tc>
          <w:tcPr>
            <w:tcW w:w="9320" w:type="dxa"/>
            <w:tcBorders>
              <w:top w:val="nil"/>
              <w:left w:val="nil"/>
              <w:bottom w:val="nil"/>
              <w:right w:val="nil"/>
            </w:tcBorders>
            <w:shd w:val="clear" w:color="auto" w:fill="auto"/>
            <w:hideMark/>
          </w:tcPr>
          <w:p w:rsidR="00FF64A7" w:rsidRPr="00305786" w:rsidRDefault="00FF64A7" w:rsidP="00FF64A7">
            <w:pPr>
              <w:jc w:val="both"/>
              <w:rPr>
                <w:lang w:val="en-US"/>
              </w:rPr>
            </w:pPr>
            <w:r w:rsidRPr="00305786">
              <w:rPr>
                <w:sz w:val="22"/>
                <w:szCs w:val="22"/>
                <w:lang w:val="en-US"/>
              </w:rPr>
              <w:t xml:space="preserve">Zeithaml V. A. (1988), Consumer Perceptions of Price, Quality and Value: A Means-End Model and Synthesis of Evidence, </w:t>
            </w:r>
            <w:r w:rsidRPr="00305786">
              <w:rPr>
                <w:i/>
                <w:sz w:val="22"/>
                <w:szCs w:val="22"/>
                <w:lang w:val="en-US"/>
              </w:rPr>
              <w:t>Journal of Marketing</w:t>
            </w:r>
            <w:r w:rsidRPr="00305786">
              <w:rPr>
                <w:sz w:val="22"/>
                <w:szCs w:val="22"/>
                <w:lang w:val="en-US"/>
              </w:rPr>
              <w:t>, 52, 2-22.</w:t>
            </w:r>
          </w:p>
          <w:p w:rsidR="00FF64A7" w:rsidRPr="00272FD7" w:rsidRDefault="00FF64A7" w:rsidP="00530920">
            <w:pPr>
              <w:jc w:val="both"/>
              <w:rPr>
                <w:color w:val="000000"/>
                <w:lang w:val="en-US" w:eastAsia="fr-BE"/>
              </w:rPr>
            </w:pPr>
          </w:p>
        </w:tc>
      </w:tr>
    </w:tbl>
    <w:p w:rsidR="00530920" w:rsidRPr="00EF5D3A" w:rsidRDefault="00530920" w:rsidP="00FF64A7">
      <w:pPr>
        <w:jc w:val="both"/>
        <w:rPr>
          <w:lang w:val="en-US"/>
        </w:rPr>
      </w:pPr>
    </w:p>
    <w:sectPr w:rsidR="00530920" w:rsidRPr="00EF5D3A" w:rsidSect="00201D9A">
      <w:headerReference w:type="default" r:id="rId8"/>
      <w:pgSz w:w="11906" w:h="16838"/>
      <w:pgMar w:top="1418" w:right="1418" w:bottom="1418" w:left="1418" w:header="708" w:footer="708" w:gutter="0"/>
      <w:pgBorders w:offsetFrom="page">
        <w:top w:val="single" w:sz="8" w:space="24" w:color="FFFFFF"/>
        <w:left w:val="single" w:sz="8" w:space="24" w:color="FFFFFF"/>
        <w:bottom w:val="single" w:sz="8" w:space="24" w:color="FFFFFF"/>
        <w:right w:val="single" w:sz="8" w:space="24" w:color="FFFFF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A57" w:rsidRDefault="007C2A57" w:rsidP="004A66CD">
      <w:r>
        <w:separator/>
      </w:r>
    </w:p>
  </w:endnote>
  <w:endnote w:type="continuationSeparator" w:id="0">
    <w:p w:rsidR="007C2A57" w:rsidRDefault="007C2A57" w:rsidP="004A66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A57" w:rsidRDefault="007C2A57" w:rsidP="004A66CD">
      <w:r>
        <w:separator/>
      </w:r>
    </w:p>
  </w:footnote>
  <w:footnote w:type="continuationSeparator" w:id="0">
    <w:p w:rsidR="007C2A57" w:rsidRDefault="007C2A57" w:rsidP="004A66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CA3" w:rsidRDefault="00881CA3">
    <w:pPr>
      <w:pStyle w:val="En-tte"/>
    </w:pPr>
    <w:r>
      <w:t xml:space="preserve">10ème Colloque Doctoral AFM </w:t>
    </w:r>
    <w:r>
      <w:ptab w:relativeTo="margin" w:alignment="right" w:leader="none"/>
    </w:r>
    <w:r>
      <w:t>Marie Kindt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art22E"/>
      </v:shape>
    </w:pict>
  </w:numPicBullet>
  <w:abstractNum w:abstractNumId="0">
    <w:nsid w:val="00000002"/>
    <w:multiLevelType w:val="multilevel"/>
    <w:tmpl w:val="27F8D0A2"/>
    <w:lvl w:ilvl="0">
      <w:start w:val="1"/>
      <w:numFmt w:val="decimal"/>
      <w:lvlText w:val="%1."/>
      <w:lvlJc w:val="left"/>
      <w:pPr>
        <w:tabs>
          <w:tab w:val="num" w:pos="420"/>
        </w:tabs>
        <w:ind w:left="420" w:hanging="360"/>
      </w:pPr>
    </w:lvl>
    <w:lvl w:ilvl="1">
      <w:start w:val="2"/>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0000003"/>
    <w:multiLevelType w:val="singleLevel"/>
    <w:tmpl w:val="274CF5CE"/>
    <w:lvl w:ilvl="0">
      <w:start w:val="1"/>
      <w:numFmt w:val="bullet"/>
      <w:lvlText w:val="-"/>
      <w:lvlJc w:val="left"/>
      <w:pPr>
        <w:tabs>
          <w:tab w:val="num" w:pos="360"/>
        </w:tabs>
        <w:ind w:left="360" w:hanging="360"/>
      </w:pPr>
    </w:lvl>
  </w:abstractNum>
  <w:abstractNum w:abstractNumId="2">
    <w:nsid w:val="14D850CF"/>
    <w:multiLevelType w:val="hybridMultilevel"/>
    <w:tmpl w:val="142E9CE6"/>
    <w:lvl w:ilvl="0" w:tplc="080C0001">
      <w:start w:val="1"/>
      <w:numFmt w:val="bullet"/>
      <w:lvlText w:val=""/>
      <w:lvlJc w:val="left"/>
      <w:pPr>
        <w:ind w:left="1140" w:hanging="360"/>
      </w:pPr>
      <w:rPr>
        <w:rFonts w:ascii="Symbol" w:hAnsi="Symbol" w:hint="default"/>
      </w:rPr>
    </w:lvl>
    <w:lvl w:ilvl="1" w:tplc="080C0003" w:tentative="1">
      <w:start w:val="1"/>
      <w:numFmt w:val="bullet"/>
      <w:lvlText w:val="o"/>
      <w:lvlJc w:val="left"/>
      <w:pPr>
        <w:ind w:left="1860" w:hanging="360"/>
      </w:pPr>
      <w:rPr>
        <w:rFonts w:ascii="Courier New" w:hAnsi="Courier New" w:cs="Courier New" w:hint="default"/>
      </w:rPr>
    </w:lvl>
    <w:lvl w:ilvl="2" w:tplc="080C0005" w:tentative="1">
      <w:start w:val="1"/>
      <w:numFmt w:val="bullet"/>
      <w:lvlText w:val=""/>
      <w:lvlJc w:val="left"/>
      <w:pPr>
        <w:ind w:left="2580" w:hanging="360"/>
      </w:pPr>
      <w:rPr>
        <w:rFonts w:ascii="Wingdings" w:hAnsi="Wingdings" w:hint="default"/>
      </w:rPr>
    </w:lvl>
    <w:lvl w:ilvl="3" w:tplc="080C0001" w:tentative="1">
      <w:start w:val="1"/>
      <w:numFmt w:val="bullet"/>
      <w:lvlText w:val=""/>
      <w:lvlJc w:val="left"/>
      <w:pPr>
        <w:ind w:left="3300" w:hanging="360"/>
      </w:pPr>
      <w:rPr>
        <w:rFonts w:ascii="Symbol" w:hAnsi="Symbol" w:hint="default"/>
      </w:rPr>
    </w:lvl>
    <w:lvl w:ilvl="4" w:tplc="080C0003" w:tentative="1">
      <w:start w:val="1"/>
      <w:numFmt w:val="bullet"/>
      <w:lvlText w:val="o"/>
      <w:lvlJc w:val="left"/>
      <w:pPr>
        <w:ind w:left="4020" w:hanging="360"/>
      </w:pPr>
      <w:rPr>
        <w:rFonts w:ascii="Courier New" w:hAnsi="Courier New" w:cs="Courier New" w:hint="default"/>
      </w:rPr>
    </w:lvl>
    <w:lvl w:ilvl="5" w:tplc="080C0005" w:tentative="1">
      <w:start w:val="1"/>
      <w:numFmt w:val="bullet"/>
      <w:lvlText w:val=""/>
      <w:lvlJc w:val="left"/>
      <w:pPr>
        <w:ind w:left="4740" w:hanging="360"/>
      </w:pPr>
      <w:rPr>
        <w:rFonts w:ascii="Wingdings" w:hAnsi="Wingdings" w:hint="default"/>
      </w:rPr>
    </w:lvl>
    <w:lvl w:ilvl="6" w:tplc="080C0001" w:tentative="1">
      <w:start w:val="1"/>
      <w:numFmt w:val="bullet"/>
      <w:lvlText w:val=""/>
      <w:lvlJc w:val="left"/>
      <w:pPr>
        <w:ind w:left="5460" w:hanging="360"/>
      </w:pPr>
      <w:rPr>
        <w:rFonts w:ascii="Symbol" w:hAnsi="Symbol" w:hint="default"/>
      </w:rPr>
    </w:lvl>
    <w:lvl w:ilvl="7" w:tplc="080C0003" w:tentative="1">
      <w:start w:val="1"/>
      <w:numFmt w:val="bullet"/>
      <w:lvlText w:val="o"/>
      <w:lvlJc w:val="left"/>
      <w:pPr>
        <w:ind w:left="6180" w:hanging="360"/>
      </w:pPr>
      <w:rPr>
        <w:rFonts w:ascii="Courier New" w:hAnsi="Courier New" w:cs="Courier New" w:hint="default"/>
      </w:rPr>
    </w:lvl>
    <w:lvl w:ilvl="8" w:tplc="080C0005" w:tentative="1">
      <w:start w:val="1"/>
      <w:numFmt w:val="bullet"/>
      <w:lvlText w:val=""/>
      <w:lvlJc w:val="left"/>
      <w:pPr>
        <w:ind w:left="6900" w:hanging="360"/>
      </w:pPr>
      <w:rPr>
        <w:rFonts w:ascii="Wingdings" w:hAnsi="Wingdings" w:hint="default"/>
      </w:rPr>
    </w:lvl>
  </w:abstractNum>
  <w:abstractNum w:abstractNumId="3">
    <w:nsid w:val="28C257C3"/>
    <w:multiLevelType w:val="hybridMultilevel"/>
    <w:tmpl w:val="427AB99A"/>
    <w:lvl w:ilvl="0" w:tplc="CF0CB894">
      <w:start w:val="1"/>
      <w:numFmt w:val="bullet"/>
      <w:lvlText w:val=""/>
      <w:lvlPicBulletId w:val="0"/>
      <w:lvlJc w:val="left"/>
      <w:pPr>
        <w:tabs>
          <w:tab w:val="num" w:pos="720"/>
        </w:tabs>
        <w:ind w:left="720" w:hanging="360"/>
      </w:pPr>
      <w:rPr>
        <w:rFonts w:ascii="Symbol" w:hAnsi="Symbol" w:hint="default"/>
      </w:rPr>
    </w:lvl>
    <w:lvl w:ilvl="1" w:tplc="ACBAF6E6" w:tentative="1">
      <w:start w:val="1"/>
      <w:numFmt w:val="bullet"/>
      <w:lvlText w:val=""/>
      <w:lvlPicBulletId w:val="0"/>
      <w:lvlJc w:val="left"/>
      <w:pPr>
        <w:tabs>
          <w:tab w:val="num" w:pos="1440"/>
        </w:tabs>
        <w:ind w:left="1440" w:hanging="360"/>
      </w:pPr>
      <w:rPr>
        <w:rFonts w:ascii="Symbol" w:hAnsi="Symbol" w:hint="default"/>
      </w:rPr>
    </w:lvl>
    <w:lvl w:ilvl="2" w:tplc="73C83CA8" w:tentative="1">
      <w:start w:val="1"/>
      <w:numFmt w:val="bullet"/>
      <w:lvlText w:val=""/>
      <w:lvlPicBulletId w:val="0"/>
      <w:lvlJc w:val="left"/>
      <w:pPr>
        <w:tabs>
          <w:tab w:val="num" w:pos="2160"/>
        </w:tabs>
        <w:ind w:left="2160" w:hanging="360"/>
      </w:pPr>
      <w:rPr>
        <w:rFonts w:ascii="Symbol" w:hAnsi="Symbol" w:hint="default"/>
      </w:rPr>
    </w:lvl>
    <w:lvl w:ilvl="3" w:tplc="51DCBB8E" w:tentative="1">
      <w:start w:val="1"/>
      <w:numFmt w:val="bullet"/>
      <w:lvlText w:val=""/>
      <w:lvlPicBulletId w:val="0"/>
      <w:lvlJc w:val="left"/>
      <w:pPr>
        <w:tabs>
          <w:tab w:val="num" w:pos="2880"/>
        </w:tabs>
        <w:ind w:left="2880" w:hanging="360"/>
      </w:pPr>
      <w:rPr>
        <w:rFonts w:ascii="Symbol" w:hAnsi="Symbol" w:hint="default"/>
      </w:rPr>
    </w:lvl>
    <w:lvl w:ilvl="4" w:tplc="DC707536" w:tentative="1">
      <w:start w:val="1"/>
      <w:numFmt w:val="bullet"/>
      <w:lvlText w:val=""/>
      <w:lvlPicBulletId w:val="0"/>
      <w:lvlJc w:val="left"/>
      <w:pPr>
        <w:tabs>
          <w:tab w:val="num" w:pos="3600"/>
        </w:tabs>
        <w:ind w:left="3600" w:hanging="360"/>
      </w:pPr>
      <w:rPr>
        <w:rFonts w:ascii="Symbol" w:hAnsi="Symbol" w:hint="default"/>
      </w:rPr>
    </w:lvl>
    <w:lvl w:ilvl="5" w:tplc="2D9C2CA6" w:tentative="1">
      <w:start w:val="1"/>
      <w:numFmt w:val="bullet"/>
      <w:lvlText w:val=""/>
      <w:lvlPicBulletId w:val="0"/>
      <w:lvlJc w:val="left"/>
      <w:pPr>
        <w:tabs>
          <w:tab w:val="num" w:pos="4320"/>
        </w:tabs>
        <w:ind w:left="4320" w:hanging="360"/>
      </w:pPr>
      <w:rPr>
        <w:rFonts w:ascii="Symbol" w:hAnsi="Symbol" w:hint="default"/>
      </w:rPr>
    </w:lvl>
    <w:lvl w:ilvl="6" w:tplc="29C01AF0" w:tentative="1">
      <w:start w:val="1"/>
      <w:numFmt w:val="bullet"/>
      <w:lvlText w:val=""/>
      <w:lvlPicBulletId w:val="0"/>
      <w:lvlJc w:val="left"/>
      <w:pPr>
        <w:tabs>
          <w:tab w:val="num" w:pos="5040"/>
        </w:tabs>
        <w:ind w:left="5040" w:hanging="360"/>
      </w:pPr>
      <w:rPr>
        <w:rFonts w:ascii="Symbol" w:hAnsi="Symbol" w:hint="default"/>
      </w:rPr>
    </w:lvl>
    <w:lvl w:ilvl="7" w:tplc="DB4A1E2E" w:tentative="1">
      <w:start w:val="1"/>
      <w:numFmt w:val="bullet"/>
      <w:lvlText w:val=""/>
      <w:lvlPicBulletId w:val="0"/>
      <w:lvlJc w:val="left"/>
      <w:pPr>
        <w:tabs>
          <w:tab w:val="num" w:pos="5760"/>
        </w:tabs>
        <w:ind w:left="5760" w:hanging="360"/>
      </w:pPr>
      <w:rPr>
        <w:rFonts w:ascii="Symbol" w:hAnsi="Symbol" w:hint="default"/>
      </w:rPr>
    </w:lvl>
    <w:lvl w:ilvl="8" w:tplc="4BF8D414"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4E5143D5"/>
    <w:multiLevelType w:val="hybridMultilevel"/>
    <w:tmpl w:val="F7621E24"/>
    <w:lvl w:ilvl="0" w:tplc="94C4A370">
      <w:start w:val="1"/>
      <w:numFmt w:val="bullet"/>
      <w:lvlText w:val=""/>
      <w:lvlPicBulletId w:val="0"/>
      <w:lvlJc w:val="left"/>
      <w:pPr>
        <w:tabs>
          <w:tab w:val="num" w:pos="720"/>
        </w:tabs>
        <w:ind w:left="720" w:hanging="360"/>
      </w:pPr>
      <w:rPr>
        <w:rFonts w:ascii="Symbol" w:hAnsi="Symbol" w:hint="default"/>
      </w:rPr>
    </w:lvl>
    <w:lvl w:ilvl="1" w:tplc="9F424826" w:tentative="1">
      <w:start w:val="1"/>
      <w:numFmt w:val="bullet"/>
      <w:lvlText w:val=""/>
      <w:lvlPicBulletId w:val="0"/>
      <w:lvlJc w:val="left"/>
      <w:pPr>
        <w:tabs>
          <w:tab w:val="num" w:pos="1440"/>
        </w:tabs>
        <w:ind w:left="1440" w:hanging="360"/>
      </w:pPr>
      <w:rPr>
        <w:rFonts w:ascii="Symbol" w:hAnsi="Symbol" w:hint="default"/>
      </w:rPr>
    </w:lvl>
    <w:lvl w:ilvl="2" w:tplc="379A84A4" w:tentative="1">
      <w:start w:val="1"/>
      <w:numFmt w:val="bullet"/>
      <w:lvlText w:val=""/>
      <w:lvlPicBulletId w:val="0"/>
      <w:lvlJc w:val="left"/>
      <w:pPr>
        <w:tabs>
          <w:tab w:val="num" w:pos="2160"/>
        </w:tabs>
        <w:ind w:left="2160" w:hanging="360"/>
      </w:pPr>
      <w:rPr>
        <w:rFonts w:ascii="Symbol" w:hAnsi="Symbol" w:hint="default"/>
      </w:rPr>
    </w:lvl>
    <w:lvl w:ilvl="3" w:tplc="291677F4" w:tentative="1">
      <w:start w:val="1"/>
      <w:numFmt w:val="bullet"/>
      <w:lvlText w:val=""/>
      <w:lvlPicBulletId w:val="0"/>
      <w:lvlJc w:val="left"/>
      <w:pPr>
        <w:tabs>
          <w:tab w:val="num" w:pos="2880"/>
        </w:tabs>
        <w:ind w:left="2880" w:hanging="360"/>
      </w:pPr>
      <w:rPr>
        <w:rFonts w:ascii="Symbol" w:hAnsi="Symbol" w:hint="default"/>
      </w:rPr>
    </w:lvl>
    <w:lvl w:ilvl="4" w:tplc="4E741988" w:tentative="1">
      <w:start w:val="1"/>
      <w:numFmt w:val="bullet"/>
      <w:lvlText w:val=""/>
      <w:lvlPicBulletId w:val="0"/>
      <w:lvlJc w:val="left"/>
      <w:pPr>
        <w:tabs>
          <w:tab w:val="num" w:pos="3600"/>
        </w:tabs>
        <w:ind w:left="3600" w:hanging="360"/>
      </w:pPr>
      <w:rPr>
        <w:rFonts w:ascii="Symbol" w:hAnsi="Symbol" w:hint="default"/>
      </w:rPr>
    </w:lvl>
    <w:lvl w:ilvl="5" w:tplc="D9D8B496" w:tentative="1">
      <w:start w:val="1"/>
      <w:numFmt w:val="bullet"/>
      <w:lvlText w:val=""/>
      <w:lvlPicBulletId w:val="0"/>
      <w:lvlJc w:val="left"/>
      <w:pPr>
        <w:tabs>
          <w:tab w:val="num" w:pos="4320"/>
        </w:tabs>
        <w:ind w:left="4320" w:hanging="360"/>
      </w:pPr>
      <w:rPr>
        <w:rFonts w:ascii="Symbol" w:hAnsi="Symbol" w:hint="default"/>
      </w:rPr>
    </w:lvl>
    <w:lvl w:ilvl="6" w:tplc="72861DB6" w:tentative="1">
      <w:start w:val="1"/>
      <w:numFmt w:val="bullet"/>
      <w:lvlText w:val=""/>
      <w:lvlPicBulletId w:val="0"/>
      <w:lvlJc w:val="left"/>
      <w:pPr>
        <w:tabs>
          <w:tab w:val="num" w:pos="5040"/>
        </w:tabs>
        <w:ind w:left="5040" w:hanging="360"/>
      </w:pPr>
      <w:rPr>
        <w:rFonts w:ascii="Symbol" w:hAnsi="Symbol" w:hint="default"/>
      </w:rPr>
    </w:lvl>
    <w:lvl w:ilvl="7" w:tplc="3412E6C8" w:tentative="1">
      <w:start w:val="1"/>
      <w:numFmt w:val="bullet"/>
      <w:lvlText w:val=""/>
      <w:lvlPicBulletId w:val="0"/>
      <w:lvlJc w:val="left"/>
      <w:pPr>
        <w:tabs>
          <w:tab w:val="num" w:pos="5760"/>
        </w:tabs>
        <w:ind w:left="5760" w:hanging="360"/>
      </w:pPr>
      <w:rPr>
        <w:rFonts w:ascii="Symbol" w:hAnsi="Symbol" w:hint="default"/>
      </w:rPr>
    </w:lvl>
    <w:lvl w:ilvl="8" w:tplc="080273A0"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51F442DA"/>
    <w:multiLevelType w:val="hybridMultilevel"/>
    <w:tmpl w:val="F07C626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cs="Wingdings" w:hint="default"/>
      </w:rPr>
    </w:lvl>
    <w:lvl w:ilvl="3" w:tplc="080C0001">
      <w:start w:val="1"/>
      <w:numFmt w:val="bullet"/>
      <w:lvlText w:val=""/>
      <w:lvlJc w:val="left"/>
      <w:pPr>
        <w:ind w:left="2880" w:hanging="360"/>
      </w:pPr>
      <w:rPr>
        <w:rFonts w:ascii="Symbol" w:hAnsi="Symbol" w:cs="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cs="Wingdings" w:hint="default"/>
      </w:rPr>
    </w:lvl>
    <w:lvl w:ilvl="6" w:tplc="080C0001">
      <w:start w:val="1"/>
      <w:numFmt w:val="bullet"/>
      <w:lvlText w:val=""/>
      <w:lvlJc w:val="left"/>
      <w:pPr>
        <w:ind w:left="5040" w:hanging="360"/>
      </w:pPr>
      <w:rPr>
        <w:rFonts w:ascii="Symbol" w:hAnsi="Symbol" w:cs="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cs="Wingdings" w:hint="default"/>
      </w:rPr>
    </w:lvl>
  </w:abstractNum>
  <w:abstractNum w:abstractNumId="6">
    <w:nsid w:val="5B0234F1"/>
    <w:multiLevelType w:val="hybridMultilevel"/>
    <w:tmpl w:val="6C8CCA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6A1D3410"/>
    <w:multiLevelType w:val="hybridMultilevel"/>
    <w:tmpl w:val="EE4A47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 w:numId="3">
    <w:abstractNumId w:val="5"/>
  </w:num>
  <w:num w:numId="4">
    <w:abstractNumId w:val="3"/>
  </w:num>
  <w:num w:numId="5">
    <w:abstractNumId w:val="4"/>
  </w:num>
  <w:num w:numId="6">
    <w:abstractNumId w:val="7"/>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264CE"/>
    <w:rsid w:val="0002034E"/>
    <w:rsid w:val="00021F10"/>
    <w:rsid w:val="0002539A"/>
    <w:rsid w:val="00040930"/>
    <w:rsid w:val="000620B3"/>
    <w:rsid w:val="000623D3"/>
    <w:rsid w:val="000A0726"/>
    <w:rsid w:val="000A174B"/>
    <w:rsid w:val="000B1045"/>
    <w:rsid w:val="000B26D7"/>
    <w:rsid w:val="000D66C4"/>
    <w:rsid w:val="00107A92"/>
    <w:rsid w:val="00107F79"/>
    <w:rsid w:val="001230EE"/>
    <w:rsid w:val="00137C90"/>
    <w:rsid w:val="0014321B"/>
    <w:rsid w:val="00146A97"/>
    <w:rsid w:val="0015192B"/>
    <w:rsid w:val="001523F5"/>
    <w:rsid w:val="001559A1"/>
    <w:rsid w:val="00186EB8"/>
    <w:rsid w:val="0019351B"/>
    <w:rsid w:val="001B0DAD"/>
    <w:rsid w:val="001D2756"/>
    <w:rsid w:val="001E0D00"/>
    <w:rsid w:val="001E7D56"/>
    <w:rsid w:val="00201D9A"/>
    <w:rsid w:val="002024E0"/>
    <w:rsid w:val="002053F1"/>
    <w:rsid w:val="00216ADA"/>
    <w:rsid w:val="002361F1"/>
    <w:rsid w:val="0025089A"/>
    <w:rsid w:val="00250A3B"/>
    <w:rsid w:val="0025245B"/>
    <w:rsid w:val="00254F01"/>
    <w:rsid w:val="00264F31"/>
    <w:rsid w:val="00272FD7"/>
    <w:rsid w:val="00273927"/>
    <w:rsid w:val="00276FFC"/>
    <w:rsid w:val="00284AC5"/>
    <w:rsid w:val="002902AF"/>
    <w:rsid w:val="00292752"/>
    <w:rsid w:val="002D5D71"/>
    <w:rsid w:val="002E63A1"/>
    <w:rsid w:val="00305786"/>
    <w:rsid w:val="00336CA2"/>
    <w:rsid w:val="00343538"/>
    <w:rsid w:val="0035007A"/>
    <w:rsid w:val="00384EFD"/>
    <w:rsid w:val="003861B7"/>
    <w:rsid w:val="0039146C"/>
    <w:rsid w:val="00395715"/>
    <w:rsid w:val="003C5B12"/>
    <w:rsid w:val="003D10AB"/>
    <w:rsid w:val="003E0128"/>
    <w:rsid w:val="00404943"/>
    <w:rsid w:val="0040668C"/>
    <w:rsid w:val="00430F27"/>
    <w:rsid w:val="004509C5"/>
    <w:rsid w:val="00475262"/>
    <w:rsid w:val="00484B49"/>
    <w:rsid w:val="00492A82"/>
    <w:rsid w:val="00493CA3"/>
    <w:rsid w:val="004A66CD"/>
    <w:rsid w:val="004A7DEA"/>
    <w:rsid w:val="004B52C8"/>
    <w:rsid w:val="004C59E5"/>
    <w:rsid w:val="004D1EC9"/>
    <w:rsid w:val="004E511A"/>
    <w:rsid w:val="004F1897"/>
    <w:rsid w:val="0050150D"/>
    <w:rsid w:val="00521335"/>
    <w:rsid w:val="0052503C"/>
    <w:rsid w:val="00530920"/>
    <w:rsid w:val="00532150"/>
    <w:rsid w:val="00552E9E"/>
    <w:rsid w:val="00557BA2"/>
    <w:rsid w:val="00571949"/>
    <w:rsid w:val="00575679"/>
    <w:rsid w:val="005A3EA6"/>
    <w:rsid w:val="005A718E"/>
    <w:rsid w:val="005B0D10"/>
    <w:rsid w:val="005F35A0"/>
    <w:rsid w:val="006131ED"/>
    <w:rsid w:val="00641A1A"/>
    <w:rsid w:val="00660406"/>
    <w:rsid w:val="00661DF4"/>
    <w:rsid w:val="00662048"/>
    <w:rsid w:val="00682F8B"/>
    <w:rsid w:val="00684E58"/>
    <w:rsid w:val="006A599E"/>
    <w:rsid w:val="006C7E4F"/>
    <w:rsid w:val="006F78C1"/>
    <w:rsid w:val="007020EE"/>
    <w:rsid w:val="00710872"/>
    <w:rsid w:val="00716684"/>
    <w:rsid w:val="007264CE"/>
    <w:rsid w:val="00767BFD"/>
    <w:rsid w:val="007A5BC0"/>
    <w:rsid w:val="007B017E"/>
    <w:rsid w:val="007B1E3D"/>
    <w:rsid w:val="007C2A57"/>
    <w:rsid w:val="007E0B30"/>
    <w:rsid w:val="00821028"/>
    <w:rsid w:val="00821B8C"/>
    <w:rsid w:val="00824BE2"/>
    <w:rsid w:val="008363D2"/>
    <w:rsid w:val="00844EDA"/>
    <w:rsid w:val="008525D9"/>
    <w:rsid w:val="0086019A"/>
    <w:rsid w:val="00873395"/>
    <w:rsid w:val="00875300"/>
    <w:rsid w:val="00877E16"/>
    <w:rsid w:val="00881CA3"/>
    <w:rsid w:val="0088358D"/>
    <w:rsid w:val="008A33EA"/>
    <w:rsid w:val="008C3C1E"/>
    <w:rsid w:val="008C6288"/>
    <w:rsid w:val="008F438A"/>
    <w:rsid w:val="00965B99"/>
    <w:rsid w:val="00983AE2"/>
    <w:rsid w:val="00983F7A"/>
    <w:rsid w:val="009844A9"/>
    <w:rsid w:val="009A4CE4"/>
    <w:rsid w:val="009B3F4C"/>
    <w:rsid w:val="009B4A49"/>
    <w:rsid w:val="009C099C"/>
    <w:rsid w:val="009D50A6"/>
    <w:rsid w:val="00A07711"/>
    <w:rsid w:val="00A25A59"/>
    <w:rsid w:val="00A41B71"/>
    <w:rsid w:val="00A4678F"/>
    <w:rsid w:val="00A47984"/>
    <w:rsid w:val="00A5192C"/>
    <w:rsid w:val="00A77058"/>
    <w:rsid w:val="00AA4083"/>
    <w:rsid w:val="00AE26BF"/>
    <w:rsid w:val="00B113A3"/>
    <w:rsid w:val="00B223FE"/>
    <w:rsid w:val="00B26A3F"/>
    <w:rsid w:val="00B45F94"/>
    <w:rsid w:val="00B758EA"/>
    <w:rsid w:val="00B75978"/>
    <w:rsid w:val="00BA1A43"/>
    <w:rsid w:val="00BE7015"/>
    <w:rsid w:val="00C31200"/>
    <w:rsid w:val="00C33789"/>
    <w:rsid w:val="00C3412C"/>
    <w:rsid w:val="00C56F5A"/>
    <w:rsid w:val="00C62161"/>
    <w:rsid w:val="00C63FF2"/>
    <w:rsid w:val="00CB2826"/>
    <w:rsid w:val="00CC5064"/>
    <w:rsid w:val="00CD0FB5"/>
    <w:rsid w:val="00CD78C3"/>
    <w:rsid w:val="00CF23F9"/>
    <w:rsid w:val="00D17B41"/>
    <w:rsid w:val="00D22327"/>
    <w:rsid w:val="00D313FF"/>
    <w:rsid w:val="00D335D7"/>
    <w:rsid w:val="00D53B16"/>
    <w:rsid w:val="00D5774B"/>
    <w:rsid w:val="00D63733"/>
    <w:rsid w:val="00D737C1"/>
    <w:rsid w:val="00D74BA5"/>
    <w:rsid w:val="00D7609E"/>
    <w:rsid w:val="00D77EC6"/>
    <w:rsid w:val="00D96503"/>
    <w:rsid w:val="00D97F64"/>
    <w:rsid w:val="00DB1CAD"/>
    <w:rsid w:val="00DB2D55"/>
    <w:rsid w:val="00DB4E9E"/>
    <w:rsid w:val="00DC17C3"/>
    <w:rsid w:val="00DE44E2"/>
    <w:rsid w:val="00DF1094"/>
    <w:rsid w:val="00DF7DF1"/>
    <w:rsid w:val="00E00532"/>
    <w:rsid w:val="00E071D8"/>
    <w:rsid w:val="00E24B29"/>
    <w:rsid w:val="00E26EBF"/>
    <w:rsid w:val="00E357B3"/>
    <w:rsid w:val="00E57603"/>
    <w:rsid w:val="00E813C9"/>
    <w:rsid w:val="00E86D68"/>
    <w:rsid w:val="00E93B95"/>
    <w:rsid w:val="00EA211F"/>
    <w:rsid w:val="00ED07A5"/>
    <w:rsid w:val="00EE2C60"/>
    <w:rsid w:val="00EF0C2A"/>
    <w:rsid w:val="00EF5D3A"/>
    <w:rsid w:val="00EF6FC4"/>
    <w:rsid w:val="00F376B5"/>
    <w:rsid w:val="00F8652F"/>
    <w:rsid w:val="00FF2CFE"/>
    <w:rsid w:val="00FF64A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4CE"/>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64CE"/>
    <w:pPr>
      <w:ind w:left="720"/>
    </w:pPr>
  </w:style>
  <w:style w:type="paragraph" w:customStyle="1" w:styleId="Default">
    <w:name w:val="Default"/>
    <w:rsid w:val="007264C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Grilledutableau">
    <w:name w:val="Table Grid"/>
    <w:basedOn w:val="TableauNormal"/>
    <w:uiPriority w:val="59"/>
    <w:rsid w:val="00D577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A47984"/>
    <w:rPr>
      <w:b/>
      <w:bCs/>
      <w:i w:val="0"/>
      <w:iCs w:val="0"/>
    </w:rPr>
  </w:style>
  <w:style w:type="paragraph" w:styleId="En-tte">
    <w:name w:val="header"/>
    <w:basedOn w:val="Normal"/>
    <w:link w:val="En-tteCar"/>
    <w:unhideWhenUsed/>
    <w:rsid w:val="004A66CD"/>
    <w:pPr>
      <w:tabs>
        <w:tab w:val="center" w:pos="4536"/>
        <w:tab w:val="right" w:pos="9072"/>
      </w:tabs>
    </w:pPr>
  </w:style>
  <w:style w:type="character" w:customStyle="1" w:styleId="En-tteCar">
    <w:name w:val="En-tête Car"/>
    <w:basedOn w:val="Policepardfaut"/>
    <w:link w:val="En-tte"/>
    <w:uiPriority w:val="99"/>
    <w:semiHidden/>
    <w:rsid w:val="004A66C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4A66CD"/>
    <w:pPr>
      <w:tabs>
        <w:tab w:val="center" w:pos="4536"/>
        <w:tab w:val="right" w:pos="9072"/>
      </w:tabs>
    </w:pPr>
  </w:style>
  <w:style w:type="character" w:customStyle="1" w:styleId="PieddepageCar">
    <w:name w:val="Pied de page Car"/>
    <w:basedOn w:val="Policepardfaut"/>
    <w:link w:val="Pieddepage"/>
    <w:uiPriority w:val="99"/>
    <w:rsid w:val="004A66CD"/>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4A66CD"/>
    <w:rPr>
      <w:rFonts w:ascii="Tahoma" w:hAnsi="Tahoma" w:cs="Tahoma"/>
      <w:sz w:val="16"/>
      <w:szCs w:val="16"/>
    </w:rPr>
  </w:style>
  <w:style w:type="character" w:customStyle="1" w:styleId="TextedebullesCar">
    <w:name w:val="Texte de bulles Car"/>
    <w:basedOn w:val="Policepardfaut"/>
    <w:link w:val="Textedebulles"/>
    <w:uiPriority w:val="99"/>
    <w:semiHidden/>
    <w:rsid w:val="004A66CD"/>
    <w:rPr>
      <w:rFonts w:ascii="Tahoma" w:eastAsia="Times New Roman" w:hAnsi="Tahoma" w:cs="Tahoma"/>
      <w:sz w:val="16"/>
      <w:szCs w:val="16"/>
      <w:lang w:val="fr-FR" w:eastAsia="fr-FR"/>
    </w:rPr>
  </w:style>
  <w:style w:type="paragraph" w:styleId="NormalWeb">
    <w:name w:val="Normal (Web)"/>
    <w:basedOn w:val="Normal"/>
    <w:uiPriority w:val="99"/>
    <w:unhideWhenUsed/>
    <w:rsid w:val="00E00532"/>
    <w:pPr>
      <w:spacing w:before="100" w:beforeAutospacing="1" w:after="100" w:afterAutospacing="1"/>
    </w:pPr>
    <w:rPr>
      <w:lang w:val="fr-BE" w:eastAsia="fr-BE"/>
    </w:rPr>
  </w:style>
</w:styles>
</file>

<file path=word/webSettings.xml><?xml version="1.0" encoding="utf-8"?>
<w:webSettings xmlns:r="http://schemas.openxmlformats.org/officeDocument/2006/relationships" xmlns:w="http://schemas.openxmlformats.org/wordprocessingml/2006/main">
  <w:divs>
    <w:div w:id="632053321">
      <w:bodyDiv w:val="1"/>
      <w:marLeft w:val="0"/>
      <w:marRight w:val="0"/>
      <w:marTop w:val="0"/>
      <w:marBottom w:val="0"/>
      <w:divBdr>
        <w:top w:val="none" w:sz="0" w:space="0" w:color="auto"/>
        <w:left w:val="none" w:sz="0" w:space="0" w:color="auto"/>
        <w:bottom w:val="none" w:sz="0" w:space="0" w:color="auto"/>
        <w:right w:val="none" w:sz="0" w:space="0" w:color="auto"/>
      </w:divBdr>
      <w:divsChild>
        <w:div w:id="1348865279">
          <w:marLeft w:val="547"/>
          <w:marRight w:val="0"/>
          <w:marTop w:val="96"/>
          <w:marBottom w:val="0"/>
          <w:divBdr>
            <w:top w:val="none" w:sz="0" w:space="0" w:color="auto"/>
            <w:left w:val="none" w:sz="0" w:space="0" w:color="auto"/>
            <w:bottom w:val="none" w:sz="0" w:space="0" w:color="auto"/>
            <w:right w:val="none" w:sz="0" w:space="0" w:color="auto"/>
          </w:divBdr>
        </w:div>
      </w:divsChild>
    </w:div>
    <w:div w:id="833447835">
      <w:bodyDiv w:val="1"/>
      <w:marLeft w:val="0"/>
      <w:marRight w:val="0"/>
      <w:marTop w:val="0"/>
      <w:marBottom w:val="0"/>
      <w:divBdr>
        <w:top w:val="none" w:sz="0" w:space="0" w:color="auto"/>
        <w:left w:val="none" w:sz="0" w:space="0" w:color="auto"/>
        <w:bottom w:val="none" w:sz="0" w:space="0" w:color="auto"/>
        <w:right w:val="none" w:sz="0" w:space="0" w:color="auto"/>
      </w:divBdr>
    </w:div>
    <w:div w:id="1174997426">
      <w:bodyDiv w:val="1"/>
      <w:marLeft w:val="0"/>
      <w:marRight w:val="0"/>
      <w:marTop w:val="0"/>
      <w:marBottom w:val="0"/>
      <w:divBdr>
        <w:top w:val="none" w:sz="0" w:space="0" w:color="auto"/>
        <w:left w:val="none" w:sz="0" w:space="0" w:color="auto"/>
        <w:bottom w:val="none" w:sz="0" w:space="0" w:color="auto"/>
        <w:right w:val="none" w:sz="0" w:space="0" w:color="auto"/>
      </w:divBdr>
      <w:divsChild>
        <w:div w:id="652493240">
          <w:marLeft w:val="547"/>
          <w:marRight w:val="0"/>
          <w:marTop w:val="115"/>
          <w:marBottom w:val="0"/>
          <w:divBdr>
            <w:top w:val="none" w:sz="0" w:space="0" w:color="auto"/>
            <w:left w:val="none" w:sz="0" w:space="0" w:color="auto"/>
            <w:bottom w:val="none" w:sz="0" w:space="0" w:color="auto"/>
            <w:right w:val="none" w:sz="0" w:space="0" w:color="auto"/>
          </w:divBdr>
        </w:div>
      </w:divsChild>
    </w:div>
    <w:div w:id="139561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64C50-5FB4-43B9-BA44-6AD114E6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5561</Words>
  <Characters>30589</Characters>
  <Application>Microsoft Office Word</Application>
  <DocSecurity>0</DocSecurity>
  <Lines>254</Lines>
  <Paragraphs>72</Paragraphs>
  <ScaleCrop>false</ScaleCrop>
  <HeadingPairs>
    <vt:vector size="2" baseType="variant">
      <vt:variant>
        <vt:lpstr>Titre</vt:lpstr>
      </vt:variant>
      <vt:variant>
        <vt:i4>1</vt:i4>
      </vt:variant>
    </vt:vector>
  </HeadingPairs>
  <TitlesOfParts>
    <vt:vector size="1" baseType="lpstr">
      <vt:lpstr/>
    </vt:vector>
  </TitlesOfParts>
  <Company>FUCaM</Company>
  <LinksUpToDate>false</LinksUpToDate>
  <CharactersWithSpaces>36078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kindt</dc:creator>
  <cp:keywords/>
  <dc:description/>
  <cp:lastModifiedBy>kindt</cp:lastModifiedBy>
  <cp:revision>4</cp:revision>
  <cp:lastPrinted>2010-03-16T12:26:00Z</cp:lastPrinted>
  <dcterms:created xsi:type="dcterms:W3CDTF">2011-04-28T11:52:00Z</dcterms:created>
  <dcterms:modified xsi:type="dcterms:W3CDTF">2011-04-28T11:54:00Z</dcterms:modified>
</cp:coreProperties>
</file>