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16F" w:rsidRDefault="00771F04" w:rsidP="00BB7756">
      <w:pPr>
        <w:jc w:val="both"/>
      </w:pPr>
      <w:r w:rsidRPr="00771F04">
        <w:t xml:space="preserve">Thibaud </w:t>
      </w:r>
      <w:r w:rsidRPr="00771F04">
        <w:rPr>
          <w:smallCaps/>
        </w:rPr>
        <w:t>Lanfranchi</w:t>
      </w:r>
      <w:r>
        <w:t xml:space="preserve"> (E</w:t>
      </w:r>
      <w:r w:rsidRPr="00771F04">
        <w:t>d.)</w:t>
      </w:r>
      <w:r>
        <w:t>,</w:t>
      </w:r>
      <w:r w:rsidRPr="00771F04">
        <w:t xml:space="preserve"> </w:t>
      </w:r>
      <w:r w:rsidRPr="00771F04">
        <w:rPr>
          <w:i/>
        </w:rPr>
        <w:t>Autour de la notion</w:t>
      </w:r>
      <w:r w:rsidRPr="00771F04">
        <w:t xml:space="preserve"> </w:t>
      </w:r>
      <w:r w:rsidRPr="00771F04">
        <w:rPr>
          <w:i/>
        </w:rPr>
        <w:t>de</w:t>
      </w:r>
      <w:r>
        <w:t xml:space="preserve"> sacer. Rome, </w:t>
      </w:r>
      <w:r w:rsidRPr="00771F04">
        <w:t xml:space="preserve">Publications de l'École française de Rome, 2017. </w:t>
      </w:r>
      <w:r>
        <w:t xml:space="preserve">1 vol. </w:t>
      </w:r>
      <w:r w:rsidRPr="00771F04">
        <w:t>295 p.</w:t>
      </w:r>
      <w:r>
        <w:t xml:space="preserve"> (</w:t>
      </w:r>
      <w:r>
        <w:rPr>
          <w:smallCaps/>
        </w:rPr>
        <w:t>Collection de l’École française de Rome</w:t>
      </w:r>
      <w:r>
        <w:t>, 541). Prix :</w:t>
      </w:r>
      <w:r w:rsidRPr="00771F04">
        <w:t xml:space="preserve"> €27,00 (pb). ISBN 9782728312887.</w:t>
      </w:r>
    </w:p>
    <w:p w:rsidR="00BB7756" w:rsidRPr="000B175D" w:rsidRDefault="000B175D" w:rsidP="00BB7756">
      <w:pPr>
        <w:jc w:val="both"/>
      </w:pPr>
      <w:r>
        <w:t xml:space="preserve">Le volume est issu d’une journée d’étude sur la notion de </w:t>
      </w:r>
      <w:r>
        <w:rPr>
          <w:i/>
        </w:rPr>
        <w:t>sacer</w:t>
      </w:r>
      <w:r>
        <w:t>, organisée à l’École française de Rome, dans le cadre d’un programme de recherche sur les rapports entre Rome et ses voisins entre les 6</w:t>
      </w:r>
      <w:r w:rsidRPr="000B175D">
        <w:rPr>
          <w:vertAlign w:val="superscript"/>
        </w:rPr>
        <w:t>e</w:t>
      </w:r>
      <w:r>
        <w:t xml:space="preserve"> et 3</w:t>
      </w:r>
      <w:r w:rsidRPr="000B175D">
        <w:rPr>
          <w:vertAlign w:val="superscript"/>
        </w:rPr>
        <w:t>e</w:t>
      </w:r>
      <w:r>
        <w:t xml:space="preserve"> s. av. n.è. Or, parmi les concepts communs partagés par Rome et ses voisins figure le </w:t>
      </w:r>
      <w:r>
        <w:rPr>
          <w:i/>
        </w:rPr>
        <w:t>sacer</w:t>
      </w:r>
      <w:r>
        <w:t xml:space="preserve">. Il s’agit ainsi « d’une de ces notions transversales qui apparaissent dans de multiples situations </w:t>
      </w:r>
      <w:bookmarkStart w:id="0" w:name="_GoBack"/>
      <w:bookmarkEnd w:id="0"/>
      <w:r>
        <w:t>dans l’Italie antique »</w:t>
      </w:r>
      <w:r w:rsidR="00531A2A">
        <w:t xml:space="preserve"> (p. 7.). Afin d’éclairer ce concept complexe, </w:t>
      </w:r>
      <w:r w:rsidR="00BB7756">
        <w:t xml:space="preserve">le choix a été fait d’un comparatisme </w:t>
      </w:r>
      <w:r w:rsidR="009C57EF">
        <w:t>rigoureux qui</w:t>
      </w:r>
      <w:r w:rsidR="00BB7756">
        <w:t xml:space="preserve"> insère le vocabulaire dans son contexte historique et archéologique.</w:t>
      </w:r>
      <w:r w:rsidR="00040D9B">
        <w:t xml:space="preserve"> Sont à juste titre écartées la perspective chrétienne, anachronique dans ce cadre, mais aussi toute conception universalisante du ‘sacré’. Peuvent ainsi émerger les divers usages du </w:t>
      </w:r>
      <w:r w:rsidR="00040D9B">
        <w:rPr>
          <w:i/>
        </w:rPr>
        <w:t>sacer</w:t>
      </w:r>
      <w:r w:rsidR="00040D9B">
        <w:t xml:space="preserve"> ainsi que les différences et convergences éventuelles d’un peuple</w:t>
      </w:r>
      <w:r w:rsidR="00D10E81">
        <w:t xml:space="preserve"> italique</w:t>
      </w:r>
      <w:r w:rsidR="00040D9B">
        <w:t xml:space="preserve"> à l’autre</w:t>
      </w:r>
      <w:r w:rsidR="00D10E81">
        <w:t xml:space="preserve"> et aux Romains</w:t>
      </w:r>
      <w:r w:rsidR="00040D9B">
        <w:t>.</w:t>
      </w:r>
      <w:r w:rsidR="004358F3">
        <w:t xml:space="preserve"> Le premier chapitre, de D. Dehouve, envisage le sacré comme concept anthropologique</w:t>
      </w:r>
      <w:r w:rsidR="00155AC2">
        <w:t xml:space="preserve">. Cette enquête montre en quoi le concept de </w:t>
      </w:r>
      <w:r w:rsidR="00155AC2">
        <w:rPr>
          <w:i/>
        </w:rPr>
        <w:t>sacer</w:t>
      </w:r>
      <w:r w:rsidR="00155AC2">
        <w:t>, à cause de son dérivé « sacré », a été entaché d’une série de « surdéterminations anthropologiques » qui ne sont pas nécessairement présentes dans les sources.</w:t>
      </w:r>
      <w:r w:rsidR="00D10E81">
        <w:t xml:space="preserve"> Les chapitres suivants analysent la notion de </w:t>
      </w:r>
      <w:r w:rsidR="00D10E81">
        <w:rPr>
          <w:i/>
        </w:rPr>
        <w:t>sacer</w:t>
      </w:r>
      <w:r w:rsidR="00D10E81">
        <w:t xml:space="preserve"> à travers les corpus des langues étrusque et osque (V. Belfiore, à partir de l’étrusque ;</w:t>
      </w:r>
      <w:r w:rsidR="00A2684C">
        <w:t xml:space="preserve"> E. Dupraz</w:t>
      </w:r>
      <w:r w:rsidR="00D10E81">
        <w:t xml:space="preserve"> à partir des Tables eugubines ;</w:t>
      </w:r>
      <w:r w:rsidR="00A2684C">
        <w:t xml:space="preserve"> G. Rocca, sur la base des inscriptions ombriennes dites ‘mineures’ ;</w:t>
      </w:r>
      <w:r w:rsidR="00D10E81">
        <w:t xml:space="preserve"> O. de Cazanove, </w:t>
      </w:r>
      <w:r w:rsidR="00A2684C">
        <w:t>en s’appuyant sur le</w:t>
      </w:r>
      <w:r w:rsidR="00D10E81">
        <w:t xml:space="preserve"> cippe d’Abella).</w:t>
      </w:r>
      <w:r w:rsidR="00A2684C">
        <w:t xml:space="preserve"> Les trois derniers chapitres portent sur le contexte romain. E. Tassi Scandone interroge les rapports entre </w:t>
      </w:r>
      <w:r w:rsidR="00A2684C">
        <w:rPr>
          <w:i/>
        </w:rPr>
        <w:t>sacer</w:t>
      </w:r>
      <w:r w:rsidR="00A2684C">
        <w:t xml:space="preserve"> et </w:t>
      </w:r>
      <w:r w:rsidR="00A2684C">
        <w:rPr>
          <w:i/>
        </w:rPr>
        <w:t>sanctus</w:t>
      </w:r>
      <w:r w:rsidR="00A2684C">
        <w:t>. R. Fiori étudie la condition de l’</w:t>
      </w:r>
      <w:r w:rsidR="00A2684C">
        <w:rPr>
          <w:i/>
        </w:rPr>
        <w:t>homo sacer</w:t>
      </w:r>
      <w:r w:rsidR="00A2684C">
        <w:t xml:space="preserve"> au sein de la structure sociale de la Rome archaïque. Y. Berthelet</w:t>
      </w:r>
      <w:r w:rsidR="003951DC">
        <w:t xml:space="preserve"> examine l</w:t>
      </w:r>
      <w:r w:rsidR="009E37C5">
        <w:t>a question d</w:t>
      </w:r>
      <w:r w:rsidR="003951DC">
        <w:t xml:space="preserve">es rapports entre la </w:t>
      </w:r>
      <w:r w:rsidR="00C53B7D">
        <w:t>figure</w:t>
      </w:r>
      <w:r w:rsidR="003951DC">
        <w:t xml:space="preserve"> d</w:t>
      </w:r>
      <w:r w:rsidR="00C53B7D">
        <w:t>e l</w:t>
      </w:r>
      <w:r w:rsidR="003951DC">
        <w:t>’</w:t>
      </w:r>
      <w:r w:rsidR="003951DC">
        <w:rPr>
          <w:i/>
        </w:rPr>
        <w:t>homo sacer</w:t>
      </w:r>
      <w:r w:rsidR="009E37C5">
        <w:t>,</w:t>
      </w:r>
      <w:r w:rsidR="003951DC">
        <w:t xml:space="preserve"> la </w:t>
      </w:r>
      <w:r w:rsidR="003951DC">
        <w:rPr>
          <w:i/>
        </w:rPr>
        <w:t>consecratio</w:t>
      </w:r>
      <w:r w:rsidR="009E37C5">
        <w:t xml:space="preserve"> et la </w:t>
      </w:r>
      <w:r w:rsidR="009E37C5">
        <w:rPr>
          <w:i/>
        </w:rPr>
        <w:t>destinatio dis</w:t>
      </w:r>
      <w:r w:rsidR="009E37C5">
        <w:t xml:space="preserve"> et montre qu’il est erroné d’interpréter la figure de l’</w:t>
      </w:r>
      <w:r w:rsidR="009E37C5">
        <w:rPr>
          <w:i/>
        </w:rPr>
        <w:t>homo sacer</w:t>
      </w:r>
      <w:r w:rsidR="009E37C5">
        <w:t xml:space="preserve"> à partir du modèle de la victime sacrificielle</w:t>
      </w:r>
      <w:r w:rsidR="003951DC">
        <w:t>. A. Bertrand s’est pliée à l’exercice exigeant de la conclusion</w:t>
      </w:r>
      <w:r w:rsidR="00942469">
        <w:t xml:space="preserve"> et observe au terme de celle-ci</w:t>
      </w:r>
      <w:r w:rsidR="00B12849">
        <w:t xml:space="preserve"> que le concept de </w:t>
      </w:r>
      <w:r w:rsidR="00B12849">
        <w:rPr>
          <w:i/>
        </w:rPr>
        <w:t>sacer</w:t>
      </w:r>
      <w:r w:rsidR="00B12849">
        <w:t xml:space="preserve"> apparaît, à la lecture des diverses contributions, comme « une notion en évolution constante », nécessitant un « effort de définition contextualisé historiquement », afin d’éviter « les écueils d’une certaine anthropologie trop prompte à s’appuyer sur de supposés invariants religieux pour proposer des significations commodes et universelles, dont le sacré a fait les frais plus qu’à son tour »</w:t>
      </w:r>
      <w:r w:rsidR="003951DC">
        <w:t>.</w:t>
      </w:r>
      <w:r w:rsidR="00C53B7D">
        <w:t xml:space="preserve"> – Index des auteurs et des sources ; index des noms et des </w:t>
      </w:r>
      <w:r w:rsidR="00C53B7D">
        <w:rPr>
          <w:i/>
        </w:rPr>
        <w:t>res notabiles</w:t>
      </w:r>
      <w:r w:rsidR="00C53B7D">
        <w:t>.</w:t>
      </w:r>
      <w:r w:rsidR="00B12849">
        <w:t xml:space="preserve"> </w:t>
      </w:r>
      <w:r w:rsidR="00BB7756">
        <w:t>Françoise Van Haeperen</w:t>
      </w:r>
    </w:p>
    <w:sectPr w:rsidR="00BB7756" w:rsidRPr="000B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4E"/>
    <w:rsid w:val="00040D9B"/>
    <w:rsid w:val="000B175D"/>
    <w:rsid w:val="0013709F"/>
    <w:rsid w:val="00155AC2"/>
    <w:rsid w:val="003951DC"/>
    <w:rsid w:val="004358F3"/>
    <w:rsid w:val="00531A2A"/>
    <w:rsid w:val="00532C4E"/>
    <w:rsid w:val="00771F04"/>
    <w:rsid w:val="00942469"/>
    <w:rsid w:val="00971AC6"/>
    <w:rsid w:val="009C57EF"/>
    <w:rsid w:val="009E37C5"/>
    <w:rsid w:val="00A2684C"/>
    <w:rsid w:val="00B12849"/>
    <w:rsid w:val="00BB7756"/>
    <w:rsid w:val="00C53B7D"/>
    <w:rsid w:val="00D1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AB25"/>
  <w15:chartTrackingRefBased/>
  <w15:docId w15:val="{2649F87D-A3D6-47BC-9035-060F64EE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425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Van Haeperen</dc:creator>
  <cp:keywords/>
  <dc:description/>
  <cp:lastModifiedBy>Françoise Van Haeperen</cp:lastModifiedBy>
  <cp:revision>2</cp:revision>
  <dcterms:created xsi:type="dcterms:W3CDTF">2019-01-14T12:46:00Z</dcterms:created>
  <dcterms:modified xsi:type="dcterms:W3CDTF">2019-01-14T13:33:00Z</dcterms:modified>
</cp:coreProperties>
</file>